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329565</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389890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SCHEDULE 14A</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the Securities Exchange Act of 1934 (Amendment No.     )</w:t>
      </w:r>
    </w:p>
    <w:p>
      <w:pPr>
        <w:spacing w:after="0" w:line="99"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4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43"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4" w:lineRule="exact"/>
        <w:rPr>
          <w:rFonts w:ascii="MS PGothic" w:cs="MS PGothic" w:eastAsia="MS PGothic" w:hAnsi="MS PGothic"/>
          <w:sz w:val="18"/>
          <w:szCs w:val="18"/>
          <w:color w:val="auto"/>
        </w:rPr>
      </w:pPr>
    </w:p>
    <w:p>
      <w:pPr>
        <w:ind w:left="1260" w:right="1999"/>
        <w:spacing w:after="0" w:line="251" w:lineRule="exact"/>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34"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59"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1" w:lineRule="exact"/>
        <w:rPr>
          <w:sz w:val="24"/>
          <w:szCs w:val="24"/>
          <w:color w:val="auto"/>
        </w:rPr>
      </w:pPr>
    </w:p>
    <w:p>
      <w:pPr>
        <w:ind w:left="29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87"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right="599" w:hanging="360"/>
        <w:spacing w:after="0" w:line="287"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92075</wp:posOffset>
            </wp:positionV>
            <wp:extent cx="521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143510</wp:posOffset>
            </wp:positionV>
            <wp:extent cx="5212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3834130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039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5005" cy="90392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drawing>
          <wp:anchor simplePos="0" relativeHeight="251657728" behindDoc="1" locked="0" layoutInCell="0" allowOverlap="1">
            <wp:simplePos x="0" y="0"/>
            <wp:positionH relativeFrom="page">
              <wp:posOffset>370840</wp:posOffset>
            </wp:positionH>
            <wp:positionV relativeFrom="page">
              <wp:posOffset>88900</wp:posOffset>
            </wp:positionV>
            <wp:extent cx="680656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252730</wp:posOffset>
            </wp:positionV>
            <wp:extent cx="149161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291465"/>
                    </a:xfrm>
                    <a:prstGeom prst="rect">
                      <a:avLst/>
                    </a:prstGeom>
                    <a:noFill/>
                  </pic:spPr>
                </pic:pic>
              </a:graphicData>
            </a:graphic>
          </wp:anchor>
        </w:drawing>
        <w:drawing>
          <wp:anchor simplePos="0" relativeHeight="251657728" behindDoc="1" locked="0" layoutInCell="0" allowOverlap="1">
            <wp:simplePos x="0" y="0"/>
            <wp:positionH relativeFrom="column">
              <wp:posOffset>527050</wp:posOffset>
            </wp:positionH>
            <wp:positionV relativeFrom="paragraph">
              <wp:posOffset>775335</wp:posOffset>
            </wp:positionV>
            <wp:extent cx="5554980"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498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00"/>
        <w:spacing w:after="0"/>
        <w:rPr>
          <w:sz w:val="20"/>
          <w:szCs w:val="20"/>
          <w:color w:val="auto"/>
        </w:rPr>
      </w:pPr>
      <w:r>
        <w:rPr>
          <w:rFonts w:ascii="Arial" w:cs="Arial" w:eastAsia="Arial" w:hAnsi="Arial"/>
          <w:sz w:val="38"/>
          <w:szCs w:val="38"/>
          <w:b w:val="1"/>
          <w:bCs w:val="1"/>
          <w:color w:val="FEFEFE"/>
        </w:rPr>
        <w:t>NOTICE OF 2024 ANNUAL MEETING OF</w:t>
      </w:r>
    </w:p>
    <w:p>
      <w:pPr>
        <w:spacing w:after="0" w:line="76" w:lineRule="exact"/>
        <w:rPr>
          <w:sz w:val="20"/>
          <w:szCs w:val="20"/>
          <w:color w:val="auto"/>
        </w:rPr>
      </w:pPr>
    </w:p>
    <w:p>
      <w:pPr>
        <w:jc w:val="center"/>
        <w:ind w:right="-700"/>
        <w:spacing w:after="0"/>
        <w:rPr>
          <w:sz w:val="20"/>
          <w:szCs w:val="20"/>
          <w:color w:val="auto"/>
        </w:rPr>
      </w:pPr>
      <w:r>
        <w:rPr>
          <w:rFonts w:ascii="Arial" w:cs="Arial" w:eastAsia="Arial" w:hAnsi="Arial"/>
          <w:sz w:val="40"/>
          <w:szCs w:val="40"/>
          <w:b w:val="1"/>
          <w:bCs w:val="1"/>
          <w:color w:val="FEFEFE"/>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252730</wp:posOffset>
            </wp:positionV>
            <wp:extent cx="2417445" cy="1979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7445" cy="1979930"/>
                    </a:xfrm>
                    <a:prstGeom prst="rect">
                      <a:avLst/>
                    </a:prstGeom>
                    <a:noFill/>
                  </pic:spPr>
                </pic:pic>
              </a:graphicData>
            </a:graphic>
          </wp:anchor>
        </w:drawing>
      </w:r>
    </w:p>
    <w:p>
      <w:pPr>
        <w:sectPr>
          <w:pgSz w:w="11900" w:h="16838" w:orient="portrait"/>
          <w:cols w:equalWidth="0" w:num="1">
            <w:col w:w="9719"/>
          </w:cols>
          <w:pgMar w:left="740" w:top="1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EFEFE"/>
        </w:rPr>
        <w:t>DATE</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Friday, November 22, 2024</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EFEFE"/>
        </w:rPr>
        <w:t>TIME</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8:00 am local time</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EFEFE"/>
        </w:rPr>
        <w:t>PLACE</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Avnet’s Corporate Headquarters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2211 South 47th Street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Phoenix, Arizona 85034</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EFEFE"/>
        </w:rPr>
        <w:t>RECORD DATE</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FEFEFE"/>
        </w:rPr>
        <w:t>September 23, 2024</w:t>
      </w:r>
    </w:p>
    <w:p>
      <w:pPr>
        <w:spacing w:after="0" w:line="200" w:lineRule="exact"/>
        <w:rPr>
          <w:sz w:val="20"/>
          <w:szCs w:val="20"/>
          <w:color w:val="auto"/>
        </w:rPr>
      </w:pPr>
    </w:p>
    <w:p>
      <w:pPr>
        <w:spacing w:after="0" w:line="267"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53C072"/>
        </w:rPr>
        <w:t>YOUR VOTE IS IMPORTANT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53C072"/>
        </w:rPr>
        <w:t>ITEMS OF BUSINESS</w:t>
      </w:r>
    </w:p>
    <w:p>
      <w:pPr>
        <w:spacing w:after="0" w:line="148" w:lineRule="exact"/>
        <w:rPr>
          <w:sz w:val="20"/>
          <w:szCs w:val="20"/>
          <w:color w:val="auto"/>
        </w:rPr>
      </w:pPr>
    </w:p>
    <w:p>
      <w:pPr>
        <w:jc w:val="both"/>
        <w:ind w:left="366" w:right="299" w:hanging="366"/>
        <w:spacing w:after="0" w:line="262" w:lineRule="auto"/>
        <w:tabs>
          <w:tab w:leader="none" w:pos="366" w:val="left"/>
        </w:tabs>
        <w:numPr>
          <w:ilvl w:val="0"/>
          <w:numId w:val="4"/>
        </w:numPr>
        <w:rPr>
          <w:rFonts w:ascii="Arial" w:cs="Arial" w:eastAsia="Arial" w:hAnsi="Arial"/>
          <w:sz w:val="18"/>
          <w:szCs w:val="18"/>
          <w:b w:val="1"/>
          <w:bCs w:val="1"/>
          <w:color w:val="53C072"/>
        </w:rPr>
      </w:pPr>
      <w:r>
        <w:rPr>
          <w:rFonts w:ascii="Arial" w:cs="Arial" w:eastAsia="Arial" w:hAnsi="Arial"/>
          <w:sz w:val="18"/>
          <w:szCs w:val="18"/>
          <w:color w:val="auto"/>
        </w:rPr>
        <w:t>To elect the ten Director nominees named in the attached proxy statement to serve until the next annual meeting and until their successors have been elected and qualified.</w:t>
      </w:r>
    </w:p>
    <w:p>
      <w:pPr>
        <w:spacing w:after="0" w:line="122" w:lineRule="exact"/>
        <w:rPr>
          <w:rFonts w:ascii="Arial" w:cs="Arial" w:eastAsia="Arial" w:hAnsi="Arial"/>
          <w:sz w:val="18"/>
          <w:szCs w:val="18"/>
          <w:b w:val="1"/>
          <w:bCs w:val="1"/>
          <w:color w:val="53C072"/>
        </w:rPr>
      </w:pPr>
    </w:p>
    <w:p>
      <w:pPr>
        <w:ind w:left="366" w:right="239" w:hanging="366"/>
        <w:spacing w:after="0" w:line="287" w:lineRule="auto"/>
        <w:tabs>
          <w:tab w:leader="none" w:pos="366" w:val="left"/>
        </w:tabs>
        <w:numPr>
          <w:ilvl w:val="0"/>
          <w:numId w:val="4"/>
        </w:numPr>
        <w:rPr>
          <w:rFonts w:ascii="Arial" w:cs="Arial" w:eastAsia="Arial" w:hAnsi="Arial"/>
          <w:sz w:val="18"/>
          <w:szCs w:val="18"/>
          <w:b w:val="1"/>
          <w:bCs w:val="1"/>
          <w:color w:val="53C072"/>
        </w:rPr>
      </w:pPr>
      <w:r>
        <w:rPr>
          <w:rFonts w:ascii="Arial" w:cs="Arial" w:eastAsia="Arial" w:hAnsi="Arial"/>
          <w:sz w:val="18"/>
          <w:szCs w:val="18"/>
          <w:color w:val="auto"/>
        </w:rPr>
        <w:t>To conduct an advisory vote on named executive compensation.</w:t>
      </w:r>
    </w:p>
    <w:p>
      <w:pPr>
        <w:spacing w:after="0" w:line="98" w:lineRule="exact"/>
        <w:rPr>
          <w:rFonts w:ascii="Arial" w:cs="Arial" w:eastAsia="Arial" w:hAnsi="Arial"/>
          <w:sz w:val="18"/>
          <w:szCs w:val="18"/>
          <w:b w:val="1"/>
          <w:bCs w:val="1"/>
          <w:color w:val="53C072"/>
        </w:rPr>
      </w:pPr>
    </w:p>
    <w:p>
      <w:pPr>
        <w:ind w:left="366" w:right="39" w:hanging="366"/>
        <w:spacing w:after="0" w:line="262" w:lineRule="auto"/>
        <w:tabs>
          <w:tab w:leader="none" w:pos="366" w:val="left"/>
        </w:tabs>
        <w:numPr>
          <w:ilvl w:val="0"/>
          <w:numId w:val="4"/>
        </w:numPr>
        <w:rPr>
          <w:rFonts w:ascii="Arial" w:cs="Arial" w:eastAsia="Arial" w:hAnsi="Arial"/>
          <w:sz w:val="18"/>
          <w:szCs w:val="18"/>
          <w:b w:val="1"/>
          <w:bCs w:val="1"/>
          <w:color w:val="53C072"/>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June 28, 2025.</w:t>
      </w:r>
    </w:p>
    <w:p>
      <w:pPr>
        <w:spacing w:after="0" w:line="135" w:lineRule="exact"/>
        <w:rPr>
          <w:rFonts w:ascii="Arial" w:cs="Arial" w:eastAsia="Arial" w:hAnsi="Arial"/>
          <w:sz w:val="18"/>
          <w:szCs w:val="18"/>
          <w:b w:val="1"/>
          <w:bCs w:val="1"/>
          <w:color w:val="53C072"/>
        </w:rPr>
      </w:pPr>
    </w:p>
    <w:p>
      <w:pPr>
        <w:ind w:left="366" w:right="39" w:hanging="366"/>
        <w:spacing w:after="0" w:line="268" w:lineRule="auto"/>
        <w:tabs>
          <w:tab w:leader="none" w:pos="366" w:val="left"/>
        </w:tabs>
        <w:numPr>
          <w:ilvl w:val="0"/>
          <w:numId w:val="4"/>
        </w:numPr>
        <w:rPr>
          <w:rFonts w:ascii="Arial" w:cs="Arial" w:eastAsia="Arial" w:hAnsi="Arial"/>
          <w:sz w:val="18"/>
          <w:szCs w:val="18"/>
          <w:b w:val="1"/>
          <w:bCs w:val="1"/>
          <w:color w:val="53C072"/>
        </w:rPr>
      </w:pPr>
      <w:r>
        <w:rPr>
          <w:rFonts w:ascii="Arial" w:cs="Arial" w:eastAsia="Arial" w:hAnsi="Arial"/>
          <w:sz w:val="18"/>
          <w:szCs w:val="18"/>
          <w:color w:val="auto"/>
        </w:rPr>
        <w:t>To take action with respect to such other matters as may properly come before the Annual Meeting (including postponements and adjournments).</w:t>
      </w:r>
    </w:p>
    <w:p>
      <w:pPr>
        <w:spacing w:after="0" w:line="27" w:lineRule="exact"/>
        <w:rPr>
          <w:sz w:val="20"/>
          <w:szCs w:val="20"/>
          <w:color w:val="auto"/>
        </w:rPr>
      </w:pPr>
    </w:p>
    <w:p>
      <w:pPr>
        <w:sectPr>
          <w:pgSz w:w="11900" w:h="16838" w:orient="portrait"/>
          <w:cols w:equalWidth="0" w:num="2">
            <w:col w:w="4574" w:space="720"/>
            <w:col w:w="4425"/>
          </w:cols>
          <w:pgMar w:left="740" w:top="165" w:right="1440" w:bottom="1440" w:gutter="0" w:footer="0" w:header="0"/>
          <w:type w:val="continuous"/>
        </w:sectPr>
      </w:pPr>
    </w:p>
    <w:p>
      <w:pPr>
        <w:ind w:left="840"/>
        <w:spacing w:after="0"/>
        <w:rPr>
          <w:sz w:val="20"/>
          <w:szCs w:val="20"/>
          <w:color w:val="auto"/>
        </w:rPr>
      </w:pPr>
      <w:r>
        <w:rPr>
          <w:rFonts w:ascii="Arial" w:cs="Arial" w:eastAsia="Arial" w:hAnsi="Arial"/>
          <w:sz w:val="15"/>
          <w:szCs w:val="15"/>
          <w:b w:val="1"/>
          <w:bCs w:val="1"/>
          <w:color w:val="B2B2B2"/>
        </w:rPr>
        <w:t>YOU CAN VOTE IN ONE OF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45085</wp:posOffset>
            </wp:positionV>
            <wp:extent cx="2417445"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17445" cy="643255"/>
                    </a:xfrm>
                    <a:prstGeom prst="rect">
                      <a:avLst/>
                    </a:prstGeom>
                    <a:noFill/>
                  </pic:spPr>
                </pic:pic>
              </a:graphicData>
            </a:graphic>
          </wp:anchor>
        </w:drawing>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53C072"/>
        </w:rPr>
        <w:t>INTERNET</w:t>
      </w:r>
    </w:p>
    <w:p>
      <w:pPr>
        <w:spacing w:after="0" w:line="21" w:lineRule="exact"/>
        <w:rPr>
          <w:sz w:val="20"/>
          <w:szCs w:val="20"/>
          <w:color w:val="auto"/>
        </w:rPr>
      </w:pPr>
    </w:p>
    <w:p>
      <w:pPr>
        <w:ind w:left="940" w:right="1480"/>
        <w:spacing w:after="0" w:line="283" w:lineRule="auto"/>
        <w:rPr>
          <w:sz w:val="20"/>
          <w:szCs w:val="20"/>
          <w:color w:val="auto"/>
        </w:rPr>
      </w:pPr>
      <w:r>
        <w:rPr>
          <w:rFonts w:ascii="Arial" w:cs="Arial" w:eastAsia="Arial" w:hAnsi="Arial"/>
          <w:sz w:val="16"/>
          <w:szCs w:val="16"/>
          <w:color w:val="auto"/>
        </w:rPr>
        <w:t>Visit the website noted on your proxy 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246380</wp:posOffset>
            </wp:positionV>
            <wp:extent cx="2417445" cy="711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7445" cy="711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99"/>
        <w:spacing w:after="0" w:line="270" w:lineRule="auto"/>
        <w:rPr>
          <w:sz w:val="20"/>
          <w:szCs w:val="20"/>
          <w:color w:val="auto"/>
        </w:rPr>
      </w:pPr>
      <w:r>
        <w:rPr>
          <w:rFonts w:ascii="Arial" w:cs="Arial" w:eastAsia="Arial" w:hAnsi="Arial"/>
          <w:sz w:val="18"/>
          <w:szCs w:val="18"/>
          <w:color w:val="auto"/>
        </w:rPr>
        <w:t>The Board of Directors has fixed the close of business on September 23, 2024, as the record date for the Annual Meeting. Only holders of record of shares of Avnet’s common stock at the close of business on such date shall be entitled to notice of and to vote at the Annual Meeting or any adjournment thereof.</w:t>
      </w:r>
    </w:p>
    <w:p>
      <w:pPr>
        <w:spacing w:after="0" w:line="52" w:lineRule="exact"/>
        <w:rPr>
          <w:sz w:val="20"/>
          <w:szCs w:val="20"/>
          <w:color w:val="auto"/>
        </w:rPr>
      </w:pPr>
    </w:p>
    <w:p>
      <w:pPr>
        <w:sectPr>
          <w:pgSz w:w="11900" w:h="16838" w:orient="portrait"/>
          <w:cols w:equalWidth="0" w:num="2">
            <w:col w:w="4580" w:space="720"/>
            <w:col w:w="4419"/>
          </w:cols>
          <w:pgMar w:left="740" w:top="165" w:right="1440" w:bottom="1440" w:gutter="0" w:footer="0" w:header="0"/>
          <w:type w:val="continuous"/>
        </w:sectPr>
      </w:pPr>
    </w:p>
    <w:p>
      <w:pPr>
        <w:ind w:left="940"/>
        <w:spacing w:after="0"/>
        <w:rPr>
          <w:sz w:val="20"/>
          <w:szCs w:val="20"/>
          <w:color w:val="auto"/>
        </w:rPr>
      </w:pPr>
      <w:r>
        <w:rPr>
          <w:rFonts w:ascii="Arial" w:cs="Arial" w:eastAsia="Arial" w:hAnsi="Arial"/>
          <w:sz w:val="16"/>
          <w:szCs w:val="16"/>
          <w:b w:val="1"/>
          <w:bCs w:val="1"/>
          <w:color w:val="53C072"/>
        </w:rPr>
        <w:t>TELEPHONE</w:t>
      </w:r>
    </w:p>
    <w:p>
      <w:pPr>
        <w:spacing w:after="0" w:line="35" w:lineRule="exact"/>
        <w:rPr>
          <w:sz w:val="20"/>
          <w:szCs w:val="20"/>
          <w:color w:val="auto"/>
        </w:rPr>
      </w:pPr>
    </w:p>
    <w:p>
      <w:pPr>
        <w:jc w:val="both"/>
        <w:ind w:left="940" w:right="960"/>
        <w:spacing w:after="0" w:line="318" w:lineRule="auto"/>
        <w:rPr>
          <w:sz w:val="20"/>
          <w:szCs w:val="20"/>
          <w:color w:val="auto"/>
        </w:rPr>
      </w:pPr>
      <w:r>
        <w:rPr>
          <w:rFonts w:ascii="Arial" w:cs="Arial" w:eastAsia="Arial" w:hAnsi="Arial"/>
          <w:sz w:val="15"/>
          <w:szCs w:val="15"/>
          <w:color w:val="auto"/>
        </w:rPr>
        <w:t>Use the toll-free telephone number on your proxy card to 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300355</wp:posOffset>
            </wp:positionV>
            <wp:extent cx="2417445" cy="591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17445" cy="59118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53C072"/>
        </w:rPr>
        <w:t>MAIL</w:t>
      </w:r>
    </w:p>
    <w:p>
      <w:pPr>
        <w:spacing w:after="0" w:line="35" w:lineRule="exact"/>
        <w:rPr>
          <w:sz w:val="20"/>
          <w:szCs w:val="20"/>
          <w:color w:val="auto"/>
        </w:rPr>
      </w:pPr>
    </w:p>
    <w:p>
      <w:pPr>
        <w:jc w:val="both"/>
        <w:ind w:left="940" w:right="1320"/>
        <w:spacing w:after="0" w:line="264" w:lineRule="auto"/>
        <w:rPr>
          <w:sz w:val="20"/>
          <w:szCs w:val="20"/>
          <w:color w:val="auto"/>
        </w:rPr>
      </w:pPr>
      <w:r>
        <w:rPr>
          <w:rFonts w:ascii="Arial" w:cs="Arial" w:eastAsia="Arial" w:hAnsi="Arial"/>
          <w:sz w:val="16"/>
          <w:szCs w:val="16"/>
          <w:color w:val="auto"/>
        </w:rPr>
        <w:t>Sign, date, and return your proxy card in the enclosed envelope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84455</wp:posOffset>
            </wp:positionV>
            <wp:extent cx="2417445"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17445" cy="488315"/>
                    </a:xfrm>
                    <a:prstGeom prst="rect">
                      <a:avLst/>
                    </a:prstGeom>
                    <a:noFill/>
                  </pic:spPr>
                </pic:pic>
              </a:graphicData>
            </a:graphic>
          </wp:anchor>
        </w:drawing>
      </w:r>
    </w:p>
    <w:p>
      <w:pPr>
        <w:spacing w:after="0" w:line="234"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53C072"/>
        </w:rPr>
        <w:t>IN PERSON</w:t>
      </w:r>
    </w:p>
    <w:p>
      <w:pPr>
        <w:spacing w:after="0" w:line="21" w:lineRule="exact"/>
        <w:rPr>
          <w:sz w:val="20"/>
          <w:szCs w:val="20"/>
          <w:color w:val="auto"/>
        </w:rPr>
      </w:pPr>
    </w:p>
    <w:p>
      <w:pPr>
        <w:ind w:left="940" w:right="940"/>
        <w:spacing w:after="0" w:line="283" w:lineRule="auto"/>
        <w:rPr>
          <w:sz w:val="20"/>
          <w:szCs w:val="20"/>
          <w:color w:val="auto"/>
        </w:rPr>
      </w:pPr>
      <w:r>
        <w:rPr>
          <w:rFonts w:ascii="Arial" w:cs="Arial" w:eastAsia="Arial" w:hAnsi="Arial"/>
          <w:sz w:val="16"/>
          <w:szCs w:val="16"/>
          <w:color w:val="auto"/>
        </w:rPr>
        <w:t>Cast your vote in person at the annual meeting.</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135445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44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53C072"/>
        </w:rPr>
        <w:t>Darrel S. Jackson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Secretary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October 8, 2024</w:t>
      </w:r>
    </w:p>
    <w:p>
      <w:pPr>
        <w:sectPr>
          <w:pgSz w:w="11900" w:h="16838" w:orient="portrait"/>
          <w:cols w:equalWidth="0" w:num="2">
            <w:col w:w="4580" w:space="720"/>
            <w:col w:w="4419"/>
          </w:cols>
          <w:pgMar w:left="740" w:top="165"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398780</wp:posOffset>
            </wp:positionV>
            <wp:extent cx="555498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2399"/>
        <w:spacing w:after="0"/>
        <w:rPr>
          <w:sz w:val="20"/>
          <w:szCs w:val="20"/>
          <w:color w:val="auto"/>
        </w:rPr>
      </w:pPr>
      <w:r>
        <w:rPr>
          <w:rFonts w:ascii="Arial" w:cs="Arial" w:eastAsia="Arial" w:hAnsi="Arial"/>
          <w:sz w:val="40"/>
          <w:szCs w:val="40"/>
          <w:b w:val="1"/>
          <w:bCs w:val="1"/>
          <w:color w:val="FEFEFE"/>
        </w:rPr>
        <w:t>TABLE OF CONTENTS</w:t>
      </w:r>
      <w:r>
        <w:rPr>
          <w:rFonts w:ascii="Times New Roman" w:cs="Times New Roman" w:eastAsia="Times New Roman" w:hAnsi="Times New Roman"/>
          <w:sz w:val="17"/>
          <w:szCs w:val="17"/>
          <w:color w:val="FEFEFE"/>
        </w:rPr>
        <w:t>​</w:t>
      </w:r>
    </w:p>
    <w:p>
      <w:pPr>
        <w:sectPr>
          <w:pgSz w:w="11900" w:h="16838" w:orient="portrait"/>
          <w:cols w:equalWidth="0" w:num="1">
            <w:col w:w="9879"/>
          </w:cols>
          <w:pgMar w:left="580" w:top="97" w:right="1440" w:bottom="1440" w:gutter="0" w:footer="0" w:header="0"/>
        </w:sectPr>
      </w:pPr>
    </w:p>
    <w:p>
      <w:pPr>
        <w:spacing w:after="0" w:line="249" w:lineRule="exact"/>
        <w:rPr>
          <w:sz w:val="20"/>
          <w:szCs w:val="20"/>
          <w:color w:val="auto"/>
        </w:rPr>
      </w:pPr>
    </w:p>
    <w:tbl>
      <w:tblPr>
        <w:tblLayout w:type="fixed"/>
        <w:tblInd w:w="980" w:type="dxa"/>
        <w:tblCellMar>
          <w:top w:w="0" w:type="dxa"/>
          <w:left w:w="0" w:type="dxa"/>
          <w:bottom w:w="0" w:type="dxa"/>
          <w:right w:w="0" w:type="dxa"/>
        </w:tblCellMar>
      </w:tblPr>
      <w:tr>
        <w:trPr>
          <w:trHeight w:val="358"/>
        </w:trPr>
        <w:tc>
          <w:tcPr>
            <w:tcW w:w="3880" w:type="dxa"/>
            <w:vAlign w:val="bottom"/>
            <w:gridSpan w:val="27"/>
            <w:shd w:val="clear" w:color="auto" w:fill="CCEEFF"/>
          </w:tcPr>
          <w:p>
            <w:pPr>
              <w:ind w:left="20"/>
              <w:spacing w:after="0"/>
              <w:rPr>
                <w:sz w:val="20"/>
                <w:szCs w:val="20"/>
                <w:color w:val="auto"/>
              </w:rPr>
            </w:pPr>
            <w:r>
              <w:rPr>
                <w:rFonts w:ascii="Arial" w:cs="Arial" w:eastAsia="Arial" w:hAnsi="Arial"/>
                <w:sz w:val="22"/>
                <w:szCs w:val="22"/>
                <w:b w:val="1"/>
                <w:bCs w:val="1"/>
                <w:color w:val="53C072"/>
              </w:rPr>
              <w:t>Proxy Statement Summary</w:t>
            </w:r>
            <w:r>
              <w:rPr>
                <w:rFonts w:ascii="Arial" w:cs="Arial" w:eastAsia="Arial" w:hAnsi="Arial"/>
                <w:sz w:val="17"/>
                <w:szCs w:val="17"/>
                <w:color w:val="000000"/>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480" w:type="dxa"/>
            <w:vAlign w:val="bottom"/>
            <w:tcBorders>
              <w:top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tcBorders>
            <w:shd w:val="clear" w:color="auto" w:fill="53C072"/>
          </w:tcPr>
          <w:p>
            <w:pPr>
              <w:spacing w:after="0" w:line="20" w:lineRule="exact"/>
              <w:rPr>
                <w:sz w:val="1"/>
                <w:szCs w:val="1"/>
                <w:color w:val="auto"/>
              </w:rPr>
            </w:pPr>
          </w:p>
        </w:tc>
        <w:tc>
          <w:tcPr>
            <w:tcW w:w="2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260" w:type="dxa"/>
            <w:vAlign w:val="bottom"/>
            <w:tcBorders>
              <w:top w:val="single" w:sz="8" w:color="53C072"/>
              <w:left w:val="single" w:sz="8" w:color="53C072"/>
              <w:right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left w:val="single" w:sz="8" w:color="53C072"/>
              <w:right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32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6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6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14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880" w:type="dxa"/>
            <w:vAlign w:val="bottom"/>
            <w:gridSpan w:val="27"/>
          </w:tcPr>
          <w:p>
            <w:pPr>
              <w:ind w:left="20"/>
              <w:spacing w:after="0"/>
              <w:rPr>
                <w:sz w:val="20"/>
                <w:szCs w:val="20"/>
                <w:color w:val="auto"/>
              </w:rPr>
            </w:pPr>
            <w:r>
              <w:rPr>
                <w:rFonts w:ascii="Arial" w:cs="Arial" w:eastAsia="Arial" w:hAnsi="Arial"/>
                <w:sz w:val="22"/>
                <w:szCs w:val="22"/>
                <w:b w:val="1"/>
                <w:bCs w:val="1"/>
                <w:color w:val="53C072"/>
              </w:rPr>
              <w:t>Proxy Statement</w:t>
            </w:r>
            <w:r>
              <w:rPr>
                <w:rFonts w:ascii="Arial" w:cs="Arial" w:eastAsia="Arial" w:hAnsi="Arial"/>
                <w:sz w:val="17"/>
                <w:szCs w:val="17"/>
                <w:color w:val="000000"/>
              </w:rPr>
              <w: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2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32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3700" w:type="dxa"/>
            <w:vAlign w:val="bottom"/>
            <w:gridSpan w:val="26"/>
            <w:shd w:val="clear" w:color="auto" w:fill="CCEEFF"/>
          </w:tcPr>
          <w:p>
            <w:pPr>
              <w:ind w:left="20"/>
              <w:spacing w:after="0"/>
              <w:rPr>
                <w:sz w:val="20"/>
                <w:szCs w:val="20"/>
                <w:color w:val="auto"/>
              </w:rPr>
            </w:pPr>
            <w:r>
              <w:rPr>
                <w:rFonts w:ascii="Arial" w:cs="Arial" w:eastAsia="Arial" w:hAnsi="Arial"/>
                <w:sz w:val="18"/>
                <w:szCs w:val="18"/>
                <w:color w:val="0000EE"/>
              </w:rPr>
              <w:t>Proxy and Revocation of Proxy</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1080" w:type="dxa"/>
            <w:vAlign w:val="bottom"/>
            <w:gridSpan w:val="4"/>
          </w:tcPr>
          <w:p>
            <w:pPr>
              <w:ind w:left="20"/>
              <w:spacing w:after="0" w:line="169" w:lineRule="exact"/>
              <w:rPr>
                <w:sz w:val="20"/>
                <w:szCs w:val="20"/>
                <w:color w:val="auto"/>
              </w:rPr>
            </w:pPr>
            <w:r>
              <w:rPr>
                <w:rFonts w:ascii="Arial" w:cs="Arial" w:eastAsia="Arial" w:hAnsi="Arial"/>
                <w:sz w:val="18"/>
                <w:szCs w:val="18"/>
                <w:color w:val="0000EE"/>
                <w:w w:val="93"/>
              </w:rPr>
              <w:t>Broker Voting</w:t>
            </w:r>
          </w:p>
        </w:tc>
        <w:tc>
          <w:tcPr>
            <w:tcW w:w="1360" w:type="dxa"/>
            <w:vAlign w:val="bottom"/>
            <w:gridSpan w:val="10"/>
          </w:tcPr>
          <w:p>
            <w:pPr>
              <w:spacing w:after="0"/>
              <w:rPr>
                <w:sz w:val="14"/>
                <w:szCs w:val="14"/>
                <w:color w:val="auto"/>
              </w:rPr>
            </w:pPr>
          </w:p>
        </w:tc>
        <w:tc>
          <w:tcPr>
            <w:tcW w:w="1260" w:type="dxa"/>
            <w:vAlign w:val="bottom"/>
            <w:gridSpan w:val="12"/>
          </w:tcPr>
          <w:p>
            <w:pPr>
              <w:spacing w:after="0"/>
              <w:rPr>
                <w:sz w:val="14"/>
                <w:szCs w:val="14"/>
                <w:color w:val="auto"/>
              </w:rPr>
            </w:pP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700" w:type="dxa"/>
            <w:vAlign w:val="bottom"/>
            <w:gridSpan w:val="26"/>
            <w:shd w:val="clear" w:color="auto" w:fill="CCEEFF"/>
          </w:tcPr>
          <w:p>
            <w:pPr>
              <w:ind w:left="20"/>
              <w:spacing w:after="0" w:line="169" w:lineRule="exact"/>
              <w:rPr>
                <w:sz w:val="20"/>
                <w:szCs w:val="20"/>
                <w:color w:val="auto"/>
              </w:rPr>
            </w:pPr>
            <w:r>
              <w:rPr>
                <w:rFonts w:ascii="Arial" w:cs="Arial" w:eastAsia="Arial" w:hAnsi="Arial"/>
                <w:sz w:val="18"/>
                <w:szCs w:val="18"/>
                <w:color w:val="0000EE"/>
              </w:rPr>
              <w:t>Meeting Attendance</w:t>
            </w: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660" w:type="dxa"/>
            <w:vAlign w:val="bottom"/>
            <w:gridSpan w:val="2"/>
          </w:tcPr>
          <w:p>
            <w:pPr>
              <w:ind w:left="20"/>
              <w:spacing w:after="0" w:line="169" w:lineRule="exact"/>
              <w:rPr>
                <w:sz w:val="20"/>
                <w:szCs w:val="20"/>
                <w:color w:val="auto"/>
              </w:rPr>
            </w:pPr>
            <w:r>
              <w:rPr>
                <w:rFonts w:ascii="Arial" w:cs="Arial" w:eastAsia="Arial" w:hAnsi="Arial"/>
                <w:sz w:val="18"/>
                <w:szCs w:val="18"/>
                <w:color w:val="0000EE"/>
                <w:w w:val="95"/>
              </w:rPr>
              <w:t>Quorum</w:t>
            </w:r>
          </w:p>
        </w:tc>
        <w:tc>
          <w:tcPr>
            <w:tcW w:w="920" w:type="dxa"/>
            <w:vAlign w:val="bottom"/>
            <w:gridSpan w:val="6"/>
          </w:tcPr>
          <w:p>
            <w:pPr>
              <w:spacing w:after="0"/>
              <w:rPr>
                <w:sz w:val="14"/>
                <w:szCs w:val="14"/>
                <w:color w:val="auto"/>
              </w:rPr>
            </w:pPr>
          </w:p>
        </w:tc>
        <w:tc>
          <w:tcPr>
            <w:tcW w:w="2120" w:type="dxa"/>
            <w:vAlign w:val="bottom"/>
            <w:gridSpan w:val="18"/>
          </w:tcPr>
          <w:p>
            <w:pPr>
              <w:spacing w:after="0"/>
              <w:rPr>
                <w:sz w:val="14"/>
                <w:szCs w:val="14"/>
                <w:color w:val="auto"/>
              </w:rPr>
            </w:pP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600" w:type="dxa"/>
            <w:vAlign w:val="bottom"/>
            <w:tcBorders>
              <w:right w:val="single" w:sz="8" w:color="CCEEFF"/>
            </w:tcBorders>
            <w:gridSpan w:val="25"/>
            <w:shd w:val="clear" w:color="auto" w:fill="CCEEFF"/>
          </w:tcPr>
          <w:p>
            <w:pPr>
              <w:ind w:left="20"/>
              <w:spacing w:after="0" w:line="169" w:lineRule="exact"/>
              <w:rPr>
                <w:sz w:val="20"/>
                <w:szCs w:val="20"/>
                <w:color w:val="auto"/>
              </w:rPr>
            </w:pPr>
            <w:r>
              <w:rPr>
                <w:rFonts w:ascii="Arial" w:cs="Arial" w:eastAsia="Arial" w:hAnsi="Arial"/>
                <w:sz w:val="18"/>
                <w:szCs w:val="18"/>
                <w:color w:val="0000EE"/>
                <w:w w:val="98"/>
              </w:rPr>
              <w:t>Required Vote and Board Recommendations</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500" w:type="dxa"/>
            <w:vAlign w:val="bottom"/>
            <w:tcBorders>
              <w:bottom w:val="single" w:sz="8" w:color="53C072"/>
            </w:tcBorders>
            <w:gridSpan w:val="24"/>
          </w:tcPr>
          <w:p>
            <w:pPr>
              <w:ind w:left="20"/>
              <w:spacing w:after="0"/>
              <w:rPr>
                <w:sz w:val="20"/>
                <w:szCs w:val="20"/>
                <w:color w:val="auto"/>
              </w:rPr>
            </w:pPr>
            <w:r>
              <w:rPr>
                <w:rFonts w:ascii="Arial" w:cs="Arial" w:eastAsia="Arial" w:hAnsi="Arial"/>
                <w:sz w:val="22"/>
                <w:szCs w:val="22"/>
                <w:b w:val="1"/>
                <w:bCs w:val="1"/>
                <w:color w:val="53C072"/>
                <w:w w:val="96"/>
              </w:rPr>
              <w:t>Proposal 1 — Election of Directors</w:t>
            </w:r>
          </w:p>
        </w:tc>
        <w:tc>
          <w:tcPr>
            <w:tcW w:w="380" w:type="dxa"/>
            <w:vAlign w:val="bottom"/>
            <w:gridSpan w:val="3"/>
          </w:tcPr>
          <w:p>
            <w:pPr>
              <w:spacing w:after="0"/>
              <w:rPr>
                <w:sz w:val="20"/>
                <w:szCs w:val="20"/>
                <w:color w:val="auto"/>
              </w:rPr>
            </w:pPr>
            <w:r>
              <w:rPr>
                <w:rFonts w:ascii="Arial" w:cs="Arial" w:eastAsia="Arial" w:hAnsi="Arial"/>
                <w:sz w:val="18"/>
                <w:szCs w:val="18"/>
                <w:color w:val="53C072"/>
              </w:rPr>
              <w:t>​</w:t>
            </w:r>
          </w:p>
        </w:tc>
        <w:tc>
          <w:tcPr>
            <w:tcW w:w="200" w:type="dxa"/>
            <w:vAlign w:val="bottom"/>
          </w:tcPr>
          <w:p>
            <w:pPr>
              <w:ind w:left="80"/>
              <w:spacing w:after="0"/>
              <w:rPr>
                <w:sz w:val="20"/>
                <w:szCs w:val="20"/>
                <w:color w:val="auto"/>
              </w:rPr>
            </w:pPr>
            <w:r>
              <w:rPr>
                <w:rFonts w:ascii="Arial" w:cs="Arial" w:eastAsia="Arial" w:hAnsi="Arial"/>
                <w:sz w:val="22"/>
                <w:szCs w:val="22"/>
                <w:b w:val="1"/>
                <w:bCs w:val="1"/>
                <w:color w:val="auto"/>
              </w:rPr>
              <w:t>​</w:t>
            </w:r>
          </w:p>
        </w:tc>
        <w:tc>
          <w:tcPr>
            <w:tcW w:w="10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8</w:t>
            </w:r>
          </w:p>
        </w:tc>
        <w:tc>
          <w:tcPr>
            <w:tcW w:w="20" w:type="dxa"/>
            <w:vAlign w:val="bottom"/>
            <w:tcBorders>
              <w:bottom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80" w:type="dxa"/>
            <w:vAlign w:val="bottom"/>
            <w:tcBorders>
              <w:bottom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4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2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6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32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3700" w:type="dxa"/>
            <w:vAlign w:val="bottom"/>
            <w:gridSpan w:val="26"/>
            <w:shd w:val="clear" w:color="auto" w:fill="CCEEFF"/>
          </w:tcPr>
          <w:p>
            <w:pPr>
              <w:ind w:left="20"/>
              <w:spacing w:after="0"/>
              <w:rPr>
                <w:sz w:val="20"/>
                <w:szCs w:val="20"/>
                <w:color w:val="auto"/>
              </w:rPr>
            </w:pPr>
            <w:r>
              <w:rPr>
                <w:rFonts w:ascii="Arial" w:cs="Arial" w:eastAsia="Arial" w:hAnsi="Arial"/>
                <w:sz w:val="18"/>
                <w:szCs w:val="18"/>
                <w:color w:val="0000EE"/>
              </w:rPr>
              <w:t>Nominees</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880" w:type="dxa"/>
            <w:vAlign w:val="bottom"/>
            <w:gridSpan w:val="27"/>
          </w:tcPr>
          <w:p>
            <w:pPr>
              <w:ind w:left="20"/>
              <w:spacing w:after="0"/>
              <w:rPr>
                <w:sz w:val="20"/>
                <w:szCs w:val="20"/>
                <w:color w:val="auto"/>
              </w:rPr>
            </w:pPr>
            <w:r>
              <w:rPr>
                <w:rFonts w:ascii="Arial" w:cs="Arial" w:eastAsia="Arial" w:hAnsi="Arial"/>
                <w:sz w:val="22"/>
                <w:szCs w:val="22"/>
                <w:b w:val="1"/>
                <w:bCs w:val="1"/>
                <w:color w:val="53C072"/>
              </w:rPr>
              <w:t>Corporate Governance</w:t>
            </w:r>
            <w:r>
              <w:rPr>
                <w:rFonts w:ascii="Arial" w:cs="Arial" w:eastAsia="Arial" w:hAnsi="Arial"/>
                <w:sz w:val="17"/>
                <w:szCs w:val="17"/>
                <w:color w:val="000000"/>
              </w:rPr>
              <w: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17</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2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26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60" w:type="dxa"/>
            <w:vAlign w:val="bottom"/>
            <w:tcBorders>
              <w:top w:val="single" w:sz="8" w:color="53C072"/>
              <w:bottom w:val="single" w:sz="8" w:color="53C072"/>
            </w:tcBorders>
          </w:tcPr>
          <w:p>
            <w:pPr>
              <w:spacing w:after="0"/>
              <w:rPr>
                <w:sz w:val="2"/>
                <w:szCs w:val="2"/>
                <w:color w:val="auto"/>
              </w:rPr>
            </w:pPr>
          </w:p>
        </w:tc>
        <w:tc>
          <w:tcPr>
            <w:tcW w:w="320" w:type="dxa"/>
            <w:vAlign w:val="bottom"/>
            <w:tcBorders>
              <w:top w:val="single" w:sz="8" w:color="53C072"/>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100" w:type="dxa"/>
            <w:vAlign w:val="bottom"/>
            <w:tcBorders>
              <w:top w:val="single" w:sz="8" w:color="0000EE"/>
              <w:bottom w:val="single" w:sz="8" w:color="53C072"/>
            </w:tcBorders>
          </w:tcPr>
          <w:p>
            <w:pPr>
              <w:spacing w:after="0"/>
              <w:rPr>
                <w:sz w:val="2"/>
                <w:szCs w:val="2"/>
                <w:color w:val="auto"/>
              </w:rPr>
            </w:pPr>
          </w:p>
        </w:tc>
        <w:tc>
          <w:tcPr>
            <w:tcW w:w="1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0000EE"/>
            </w:tcBorders>
            <w:gridSpan w:val="16"/>
            <w:shd w:val="clear" w:color="auto" w:fill="CCEEFF"/>
          </w:tcPr>
          <w:p>
            <w:pPr>
              <w:ind w:left="20"/>
              <w:spacing w:after="0"/>
              <w:rPr>
                <w:sz w:val="20"/>
                <w:szCs w:val="20"/>
                <w:color w:val="auto"/>
              </w:rPr>
            </w:pPr>
            <w:r>
              <w:rPr>
                <w:rFonts w:ascii="Arial" w:cs="Arial" w:eastAsia="Arial" w:hAnsi="Arial"/>
                <w:sz w:val="18"/>
                <w:szCs w:val="18"/>
                <w:color w:val="0000EE"/>
                <w:w w:val="97"/>
              </w:rPr>
              <w:t>Corporate Governance Guidelines</w:t>
            </w:r>
          </w:p>
        </w:tc>
        <w:tc>
          <w:tcPr>
            <w:tcW w:w="1000" w:type="dxa"/>
            <w:vAlign w:val="bottom"/>
            <w:tcBorders>
              <w:bottom w:val="single" w:sz="8" w:color="CCEEFF"/>
            </w:tcBorders>
            <w:gridSpan w:val="10"/>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3700" w:type="dxa"/>
            <w:vAlign w:val="bottom"/>
            <w:gridSpan w:val="26"/>
          </w:tcPr>
          <w:p>
            <w:pPr>
              <w:ind w:left="20"/>
              <w:spacing w:after="0" w:line="169" w:lineRule="exact"/>
              <w:rPr>
                <w:sz w:val="20"/>
                <w:szCs w:val="20"/>
                <w:color w:val="auto"/>
              </w:rPr>
            </w:pPr>
            <w:r>
              <w:rPr>
                <w:rFonts w:ascii="Arial" w:cs="Arial" w:eastAsia="Arial" w:hAnsi="Arial"/>
                <w:sz w:val="18"/>
                <w:szCs w:val="18"/>
                <w:color w:val="0000EE"/>
              </w:rPr>
              <w:t>Director Independence</w:t>
            </w: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w w:val="89"/>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1800" w:type="dxa"/>
            <w:vAlign w:val="bottom"/>
            <w:tcBorders>
              <w:top w:val="single" w:sz="8" w:color="0000EE"/>
              <w:right w:val="single" w:sz="8" w:color="CCEEFF"/>
            </w:tcBorders>
            <w:gridSpan w:val="10"/>
            <w:shd w:val="clear" w:color="auto" w:fill="CCEEFF"/>
          </w:tcPr>
          <w:p>
            <w:pPr>
              <w:ind w:left="20"/>
              <w:spacing w:after="0" w:line="169" w:lineRule="exact"/>
              <w:rPr>
                <w:sz w:val="20"/>
                <w:szCs w:val="20"/>
                <w:color w:val="auto"/>
              </w:rPr>
            </w:pPr>
            <w:r>
              <w:rPr>
                <w:rFonts w:ascii="Arial" w:cs="Arial" w:eastAsia="Arial" w:hAnsi="Arial"/>
                <w:sz w:val="18"/>
                <w:szCs w:val="18"/>
                <w:color w:val="0000EE"/>
                <w:w w:val="98"/>
              </w:rPr>
              <w:t>Board Diversity Matrix</w:t>
            </w:r>
          </w:p>
        </w:tc>
        <w:tc>
          <w:tcPr>
            <w:tcW w:w="1900" w:type="dxa"/>
            <w:vAlign w:val="bottom"/>
            <w:gridSpan w:val="16"/>
            <w:shd w:val="clear" w:color="auto" w:fill="CCEEFF"/>
          </w:tcPr>
          <w:p>
            <w:pPr>
              <w:spacing w:after="0"/>
              <w:rPr>
                <w:sz w:val="14"/>
                <w:szCs w:val="14"/>
                <w:color w:val="auto"/>
              </w:rPr>
            </w:pP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0000EE"/>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320" w:type="dxa"/>
            <w:vAlign w:val="bottom"/>
            <w:tcBorders>
              <w:bottom w:val="single" w:sz="8" w:color="0000EE"/>
            </w:tcBorders>
            <w:gridSpan w:val="13"/>
          </w:tcPr>
          <w:p>
            <w:pPr>
              <w:ind w:left="20"/>
              <w:spacing w:after="0" w:line="169" w:lineRule="exact"/>
              <w:rPr>
                <w:sz w:val="20"/>
                <w:szCs w:val="20"/>
                <w:color w:val="auto"/>
              </w:rPr>
            </w:pPr>
            <w:r>
              <w:rPr>
                <w:rFonts w:ascii="Arial" w:cs="Arial" w:eastAsia="Arial" w:hAnsi="Arial"/>
                <w:sz w:val="18"/>
                <w:szCs w:val="18"/>
                <w:color w:val="0000EE"/>
              </w:rPr>
              <w:t>Board Leadership Structure</w:t>
            </w:r>
          </w:p>
        </w:tc>
        <w:tc>
          <w:tcPr>
            <w:tcW w:w="1380" w:type="dxa"/>
            <w:vAlign w:val="bottom"/>
            <w:gridSpan w:val="13"/>
          </w:tcPr>
          <w:p>
            <w:pPr>
              <w:spacing w:after="0"/>
              <w:rPr>
                <w:sz w:val="14"/>
                <w:szCs w:val="14"/>
                <w:color w:val="auto"/>
              </w:rPr>
            </w:pP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tcPr>
          <w:p>
            <w:pPr>
              <w:jc w:val="right"/>
              <w:spacing w:after="0" w:line="169" w:lineRule="exact"/>
              <w:rPr>
                <w:sz w:val="20"/>
                <w:szCs w:val="20"/>
                <w:color w:val="auto"/>
              </w:rPr>
            </w:pPr>
            <w:r>
              <w:rPr>
                <w:rFonts w:ascii="Arial" w:cs="Arial" w:eastAsia="Arial" w:hAnsi="Arial"/>
                <w:sz w:val="18"/>
                <w:szCs w:val="18"/>
                <w:color w:val="0000EE"/>
                <w:w w:val="89"/>
              </w:rPr>
              <w:t>18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700" w:type="dxa"/>
            <w:vAlign w:val="bottom"/>
            <w:gridSpan w:val="26"/>
            <w:shd w:val="clear" w:color="auto" w:fill="CCEEFF"/>
          </w:tcPr>
          <w:p>
            <w:pPr>
              <w:ind w:left="20"/>
              <w:spacing w:after="0" w:line="169" w:lineRule="exact"/>
              <w:rPr>
                <w:sz w:val="20"/>
                <w:szCs w:val="20"/>
                <w:color w:val="auto"/>
              </w:rPr>
            </w:pPr>
            <w:r>
              <w:rPr>
                <w:rFonts w:ascii="Arial" w:cs="Arial" w:eastAsia="Arial" w:hAnsi="Arial"/>
                <w:sz w:val="18"/>
                <w:szCs w:val="18"/>
                <w:color w:val="0000EE"/>
              </w:rPr>
              <w:t>Executive Sessions</w:t>
            </w: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700" w:type="dxa"/>
            <w:vAlign w:val="bottom"/>
            <w:gridSpan w:val="26"/>
          </w:tcPr>
          <w:p>
            <w:pPr>
              <w:ind w:left="20"/>
              <w:spacing w:after="0" w:line="169" w:lineRule="exact"/>
              <w:rPr>
                <w:sz w:val="20"/>
                <w:szCs w:val="20"/>
                <w:color w:val="auto"/>
              </w:rPr>
            </w:pPr>
            <w:r>
              <w:rPr>
                <w:rFonts w:ascii="Arial" w:cs="Arial" w:eastAsia="Arial" w:hAnsi="Arial"/>
                <w:sz w:val="18"/>
                <w:szCs w:val="18"/>
                <w:color w:val="0000EE"/>
              </w:rPr>
              <w:t>Director Nominations</w:t>
            </w: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w w:val="89"/>
              </w:rPr>
              <w:t>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700" w:type="dxa"/>
            <w:vAlign w:val="bottom"/>
            <w:gridSpan w:val="26"/>
            <w:shd w:val="clear" w:color="auto" w:fill="CCEEFF"/>
          </w:tcPr>
          <w:p>
            <w:pPr>
              <w:ind w:left="20"/>
              <w:spacing w:after="0" w:line="169" w:lineRule="exact"/>
              <w:rPr>
                <w:sz w:val="20"/>
                <w:szCs w:val="20"/>
                <w:color w:val="auto"/>
              </w:rPr>
            </w:pPr>
            <w:r>
              <w:rPr>
                <w:rFonts w:ascii="Arial" w:cs="Arial" w:eastAsia="Arial" w:hAnsi="Arial"/>
                <w:sz w:val="18"/>
                <w:szCs w:val="18"/>
                <w:color w:val="0000EE"/>
              </w:rPr>
              <w:t>Board and Committee Evaluation</w:t>
            </w: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20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700" w:type="dxa"/>
            <w:vAlign w:val="bottom"/>
            <w:gridSpan w:val="26"/>
          </w:tcPr>
          <w:p>
            <w:pPr>
              <w:ind w:left="20"/>
              <w:spacing w:after="0" w:line="169" w:lineRule="exact"/>
              <w:rPr>
                <w:sz w:val="20"/>
                <w:szCs w:val="20"/>
                <w:color w:val="auto"/>
              </w:rPr>
            </w:pPr>
            <w:r>
              <w:rPr>
                <w:rFonts w:ascii="Arial" w:cs="Arial" w:eastAsia="Arial" w:hAnsi="Arial"/>
                <w:sz w:val="18"/>
                <w:szCs w:val="18"/>
                <w:color w:val="0000EE"/>
              </w:rPr>
              <w:t>The Board’s Role in Management Succession</w:t>
            </w: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w w:val="89"/>
              </w:rPr>
              <w:t>21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600" w:type="dxa"/>
            <w:vAlign w:val="bottom"/>
            <w:tcBorders>
              <w:top w:val="single" w:sz="8" w:color="0000EE"/>
              <w:right w:val="single" w:sz="8" w:color="CCEEFF"/>
            </w:tcBorders>
            <w:gridSpan w:val="25"/>
            <w:shd w:val="clear" w:color="auto" w:fill="CCEEFF"/>
          </w:tcPr>
          <w:p>
            <w:pPr>
              <w:ind w:left="20"/>
              <w:spacing w:after="0" w:line="169" w:lineRule="exact"/>
              <w:rPr>
                <w:sz w:val="20"/>
                <w:szCs w:val="20"/>
                <w:color w:val="auto"/>
              </w:rPr>
            </w:pPr>
            <w:r>
              <w:rPr>
                <w:rFonts w:ascii="Arial" w:cs="Arial" w:eastAsia="Arial" w:hAnsi="Arial"/>
                <w:sz w:val="18"/>
                <w:szCs w:val="18"/>
                <w:color w:val="0000EE"/>
              </w:rPr>
              <w:t>The Board’s Role in Risk Oversight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0000EE"/>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700" w:type="dxa"/>
            <w:vAlign w:val="bottom"/>
            <w:gridSpan w:val="26"/>
          </w:tcPr>
          <w:p>
            <w:pPr>
              <w:ind w:left="20"/>
              <w:spacing w:after="0" w:line="169" w:lineRule="exact"/>
              <w:rPr>
                <w:sz w:val="20"/>
                <w:szCs w:val="20"/>
                <w:color w:val="auto"/>
              </w:rPr>
            </w:pPr>
            <w:r>
              <w:rPr>
                <w:rFonts w:ascii="Arial" w:cs="Arial" w:eastAsia="Arial" w:hAnsi="Arial"/>
                <w:sz w:val="18"/>
                <w:szCs w:val="18"/>
                <w:color w:val="0000EE"/>
              </w:rPr>
              <w:t>Environmental, Social and Governance</w:t>
            </w: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w w:val="89"/>
              </w:rPr>
              <w:t>21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Borders>
              <w:bottom w:val="single" w:sz="8" w:color="CCEEFF"/>
            </w:tcBorders>
            <w:shd w:val="clear" w:color="auto" w:fill="CCEEFF"/>
          </w:tcPr>
          <w:p>
            <w:pPr>
              <w:spacing w:after="0"/>
              <w:rPr>
                <w:sz w:val="14"/>
                <w:szCs w:val="14"/>
                <w:color w:val="auto"/>
              </w:rPr>
            </w:pPr>
          </w:p>
        </w:tc>
        <w:tc>
          <w:tcPr>
            <w:tcW w:w="3080" w:type="dxa"/>
            <w:vAlign w:val="bottom"/>
            <w:tcBorders>
              <w:top w:val="single" w:sz="8" w:color="0000EE"/>
              <w:bottom w:val="single" w:sz="8" w:color="0000EE"/>
            </w:tcBorders>
            <w:gridSpan w:val="21"/>
            <w:shd w:val="clear" w:color="auto" w:fill="CCEEFF"/>
          </w:tcPr>
          <w:p>
            <w:pPr>
              <w:ind w:left="20"/>
              <w:spacing w:after="0" w:line="169" w:lineRule="exact"/>
              <w:rPr>
                <w:sz w:val="20"/>
                <w:szCs w:val="20"/>
                <w:color w:val="auto"/>
              </w:rPr>
            </w:pPr>
            <w:r>
              <w:rPr>
                <w:rFonts w:ascii="Arial" w:cs="Arial" w:eastAsia="Arial" w:hAnsi="Arial"/>
                <w:sz w:val="18"/>
                <w:szCs w:val="18"/>
                <w:color w:val="0000EE"/>
                <w:w w:val="97"/>
              </w:rPr>
              <w:t>ESG Governance and Board Oversight</w:t>
            </w:r>
          </w:p>
        </w:tc>
        <w:tc>
          <w:tcPr>
            <w:tcW w:w="620" w:type="dxa"/>
            <w:vAlign w:val="bottom"/>
            <w:tcBorders>
              <w:bottom w:val="single" w:sz="8" w:color="CCEEFF"/>
            </w:tcBorders>
            <w:gridSpan w:val="5"/>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0000EE"/>
              <w:bottom w:val="single" w:sz="8" w:color="0000EE"/>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3220" w:type="dxa"/>
            <w:vAlign w:val="bottom"/>
            <w:tcBorders>
              <w:bottom w:val="single" w:sz="8" w:color="0000EE"/>
            </w:tcBorders>
            <w:gridSpan w:val="22"/>
          </w:tcPr>
          <w:p>
            <w:pPr>
              <w:ind w:left="20"/>
              <w:spacing w:after="0" w:line="169" w:lineRule="exact"/>
              <w:rPr>
                <w:sz w:val="20"/>
                <w:szCs w:val="20"/>
                <w:color w:val="auto"/>
              </w:rPr>
            </w:pPr>
            <w:r>
              <w:rPr>
                <w:rFonts w:ascii="Arial" w:cs="Arial" w:eastAsia="Arial" w:hAnsi="Arial"/>
                <w:sz w:val="18"/>
                <w:szCs w:val="18"/>
                <w:color w:val="0000EE"/>
                <w:w w:val="97"/>
              </w:rPr>
              <w:t>Compensation Committee Interlocks and</w:t>
            </w:r>
          </w:p>
        </w:tc>
        <w:tc>
          <w:tcPr>
            <w:tcW w:w="480" w:type="dxa"/>
            <w:vAlign w:val="bottom"/>
            <w:gridSpan w:val="4"/>
          </w:tcPr>
          <w:p>
            <w:pPr>
              <w:spacing w:after="0"/>
              <w:rPr>
                <w:sz w:val="14"/>
                <w:szCs w:val="14"/>
                <w:color w:val="auto"/>
              </w:rPr>
            </w:pP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EE"/>
                <w:w w:val="89"/>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700" w:type="dxa"/>
            <w:vAlign w:val="bottom"/>
            <w:gridSpan w:val="26"/>
          </w:tcPr>
          <w:p>
            <w:pPr>
              <w:ind w:left="180"/>
              <w:spacing w:after="0" w:line="196" w:lineRule="exact"/>
              <w:rPr>
                <w:sz w:val="20"/>
                <w:szCs w:val="20"/>
                <w:color w:val="auto"/>
              </w:rPr>
            </w:pPr>
            <w:r>
              <w:rPr>
                <w:rFonts w:ascii="Arial" w:cs="Arial" w:eastAsia="Arial" w:hAnsi="Arial"/>
                <w:sz w:val="18"/>
                <w:szCs w:val="18"/>
                <w:color w:val="0000EE"/>
              </w:rPr>
              <w:t>Insider Participation</w:t>
            </w:r>
          </w:p>
        </w:tc>
        <w:tc>
          <w:tcPr>
            <w:tcW w:w="200" w:type="dxa"/>
            <w:vAlign w:val="bottom"/>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3700" w:type="dxa"/>
            <w:vAlign w:val="bottom"/>
            <w:gridSpan w:val="26"/>
            <w:shd w:val="clear" w:color="auto" w:fill="CCEEFF"/>
          </w:tcPr>
          <w:p>
            <w:pPr>
              <w:ind w:left="20"/>
              <w:spacing w:after="0" w:line="176" w:lineRule="exact"/>
              <w:rPr>
                <w:sz w:val="20"/>
                <w:szCs w:val="20"/>
                <w:color w:val="auto"/>
              </w:rPr>
            </w:pPr>
            <w:r>
              <w:rPr>
                <w:rFonts w:ascii="Arial" w:cs="Arial" w:eastAsia="Arial" w:hAnsi="Arial"/>
                <w:sz w:val="18"/>
                <w:szCs w:val="18"/>
                <w:color w:val="0000EE"/>
              </w:rPr>
              <w:t>Code of Conduct</w:t>
            </w:r>
          </w:p>
        </w:tc>
        <w:tc>
          <w:tcPr>
            <w:tcW w:w="2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w w:val="89"/>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940" w:type="dxa"/>
            <w:vAlign w:val="bottom"/>
            <w:tcBorders>
              <w:bottom w:val="single" w:sz="8" w:color="0000EE"/>
            </w:tcBorders>
            <w:gridSpan w:val="19"/>
          </w:tcPr>
          <w:p>
            <w:pPr>
              <w:ind w:left="20"/>
              <w:spacing w:after="0" w:line="169" w:lineRule="exact"/>
              <w:rPr>
                <w:sz w:val="20"/>
                <w:szCs w:val="20"/>
                <w:color w:val="auto"/>
              </w:rPr>
            </w:pPr>
            <w:r>
              <w:rPr>
                <w:rFonts w:ascii="Arial" w:cs="Arial" w:eastAsia="Arial" w:hAnsi="Arial"/>
                <w:sz w:val="18"/>
                <w:szCs w:val="18"/>
                <w:color w:val="0000EE"/>
                <w:w w:val="98"/>
              </w:rPr>
              <w:t>Policy Against Pledging and Hedging</w:t>
            </w:r>
          </w:p>
        </w:tc>
        <w:tc>
          <w:tcPr>
            <w:tcW w:w="760" w:type="dxa"/>
            <w:vAlign w:val="bottom"/>
            <w:gridSpan w:val="7"/>
          </w:tcPr>
          <w:p>
            <w:pPr>
              <w:spacing w:after="0"/>
              <w:rPr>
                <w:sz w:val="14"/>
                <w:szCs w:val="14"/>
                <w:color w:val="auto"/>
              </w:rPr>
            </w:pP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tcPr>
          <w:p>
            <w:pPr>
              <w:jc w:val="right"/>
              <w:spacing w:after="0" w:line="169" w:lineRule="exact"/>
              <w:rPr>
                <w:sz w:val="20"/>
                <w:szCs w:val="20"/>
                <w:color w:val="auto"/>
              </w:rPr>
            </w:pPr>
            <w:r>
              <w:rPr>
                <w:rFonts w:ascii="Arial" w:cs="Arial" w:eastAsia="Arial" w:hAnsi="Arial"/>
                <w:sz w:val="18"/>
                <w:szCs w:val="18"/>
                <w:color w:val="0000EE"/>
                <w:w w:val="89"/>
              </w:rPr>
              <w:t>22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700" w:type="dxa"/>
            <w:vAlign w:val="bottom"/>
            <w:gridSpan w:val="26"/>
            <w:shd w:val="clear" w:color="auto" w:fill="CCEEFF"/>
          </w:tcPr>
          <w:p>
            <w:pPr>
              <w:ind w:left="20"/>
              <w:spacing w:after="0" w:line="169" w:lineRule="exact"/>
              <w:rPr>
                <w:sz w:val="20"/>
                <w:szCs w:val="20"/>
                <w:color w:val="auto"/>
              </w:rPr>
            </w:pPr>
            <w:r>
              <w:rPr>
                <w:rFonts w:ascii="Arial" w:cs="Arial" w:eastAsia="Arial" w:hAnsi="Arial"/>
                <w:sz w:val="18"/>
                <w:szCs w:val="18"/>
                <w:color w:val="0000EE"/>
              </w:rPr>
              <w:t>Reporting Ethical Concerns</w:t>
            </w: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320" w:type="dxa"/>
            <w:vAlign w:val="bottom"/>
            <w:tcBorders>
              <w:bottom w:val="single" w:sz="8" w:color="0000EE"/>
            </w:tcBorders>
            <w:gridSpan w:val="13"/>
          </w:tcPr>
          <w:p>
            <w:pPr>
              <w:ind w:left="20"/>
              <w:spacing w:after="0" w:line="169" w:lineRule="exact"/>
              <w:rPr>
                <w:sz w:val="20"/>
                <w:szCs w:val="20"/>
                <w:color w:val="auto"/>
              </w:rPr>
            </w:pPr>
            <w:r>
              <w:rPr>
                <w:rFonts w:ascii="Arial" w:cs="Arial" w:eastAsia="Arial" w:hAnsi="Arial"/>
                <w:sz w:val="18"/>
                <w:szCs w:val="18"/>
                <w:color w:val="0000EE"/>
                <w:w w:val="99"/>
              </w:rPr>
              <w:t>Stock Ownership Guidelines</w:t>
            </w:r>
          </w:p>
        </w:tc>
        <w:tc>
          <w:tcPr>
            <w:tcW w:w="1380" w:type="dxa"/>
            <w:vAlign w:val="bottom"/>
            <w:gridSpan w:val="13"/>
          </w:tcPr>
          <w:p>
            <w:pPr>
              <w:spacing w:after="0"/>
              <w:rPr>
                <w:sz w:val="14"/>
                <w:szCs w:val="14"/>
                <w:color w:val="auto"/>
              </w:rPr>
            </w:pP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tcPr>
          <w:p>
            <w:pPr>
              <w:jc w:val="right"/>
              <w:spacing w:after="0" w:line="169" w:lineRule="exact"/>
              <w:rPr>
                <w:sz w:val="20"/>
                <w:szCs w:val="20"/>
                <w:color w:val="auto"/>
              </w:rPr>
            </w:pPr>
            <w:r>
              <w:rPr>
                <w:rFonts w:ascii="Arial" w:cs="Arial" w:eastAsia="Arial" w:hAnsi="Arial"/>
                <w:sz w:val="18"/>
                <w:szCs w:val="18"/>
                <w:color w:val="0000EE"/>
                <w:w w:val="89"/>
              </w:rPr>
              <w:t>23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0000EE"/>
            </w:tcBorders>
            <w:gridSpan w:val="11"/>
            <w:shd w:val="clear" w:color="auto" w:fill="CCEEFF"/>
          </w:tcPr>
          <w:p>
            <w:pPr>
              <w:ind w:left="20"/>
              <w:spacing w:after="0" w:line="169" w:lineRule="exact"/>
              <w:rPr>
                <w:sz w:val="20"/>
                <w:szCs w:val="20"/>
                <w:color w:val="auto"/>
              </w:rPr>
            </w:pPr>
            <w:r>
              <w:rPr>
                <w:rFonts w:ascii="Arial" w:cs="Arial" w:eastAsia="Arial" w:hAnsi="Arial"/>
                <w:sz w:val="18"/>
                <w:szCs w:val="18"/>
                <w:color w:val="0000EE"/>
                <w:w w:val="96"/>
              </w:rPr>
              <w:t>The Company’s Website</w:t>
            </w:r>
          </w:p>
        </w:tc>
        <w:tc>
          <w:tcPr>
            <w:tcW w:w="1760" w:type="dxa"/>
            <w:vAlign w:val="bottom"/>
            <w:tcBorders>
              <w:bottom w:val="single" w:sz="8" w:color="CCEEFF"/>
            </w:tcBorders>
            <w:gridSpan w:val="15"/>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2000" w:type="dxa"/>
            <w:vAlign w:val="bottom"/>
            <w:tcBorders>
              <w:bottom w:val="single" w:sz="8" w:color="0000EE"/>
            </w:tcBorders>
            <w:gridSpan w:val="12"/>
          </w:tcPr>
          <w:p>
            <w:pPr>
              <w:ind w:left="20"/>
              <w:spacing w:after="0" w:line="169" w:lineRule="exact"/>
              <w:rPr>
                <w:sz w:val="20"/>
                <w:szCs w:val="20"/>
                <w:color w:val="auto"/>
              </w:rPr>
            </w:pPr>
            <w:r>
              <w:rPr>
                <w:rFonts w:ascii="Arial" w:cs="Arial" w:eastAsia="Arial" w:hAnsi="Arial"/>
                <w:sz w:val="18"/>
                <w:szCs w:val="18"/>
                <w:color w:val="0000EE"/>
                <w:w w:val="96"/>
              </w:rPr>
              <w:t>Director Communications</w:t>
            </w:r>
          </w:p>
        </w:tc>
        <w:tc>
          <w:tcPr>
            <w:tcW w:w="1700" w:type="dxa"/>
            <w:vAlign w:val="bottom"/>
            <w:gridSpan w:val="14"/>
          </w:tcPr>
          <w:p>
            <w:pPr>
              <w:spacing w:after="0"/>
              <w:rPr>
                <w:sz w:val="14"/>
                <w:szCs w:val="14"/>
                <w:color w:val="auto"/>
              </w:rPr>
            </w:pP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tcPr>
          <w:p>
            <w:pPr>
              <w:jc w:val="right"/>
              <w:spacing w:after="0" w:line="169" w:lineRule="exact"/>
              <w:rPr>
                <w:sz w:val="20"/>
                <w:szCs w:val="20"/>
                <w:color w:val="auto"/>
              </w:rPr>
            </w:pPr>
            <w:r>
              <w:rPr>
                <w:rFonts w:ascii="Arial" w:cs="Arial" w:eastAsia="Arial" w:hAnsi="Arial"/>
                <w:sz w:val="18"/>
                <w:szCs w:val="18"/>
                <w:color w:val="0000EE"/>
                <w:w w:val="89"/>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3100" w:type="dxa"/>
            <w:vAlign w:val="bottom"/>
            <w:tcBorders>
              <w:bottom w:val="single" w:sz="8" w:color="53C072"/>
            </w:tcBorders>
            <w:gridSpan w:val="19"/>
            <w:shd w:val="clear" w:color="auto" w:fill="CCEEFF"/>
          </w:tcPr>
          <w:p>
            <w:pPr>
              <w:ind w:left="20"/>
              <w:spacing w:after="0"/>
              <w:rPr>
                <w:sz w:val="20"/>
                <w:szCs w:val="20"/>
                <w:color w:val="auto"/>
              </w:rPr>
            </w:pPr>
            <w:r>
              <w:rPr>
                <w:rFonts w:ascii="Arial" w:cs="Arial" w:eastAsia="Arial" w:hAnsi="Arial"/>
                <w:sz w:val="22"/>
                <w:szCs w:val="22"/>
                <w:b w:val="1"/>
                <w:bCs w:val="1"/>
                <w:color w:val="53C072"/>
                <w:w w:val="97"/>
              </w:rPr>
              <w:t>The Board of Directors and its</w:t>
            </w:r>
          </w:p>
        </w:tc>
        <w:tc>
          <w:tcPr>
            <w:tcW w:w="780" w:type="dxa"/>
            <w:vAlign w:val="bottom"/>
            <w:tcBorders>
              <w:bottom w:val="single" w:sz="8" w:color="CCEEFF"/>
            </w:tcBorders>
            <w:gridSpan w:val="8"/>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80" w:type="dxa"/>
            <w:vAlign w:val="bottom"/>
            <w:tcBorders>
              <w:bottom w:val="single" w:sz="8" w:color="CCEEFF"/>
            </w:tcBorders>
            <w:shd w:val="clear" w:color="auto" w:fill="CCEEFF"/>
          </w:tcPr>
          <w:p>
            <w:pPr>
              <w:spacing w:after="0"/>
              <w:rPr>
                <w:sz w:val="24"/>
                <w:szCs w:val="24"/>
                <w:color w:val="auto"/>
              </w:rPr>
            </w:pPr>
          </w:p>
        </w:tc>
        <w:tc>
          <w:tcPr>
            <w:tcW w:w="3700" w:type="dxa"/>
            <w:vAlign w:val="bottom"/>
            <w:tcBorders>
              <w:bottom w:val="single" w:sz="8" w:color="CCEEFF"/>
            </w:tcBorders>
            <w:gridSpan w:val="26"/>
            <w:shd w:val="clear" w:color="auto" w:fill="CCEEFF"/>
          </w:tcPr>
          <w:p>
            <w:pPr>
              <w:ind w:left="20"/>
              <w:spacing w:after="0" w:line="209" w:lineRule="exact"/>
              <w:rPr>
                <w:sz w:val="20"/>
                <w:szCs w:val="20"/>
                <w:color w:val="auto"/>
              </w:rPr>
            </w:pPr>
            <w:r>
              <w:rPr>
                <w:rFonts w:ascii="Arial" w:cs="Arial" w:eastAsia="Arial" w:hAnsi="Arial"/>
                <w:sz w:val="22"/>
                <w:szCs w:val="22"/>
                <w:b w:val="1"/>
                <w:bCs w:val="1"/>
                <w:color w:val="53C072"/>
              </w:rPr>
              <w:t>Committees</w:t>
            </w:r>
          </w:p>
        </w:tc>
        <w:tc>
          <w:tcPr>
            <w:tcW w:w="200" w:type="dxa"/>
            <w:vAlign w:val="bottom"/>
            <w:tcBorders>
              <w:bottom w:val="single" w:sz="8" w:color="CCEEFF"/>
            </w:tcBorders>
            <w:shd w:val="clear" w:color="auto" w:fill="CCEEFF"/>
          </w:tcPr>
          <w:p>
            <w:pPr>
              <w:ind w:left="80"/>
              <w:spacing w:after="0" w:line="209" w:lineRule="exact"/>
              <w:rPr>
                <w:sz w:val="20"/>
                <w:szCs w:val="20"/>
                <w:color w:val="auto"/>
              </w:rPr>
            </w:pPr>
            <w:r>
              <w:rPr>
                <w:rFonts w:ascii="Arial" w:cs="Arial" w:eastAsia="Arial" w:hAnsi="Arial"/>
                <w:sz w:val="22"/>
                <w:szCs w:val="22"/>
                <w:color w:val="auto"/>
              </w:rPr>
              <w:t>​</w:t>
            </w: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80" w:type="dxa"/>
            <w:vAlign w:val="bottom"/>
            <w:tcBorders>
              <w:top w:val="single" w:sz="8" w:color="53C072"/>
            </w:tcBorders>
          </w:tcPr>
          <w:p>
            <w:pPr>
              <w:spacing w:after="0"/>
              <w:rPr>
                <w:sz w:val="17"/>
                <w:szCs w:val="17"/>
                <w:color w:val="auto"/>
              </w:rPr>
            </w:pPr>
          </w:p>
        </w:tc>
        <w:tc>
          <w:tcPr>
            <w:tcW w:w="3700" w:type="dxa"/>
            <w:vAlign w:val="bottom"/>
            <w:tcBorders>
              <w:top w:val="single" w:sz="8" w:color="53C072"/>
            </w:tcBorders>
            <w:gridSpan w:val="26"/>
          </w:tcPr>
          <w:p>
            <w:pPr>
              <w:ind w:left="20"/>
              <w:spacing w:after="0" w:line="197" w:lineRule="exact"/>
              <w:rPr>
                <w:sz w:val="20"/>
                <w:szCs w:val="20"/>
                <w:color w:val="auto"/>
              </w:rPr>
            </w:pPr>
            <w:r>
              <w:rPr>
                <w:rFonts w:ascii="Arial" w:cs="Arial" w:eastAsia="Arial" w:hAnsi="Arial"/>
                <w:sz w:val="18"/>
                <w:szCs w:val="18"/>
                <w:color w:val="0000EE"/>
              </w:rPr>
              <w:t>Audit Committee</w:t>
            </w:r>
          </w:p>
        </w:tc>
        <w:tc>
          <w:tcPr>
            <w:tcW w:w="200" w:type="dxa"/>
            <w:vAlign w:val="bottom"/>
            <w:tcBorders>
              <w:top w:val="single" w:sz="8" w:color="53C072"/>
            </w:tcBorders>
          </w:tcPr>
          <w:p>
            <w:pPr>
              <w:ind w:left="80"/>
              <w:spacing w:after="0" w:line="197"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53C072"/>
            </w:tcBorders>
            <w:gridSpan w:val="2"/>
          </w:tcPr>
          <w:p>
            <w:pPr>
              <w:jc w:val="right"/>
              <w:spacing w:after="0" w:line="197" w:lineRule="exact"/>
              <w:rPr>
                <w:sz w:val="20"/>
                <w:szCs w:val="20"/>
                <w:color w:val="auto"/>
              </w:rPr>
            </w:pPr>
            <w:r>
              <w:rPr>
                <w:rFonts w:ascii="Arial" w:cs="Arial" w:eastAsia="Arial" w:hAnsi="Arial"/>
                <w:sz w:val="18"/>
                <w:szCs w:val="18"/>
                <w:color w:val="0000EE"/>
                <w:w w:val="89"/>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Borders>
              <w:bottom w:val="single" w:sz="8" w:color="CCEEFF"/>
            </w:tcBorders>
            <w:shd w:val="clear" w:color="auto" w:fill="CCEEFF"/>
          </w:tcPr>
          <w:p>
            <w:pPr>
              <w:spacing w:after="0"/>
              <w:rPr>
                <w:sz w:val="14"/>
                <w:szCs w:val="14"/>
                <w:color w:val="auto"/>
              </w:rPr>
            </w:pPr>
          </w:p>
        </w:tc>
        <w:tc>
          <w:tcPr>
            <w:tcW w:w="3600" w:type="dxa"/>
            <w:vAlign w:val="bottom"/>
            <w:tcBorders>
              <w:bottom w:val="single" w:sz="8" w:color="0000EE"/>
              <w:right w:val="single" w:sz="8" w:color="CCEEFF"/>
            </w:tcBorders>
            <w:gridSpan w:val="25"/>
            <w:shd w:val="clear" w:color="auto" w:fill="CCEEFF"/>
          </w:tcPr>
          <w:p>
            <w:pPr>
              <w:ind w:left="20"/>
              <w:spacing w:after="0" w:line="169" w:lineRule="exact"/>
              <w:rPr>
                <w:sz w:val="20"/>
                <w:szCs w:val="20"/>
                <w:color w:val="auto"/>
              </w:rPr>
            </w:pPr>
            <w:r>
              <w:rPr>
                <w:rFonts w:ascii="Arial" w:cs="Arial" w:eastAsia="Arial" w:hAnsi="Arial"/>
                <w:sz w:val="18"/>
                <w:szCs w:val="18"/>
                <w:color w:val="0000EE"/>
                <w:w w:val="99"/>
              </w:rPr>
              <w:t>Compensation and Leadership Development</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w w:val="89"/>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520" w:type="dxa"/>
            <w:vAlign w:val="bottom"/>
            <w:gridSpan w:val="25"/>
            <w:shd w:val="clear" w:color="auto" w:fill="CCEEFF"/>
          </w:tcPr>
          <w:p>
            <w:pPr>
              <w:spacing w:after="0" w:line="196" w:lineRule="exact"/>
              <w:rPr>
                <w:sz w:val="20"/>
                <w:szCs w:val="20"/>
                <w:color w:val="auto"/>
              </w:rPr>
            </w:pPr>
            <w:r>
              <w:rPr>
                <w:rFonts w:ascii="Arial" w:cs="Arial" w:eastAsia="Arial" w:hAnsi="Arial"/>
                <w:sz w:val="18"/>
                <w:szCs w:val="18"/>
                <w:color w:val="0000EE"/>
              </w:rPr>
              <w:t>Committee</w:t>
            </w:r>
          </w:p>
        </w:tc>
        <w:tc>
          <w:tcPr>
            <w:tcW w:w="20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3700" w:type="dxa"/>
            <w:vAlign w:val="bottom"/>
            <w:gridSpan w:val="26"/>
          </w:tcPr>
          <w:p>
            <w:pPr>
              <w:ind w:left="20"/>
              <w:spacing w:after="0" w:line="176" w:lineRule="exact"/>
              <w:rPr>
                <w:sz w:val="20"/>
                <w:szCs w:val="20"/>
                <w:color w:val="auto"/>
              </w:rPr>
            </w:pPr>
            <w:r>
              <w:rPr>
                <w:rFonts w:ascii="Arial" w:cs="Arial" w:eastAsia="Arial" w:hAnsi="Arial"/>
                <w:sz w:val="18"/>
                <w:szCs w:val="18"/>
                <w:color w:val="0000EE"/>
              </w:rPr>
              <w:t>Corporate Governance Committee</w:t>
            </w:r>
          </w:p>
        </w:tc>
        <w:tc>
          <w:tcPr>
            <w:tcW w:w="20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0000EE"/>
                <w:w w:val="89"/>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2760" w:type="dxa"/>
            <w:vAlign w:val="bottom"/>
            <w:tcBorders>
              <w:top w:val="single" w:sz="8" w:color="0000EE"/>
              <w:right w:val="single" w:sz="8" w:color="CCEEFF"/>
            </w:tcBorders>
            <w:gridSpan w:val="17"/>
            <w:shd w:val="clear" w:color="auto" w:fill="CCEEFF"/>
          </w:tcPr>
          <w:p>
            <w:pPr>
              <w:ind w:left="20"/>
              <w:spacing w:after="0" w:line="169" w:lineRule="exact"/>
              <w:rPr>
                <w:sz w:val="20"/>
                <w:szCs w:val="20"/>
                <w:color w:val="auto"/>
              </w:rPr>
            </w:pPr>
            <w:r>
              <w:rPr>
                <w:rFonts w:ascii="Arial" w:cs="Arial" w:eastAsia="Arial" w:hAnsi="Arial"/>
                <w:sz w:val="18"/>
                <w:szCs w:val="18"/>
                <w:color w:val="0000EE"/>
              </w:rPr>
              <w:t>Finance Committee</w:t>
            </w:r>
          </w:p>
        </w:tc>
        <w:tc>
          <w:tcPr>
            <w:tcW w:w="940" w:type="dxa"/>
            <w:vAlign w:val="bottom"/>
            <w:gridSpan w:val="9"/>
            <w:shd w:val="clear" w:color="auto" w:fill="CCEEFF"/>
          </w:tcPr>
          <w:p>
            <w:pPr>
              <w:spacing w:after="0"/>
              <w:rPr>
                <w:sz w:val="14"/>
                <w:szCs w:val="14"/>
                <w:color w:val="auto"/>
              </w:rPr>
            </w:pPr>
          </w:p>
        </w:tc>
        <w:tc>
          <w:tcPr>
            <w:tcW w:w="20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0000EE"/>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700" w:type="dxa"/>
            <w:vAlign w:val="bottom"/>
            <w:gridSpan w:val="26"/>
          </w:tcPr>
          <w:p>
            <w:pPr>
              <w:ind w:left="20"/>
              <w:spacing w:after="0" w:line="169" w:lineRule="exact"/>
              <w:rPr>
                <w:sz w:val="20"/>
                <w:szCs w:val="20"/>
                <w:color w:val="auto"/>
              </w:rPr>
            </w:pPr>
            <w:r>
              <w:rPr>
                <w:rFonts w:ascii="Arial" w:cs="Arial" w:eastAsia="Arial" w:hAnsi="Arial"/>
                <w:sz w:val="18"/>
                <w:szCs w:val="18"/>
                <w:color w:val="0000EE"/>
              </w:rPr>
              <w:t>Executive Committee</w:t>
            </w: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w w:val="89"/>
              </w:rPr>
              <w:t>29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880" w:type="dxa"/>
            <w:vAlign w:val="bottom"/>
            <w:tcBorders>
              <w:bottom w:val="single" w:sz="8" w:color="53C072"/>
            </w:tcBorders>
            <w:gridSpan w:val="27"/>
            <w:shd w:val="clear" w:color="auto" w:fill="CCEEFF"/>
          </w:tcPr>
          <w:p>
            <w:pPr>
              <w:ind w:left="20"/>
              <w:spacing w:after="0"/>
              <w:rPr>
                <w:sz w:val="20"/>
                <w:szCs w:val="20"/>
                <w:color w:val="auto"/>
              </w:rPr>
            </w:pPr>
            <w:r>
              <w:rPr>
                <w:rFonts w:ascii="Arial" w:cs="Arial" w:eastAsia="Arial" w:hAnsi="Arial"/>
                <w:sz w:val="22"/>
                <w:szCs w:val="22"/>
                <w:b w:val="1"/>
                <w:bCs w:val="1"/>
                <w:color w:val="53C072"/>
              </w:rPr>
              <w:t>Director Compensation</w:t>
            </w:r>
            <w:r>
              <w:rPr>
                <w:rFonts w:ascii="Arial" w:cs="Arial" w:eastAsia="Arial" w:hAnsi="Arial"/>
                <w:sz w:val="17"/>
                <w:szCs w:val="17"/>
                <w:color w:val="000000"/>
              </w:rPr>
              <w:t>​</w:t>
            </w:r>
          </w:p>
        </w:tc>
        <w:tc>
          <w:tcPr>
            <w:tcW w:w="200" w:type="dxa"/>
            <w:vAlign w:val="bottom"/>
            <w:tcBorders>
              <w:bottom w:val="single" w:sz="8" w:color="53C072"/>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000" w:type="dxa"/>
            <w:vAlign w:val="bottom"/>
            <w:tcBorders>
              <w:bottom w:val="single" w:sz="8" w:color="0000EE"/>
            </w:tcBorders>
            <w:gridSpan w:val="20"/>
          </w:tcPr>
          <w:p>
            <w:pPr>
              <w:ind w:left="20"/>
              <w:spacing w:after="0" w:line="182" w:lineRule="exact"/>
              <w:rPr>
                <w:sz w:val="20"/>
                <w:szCs w:val="20"/>
                <w:color w:val="auto"/>
              </w:rPr>
            </w:pPr>
            <w:r>
              <w:rPr>
                <w:rFonts w:ascii="Arial" w:cs="Arial" w:eastAsia="Arial" w:hAnsi="Arial"/>
                <w:sz w:val="18"/>
                <w:szCs w:val="18"/>
                <w:color w:val="0000EE"/>
                <w:w w:val="97"/>
              </w:rPr>
              <w:t>Process for Reviewing Non-Employee</w:t>
            </w:r>
          </w:p>
        </w:tc>
        <w:tc>
          <w:tcPr>
            <w:tcW w:w="700" w:type="dxa"/>
            <w:vAlign w:val="bottom"/>
            <w:gridSpan w:val="6"/>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EE"/>
                <w:w w:val="89"/>
              </w:rPr>
              <w:t>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700" w:type="dxa"/>
            <w:vAlign w:val="bottom"/>
            <w:gridSpan w:val="26"/>
          </w:tcPr>
          <w:p>
            <w:pPr>
              <w:ind w:left="180"/>
              <w:spacing w:after="0" w:line="196" w:lineRule="exact"/>
              <w:rPr>
                <w:sz w:val="20"/>
                <w:szCs w:val="20"/>
                <w:color w:val="auto"/>
              </w:rPr>
            </w:pPr>
            <w:r>
              <w:rPr>
                <w:rFonts w:ascii="Arial" w:cs="Arial" w:eastAsia="Arial" w:hAnsi="Arial"/>
                <w:sz w:val="18"/>
                <w:szCs w:val="18"/>
                <w:color w:val="0000EE"/>
              </w:rPr>
              <w:t>Director Compensation</w:t>
            </w:r>
          </w:p>
        </w:tc>
        <w:tc>
          <w:tcPr>
            <w:tcW w:w="200" w:type="dxa"/>
            <w:vAlign w:val="bottom"/>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2320" w:type="dxa"/>
            <w:vAlign w:val="bottom"/>
            <w:tcBorders>
              <w:bottom w:val="single" w:sz="8" w:color="0000EE"/>
              <w:right w:val="single" w:sz="8" w:color="CCEEFF"/>
            </w:tcBorders>
            <w:gridSpan w:val="13"/>
            <w:shd w:val="clear" w:color="auto" w:fill="CCEEFF"/>
          </w:tcPr>
          <w:p>
            <w:pPr>
              <w:ind w:left="20"/>
              <w:spacing w:after="0" w:line="176" w:lineRule="exact"/>
              <w:rPr>
                <w:sz w:val="20"/>
                <w:szCs w:val="20"/>
                <w:color w:val="auto"/>
              </w:rPr>
            </w:pPr>
            <w:r>
              <w:rPr>
                <w:rFonts w:ascii="Arial" w:cs="Arial" w:eastAsia="Arial" w:hAnsi="Arial"/>
                <w:sz w:val="18"/>
                <w:szCs w:val="18"/>
                <w:color w:val="0000EE"/>
                <w:w w:val="97"/>
              </w:rPr>
              <w:t>Deferred Compensation Plan</w:t>
            </w:r>
          </w:p>
        </w:tc>
        <w:tc>
          <w:tcPr>
            <w:tcW w:w="1380" w:type="dxa"/>
            <w:vAlign w:val="bottom"/>
            <w:tcBorders>
              <w:bottom w:val="single" w:sz="8" w:color="CCEEFF"/>
            </w:tcBorders>
            <w:gridSpan w:val="13"/>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w w:val="89"/>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3700" w:type="dxa"/>
            <w:vAlign w:val="bottom"/>
            <w:gridSpan w:val="26"/>
          </w:tcPr>
          <w:p>
            <w:pPr>
              <w:ind w:left="20"/>
              <w:spacing w:after="0" w:line="169" w:lineRule="exact"/>
              <w:rPr>
                <w:sz w:val="20"/>
                <w:szCs w:val="20"/>
                <w:color w:val="auto"/>
              </w:rPr>
            </w:pPr>
            <w:r>
              <w:rPr>
                <w:rFonts w:ascii="Arial" w:cs="Arial" w:eastAsia="Arial" w:hAnsi="Arial"/>
                <w:sz w:val="18"/>
                <w:szCs w:val="18"/>
                <w:color w:val="0000EE"/>
              </w:rPr>
              <w:t>D&amp;O Insurance</w:t>
            </w:r>
          </w:p>
        </w:tc>
        <w:tc>
          <w:tcPr>
            <w:tcW w:w="200" w:type="dxa"/>
            <w:vAlign w:val="bottom"/>
          </w:tcPr>
          <w:p>
            <w:pPr>
              <w:ind w:left="80"/>
              <w:spacing w:after="0" w:line="169"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69" w:lineRule="exact"/>
              <w:rPr>
                <w:sz w:val="20"/>
                <w:szCs w:val="20"/>
                <w:color w:val="auto"/>
              </w:rPr>
            </w:pPr>
            <w:r>
              <w:rPr>
                <w:rFonts w:ascii="Arial" w:cs="Arial" w:eastAsia="Arial" w:hAnsi="Arial"/>
                <w:sz w:val="18"/>
                <w:szCs w:val="18"/>
                <w:color w:val="0000EE"/>
                <w:w w:val="89"/>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880" w:type="dxa"/>
            <w:vAlign w:val="bottom"/>
            <w:gridSpan w:val="27"/>
            <w:shd w:val="clear" w:color="auto" w:fill="CCEEFF"/>
          </w:tcPr>
          <w:p>
            <w:pPr>
              <w:ind w:left="20"/>
              <w:spacing w:after="0"/>
              <w:rPr>
                <w:sz w:val="20"/>
                <w:szCs w:val="20"/>
                <w:color w:val="auto"/>
              </w:rPr>
            </w:pPr>
            <w:r>
              <w:rPr>
                <w:rFonts w:ascii="Arial" w:cs="Arial" w:eastAsia="Arial" w:hAnsi="Arial"/>
                <w:sz w:val="22"/>
                <w:szCs w:val="22"/>
                <w:b w:val="1"/>
                <w:bCs w:val="1"/>
                <w:color w:val="53C072"/>
                <w:shd w:val="clear" w:color="auto" w:fill="CCEEFF"/>
              </w:rPr>
              <w:t>Executive Officers of the Company</w:t>
            </w:r>
            <w:r>
              <w:rPr>
                <w:rFonts w:ascii="Arial" w:cs="Arial" w:eastAsia="Arial" w:hAnsi="Arial"/>
                <w:sz w:val="17"/>
                <w:szCs w:val="17"/>
                <w:color w:val="000000"/>
                <w:shd w:val="clear" w:color="auto" w:fill="CCEEFF"/>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 xml:space="preserve">​ </w:t>
            </w:r>
            <w:r>
              <w:rPr>
                <w:rFonts w:ascii="Arial" w:cs="Arial" w:eastAsia="Arial" w:hAnsi="Arial"/>
                <w:sz w:val="18"/>
                <w:szCs w:val="18"/>
                <w:color w:val="0000EE"/>
                <w:shd w:val="clear" w:color="auto" w:fill="CCEE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100" w:type="dxa"/>
            <w:vAlign w:val="bottom"/>
            <w:tcBorders>
              <w:top w:val="single" w:sz="8" w:color="53C072"/>
              <w:bottom w:val="single" w:sz="8" w:color="53C072"/>
            </w:tcBorders>
            <w:gridSpan w:val="19"/>
          </w:tcPr>
          <w:p>
            <w:pPr>
              <w:ind w:left="20"/>
              <w:spacing w:after="0"/>
              <w:rPr>
                <w:sz w:val="20"/>
                <w:szCs w:val="20"/>
                <w:color w:val="auto"/>
              </w:rPr>
            </w:pPr>
            <w:r>
              <w:rPr>
                <w:rFonts w:ascii="Arial" w:cs="Arial" w:eastAsia="Arial" w:hAnsi="Arial"/>
                <w:sz w:val="22"/>
                <w:szCs w:val="22"/>
                <w:b w:val="1"/>
                <w:bCs w:val="1"/>
                <w:color w:val="53C072"/>
                <w:w w:val="96"/>
              </w:rPr>
              <w:t>Security Ownership of Certain</w:t>
            </w:r>
          </w:p>
        </w:tc>
        <w:tc>
          <w:tcPr>
            <w:tcW w:w="780" w:type="dxa"/>
            <w:vAlign w:val="bottom"/>
            <w:tcBorders>
              <w:top w:val="single" w:sz="8" w:color="53C072"/>
            </w:tcBorders>
            <w:gridSpan w:val="8"/>
          </w:tcPr>
          <w:p>
            <w:pPr>
              <w:spacing w:after="0"/>
              <w:rPr>
                <w:sz w:val="24"/>
                <w:szCs w:val="24"/>
                <w:color w:val="auto"/>
              </w:rPr>
            </w:pPr>
          </w:p>
        </w:tc>
        <w:tc>
          <w:tcPr>
            <w:tcW w:w="200" w:type="dxa"/>
            <w:vAlign w:val="bottom"/>
            <w:tcBorders>
              <w:top w:val="single" w:sz="8" w:color="53C072"/>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3700" w:type="dxa"/>
            <w:vAlign w:val="bottom"/>
            <w:gridSpan w:val="26"/>
          </w:tcPr>
          <w:p>
            <w:pPr>
              <w:ind w:left="20"/>
              <w:spacing w:after="0" w:line="237" w:lineRule="exact"/>
              <w:rPr>
                <w:sz w:val="20"/>
                <w:szCs w:val="20"/>
                <w:color w:val="auto"/>
              </w:rPr>
            </w:pPr>
            <w:r>
              <w:rPr>
                <w:rFonts w:ascii="Arial" w:cs="Arial" w:eastAsia="Arial" w:hAnsi="Arial"/>
                <w:sz w:val="22"/>
                <w:szCs w:val="22"/>
                <w:b w:val="1"/>
                <w:bCs w:val="1"/>
                <w:color w:val="53C072"/>
              </w:rPr>
              <w:t>Beneficial Owners and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2320" w:type="dxa"/>
            <w:vAlign w:val="bottom"/>
            <w:tcBorders>
              <w:top w:val="single" w:sz="8" w:color="53C072"/>
            </w:tcBorders>
            <w:gridSpan w:val="13"/>
          </w:tcPr>
          <w:p>
            <w:pPr>
              <w:ind w:left="20"/>
              <w:spacing w:after="0" w:line="195" w:lineRule="exact"/>
              <w:rPr>
                <w:sz w:val="20"/>
                <w:szCs w:val="20"/>
                <w:color w:val="auto"/>
              </w:rPr>
            </w:pPr>
            <w:r>
              <w:rPr>
                <w:rFonts w:ascii="Arial" w:cs="Arial" w:eastAsia="Arial" w:hAnsi="Arial"/>
                <w:sz w:val="22"/>
                <w:szCs w:val="22"/>
                <w:b w:val="1"/>
                <w:bCs w:val="1"/>
                <w:color w:val="53C072"/>
              </w:rPr>
              <w:t>Management</w:t>
            </w:r>
          </w:p>
        </w:tc>
        <w:tc>
          <w:tcPr>
            <w:tcW w:w="1380" w:type="dxa"/>
            <w:vAlign w:val="bottom"/>
            <w:gridSpan w:val="13"/>
          </w:tcPr>
          <w:p>
            <w:pPr>
              <w:spacing w:after="0"/>
              <w:rPr>
                <w:sz w:val="18"/>
                <w:szCs w:val="18"/>
                <w:color w:val="auto"/>
              </w:rPr>
            </w:pPr>
          </w:p>
        </w:tc>
        <w:tc>
          <w:tcPr>
            <w:tcW w:w="20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w:t>
            </w:r>
          </w:p>
        </w:tc>
        <w:tc>
          <w:tcPr>
            <w:tcW w:w="2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EE"/>
                <w:w w:val="89"/>
              </w:rPr>
              <w:t>35</w:t>
            </w:r>
          </w:p>
        </w:tc>
        <w:tc>
          <w:tcPr>
            <w:tcW w:w="0" w:type="dxa"/>
            <w:vAlign w:val="bottom"/>
          </w:tcPr>
          <w:p>
            <w:pPr>
              <w:spacing w:after="0"/>
              <w:rPr>
                <w:sz w:val="1"/>
                <w:szCs w:val="1"/>
                <w:color w:val="auto"/>
              </w:rPr>
            </w:pPr>
          </w:p>
        </w:tc>
      </w:tr>
      <w:tr>
        <w:trPr>
          <w:trHeight w:val="121"/>
        </w:trPr>
        <w:tc>
          <w:tcPr>
            <w:tcW w:w="180" w:type="dxa"/>
            <w:vAlign w:val="bottom"/>
            <w:tcBorders>
              <w:bottom w:val="single" w:sz="8" w:color="53C072"/>
            </w:tcBorders>
          </w:tcPr>
          <w:p>
            <w:pPr>
              <w:spacing w:after="0"/>
              <w:rPr>
                <w:sz w:val="10"/>
                <w:szCs w:val="10"/>
                <w:color w:val="auto"/>
              </w:rPr>
            </w:pPr>
          </w:p>
        </w:tc>
        <w:tc>
          <w:tcPr>
            <w:tcW w:w="180" w:type="dxa"/>
            <w:vAlign w:val="bottom"/>
            <w:tcBorders>
              <w:top w:val="single" w:sz="8" w:color="53C072"/>
              <w:bottom w:val="single" w:sz="8" w:color="53C072"/>
            </w:tcBorders>
          </w:tcPr>
          <w:p>
            <w:pPr>
              <w:spacing w:after="0"/>
              <w:rPr>
                <w:sz w:val="10"/>
                <w:szCs w:val="10"/>
                <w:color w:val="auto"/>
              </w:rPr>
            </w:pPr>
          </w:p>
        </w:tc>
        <w:tc>
          <w:tcPr>
            <w:tcW w:w="480" w:type="dxa"/>
            <w:vAlign w:val="bottom"/>
            <w:tcBorders>
              <w:top w:val="single" w:sz="8" w:color="53C072"/>
              <w:bottom w:val="single" w:sz="8" w:color="53C072"/>
            </w:tcBorders>
          </w:tcPr>
          <w:p>
            <w:pPr>
              <w:spacing w:after="0"/>
              <w:rPr>
                <w:sz w:val="10"/>
                <w:szCs w:val="10"/>
                <w:color w:val="auto"/>
              </w:rPr>
            </w:pPr>
          </w:p>
        </w:tc>
        <w:tc>
          <w:tcPr>
            <w:tcW w:w="140" w:type="dxa"/>
            <w:vAlign w:val="bottom"/>
            <w:tcBorders>
              <w:top w:val="single" w:sz="8" w:color="53C072"/>
              <w:bottom w:val="single" w:sz="8" w:color="53C072"/>
            </w:tcBorders>
          </w:tcPr>
          <w:p>
            <w:pPr>
              <w:spacing w:after="0"/>
              <w:rPr>
                <w:sz w:val="10"/>
                <w:szCs w:val="10"/>
                <w:color w:val="auto"/>
              </w:rPr>
            </w:pPr>
          </w:p>
        </w:tc>
        <w:tc>
          <w:tcPr>
            <w:tcW w:w="280" w:type="dxa"/>
            <w:vAlign w:val="bottom"/>
            <w:tcBorders>
              <w:top w:val="single" w:sz="8" w:color="53C072"/>
              <w:bottom w:val="single" w:sz="8" w:color="53C072"/>
            </w:tcBorders>
          </w:tcPr>
          <w:p>
            <w:pPr>
              <w:spacing w:after="0"/>
              <w:rPr>
                <w:sz w:val="10"/>
                <w:szCs w:val="10"/>
                <w:color w:val="auto"/>
              </w:rPr>
            </w:pPr>
          </w:p>
        </w:tc>
        <w:tc>
          <w:tcPr>
            <w:tcW w:w="140" w:type="dxa"/>
            <w:vAlign w:val="bottom"/>
            <w:tcBorders>
              <w:top w:val="single" w:sz="8" w:color="53C072"/>
              <w:bottom w:val="single" w:sz="8" w:color="53C072"/>
            </w:tcBorders>
          </w:tcPr>
          <w:p>
            <w:pPr>
              <w:spacing w:after="0"/>
              <w:rPr>
                <w:sz w:val="10"/>
                <w:szCs w:val="10"/>
                <w:color w:val="auto"/>
              </w:rPr>
            </w:pPr>
          </w:p>
        </w:tc>
        <w:tc>
          <w:tcPr>
            <w:tcW w:w="20" w:type="dxa"/>
            <w:vAlign w:val="bottom"/>
            <w:tcBorders>
              <w:top w:val="single" w:sz="8" w:color="53C072"/>
              <w:bottom w:val="single" w:sz="8" w:color="53C072"/>
            </w:tcBorders>
          </w:tcPr>
          <w:p>
            <w:pPr>
              <w:spacing w:after="0"/>
              <w:rPr>
                <w:sz w:val="10"/>
                <w:szCs w:val="10"/>
                <w:color w:val="auto"/>
              </w:rPr>
            </w:pPr>
          </w:p>
        </w:tc>
        <w:tc>
          <w:tcPr>
            <w:tcW w:w="80" w:type="dxa"/>
            <w:vAlign w:val="bottom"/>
            <w:tcBorders>
              <w:top w:val="single" w:sz="8" w:color="53C072"/>
              <w:bottom w:val="single" w:sz="8" w:color="53C072"/>
            </w:tcBorders>
          </w:tcPr>
          <w:p>
            <w:pPr>
              <w:spacing w:after="0"/>
              <w:rPr>
                <w:sz w:val="10"/>
                <w:szCs w:val="10"/>
                <w:color w:val="auto"/>
              </w:rPr>
            </w:pPr>
          </w:p>
        </w:tc>
        <w:tc>
          <w:tcPr>
            <w:tcW w:w="260" w:type="dxa"/>
            <w:vAlign w:val="bottom"/>
            <w:tcBorders>
              <w:bottom w:val="single" w:sz="8" w:color="53C072"/>
            </w:tcBorders>
          </w:tcPr>
          <w:p>
            <w:pPr>
              <w:spacing w:after="0"/>
              <w:rPr>
                <w:sz w:val="10"/>
                <w:szCs w:val="10"/>
                <w:color w:val="auto"/>
              </w:rPr>
            </w:pPr>
          </w:p>
        </w:tc>
        <w:tc>
          <w:tcPr>
            <w:tcW w:w="80" w:type="dxa"/>
            <w:vAlign w:val="bottom"/>
            <w:tcBorders>
              <w:bottom w:val="single" w:sz="8" w:color="53C072"/>
            </w:tcBorders>
          </w:tcPr>
          <w:p>
            <w:pPr>
              <w:spacing w:after="0"/>
              <w:rPr>
                <w:sz w:val="10"/>
                <w:szCs w:val="10"/>
                <w:color w:val="auto"/>
              </w:rPr>
            </w:pPr>
          </w:p>
        </w:tc>
        <w:tc>
          <w:tcPr>
            <w:tcW w:w="140" w:type="dxa"/>
            <w:vAlign w:val="bottom"/>
            <w:tcBorders>
              <w:bottom w:val="single" w:sz="8" w:color="53C072"/>
            </w:tcBorders>
          </w:tcPr>
          <w:p>
            <w:pPr>
              <w:spacing w:after="0"/>
              <w:rPr>
                <w:sz w:val="10"/>
                <w:szCs w:val="10"/>
                <w:color w:val="auto"/>
              </w:rPr>
            </w:pPr>
          </w:p>
        </w:tc>
        <w:tc>
          <w:tcPr>
            <w:tcW w:w="140" w:type="dxa"/>
            <w:vAlign w:val="bottom"/>
            <w:tcBorders>
              <w:bottom w:val="single" w:sz="8" w:color="53C072"/>
            </w:tcBorders>
          </w:tcPr>
          <w:p>
            <w:pPr>
              <w:spacing w:after="0"/>
              <w:rPr>
                <w:sz w:val="10"/>
                <w:szCs w:val="10"/>
                <w:color w:val="auto"/>
              </w:rPr>
            </w:pPr>
          </w:p>
        </w:tc>
        <w:tc>
          <w:tcPr>
            <w:tcW w:w="60" w:type="dxa"/>
            <w:vAlign w:val="bottom"/>
            <w:tcBorders>
              <w:bottom w:val="single" w:sz="8" w:color="53C072"/>
            </w:tcBorders>
          </w:tcPr>
          <w:p>
            <w:pPr>
              <w:spacing w:after="0"/>
              <w:rPr>
                <w:sz w:val="10"/>
                <w:szCs w:val="10"/>
                <w:color w:val="auto"/>
              </w:rPr>
            </w:pPr>
          </w:p>
        </w:tc>
        <w:tc>
          <w:tcPr>
            <w:tcW w:w="320" w:type="dxa"/>
            <w:vAlign w:val="bottom"/>
            <w:tcBorders>
              <w:bottom w:val="single" w:sz="8" w:color="53C072"/>
            </w:tcBorders>
          </w:tcPr>
          <w:p>
            <w:pPr>
              <w:spacing w:after="0"/>
              <w:rPr>
                <w:sz w:val="10"/>
                <w:szCs w:val="10"/>
                <w:color w:val="auto"/>
              </w:rPr>
            </w:pPr>
          </w:p>
        </w:tc>
        <w:tc>
          <w:tcPr>
            <w:tcW w:w="120" w:type="dxa"/>
            <w:vAlign w:val="bottom"/>
            <w:tcBorders>
              <w:bottom w:val="single" w:sz="8" w:color="53C072"/>
            </w:tcBorders>
          </w:tcPr>
          <w:p>
            <w:pPr>
              <w:spacing w:after="0"/>
              <w:rPr>
                <w:sz w:val="10"/>
                <w:szCs w:val="10"/>
                <w:color w:val="auto"/>
              </w:rPr>
            </w:pPr>
          </w:p>
        </w:tc>
        <w:tc>
          <w:tcPr>
            <w:tcW w:w="160" w:type="dxa"/>
            <w:vAlign w:val="bottom"/>
            <w:tcBorders>
              <w:bottom w:val="single" w:sz="8" w:color="53C072"/>
            </w:tcBorders>
          </w:tcPr>
          <w:p>
            <w:pPr>
              <w:spacing w:after="0"/>
              <w:rPr>
                <w:sz w:val="10"/>
                <w:szCs w:val="10"/>
                <w:color w:val="auto"/>
              </w:rPr>
            </w:pPr>
          </w:p>
        </w:tc>
        <w:tc>
          <w:tcPr>
            <w:tcW w:w="100" w:type="dxa"/>
            <w:vAlign w:val="bottom"/>
            <w:tcBorders>
              <w:bottom w:val="single" w:sz="8" w:color="53C072"/>
            </w:tcBorders>
          </w:tcPr>
          <w:p>
            <w:pPr>
              <w:spacing w:after="0"/>
              <w:rPr>
                <w:sz w:val="10"/>
                <w:szCs w:val="10"/>
                <w:color w:val="auto"/>
              </w:rPr>
            </w:pPr>
          </w:p>
        </w:tc>
        <w:tc>
          <w:tcPr>
            <w:tcW w:w="60" w:type="dxa"/>
            <w:vAlign w:val="bottom"/>
            <w:tcBorders>
              <w:bottom w:val="single" w:sz="8" w:color="53C072"/>
            </w:tcBorders>
          </w:tcPr>
          <w:p>
            <w:pPr>
              <w:spacing w:after="0"/>
              <w:rPr>
                <w:sz w:val="10"/>
                <w:szCs w:val="10"/>
                <w:color w:val="auto"/>
              </w:rPr>
            </w:pPr>
          </w:p>
        </w:tc>
        <w:tc>
          <w:tcPr>
            <w:tcW w:w="160" w:type="dxa"/>
            <w:vAlign w:val="bottom"/>
            <w:tcBorders>
              <w:bottom w:val="single" w:sz="8" w:color="53C072"/>
            </w:tcBorders>
          </w:tcPr>
          <w:p>
            <w:pPr>
              <w:spacing w:after="0"/>
              <w:rPr>
                <w:sz w:val="10"/>
                <w:szCs w:val="10"/>
                <w:color w:val="auto"/>
              </w:rPr>
            </w:pPr>
          </w:p>
        </w:tc>
        <w:tc>
          <w:tcPr>
            <w:tcW w:w="20" w:type="dxa"/>
            <w:vAlign w:val="bottom"/>
            <w:tcBorders>
              <w:bottom w:val="single" w:sz="8" w:color="53C072"/>
            </w:tcBorders>
          </w:tcPr>
          <w:p>
            <w:pPr>
              <w:spacing w:after="0"/>
              <w:rPr>
                <w:sz w:val="10"/>
                <w:szCs w:val="10"/>
                <w:color w:val="auto"/>
              </w:rPr>
            </w:pPr>
          </w:p>
        </w:tc>
        <w:tc>
          <w:tcPr>
            <w:tcW w:w="60" w:type="dxa"/>
            <w:vAlign w:val="bottom"/>
            <w:tcBorders>
              <w:bottom w:val="single" w:sz="8" w:color="53C072"/>
            </w:tcBorders>
          </w:tcPr>
          <w:p>
            <w:pPr>
              <w:spacing w:after="0"/>
              <w:rPr>
                <w:sz w:val="10"/>
                <w:szCs w:val="10"/>
                <w:color w:val="auto"/>
              </w:rPr>
            </w:pPr>
          </w:p>
        </w:tc>
        <w:tc>
          <w:tcPr>
            <w:tcW w:w="80" w:type="dxa"/>
            <w:vAlign w:val="bottom"/>
            <w:tcBorders>
              <w:bottom w:val="single" w:sz="8" w:color="53C072"/>
            </w:tcBorders>
          </w:tcPr>
          <w:p>
            <w:pPr>
              <w:spacing w:after="0"/>
              <w:rPr>
                <w:sz w:val="10"/>
                <w:szCs w:val="10"/>
                <w:color w:val="auto"/>
              </w:rPr>
            </w:pPr>
          </w:p>
        </w:tc>
        <w:tc>
          <w:tcPr>
            <w:tcW w:w="140" w:type="dxa"/>
            <w:vAlign w:val="bottom"/>
            <w:tcBorders>
              <w:bottom w:val="single" w:sz="8" w:color="53C072"/>
            </w:tcBorders>
          </w:tcPr>
          <w:p>
            <w:pPr>
              <w:spacing w:after="0"/>
              <w:rPr>
                <w:sz w:val="10"/>
                <w:szCs w:val="10"/>
                <w:color w:val="auto"/>
              </w:rPr>
            </w:pPr>
          </w:p>
        </w:tc>
        <w:tc>
          <w:tcPr>
            <w:tcW w:w="100" w:type="dxa"/>
            <w:vAlign w:val="bottom"/>
            <w:tcBorders>
              <w:bottom w:val="single" w:sz="8" w:color="53C072"/>
            </w:tcBorders>
          </w:tcPr>
          <w:p>
            <w:pPr>
              <w:spacing w:after="0"/>
              <w:rPr>
                <w:sz w:val="10"/>
                <w:szCs w:val="10"/>
                <w:color w:val="auto"/>
              </w:rPr>
            </w:pPr>
          </w:p>
        </w:tc>
        <w:tc>
          <w:tcPr>
            <w:tcW w:w="80" w:type="dxa"/>
            <w:vAlign w:val="bottom"/>
            <w:tcBorders>
              <w:bottom w:val="single" w:sz="8" w:color="53C072"/>
            </w:tcBorders>
          </w:tcPr>
          <w:p>
            <w:pPr>
              <w:spacing w:after="0"/>
              <w:rPr>
                <w:sz w:val="10"/>
                <w:szCs w:val="10"/>
                <w:color w:val="auto"/>
              </w:rPr>
            </w:pPr>
          </w:p>
        </w:tc>
        <w:tc>
          <w:tcPr>
            <w:tcW w:w="200" w:type="dxa"/>
            <w:vAlign w:val="bottom"/>
            <w:tcBorders>
              <w:bottom w:val="single" w:sz="8" w:color="53C072"/>
            </w:tcBorders>
          </w:tcPr>
          <w:p>
            <w:pPr>
              <w:spacing w:after="0"/>
              <w:rPr>
                <w:sz w:val="10"/>
                <w:szCs w:val="10"/>
                <w:color w:val="auto"/>
              </w:rPr>
            </w:pPr>
          </w:p>
        </w:tc>
        <w:tc>
          <w:tcPr>
            <w:tcW w:w="100" w:type="dxa"/>
            <w:vAlign w:val="bottom"/>
            <w:tcBorders>
              <w:bottom w:val="single" w:sz="8" w:color="53C072"/>
            </w:tcBorders>
          </w:tcPr>
          <w:p>
            <w:pPr>
              <w:spacing w:after="0"/>
              <w:rPr>
                <w:sz w:val="10"/>
                <w:szCs w:val="10"/>
                <w:color w:val="auto"/>
              </w:rPr>
            </w:pPr>
          </w:p>
        </w:tc>
        <w:tc>
          <w:tcPr>
            <w:tcW w:w="200" w:type="dxa"/>
            <w:vAlign w:val="bottom"/>
            <w:tcBorders>
              <w:bottom w:val="single" w:sz="8" w:color="53C072"/>
            </w:tcBorders>
            <w:vMerge w:val="continue"/>
          </w:tcPr>
          <w:p>
            <w:pPr>
              <w:spacing w:after="0"/>
              <w:rPr>
                <w:sz w:val="10"/>
                <w:szCs w:val="10"/>
                <w:color w:val="auto"/>
              </w:rPr>
            </w:pPr>
          </w:p>
        </w:tc>
        <w:tc>
          <w:tcPr>
            <w:tcW w:w="100" w:type="dxa"/>
            <w:vAlign w:val="bottom"/>
            <w:tcBorders>
              <w:top w:val="single" w:sz="8" w:color="0000EE"/>
              <w:bottom w:val="single" w:sz="8" w:color="53C072"/>
            </w:tcBorders>
          </w:tcPr>
          <w:p>
            <w:pPr>
              <w:spacing w:after="0"/>
              <w:rPr>
                <w:sz w:val="10"/>
                <w:szCs w:val="10"/>
                <w:color w:val="auto"/>
              </w:rPr>
            </w:pPr>
          </w:p>
        </w:tc>
        <w:tc>
          <w:tcPr>
            <w:tcW w:w="100" w:type="dxa"/>
            <w:vAlign w:val="bottom"/>
            <w:tcBorders>
              <w:top w:val="single" w:sz="8" w:color="0000EE"/>
              <w:bottom w:val="single" w:sz="8" w:color="53C072"/>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1229995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8"/>
        </w:trPr>
        <w:tc>
          <w:tcPr>
            <w:tcW w:w="4080" w:type="dxa"/>
            <w:vAlign w:val="bottom"/>
            <w:gridSpan w:val="24"/>
            <w:shd w:val="clear" w:color="auto" w:fill="CCEEFF"/>
          </w:tcPr>
          <w:p>
            <w:pPr>
              <w:spacing w:after="0"/>
              <w:rPr>
                <w:sz w:val="20"/>
                <w:szCs w:val="20"/>
                <w:color w:val="auto"/>
              </w:rPr>
            </w:pPr>
            <w:r>
              <w:rPr>
                <w:rFonts w:ascii="Arial" w:cs="Arial" w:eastAsia="Arial" w:hAnsi="Arial"/>
                <w:sz w:val="22"/>
                <w:szCs w:val="22"/>
                <w:b w:val="1"/>
                <w:bCs w:val="1"/>
                <w:color w:val="53C072"/>
              </w:rPr>
              <w:t>Delinquent Section 16(a) Reports</w:t>
            </w:r>
            <w:r>
              <w:rPr>
                <w:rFonts w:ascii="Arial" w:cs="Arial" w:eastAsia="Arial" w:hAnsi="Arial"/>
                <w:sz w:val="17"/>
                <w:szCs w:val="17"/>
                <w:color w:val="000000"/>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320" w:type="dxa"/>
            <w:vAlign w:val="bottom"/>
            <w:tcBorders>
              <w:top w:val="single" w:sz="8" w:color="53C072"/>
            </w:tcBorders>
            <w:shd w:val="clear" w:color="auto" w:fill="53C072"/>
          </w:tcPr>
          <w:p>
            <w:pPr>
              <w:spacing w:after="0" w:line="20" w:lineRule="exact"/>
              <w:rPr>
                <w:sz w:val="1"/>
                <w:szCs w:val="1"/>
                <w:color w:val="auto"/>
              </w:rPr>
            </w:pPr>
          </w:p>
        </w:tc>
        <w:tc>
          <w:tcPr>
            <w:tcW w:w="3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22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CCEEFF"/>
            </w:tcBorders>
            <w:shd w:val="clear" w:color="auto" w:fill="53C072"/>
          </w:tcPr>
          <w:p>
            <w:pPr>
              <w:spacing w:after="0" w:line="20" w:lineRule="exact"/>
              <w:rPr>
                <w:sz w:val="1"/>
                <w:szCs w:val="1"/>
                <w:color w:val="auto"/>
              </w:rPr>
            </w:pPr>
          </w:p>
        </w:tc>
        <w:tc>
          <w:tcPr>
            <w:tcW w:w="36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080" w:type="dxa"/>
            <w:vAlign w:val="bottom"/>
            <w:gridSpan w:val="24"/>
          </w:tcPr>
          <w:p>
            <w:pPr>
              <w:spacing w:after="0"/>
              <w:rPr>
                <w:sz w:val="20"/>
                <w:szCs w:val="20"/>
                <w:color w:val="auto"/>
              </w:rPr>
            </w:pPr>
            <w:r>
              <w:rPr>
                <w:rFonts w:ascii="Arial" w:cs="Arial" w:eastAsia="Arial" w:hAnsi="Arial"/>
                <w:sz w:val="22"/>
                <w:szCs w:val="22"/>
                <w:b w:val="1"/>
                <w:bCs w:val="1"/>
                <w:color w:val="53C072"/>
              </w:rPr>
              <w:t>Related Person Transactions</w:t>
            </w:r>
            <w:r>
              <w:rPr>
                <w:rFonts w:ascii="Arial" w:cs="Arial" w:eastAsia="Arial" w:hAnsi="Arial"/>
                <w:sz w:val="17"/>
                <w:szCs w:val="17"/>
                <w:color w:val="000000"/>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37</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320" w:type="dxa"/>
            <w:vAlign w:val="bottom"/>
            <w:tcBorders>
              <w:top w:val="single" w:sz="8" w:color="53C072"/>
              <w:bottom w:val="single" w:sz="8" w:color="53C072"/>
            </w:tcBorders>
          </w:tcPr>
          <w:p>
            <w:pPr>
              <w:spacing w:after="0"/>
              <w:rPr>
                <w:sz w:val="2"/>
                <w:szCs w:val="2"/>
                <w:color w:val="auto"/>
              </w:rPr>
            </w:pPr>
          </w:p>
        </w:tc>
        <w:tc>
          <w:tcPr>
            <w:tcW w:w="380" w:type="dxa"/>
            <w:vAlign w:val="bottom"/>
            <w:tcBorders>
              <w:top w:val="single" w:sz="8" w:color="53C072"/>
              <w:bottom w:val="single" w:sz="8" w:color="53C072"/>
            </w:tcBorders>
          </w:tcPr>
          <w:p>
            <w:pPr>
              <w:spacing w:after="0"/>
              <w:rPr>
                <w:sz w:val="2"/>
                <w:szCs w:val="2"/>
                <w:color w:val="auto"/>
              </w:rPr>
            </w:pPr>
          </w:p>
        </w:tc>
        <w:tc>
          <w:tcPr>
            <w:tcW w:w="24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22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20" w:type="dxa"/>
            <w:vAlign w:val="bottom"/>
            <w:tcBorders>
              <w:top w:val="single" w:sz="8" w:color="53C072"/>
              <w:bottom w:val="single" w:sz="8" w:color="53C072"/>
            </w:tcBorders>
          </w:tcPr>
          <w:p>
            <w:pPr>
              <w:spacing w:after="0"/>
              <w:rPr>
                <w:sz w:val="2"/>
                <w:szCs w:val="2"/>
                <w:color w:val="auto"/>
              </w:rPr>
            </w:pPr>
          </w:p>
        </w:tc>
        <w:tc>
          <w:tcPr>
            <w:tcW w:w="6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36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920" w:type="dxa"/>
            <w:vAlign w:val="bottom"/>
            <w:tcBorders>
              <w:bottom w:val="single" w:sz="8" w:color="53C072"/>
            </w:tcBorders>
            <w:gridSpan w:val="22"/>
            <w:shd w:val="clear" w:color="auto" w:fill="CCEEFF"/>
          </w:tcPr>
          <w:p>
            <w:pPr>
              <w:spacing w:after="0"/>
              <w:rPr>
                <w:sz w:val="20"/>
                <w:szCs w:val="20"/>
                <w:color w:val="auto"/>
              </w:rPr>
            </w:pPr>
            <w:r>
              <w:rPr>
                <w:rFonts w:ascii="Arial" w:cs="Arial" w:eastAsia="Arial" w:hAnsi="Arial"/>
                <w:sz w:val="22"/>
                <w:szCs w:val="22"/>
                <w:b w:val="1"/>
                <w:bCs w:val="1"/>
                <w:color w:val="53C072"/>
                <w:w w:val="96"/>
              </w:rPr>
              <w:t>Proposal 2 — Advisory Vote on Named</w:t>
            </w:r>
          </w:p>
        </w:tc>
        <w:tc>
          <w:tcPr>
            <w:tcW w:w="160" w:type="dxa"/>
            <w:vAlign w:val="bottom"/>
            <w:tcBorders>
              <w:bottom w:val="single" w:sz="8" w:color="CCEEFF"/>
            </w:tcBorders>
            <w:gridSpan w:val="2"/>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80" w:type="dxa"/>
            <w:vAlign w:val="bottom"/>
            <w:shd w:val="clear" w:color="auto" w:fill="CCEEFF"/>
          </w:tcPr>
          <w:p>
            <w:pPr>
              <w:spacing w:after="0"/>
              <w:rPr>
                <w:sz w:val="23"/>
                <w:szCs w:val="23"/>
                <w:color w:val="auto"/>
              </w:rPr>
            </w:pPr>
          </w:p>
        </w:tc>
        <w:tc>
          <w:tcPr>
            <w:tcW w:w="3900" w:type="dxa"/>
            <w:vAlign w:val="bottom"/>
            <w:gridSpan w:val="23"/>
            <w:shd w:val="clear" w:color="auto" w:fill="CCEEFF"/>
          </w:tcPr>
          <w:p>
            <w:pPr>
              <w:spacing w:after="0" w:line="209" w:lineRule="exact"/>
              <w:rPr>
                <w:sz w:val="20"/>
                <w:szCs w:val="20"/>
                <w:color w:val="auto"/>
              </w:rPr>
            </w:pPr>
            <w:r>
              <w:rPr>
                <w:rFonts w:ascii="Arial" w:cs="Arial" w:eastAsia="Arial" w:hAnsi="Arial"/>
                <w:sz w:val="22"/>
                <w:szCs w:val="22"/>
                <w:b w:val="1"/>
                <w:bCs w:val="1"/>
                <w:color w:val="53C072"/>
              </w:rPr>
              <w:t>Executive Compensation</w:t>
            </w:r>
            <w:r>
              <w:rPr>
                <w:rFonts w:ascii="Arial" w:cs="Arial" w:eastAsia="Arial" w:hAnsi="Arial"/>
                <w:sz w:val="17"/>
                <w:szCs w:val="17"/>
                <w:color w:val="53C072"/>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38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320" w:type="dxa"/>
            <w:vAlign w:val="bottom"/>
            <w:tcBorders>
              <w:top w:val="single" w:sz="8" w:color="53C072"/>
            </w:tcBorders>
            <w:shd w:val="clear" w:color="auto" w:fill="53C072"/>
          </w:tcPr>
          <w:p>
            <w:pPr>
              <w:spacing w:after="0" w:line="20" w:lineRule="exact"/>
              <w:rPr>
                <w:sz w:val="1"/>
                <w:szCs w:val="1"/>
                <w:color w:val="auto"/>
              </w:rPr>
            </w:pPr>
          </w:p>
        </w:tc>
        <w:tc>
          <w:tcPr>
            <w:tcW w:w="3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22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CCEEFF"/>
            </w:tcBorders>
            <w:shd w:val="clear" w:color="auto" w:fill="53C072"/>
          </w:tcPr>
          <w:p>
            <w:pPr>
              <w:spacing w:after="0" w:line="20" w:lineRule="exact"/>
              <w:rPr>
                <w:sz w:val="1"/>
                <w:szCs w:val="1"/>
                <w:color w:val="auto"/>
              </w:rPr>
            </w:pPr>
          </w:p>
        </w:tc>
        <w:tc>
          <w:tcPr>
            <w:tcW w:w="16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60" w:type="dxa"/>
            <w:vAlign w:val="bottom"/>
            <w:tcBorders>
              <w:top w:val="single" w:sz="8" w:color="CCEEFF"/>
            </w:tcBorders>
            <w:shd w:val="clear" w:color="auto" w:fill="53C072"/>
          </w:tcPr>
          <w:p>
            <w:pPr>
              <w:spacing w:after="0" w:line="20" w:lineRule="exact"/>
              <w:rPr>
                <w:sz w:val="1"/>
                <w:szCs w:val="1"/>
                <w:color w:val="auto"/>
              </w:rPr>
            </w:pPr>
          </w:p>
        </w:tc>
        <w:tc>
          <w:tcPr>
            <w:tcW w:w="36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380" w:type="dxa"/>
            <w:vAlign w:val="bottom"/>
            <w:gridSpan w:val="27"/>
          </w:tcPr>
          <w:p>
            <w:pPr>
              <w:spacing w:after="0"/>
              <w:rPr>
                <w:sz w:val="20"/>
                <w:szCs w:val="20"/>
                <w:color w:val="auto"/>
              </w:rPr>
            </w:pPr>
            <w:r>
              <w:rPr>
                <w:rFonts w:ascii="Arial" w:cs="Arial" w:eastAsia="Arial" w:hAnsi="Arial"/>
                <w:sz w:val="22"/>
                <w:szCs w:val="22"/>
                <w:b w:val="1"/>
                <w:bCs w:val="1"/>
                <w:color w:val="53C072"/>
                <w:w w:val="98"/>
              </w:rPr>
              <w:t xml:space="preserve">Compensation Discussion and Analysis </w:t>
            </w:r>
            <w:r>
              <w:rPr>
                <w:rFonts w:ascii="Arial" w:cs="Arial" w:eastAsia="Arial" w:hAnsi="Arial"/>
                <w:sz w:val="17"/>
                <w:szCs w:val="17"/>
                <w:color w:val="0000EE"/>
                <w:w w:val="98"/>
              </w:rPr>
              <w:t>39</w:t>
            </w:r>
          </w:p>
        </w:tc>
        <w:tc>
          <w:tcPr>
            <w:tcW w:w="0" w:type="dxa"/>
            <w:vAlign w:val="bottom"/>
          </w:tcPr>
          <w:p>
            <w:pPr>
              <w:spacing w:after="0"/>
              <w:rPr>
                <w:sz w:val="1"/>
                <w:szCs w:val="1"/>
                <w:color w:val="auto"/>
              </w:rPr>
            </w:pPr>
          </w:p>
        </w:tc>
      </w:tr>
      <w:tr>
        <w:trPr>
          <w:trHeight w:val="28"/>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320" w:type="dxa"/>
            <w:vAlign w:val="bottom"/>
            <w:tcBorders>
              <w:top w:val="single" w:sz="8" w:color="53C072"/>
              <w:bottom w:val="single" w:sz="8" w:color="53C072"/>
            </w:tcBorders>
          </w:tcPr>
          <w:p>
            <w:pPr>
              <w:spacing w:after="0"/>
              <w:rPr>
                <w:sz w:val="2"/>
                <w:szCs w:val="2"/>
                <w:color w:val="auto"/>
              </w:rPr>
            </w:pPr>
          </w:p>
        </w:tc>
        <w:tc>
          <w:tcPr>
            <w:tcW w:w="380" w:type="dxa"/>
            <w:vAlign w:val="bottom"/>
            <w:tcBorders>
              <w:top w:val="single" w:sz="8" w:color="53C072"/>
              <w:bottom w:val="single" w:sz="8" w:color="53C072"/>
            </w:tcBorders>
          </w:tcPr>
          <w:p>
            <w:pPr>
              <w:spacing w:after="0"/>
              <w:rPr>
                <w:sz w:val="2"/>
                <w:szCs w:val="2"/>
                <w:color w:val="auto"/>
              </w:rPr>
            </w:pPr>
          </w:p>
        </w:tc>
        <w:tc>
          <w:tcPr>
            <w:tcW w:w="24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22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20" w:type="dxa"/>
            <w:vAlign w:val="bottom"/>
            <w:tcBorders>
              <w:top w:val="single" w:sz="8" w:color="53C072"/>
              <w:bottom w:val="single" w:sz="8" w:color="53C072"/>
            </w:tcBorders>
          </w:tcPr>
          <w:p>
            <w:pPr>
              <w:spacing w:after="0"/>
              <w:rPr>
                <w:sz w:val="2"/>
                <w:szCs w:val="2"/>
                <w:color w:val="auto"/>
              </w:rPr>
            </w:pPr>
          </w:p>
        </w:tc>
        <w:tc>
          <w:tcPr>
            <w:tcW w:w="6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60" w:type="dxa"/>
            <w:vAlign w:val="bottom"/>
            <w:tcBorders>
              <w:top w:val="single" w:sz="8" w:color="53C072"/>
              <w:bottom w:val="single" w:sz="8" w:color="53C072"/>
            </w:tcBorders>
          </w:tcPr>
          <w:p>
            <w:pPr>
              <w:spacing w:after="0"/>
              <w:rPr>
                <w:sz w:val="2"/>
                <w:szCs w:val="2"/>
                <w:color w:val="auto"/>
              </w:rPr>
            </w:pPr>
          </w:p>
        </w:tc>
        <w:tc>
          <w:tcPr>
            <w:tcW w:w="360" w:type="dxa"/>
            <w:vAlign w:val="bottom"/>
            <w:tcBorders>
              <w:top w:val="single" w:sz="8" w:color="53C072"/>
              <w:bottom w:val="single" w:sz="8" w:color="53C072"/>
            </w:tcBorders>
          </w:tcPr>
          <w:p>
            <w:pPr>
              <w:spacing w:after="0"/>
              <w:rPr>
                <w:sz w:val="2"/>
                <w:szCs w:val="2"/>
                <w:color w:val="auto"/>
              </w:rPr>
            </w:pPr>
          </w:p>
        </w:tc>
        <w:tc>
          <w:tcPr>
            <w:tcW w:w="1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390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Executive Summary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900" w:type="dxa"/>
            <w:vAlign w:val="bottom"/>
            <w:gridSpan w:val="23"/>
          </w:tcPr>
          <w:p>
            <w:pPr>
              <w:spacing w:after="0" w:line="169" w:lineRule="exact"/>
              <w:rPr>
                <w:sz w:val="20"/>
                <w:szCs w:val="20"/>
                <w:color w:val="auto"/>
              </w:rPr>
            </w:pPr>
            <w:r>
              <w:rPr>
                <w:rFonts w:ascii="Arial" w:cs="Arial" w:eastAsia="Arial" w:hAnsi="Arial"/>
                <w:sz w:val="18"/>
                <w:szCs w:val="18"/>
                <w:color w:val="0000EE"/>
              </w:rPr>
              <w:t>Compensation Governance and Process</w:t>
            </w:r>
          </w:p>
        </w:tc>
        <w:tc>
          <w:tcPr>
            <w:tcW w:w="28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42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180" w:type="dxa"/>
            <w:vAlign w:val="bottom"/>
            <w:gridSpan w:val="17"/>
            <w:shd w:val="clear" w:color="auto" w:fill="CCEEFF"/>
          </w:tcPr>
          <w:p>
            <w:pPr>
              <w:spacing w:after="0" w:line="169" w:lineRule="exact"/>
              <w:rPr>
                <w:sz w:val="20"/>
                <w:szCs w:val="20"/>
                <w:color w:val="auto"/>
              </w:rPr>
            </w:pPr>
            <w:r>
              <w:rPr>
                <w:rFonts w:ascii="Arial" w:cs="Arial" w:eastAsia="Arial" w:hAnsi="Arial"/>
                <w:sz w:val="18"/>
                <w:szCs w:val="18"/>
                <w:color w:val="0000EE"/>
              </w:rPr>
              <w:t>Overview of Pay Programs</w:t>
            </w:r>
          </w:p>
        </w:tc>
        <w:tc>
          <w:tcPr>
            <w:tcW w:w="720" w:type="dxa"/>
            <w:vAlign w:val="bottom"/>
            <w:gridSpan w:val="6"/>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44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2940" w:type="dxa"/>
            <w:vAlign w:val="bottom"/>
            <w:gridSpan w:val="14"/>
          </w:tcPr>
          <w:p>
            <w:pPr>
              <w:spacing w:after="0" w:line="169" w:lineRule="exact"/>
              <w:rPr>
                <w:sz w:val="20"/>
                <w:szCs w:val="20"/>
                <w:color w:val="auto"/>
              </w:rPr>
            </w:pPr>
            <w:r>
              <w:rPr>
                <w:rFonts w:ascii="Arial" w:cs="Arial" w:eastAsia="Arial" w:hAnsi="Arial"/>
                <w:sz w:val="18"/>
                <w:szCs w:val="18"/>
                <w:color w:val="0000EE"/>
                <w:w w:val="97"/>
              </w:rPr>
              <w:t>Elements of Executive Compensation</w:t>
            </w:r>
          </w:p>
        </w:tc>
        <w:tc>
          <w:tcPr>
            <w:tcW w:w="960" w:type="dxa"/>
            <w:vAlign w:val="bottom"/>
            <w:gridSpan w:val="9"/>
          </w:tcPr>
          <w:p>
            <w:pPr>
              <w:spacing w:after="0"/>
              <w:rPr>
                <w:sz w:val="14"/>
                <w:szCs w:val="14"/>
                <w:color w:val="auto"/>
              </w:rPr>
            </w:pPr>
          </w:p>
        </w:tc>
        <w:tc>
          <w:tcPr>
            <w:tcW w:w="28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47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900" w:type="dxa"/>
            <w:vAlign w:val="bottom"/>
            <w:gridSpan w:val="23"/>
            <w:shd w:val="clear" w:color="auto" w:fill="CCEEFF"/>
          </w:tcPr>
          <w:p>
            <w:pPr>
              <w:spacing w:after="0" w:line="169" w:lineRule="exact"/>
              <w:rPr>
                <w:sz w:val="20"/>
                <w:szCs w:val="20"/>
                <w:color w:val="auto"/>
              </w:rPr>
            </w:pPr>
            <w:r>
              <w:rPr>
                <w:rFonts w:ascii="Arial" w:cs="Arial" w:eastAsia="Arial" w:hAnsi="Arial"/>
                <w:sz w:val="18"/>
                <w:szCs w:val="18"/>
                <w:color w:val="0000EE"/>
              </w:rPr>
              <w:t>Additional Practices, Policies and Guidelines</w:t>
            </w: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54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140" w:type="dxa"/>
            <w:vAlign w:val="bottom"/>
            <w:tcBorders>
              <w:bottom w:val="single" w:sz="8" w:color="53C072"/>
            </w:tcBorders>
            <w:gridSpan w:val="16"/>
          </w:tcPr>
          <w:p>
            <w:pPr>
              <w:spacing w:after="0"/>
              <w:rPr>
                <w:sz w:val="20"/>
                <w:szCs w:val="20"/>
                <w:color w:val="auto"/>
              </w:rPr>
            </w:pPr>
            <w:r>
              <w:rPr>
                <w:rFonts w:ascii="Arial" w:cs="Arial" w:eastAsia="Arial" w:hAnsi="Arial"/>
                <w:sz w:val="22"/>
                <w:szCs w:val="22"/>
                <w:b w:val="1"/>
                <w:bCs w:val="1"/>
                <w:color w:val="53C072"/>
                <w:w w:val="97"/>
              </w:rPr>
              <w:t>Compensation and Leadership</w:t>
            </w:r>
          </w:p>
        </w:tc>
        <w:tc>
          <w:tcPr>
            <w:tcW w:w="94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3900" w:type="dxa"/>
            <w:vAlign w:val="bottom"/>
            <w:gridSpan w:val="23"/>
          </w:tcPr>
          <w:p>
            <w:pPr>
              <w:spacing w:after="0" w:line="209" w:lineRule="exact"/>
              <w:rPr>
                <w:sz w:val="20"/>
                <w:szCs w:val="20"/>
                <w:color w:val="auto"/>
              </w:rPr>
            </w:pPr>
            <w:r>
              <w:rPr>
                <w:rFonts w:ascii="Arial" w:cs="Arial" w:eastAsia="Arial" w:hAnsi="Arial"/>
                <w:sz w:val="22"/>
                <w:szCs w:val="22"/>
                <w:b w:val="1"/>
                <w:bCs w:val="1"/>
                <w:color w:val="53C072"/>
              </w:rPr>
              <w:t>Development Committee Report</w:t>
            </w:r>
            <w:r>
              <w:rPr>
                <w:rFonts w:ascii="Arial" w:cs="Arial" w:eastAsia="Arial" w:hAnsi="Arial"/>
                <w:sz w:val="17"/>
                <w:szCs w:val="17"/>
                <w:color w:val="000000"/>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56</w:t>
            </w:r>
          </w:p>
        </w:tc>
        <w:tc>
          <w:tcPr>
            <w:tcW w:w="0" w:type="dxa"/>
            <w:vAlign w:val="bottom"/>
          </w:tcPr>
          <w:p>
            <w:pPr>
              <w:spacing w:after="0"/>
              <w:rPr>
                <w:sz w:val="1"/>
                <w:szCs w:val="1"/>
                <w:color w:val="auto"/>
              </w:rPr>
            </w:pPr>
          </w:p>
        </w:tc>
      </w:tr>
      <w:tr>
        <w:trPr>
          <w:trHeight w:val="28"/>
        </w:trPr>
        <w:tc>
          <w:tcPr>
            <w:tcW w:w="180" w:type="dxa"/>
            <w:vAlign w:val="bottom"/>
            <w:tcBorders>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320" w:type="dxa"/>
            <w:vAlign w:val="bottom"/>
            <w:tcBorders>
              <w:top w:val="single" w:sz="8" w:color="53C072"/>
              <w:bottom w:val="single" w:sz="8" w:color="53C072"/>
            </w:tcBorders>
          </w:tcPr>
          <w:p>
            <w:pPr>
              <w:spacing w:after="0"/>
              <w:rPr>
                <w:sz w:val="2"/>
                <w:szCs w:val="2"/>
                <w:color w:val="auto"/>
              </w:rPr>
            </w:pPr>
          </w:p>
        </w:tc>
        <w:tc>
          <w:tcPr>
            <w:tcW w:w="380" w:type="dxa"/>
            <w:vAlign w:val="bottom"/>
            <w:tcBorders>
              <w:top w:val="single" w:sz="8" w:color="53C072"/>
              <w:bottom w:val="single" w:sz="8" w:color="53C072"/>
            </w:tcBorders>
          </w:tcPr>
          <w:p>
            <w:pPr>
              <w:spacing w:after="0"/>
              <w:rPr>
                <w:sz w:val="2"/>
                <w:szCs w:val="2"/>
                <w:color w:val="auto"/>
              </w:rPr>
            </w:pPr>
          </w:p>
        </w:tc>
        <w:tc>
          <w:tcPr>
            <w:tcW w:w="24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22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20" w:type="dxa"/>
            <w:vAlign w:val="bottom"/>
            <w:tcBorders>
              <w:top w:val="single" w:sz="8" w:color="53C072"/>
              <w:bottom w:val="single" w:sz="8" w:color="53C072"/>
            </w:tcBorders>
          </w:tcPr>
          <w:p>
            <w:pPr>
              <w:spacing w:after="0"/>
              <w:rPr>
                <w:sz w:val="2"/>
                <w:szCs w:val="2"/>
                <w:color w:val="auto"/>
              </w:rPr>
            </w:pPr>
          </w:p>
        </w:tc>
        <w:tc>
          <w:tcPr>
            <w:tcW w:w="6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4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60" w:type="dxa"/>
            <w:vAlign w:val="bottom"/>
            <w:tcBorders>
              <w:top w:val="single" w:sz="8" w:color="53C072"/>
              <w:bottom w:val="single" w:sz="8" w:color="53C072"/>
            </w:tcBorders>
          </w:tcPr>
          <w:p>
            <w:pPr>
              <w:spacing w:after="0"/>
              <w:rPr>
                <w:sz w:val="2"/>
                <w:szCs w:val="2"/>
                <w:color w:val="auto"/>
              </w:rPr>
            </w:pPr>
          </w:p>
        </w:tc>
        <w:tc>
          <w:tcPr>
            <w:tcW w:w="36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8"/>
        </w:trPr>
        <w:tc>
          <w:tcPr>
            <w:tcW w:w="4080" w:type="dxa"/>
            <w:vAlign w:val="bottom"/>
            <w:gridSpan w:val="24"/>
            <w:shd w:val="clear" w:color="auto" w:fill="CCEEFF"/>
          </w:tcPr>
          <w:p>
            <w:pPr>
              <w:spacing w:after="0"/>
              <w:rPr>
                <w:sz w:val="20"/>
                <w:szCs w:val="20"/>
                <w:color w:val="auto"/>
              </w:rPr>
            </w:pPr>
            <w:r>
              <w:rPr>
                <w:rFonts w:ascii="Arial" w:cs="Arial" w:eastAsia="Arial" w:hAnsi="Arial"/>
                <w:sz w:val="22"/>
                <w:szCs w:val="22"/>
                <w:b w:val="1"/>
                <w:bCs w:val="1"/>
                <w:color w:val="53C072"/>
                <w:shd w:val="clear" w:color="auto" w:fill="CCEEFF"/>
              </w:rPr>
              <w:t>Compensation of Executive Officers</w:t>
            </w:r>
            <w:r>
              <w:rPr>
                <w:rFonts w:ascii="Arial" w:cs="Arial" w:eastAsia="Arial" w:hAnsi="Arial"/>
                <w:sz w:val="17"/>
                <w:szCs w:val="17"/>
                <w:color w:val="000000"/>
                <w:shd w:val="clear" w:color="auto" w:fill="CCEEFF"/>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shd w:val="clear" w:color="auto" w:fill="CCEEFF"/>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320" w:type="dxa"/>
            <w:vAlign w:val="bottom"/>
            <w:tcBorders>
              <w:top w:val="single" w:sz="8" w:color="53C072"/>
            </w:tcBorders>
            <w:shd w:val="clear" w:color="auto" w:fill="53C072"/>
          </w:tcPr>
          <w:p>
            <w:pPr>
              <w:spacing w:after="0" w:line="20" w:lineRule="exact"/>
              <w:rPr>
                <w:sz w:val="1"/>
                <w:szCs w:val="1"/>
                <w:color w:val="auto"/>
              </w:rPr>
            </w:pPr>
          </w:p>
        </w:tc>
        <w:tc>
          <w:tcPr>
            <w:tcW w:w="3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22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3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2420" w:type="dxa"/>
            <w:vAlign w:val="bottom"/>
            <w:gridSpan w:val="10"/>
          </w:tcPr>
          <w:p>
            <w:pPr>
              <w:spacing w:after="0"/>
              <w:rPr>
                <w:sz w:val="20"/>
                <w:szCs w:val="20"/>
                <w:color w:val="auto"/>
              </w:rPr>
            </w:pPr>
            <w:r>
              <w:rPr>
                <w:rFonts w:ascii="Arial" w:cs="Arial" w:eastAsia="Arial" w:hAnsi="Arial"/>
                <w:sz w:val="18"/>
                <w:szCs w:val="18"/>
                <w:color w:val="0000EE"/>
                <w:w w:val="96"/>
              </w:rPr>
              <w:t>Summary Compensation Table</w:t>
            </w:r>
          </w:p>
        </w:tc>
        <w:tc>
          <w:tcPr>
            <w:tcW w:w="1480" w:type="dxa"/>
            <w:vAlign w:val="bottom"/>
            <w:gridSpan w:val="13"/>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57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040" w:type="dxa"/>
            <w:vAlign w:val="bottom"/>
            <w:tcBorders>
              <w:right w:val="single" w:sz="8" w:color="CCEEFF"/>
            </w:tcBorders>
            <w:gridSpan w:val="16"/>
            <w:shd w:val="clear" w:color="auto" w:fill="CCEEFF"/>
          </w:tcPr>
          <w:p>
            <w:pPr>
              <w:spacing w:after="0" w:line="169" w:lineRule="exact"/>
              <w:rPr>
                <w:sz w:val="20"/>
                <w:szCs w:val="20"/>
                <w:color w:val="auto"/>
              </w:rPr>
            </w:pPr>
            <w:r>
              <w:rPr>
                <w:rFonts w:ascii="Arial" w:cs="Arial" w:eastAsia="Arial" w:hAnsi="Arial"/>
                <w:sz w:val="18"/>
                <w:szCs w:val="18"/>
                <w:color w:val="0000EE"/>
                <w:w w:val="97"/>
              </w:rPr>
              <w:t>Equity Compensation Plan Information</w:t>
            </w:r>
          </w:p>
        </w:tc>
        <w:tc>
          <w:tcPr>
            <w:tcW w:w="860" w:type="dxa"/>
            <w:vAlign w:val="bottom"/>
            <w:gridSpan w:val="7"/>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58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040" w:type="dxa"/>
            <w:vAlign w:val="bottom"/>
            <w:gridSpan w:val="16"/>
          </w:tcPr>
          <w:p>
            <w:pPr>
              <w:spacing w:after="0" w:line="169" w:lineRule="exact"/>
              <w:rPr>
                <w:sz w:val="20"/>
                <w:szCs w:val="20"/>
                <w:color w:val="auto"/>
              </w:rPr>
            </w:pPr>
            <w:r>
              <w:rPr>
                <w:rFonts w:ascii="Arial" w:cs="Arial" w:eastAsia="Arial" w:hAnsi="Arial"/>
                <w:sz w:val="18"/>
                <w:szCs w:val="18"/>
                <w:color w:val="0000EE"/>
              </w:rPr>
              <w:t>Grants of Plan-Based Awards</w:t>
            </w:r>
          </w:p>
        </w:tc>
        <w:tc>
          <w:tcPr>
            <w:tcW w:w="860" w:type="dxa"/>
            <w:vAlign w:val="bottom"/>
            <w:gridSpan w:val="7"/>
          </w:tcPr>
          <w:p>
            <w:pPr>
              <w:spacing w:after="0"/>
              <w:rPr>
                <w:sz w:val="14"/>
                <w:szCs w:val="14"/>
                <w:color w:val="auto"/>
              </w:rPr>
            </w:pPr>
          </w:p>
        </w:tc>
        <w:tc>
          <w:tcPr>
            <w:tcW w:w="28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59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3620" w:type="dxa"/>
            <w:vAlign w:val="bottom"/>
            <w:tcBorders>
              <w:right w:val="single" w:sz="8" w:color="CCEEFF"/>
            </w:tcBorders>
            <w:gridSpan w:val="20"/>
            <w:shd w:val="clear" w:color="auto" w:fill="CCEEFF"/>
          </w:tcPr>
          <w:p>
            <w:pPr>
              <w:spacing w:after="0" w:line="169" w:lineRule="exact"/>
              <w:rPr>
                <w:sz w:val="20"/>
                <w:szCs w:val="20"/>
                <w:color w:val="auto"/>
              </w:rPr>
            </w:pPr>
            <w:r>
              <w:rPr>
                <w:rFonts w:ascii="Arial" w:cs="Arial" w:eastAsia="Arial" w:hAnsi="Arial"/>
                <w:sz w:val="18"/>
                <w:szCs w:val="18"/>
                <w:color w:val="0000EE"/>
                <w:w w:val="96"/>
              </w:rPr>
              <w:t>Outstanding Equity Awards at Fiscal Year-End</w:t>
            </w:r>
          </w:p>
        </w:tc>
        <w:tc>
          <w:tcPr>
            <w:tcW w:w="280" w:type="dxa"/>
            <w:vAlign w:val="bottom"/>
            <w:gridSpan w:val="3"/>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60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2760" w:type="dxa"/>
            <w:vAlign w:val="bottom"/>
            <w:gridSpan w:val="13"/>
          </w:tcPr>
          <w:p>
            <w:pPr>
              <w:spacing w:after="0" w:line="176" w:lineRule="exact"/>
              <w:rPr>
                <w:sz w:val="20"/>
                <w:szCs w:val="20"/>
                <w:color w:val="auto"/>
              </w:rPr>
            </w:pPr>
            <w:r>
              <w:rPr>
                <w:rFonts w:ascii="Arial" w:cs="Arial" w:eastAsia="Arial" w:hAnsi="Arial"/>
                <w:sz w:val="18"/>
                <w:szCs w:val="18"/>
                <w:color w:val="0000EE"/>
                <w:w w:val="96"/>
              </w:rPr>
              <w:t>Option Exercises and Stock Vested</w:t>
            </w:r>
          </w:p>
        </w:tc>
        <w:tc>
          <w:tcPr>
            <w:tcW w:w="860" w:type="dxa"/>
            <w:vAlign w:val="bottom"/>
            <w:gridSpan w:val="7"/>
          </w:tcPr>
          <w:p>
            <w:pPr>
              <w:spacing w:after="0"/>
              <w:rPr>
                <w:sz w:val="15"/>
                <w:szCs w:val="15"/>
                <w:color w:val="auto"/>
              </w:rPr>
            </w:pPr>
          </w:p>
        </w:tc>
        <w:tc>
          <w:tcPr>
            <w:tcW w:w="280" w:type="dxa"/>
            <w:vAlign w:val="bottom"/>
            <w:gridSpan w:val="3"/>
          </w:tcPr>
          <w:p>
            <w:pPr>
              <w:spacing w:after="0"/>
              <w:rPr>
                <w:sz w:val="15"/>
                <w:szCs w:val="15"/>
                <w:color w:val="auto"/>
              </w:rPr>
            </w:pP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0000EE"/>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2760" w:type="dxa"/>
            <w:vAlign w:val="bottom"/>
            <w:tcBorders>
              <w:right w:val="single" w:sz="8" w:color="CCEEFF"/>
            </w:tcBorders>
            <w:gridSpan w:val="13"/>
            <w:shd w:val="clear" w:color="auto" w:fill="CCEEFF"/>
          </w:tcPr>
          <w:p>
            <w:pPr>
              <w:spacing w:after="0" w:line="169" w:lineRule="exact"/>
              <w:rPr>
                <w:sz w:val="20"/>
                <w:szCs w:val="20"/>
                <w:color w:val="auto"/>
              </w:rPr>
            </w:pPr>
            <w:r>
              <w:rPr>
                <w:rFonts w:ascii="Arial" w:cs="Arial" w:eastAsia="Arial" w:hAnsi="Arial"/>
                <w:sz w:val="18"/>
                <w:szCs w:val="18"/>
                <w:color w:val="0000EE"/>
              </w:rPr>
              <w:t>Pension Benefits</w:t>
            </w:r>
          </w:p>
        </w:tc>
        <w:tc>
          <w:tcPr>
            <w:tcW w:w="1140" w:type="dxa"/>
            <w:vAlign w:val="bottom"/>
            <w:gridSpan w:val="10"/>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rPr>
              <w:t>61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900" w:type="dxa"/>
            <w:vAlign w:val="bottom"/>
            <w:gridSpan w:val="23"/>
          </w:tcPr>
          <w:p>
            <w:pPr>
              <w:spacing w:after="0" w:line="169" w:lineRule="exact"/>
              <w:rPr>
                <w:sz w:val="20"/>
                <w:szCs w:val="20"/>
                <w:color w:val="auto"/>
              </w:rPr>
            </w:pPr>
            <w:r>
              <w:rPr>
                <w:rFonts w:ascii="Arial" w:cs="Arial" w:eastAsia="Arial" w:hAnsi="Arial"/>
                <w:sz w:val="18"/>
                <w:szCs w:val="18"/>
                <w:color w:val="0000EE"/>
                <w:w w:val="99"/>
              </w:rPr>
              <w:t>Potential Payouts Upon Termination and Change</w:t>
            </w:r>
          </w:p>
        </w:tc>
        <w:tc>
          <w:tcPr>
            <w:tcW w:w="3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EE"/>
              </w:rPr>
              <w:t>62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820" w:type="dxa"/>
            <w:vAlign w:val="bottom"/>
            <w:tcBorders>
              <w:top w:val="single" w:sz="8" w:color="0000EE"/>
            </w:tcBorders>
            <w:gridSpan w:val="22"/>
          </w:tcPr>
          <w:p>
            <w:pPr>
              <w:ind w:left="180"/>
              <w:spacing w:after="0" w:line="196" w:lineRule="exact"/>
              <w:rPr>
                <w:sz w:val="20"/>
                <w:szCs w:val="20"/>
                <w:color w:val="auto"/>
              </w:rPr>
            </w:pPr>
            <w:r>
              <w:rPr>
                <w:rFonts w:ascii="Arial" w:cs="Arial" w:eastAsia="Arial" w:hAnsi="Arial"/>
                <w:sz w:val="18"/>
                <w:szCs w:val="18"/>
                <w:color w:val="0000EE"/>
              </w:rPr>
              <w:t>of Control</w:t>
            </w:r>
          </w:p>
        </w:tc>
        <w:tc>
          <w:tcPr>
            <w:tcW w:w="80" w:type="dxa"/>
            <w:vAlign w:val="bottom"/>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80" w:type="dxa"/>
            <w:vAlign w:val="bottom"/>
            <w:gridSpan w:val="24"/>
            <w:shd w:val="clear" w:color="auto" w:fill="CCEEFF"/>
          </w:tcPr>
          <w:p>
            <w:pPr>
              <w:spacing w:after="0"/>
              <w:rPr>
                <w:sz w:val="20"/>
                <w:szCs w:val="20"/>
                <w:color w:val="auto"/>
              </w:rPr>
            </w:pPr>
            <w:r>
              <w:rPr>
                <w:rFonts w:ascii="Arial" w:cs="Arial" w:eastAsia="Arial" w:hAnsi="Arial"/>
                <w:sz w:val="22"/>
                <w:szCs w:val="22"/>
                <w:b w:val="1"/>
                <w:bCs w:val="1"/>
                <w:color w:val="53C072"/>
              </w:rPr>
              <w:t>CEO Pay Ratio</w:t>
            </w:r>
            <w:r>
              <w:rPr>
                <w:rFonts w:ascii="Arial" w:cs="Arial" w:eastAsia="Arial" w:hAnsi="Arial"/>
                <w:sz w:val="17"/>
                <w:szCs w:val="17"/>
                <w:color w:val="000000"/>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320" w:type="dxa"/>
            <w:vAlign w:val="bottom"/>
            <w:tcBorders>
              <w:top w:val="single" w:sz="8" w:color="53C072"/>
            </w:tcBorders>
            <w:shd w:val="clear" w:color="auto" w:fill="53C072"/>
          </w:tcPr>
          <w:p>
            <w:pPr>
              <w:spacing w:after="0" w:line="20" w:lineRule="exact"/>
              <w:rPr>
                <w:sz w:val="1"/>
                <w:szCs w:val="1"/>
                <w:color w:val="auto"/>
              </w:rPr>
            </w:pPr>
          </w:p>
        </w:tc>
        <w:tc>
          <w:tcPr>
            <w:tcW w:w="3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CCEEFF"/>
            </w:tcBorders>
            <w:shd w:val="clear" w:color="auto" w:fill="53C072"/>
          </w:tcPr>
          <w:p>
            <w:pPr>
              <w:spacing w:after="0" w:line="20" w:lineRule="exact"/>
              <w:rPr>
                <w:sz w:val="1"/>
                <w:szCs w:val="1"/>
                <w:color w:val="auto"/>
              </w:rPr>
            </w:pPr>
          </w:p>
        </w:tc>
        <w:tc>
          <w:tcPr>
            <w:tcW w:w="100" w:type="dxa"/>
            <w:vAlign w:val="bottom"/>
            <w:tcBorders>
              <w:top w:val="single" w:sz="8" w:color="CCEEFF"/>
            </w:tcBorders>
            <w:shd w:val="clear" w:color="auto" w:fill="53C072"/>
          </w:tcPr>
          <w:p>
            <w:pPr>
              <w:spacing w:after="0" w:line="20" w:lineRule="exact"/>
              <w:rPr>
                <w:sz w:val="1"/>
                <w:szCs w:val="1"/>
                <w:color w:val="auto"/>
              </w:rPr>
            </w:pPr>
          </w:p>
        </w:tc>
        <w:tc>
          <w:tcPr>
            <w:tcW w:w="440" w:type="dxa"/>
            <w:vAlign w:val="bottom"/>
            <w:tcBorders>
              <w:top w:val="single" w:sz="8" w:color="CCEEFF"/>
            </w:tcBorders>
            <w:shd w:val="clear" w:color="auto" w:fill="53C072"/>
          </w:tcPr>
          <w:p>
            <w:pPr>
              <w:spacing w:after="0" w:line="20" w:lineRule="exact"/>
              <w:rPr>
                <w:sz w:val="1"/>
                <w:szCs w:val="1"/>
                <w:color w:val="auto"/>
              </w:rPr>
            </w:pPr>
          </w:p>
        </w:tc>
        <w:tc>
          <w:tcPr>
            <w:tcW w:w="22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60" w:type="dxa"/>
            <w:vAlign w:val="bottom"/>
            <w:tcBorders>
              <w:top w:val="single" w:sz="8" w:color="CCEEFF"/>
            </w:tcBorders>
            <w:shd w:val="clear" w:color="auto" w:fill="53C072"/>
          </w:tcPr>
          <w:p>
            <w:pPr>
              <w:spacing w:after="0" w:line="20" w:lineRule="exact"/>
              <w:rPr>
                <w:sz w:val="1"/>
                <w:szCs w:val="1"/>
                <w:color w:val="auto"/>
              </w:rPr>
            </w:pPr>
          </w:p>
        </w:tc>
        <w:tc>
          <w:tcPr>
            <w:tcW w:w="16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CCEEFF"/>
            </w:tcBorders>
            <w:shd w:val="clear" w:color="auto" w:fill="53C072"/>
          </w:tcPr>
          <w:p>
            <w:pPr>
              <w:spacing w:after="0" w:line="20" w:lineRule="exact"/>
              <w:rPr>
                <w:sz w:val="1"/>
                <w:szCs w:val="1"/>
                <w:color w:val="auto"/>
              </w:rPr>
            </w:pPr>
          </w:p>
        </w:tc>
        <w:tc>
          <w:tcPr>
            <w:tcW w:w="20" w:type="dxa"/>
            <w:vAlign w:val="bottom"/>
            <w:tcBorders>
              <w:top w:val="single" w:sz="8" w:color="CCEEFF"/>
            </w:tcBorders>
            <w:shd w:val="clear" w:color="auto" w:fill="53C072"/>
          </w:tcPr>
          <w:p>
            <w:pPr>
              <w:spacing w:after="0" w:line="20" w:lineRule="exact"/>
              <w:rPr>
                <w:sz w:val="1"/>
                <w:szCs w:val="1"/>
                <w:color w:val="auto"/>
              </w:rPr>
            </w:pPr>
          </w:p>
        </w:tc>
        <w:tc>
          <w:tcPr>
            <w:tcW w:w="60" w:type="dxa"/>
            <w:vAlign w:val="bottom"/>
            <w:tcBorders>
              <w:top w:val="single" w:sz="8" w:color="CCEEFF"/>
            </w:tcBorders>
            <w:shd w:val="clear" w:color="auto" w:fill="53C072"/>
          </w:tcPr>
          <w:p>
            <w:pPr>
              <w:spacing w:after="0" w:line="20" w:lineRule="exact"/>
              <w:rPr>
                <w:sz w:val="1"/>
                <w:szCs w:val="1"/>
                <w:color w:val="auto"/>
              </w:rPr>
            </w:pPr>
          </w:p>
        </w:tc>
        <w:tc>
          <w:tcPr>
            <w:tcW w:w="360" w:type="dxa"/>
            <w:vAlign w:val="bottom"/>
            <w:tcBorders>
              <w:top w:val="single" w:sz="8" w:color="CCEEFF"/>
              <w:right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080" w:type="dxa"/>
            <w:vAlign w:val="bottom"/>
            <w:gridSpan w:val="24"/>
          </w:tcPr>
          <w:p>
            <w:pPr>
              <w:spacing w:after="0"/>
              <w:rPr>
                <w:sz w:val="20"/>
                <w:szCs w:val="20"/>
                <w:color w:val="auto"/>
              </w:rPr>
            </w:pPr>
            <w:r>
              <w:rPr>
                <w:rFonts w:ascii="Arial" w:cs="Arial" w:eastAsia="Arial" w:hAnsi="Arial"/>
                <w:sz w:val="22"/>
                <w:szCs w:val="22"/>
                <w:b w:val="1"/>
                <w:bCs w:val="1"/>
                <w:color w:val="53C072"/>
              </w:rPr>
              <w:t>Pay Versus Performance</w:t>
            </w:r>
            <w:r>
              <w:rPr>
                <w:rFonts w:ascii="Arial" w:cs="Arial" w:eastAsia="Arial" w:hAnsi="Arial"/>
                <w:sz w:val="17"/>
                <w:szCs w:val="17"/>
                <w:color w:val="000000"/>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67</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320" w:type="dxa"/>
            <w:vAlign w:val="bottom"/>
            <w:tcBorders>
              <w:top w:val="single" w:sz="8" w:color="53C072"/>
              <w:bottom w:val="single" w:sz="8" w:color="53C072"/>
            </w:tcBorders>
          </w:tcPr>
          <w:p>
            <w:pPr>
              <w:spacing w:after="0"/>
              <w:rPr>
                <w:sz w:val="2"/>
                <w:szCs w:val="2"/>
                <w:color w:val="auto"/>
              </w:rPr>
            </w:pPr>
          </w:p>
        </w:tc>
        <w:tc>
          <w:tcPr>
            <w:tcW w:w="380" w:type="dxa"/>
            <w:vAlign w:val="bottom"/>
            <w:tcBorders>
              <w:top w:val="single" w:sz="8" w:color="53C072"/>
              <w:bottom w:val="single" w:sz="8" w:color="53C072"/>
            </w:tcBorders>
          </w:tcPr>
          <w:p>
            <w:pPr>
              <w:spacing w:after="0"/>
              <w:rPr>
                <w:sz w:val="2"/>
                <w:szCs w:val="2"/>
                <w:color w:val="auto"/>
              </w:rPr>
            </w:pPr>
          </w:p>
        </w:tc>
        <w:tc>
          <w:tcPr>
            <w:tcW w:w="24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22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36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940" w:type="dxa"/>
            <w:vAlign w:val="bottom"/>
            <w:tcBorders>
              <w:bottom w:val="single" w:sz="8" w:color="53C072"/>
              <w:right w:val="single" w:sz="8" w:color="CCEEFF"/>
            </w:tcBorders>
            <w:gridSpan w:val="14"/>
            <w:shd w:val="clear" w:color="auto" w:fill="CCEEFF"/>
          </w:tcPr>
          <w:p>
            <w:pPr>
              <w:spacing w:after="0"/>
              <w:rPr>
                <w:sz w:val="20"/>
                <w:szCs w:val="20"/>
                <w:color w:val="auto"/>
              </w:rPr>
            </w:pPr>
            <w:r>
              <w:rPr>
                <w:rFonts w:ascii="Arial" w:cs="Arial" w:eastAsia="Arial" w:hAnsi="Arial"/>
                <w:sz w:val="22"/>
                <w:szCs w:val="22"/>
                <w:b w:val="1"/>
                <w:bCs w:val="1"/>
                <w:color w:val="53C072"/>
                <w:w w:val="99"/>
              </w:rPr>
              <w:t>Proposal 3 — Ratification of</w:t>
            </w:r>
          </w:p>
        </w:tc>
        <w:tc>
          <w:tcPr>
            <w:tcW w:w="1140" w:type="dxa"/>
            <w:vAlign w:val="bottom"/>
            <w:tcBorders>
              <w:bottom w:val="single" w:sz="8" w:color="CCEEFF"/>
            </w:tcBorders>
            <w:gridSpan w:val="10"/>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3900" w:type="dxa"/>
            <w:vAlign w:val="bottom"/>
            <w:gridSpan w:val="23"/>
            <w:shd w:val="clear" w:color="auto" w:fill="CCEEFF"/>
          </w:tcPr>
          <w:p>
            <w:pPr>
              <w:spacing w:after="0" w:line="237" w:lineRule="exact"/>
              <w:rPr>
                <w:sz w:val="20"/>
                <w:szCs w:val="20"/>
                <w:color w:val="auto"/>
              </w:rPr>
            </w:pPr>
            <w:r>
              <w:rPr>
                <w:rFonts w:ascii="Arial" w:cs="Arial" w:eastAsia="Arial" w:hAnsi="Arial"/>
                <w:sz w:val="22"/>
                <w:szCs w:val="22"/>
                <w:b w:val="1"/>
                <w:bCs w:val="1"/>
                <w:color w:val="53C072"/>
              </w:rPr>
              <w:t>Appointment of Independent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0" w:type="dxa"/>
            <w:vAlign w:val="bottom"/>
            <w:tcBorders>
              <w:top w:val="single" w:sz="8" w:color="CCEEFF"/>
            </w:tcBorders>
            <w:shd w:val="clear" w:color="auto" w:fill="CCEEFF"/>
          </w:tcPr>
          <w:p>
            <w:pPr>
              <w:spacing w:after="0"/>
              <w:rPr>
                <w:sz w:val="23"/>
                <w:szCs w:val="23"/>
                <w:color w:val="auto"/>
              </w:rPr>
            </w:pPr>
          </w:p>
        </w:tc>
        <w:tc>
          <w:tcPr>
            <w:tcW w:w="3040" w:type="dxa"/>
            <w:vAlign w:val="bottom"/>
            <w:tcBorders>
              <w:top w:val="single" w:sz="8" w:color="53C072"/>
              <w:right w:val="single" w:sz="8" w:color="CCEEFF"/>
            </w:tcBorders>
            <w:gridSpan w:val="16"/>
            <w:shd w:val="clear" w:color="auto" w:fill="CCEEFF"/>
          </w:tcPr>
          <w:p>
            <w:pPr>
              <w:spacing w:after="0" w:line="223" w:lineRule="exact"/>
              <w:rPr>
                <w:sz w:val="20"/>
                <w:szCs w:val="20"/>
                <w:color w:val="auto"/>
              </w:rPr>
            </w:pPr>
            <w:r>
              <w:rPr>
                <w:rFonts w:ascii="Arial" w:cs="Arial" w:eastAsia="Arial" w:hAnsi="Arial"/>
                <w:sz w:val="22"/>
                <w:szCs w:val="22"/>
                <w:b w:val="1"/>
                <w:bCs w:val="1"/>
                <w:color w:val="53C072"/>
                <w:w w:val="95"/>
              </w:rPr>
              <w:t>Registered Public Accounting</w:t>
            </w:r>
          </w:p>
        </w:tc>
        <w:tc>
          <w:tcPr>
            <w:tcW w:w="860" w:type="dxa"/>
            <w:vAlign w:val="bottom"/>
            <w:tcBorders>
              <w:top w:val="single" w:sz="8" w:color="CCEEFF"/>
            </w:tcBorders>
            <w:gridSpan w:val="7"/>
            <w:shd w:val="clear" w:color="auto" w:fill="CCEEFF"/>
          </w:tcPr>
          <w:p>
            <w:pPr>
              <w:ind w:left="80"/>
              <w:spacing w:after="0" w:line="223" w:lineRule="exact"/>
              <w:rPr>
                <w:sz w:val="20"/>
                <w:szCs w:val="20"/>
                <w:color w:val="auto"/>
              </w:rPr>
            </w:pPr>
            <w:r>
              <w:rPr>
                <w:rFonts w:ascii="Arial" w:cs="Arial" w:eastAsia="Arial" w:hAnsi="Arial"/>
                <w:sz w:val="22"/>
                <w:szCs w:val="22"/>
                <w:b w:val="1"/>
                <w:bCs w:val="1"/>
                <w:color w:val="53C072"/>
              </w:rPr>
              <w:t>Firm</w:t>
            </w:r>
            <w:r>
              <w:rPr>
                <w:rFonts w:ascii="Arial" w:cs="Arial" w:eastAsia="Arial" w:hAnsi="Arial"/>
                <w:sz w:val="17"/>
                <w:szCs w:val="17"/>
                <w:color w:val="53C072"/>
              </w:rPr>
              <w:t>​</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000EE"/>
              </w:rPr>
              <w:t>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320" w:type="dxa"/>
            <w:vAlign w:val="bottom"/>
            <w:tcBorders>
              <w:top w:val="single" w:sz="8" w:color="53C072"/>
            </w:tcBorders>
            <w:shd w:val="clear" w:color="auto" w:fill="53C072"/>
          </w:tcPr>
          <w:p>
            <w:pPr>
              <w:spacing w:after="0" w:line="20" w:lineRule="exact"/>
              <w:rPr>
                <w:sz w:val="1"/>
                <w:szCs w:val="1"/>
                <w:color w:val="auto"/>
              </w:rPr>
            </w:pPr>
          </w:p>
        </w:tc>
        <w:tc>
          <w:tcPr>
            <w:tcW w:w="3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22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3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80" w:type="dxa"/>
            <w:vAlign w:val="bottom"/>
            <w:gridSpan w:val="24"/>
          </w:tcPr>
          <w:p>
            <w:pPr>
              <w:spacing w:after="0"/>
              <w:rPr>
                <w:sz w:val="20"/>
                <w:szCs w:val="20"/>
                <w:color w:val="auto"/>
              </w:rPr>
            </w:pPr>
            <w:r>
              <w:rPr>
                <w:rFonts w:ascii="Arial" w:cs="Arial" w:eastAsia="Arial" w:hAnsi="Arial"/>
                <w:sz w:val="22"/>
                <w:szCs w:val="22"/>
                <w:b w:val="1"/>
                <w:bCs w:val="1"/>
                <w:color w:val="53C072"/>
              </w:rPr>
              <w:t>Principal Accounting Firm Fees</w:t>
            </w:r>
            <w:r>
              <w:rPr>
                <w:rFonts w:ascii="Arial" w:cs="Arial" w:eastAsia="Arial" w:hAnsi="Arial"/>
                <w:sz w:val="17"/>
                <w:szCs w:val="17"/>
                <w:color w:val="000000"/>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72</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320" w:type="dxa"/>
            <w:vAlign w:val="bottom"/>
            <w:tcBorders>
              <w:top w:val="single" w:sz="8" w:color="53C072"/>
              <w:bottom w:val="single" w:sz="8" w:color="53C072"/>
            </w:tcBorders>
          </w:tcPr>
          <w:p>
            <w:pPr>
              <w:spacing w:after="0"/>
              <w:rPr>
                <w:sz w:val="2"/>
                <w:szCs w:val="2"/>
                <w:color w:val="auto"/>
              </w:rPr>
            </w:pPr>
          </w:p>
        </w:tc>
        <w:tc>
          <w:tcPr>
            <w:tcW w:w="380" w:type="dxa"/>
            <w:vAlign w:val="bottom"/>
            <w:tcBorders>
              <w:top w:val="single" w:sz="8" w:color="53C072"/>
              <w:bottom w:val="single" w:sz="8" w:color="53C072"/>
            </w:tcBorders>
          </w:tcPr>
          <w:p>
            <w:pPr>
              <w:spacing w:after="0"/>
              <w:rPr>
                <w:sz w:val="2"/>
                <w:szCs w:val="2"/>
                <w:color w:val="auto"/>
              </w:rPr>
            </w:pPr>
          </w:p>
        </w:tc>
        <w:tc>
          <w:tcPr>
            <w:tcW w:w="240" w:type="dxa"/>
            <w:vAlign w:val="bottom"/>
            <w:tcBorders>
              <w:top w:val="single" w:sz="8" w:color="53C072"/>
              <w:bottom w:val="single" w:sz="8" w:color="53C072"/>
            </w:tcBorders>
          </w:tcPr>
          <w:p>
            <w:pPr>
              <w:spacing w:after="0"/>
              <w:rPr>
                <w:sz w:val="2"/>
                <w:szCs w:val="2"/>
                <w:color w:val="auto"/>
              </w:rPr>
            </w:pPr>
          </w:p>
        </w:tc>
        <w:tc>
          <w:tcPr>
            <w:tcW w:w="10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22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20" w:type="dxa"/>
            <w:vAlign w:val="bottom"/>
            <w:tcBorders>
              <w:top w:val="single" w:sz="8" w:color="53C072"/>
              <w:bottom w:val="single" w:sz="8" w:color="53C072"/>
            </w:tcBorders>
          </w:tcPr>
          <w:p>
            <w:pPr>
              <w:spacing w:after="0"/>
              <w:rPr>
                <w:sz w:val="2"/>
                <w:szCs w:val="2"/>
                <w:color w:val="auto"/>
              </w:rPr>
            </w:pPr>
          </w:p>
        </w:tc>
        <w:tc>
          <w:tcPr>
            <w:tcW w:w="60" w:type="dxa"/>
            <w:vAlign w:val="bottom"/>
            <w:tcBorders>
              <w:top w:val="single" w:sz="8" w:color="53C072"/>
              <w:bottom w:val="single" w:sz="8" w:color="53C072"/>
            </w:tcBorders>
          </w:tcPr>
          <w:p>
            <w:pPr>
              <w:spacing w:after="0"/>
              <w:rPr>
                <w:sz w:val="2"/>
                <w:szCs w:val="2"/>
                <w:color w:val="auto"/>
              </w:rPr>
            </w:pPr>
          </w:p>
        </w:tc>
        <w:tc>
          <w:tcPr>
            <w:tcW w:w="16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20" w:type="dxa"/>
            <w:vAlign w:val="bottom"/>
            <w:tcBorders>
              <w:top w:val="single" w:sz="8" w:color="53C072"/>
              <w:bottom w:val="single" w:sz="8" w:color="53C072"/>
            </w:tcBorders>
          </w:tcPr>
          <w:p>
            <w:pPr>
              <w:spacing w:after="0"/>
              <w:rPr>
                <w:sz w:val="2"/>
                <w:szCs w:val="2"/>
                <w:color w:val="auto"/>
              </w:rPr>
            </w:pPr>
          </w:p>
        </w:tc>
        <w:tc>
          <w:tcPr>
            <w:tcW w:w="80" w:type="dxa"/>
            <w:vAlign w:val="bottom"/>
            <w:tcBorders>
              <w:top w:val="single" w:sz="8" w:color="53C072"/>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36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4080" w:type="dxa"/>
            <w:vAlign w:val="bottom"/>
            <w:gridSpan w:val="24"/>
            <w:shd w:val="clear" w:color="auto" w:fill="CCEEFF"/>
          </w:tcPr>
          <w:p>
            <w:pPr>
              <w:spacing w:after="0"/>
              <w:rPr>
                <w:sz w:val="20"/>
                <w:szCs w:val="20"/>
                <w:color w:val="auto"/>
              </w:rPr>
            </w:pPr>
            <w:r>
              <w:rPr>
                <w:rFonts w:ascii="Arial" w:cs="Arial" w:eastAsia="Arial" w:hAnsi="Arial"/>
                <w:sz w:val="22"/>
                <w:szCs w:val="22"/>
                <w:b w:val="1"/>
                <w:bCs w:val="1"/>
                <w:color w:val="53C072"/>
              </w:rPr>
              <w:t>Audit Committee Report</w:t>
            </w:r>
            <w:r>
              <w:rPr>
                <w:rFonts w:ascii="Arial" w:cs="Arial" w:eastAsia="Arial" w:hAnsi="Arial"/>
                <w:sz w:val="17"/>
                <w:szCs w:val="17"/>
                <w:color w:val="000000"/>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80" w:type="dxa"/>
            <w:vAlign w:val="bottom"/>
            <w:tcBorders>
              <w:top w:val="single" w:sz="8" w:color="53C072"/>
            </w:tcBorders>
            <w:gridSpan w:val="24"/>
          </w:tcPr>
          <w:p>
            <w:pPr>
              <w:spacing w:after="0"/>
              <w:rPr>
                <w:sz w:val="20"/>
                <w:szCs w:val="20"/>
                <w:color w:val="auto"/>
              </w:rPr>
            </w:pPr>
            <w:r>
              <w:rPr>
                <w:rFonts w:ascii="Arial" w:cs="Arial" w:eastAsia="Arial" w:hAnsi="Arial"/>
                <w:sz w:val="22"/>
                <w:szCs w:val="22"/>
                <w:b w:val="1"/>
                <w:bCs w:val="1"/>
                <w:color w:val="53C072"/>
              </w:rPr>
              <w:t>Shareholder Proposals and</w:t>
            </w:r>
          </w:p>
        </w:tc>
        <w:tc>
          <w:tcPr>
            <w:tcW w:w="80" w:type="dxa"/>
            <w:vAlign w:val="bottom"/>
            <w:tcBorders>
              <w:top w:val="single" w:sz="8" w:color="53C072"/>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53C072"/>
            </w:tcBorders>
          </w:tcPr>
          <w:p>
            <w:pPr>
              <w:spacing w:after="0"/>
              <w:rPr>
                <w:sz w:val="18"/>
                <w:szCs w:val="18"/>
                <w:color w:val="auto"/>
              </w:rPr>
            </w:pPr>
          </w:p>
        </w:tc>
        <w:tc>
          <w:tcPr>
            <w:tcW w:w="2600" w:type="dxa"/>
            <w:vAlign w:val="bottom"/>
            <w:tcBorders>
              <w:top w:val="single" w:sz="8" w:color="53C072"/>
              <w:bottom w:val="single" w:sz="8" w:color="53C072"/>
            </w:tcBorders>
            <w:gridSpan w:val="12"/>
          </w:tcPr>
          <w:p>
            <w:pPr>
              <w:spacing w:after="0" w:line="209" w:lineRule="exact"/>
              <w:rPr>
                <w:sz w:val="20"/>
                <w:szCs w:val="20"/>
                <w:color w:val="auto"/>
              </w:rPr>
            </w:pPr>
            <w:r>
              <w:rPr>
                <w:rFonts w:ascii="Arial" w:cs="Arial" w:eastAsia="Arial" w:hAnsi="Arial"/>
                <w:sz w:val="22"/>
                <w:szCs w:val="22"/>
                <w:b w:val="1"/>
                <w:bCs w:val="1"/>
                <w:color w:val="53C072"/>
              </w:rPr>
              <w:t>Nominations</w:t>
            </w:r>
          </w:p>
        </w:tc>
        <w:tc>
          <w:tcPr>
            <w:tcW w:w="1300" w:type="dxa"/>
            <w:vAlign w:val="bottom"/>
            <w:gridSpan w:val="11"/>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bottom w:val="single" w:sz="8" w:color="53C072"/>
            </w:tcBorders>
          </w:tcPr>
          <w:p>
            <w:pPr>
              <w:spacing w:after="0" w:line="20" w:lineRule="exact"/>
              <w:rPr>
                <w:sz w:val="1"/>
                <w:szCs w:val="1"/>
                <w:color w:val="auto"/>
              </w:rPr>
            </w:pPr>
          </w:p>
        </w:tc>
        <w:tc>
          <w:tcPr>
            <w:tcW w:w="44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380" w:type="dxa"/>
            <w:vAlign w:val="bottom"/>
            <w:tcBorders>
              <w:bottom w:val="single" w:sz="8" w:color="53C072"/>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Borders>
              <w:bottom w:val="single" w:sz="8" w:color="53C072"/>
            </w:tcBorders>
          </w:tcPr>
          <w:p>
            <w:pPr>
              <w:spacing w:after="0" w:line="20" w:lineRule="exact"/>
              <w:rPr>
                <w:sz w:val="1"/>
                <w:szCs w:val="1"/>
                <w:color w:val="auto"/>
              </w:rPr>
            </w:pPr>
          </w:p>
        </w:tc>
        <w:tc>
          <w:tcPr>
            <w:tcW w:w="180" w:type="dxa"/>
            <w:vAlign w:val="bottom"/>
            <w:tcBorders>
              <w:bottom w:val="single" w:sz="8" w:color="53C072"/>
            </w:tcBorders>
          </w:tcPr>
          <w:p>
            <w:pPr>
              <w:spacing w:after="0" w:line="20" w:lineRule="exact"/>
              <w:rPr>
                <w:sz w:val="1"/>
                <w:szCs w:val="1"/>
                <w:color w:val="auto"/>
              </w:rPr>
            </w:pPr>
          </w:p>
        </w:tc>
        <w:tc>
          <w:tcPr>
            <w:tcW w:w="440" w:type="dxa"/>
            <w:vAlign w:val="bottom"/>
            <w:tcBorders>
              <w:bottom w:val="single" w:sz="8" w:color="53C072"/>
            </w:tcBorders>
          </w:tcPr>
          <w:p>
            <w:pPr>
              <w:spacing w:after="0" w:line="20" w:lineRule="exact"/>
              <w:rPr>
                <w:sz w:val="1"/>
                <w:szCs w:val="1"/>
                <w:color w:val="auto"/>
              </w:rPr>
            </w:pPr>
          </w:p>
        </w:tc>
        <w:tc>
          <w:tcPr>
            <w:tcW w:w="320" w:type="dxa"/>
            <w:vAlign w:val="bottom"/>
            <w:tcBorders>
              <w:bottom w:val="single" w:sz="8" w:color="53C072"/>
            </w:tcBorders>
          </w:tcPr>
          <w:p>
            <w:pPr>
              <w:spacing w:after="0" w:line="20" w:lineRule="exact"/>
              <w:rPr>
                <w:sz w:val="1"/>
                <w:szCs w:val="1"/>
                <w:color w:val="auto"/>
              </w:rPr>
            </w:pPr>
          </w:p>
        </w:tc>
        <w:tc>
          <w:tcPr>
            <w:tcW w:w="380" w:type="dxa"/>
            <w:vAlign w:val="bottom"/>
            <w:tcBorders>
              <w:bottom w:val="single" w:sz="8" w:color="53C072"/>
            </w:tcBorders>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100" w:type="dxa"/>
            <w:vAlign w:val="bottom"/>
            <w:tcBorders>
              <w:bottom w:val="single" w:sz="8" w:color="53C072"/>
            </w:tcBorders>
          </w:tcPr>
          <w:p>
            <w:pPr>
              <w:spacing w:after="0" w:line="20" w:lineRule="exact"/>
              <w:rPr>
                <w:sz w:val="1"/>
                <w:szCs w:val="1"/>
                <w:color w:val="auto"/>
              </w:rPr>
            </w:pPr>
          </w:p>
        </w:tc>
        <w:tc>
          <w:tcPr>
            <w:tcW w:w="440" w:type="dxa"/>
            <w:vAlign w:val="bottom"/>
            <w:tcBorders>
              <w:bottom w:val="single" w:sz="8" w:color="53C072"/>
            </w:tcBorders>
          </w:tcPr>
          <w:p>
            <w:pPr>
              <w:spacing w:after="0" w:line="20" w:lineRule="exact"/>
              <w:rPr>
                <w:sz w:val="1"/>
                <w:szCs w:val="1"/>
                <w:color w:val="auto"/>
              </w:rPr>
            </w:pPr>
          </w:p>
        </w:tc>
        <w:tc>
          <w:tcPr>
            <w:tcW w:w="22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160" w:type="dxa"/>
            <w:vAlign w:val="bottom"/>
            <w:tcBorders>
              <w:bottom w:val="single" w:sz="8" w:color="53C072"/>
            </w:tcBorders>
          </w:tcPr>
          <w:p>
            <w:pPr>
              <w:spacing w:after="0" w:line="20" w:lineRule="exact"/>
              <w:rPr>
                <w:sz w:val="1"/>
                <w:szCs w:val="1"/>
                <w:color w:val="auto"/>
              </w:rPr>
            </w:pPr>
          </w:p>
        </w:tc>
        <w:tc>
          <w:tcPr>
            <w:tcW w:w="18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140" w:type="dxa"/>
            <w:vAlign w:val="bottom"/>
            <w:tcBorders>
              <w:bottom w:val="single" w:sz="8" w:color="53C072"/>
            </w:tcBorders>
          </w:tcPr>
          <w:p>
            <w:pPr>
              <w:spacing w:after="0" w:line="20" w:lineRule="exact"/>
              <w:rPr>
                <w:sz w:val="1"/>
                <w:szCs w:val="1"/>
                <w:color w:val="auto"/>
              </w:rPr>
            </w:pPr>
          </w:p>
        </w:tc>
        <w:tc>
          <w:tcPr>
            <w:tcW w:w="20" w:type="dxa"/>
            <w:vAlign w:val="bottom"/>
            <w:tcBorders>
              <w:bottom w:val="single" w:sz="8" w:color="53C072"/>
            </w:tcBorders>
          </w:tcPr>
          <w:p>
            <w:pPr>
              <w:spacing w:after="0" w:line="20" w:lineRule="exact"/>
              <w:rPr>
                <w:sz w:val="1"/>
                <w:szCs w:val="1"/>
                <w:color w:val="auto"/>
              </w:rPr>
            </w:pPr>
          </w:p>
        </w:tc>
        <w:tc>
          <w:tcPr>
            <w:tcW w:w="60" w:type="dxa"/>
            <w:vAlign w:val="bottom"/>
            <w:tcBorders>
              <w:bottom w:val="single" w:sz="8" w:color="53C072"/>
            </w:tcBorders>
          </w:tcPr>
          <w:p>
            <w:pPr>
              <w:spacing w:after="0" w:line="20" w:lineRule="exact"/>
              <w:rPr>
                <w:sz w:val="1"/>
                <w:szCs w:val="1"/>
                <w:color w:val="auto"/>
              </w:rPr>
            </w:pPr>
          </w:p>
        </w:tc>
        <w:tc>
          <w:tcPr>
            <w:tcW w:w="360" w:type="dxa"/>
            <w:vAlign w:val="bottom"/>
            <w:tcBorders>
              <w:bottom w:val="single" w:sz="8" w:color="53C072"/>
            </w:tcBorders>
          </w:tcPr>
          <w:p>
            <w:pPr>
              <w:spacing w:after="0" w:line="20" w:lineRule="exact"/>
              <w:rPr>
                <w:sz w:val="1"/>
                <w:szCs w:val="1"/>
                <w:color w:val="auto"/>
              </w:rPr>
            </w:pPr>
          </w:p>
        </w:tc>
        <w:tc>
          <w:tcPr>
            <w:tcW w:w="12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80" w:type="dxa"/>
            <w:vAlign w:val="bottom"/>
            <w:tcBorders>
              <w:bottom w:val="single" w:sz="8" w:color="53C072"/>
            </w:tcBorders>
          </w:tcPr>
          <w:p>
            <w:pPr>
              <w:spacing w:after="0" w:line="20" w:lineRule="exact"/>
              <w:rPr>
                <w:sz w:val="1"/>
                <w:szCs w:val="1"/>
                <w:color w:val="auto"/>
              </w:rPr>
            </w:pPr>
          </w:p>
        </w:tc>
        <w:tc>
          <w:tcPr>
            <w:tcW w:w="200" w:type="dxa"/>
            <w:vAlign w:val="bottom"/>
            <w:tcBorders>
              <w:bottom w:val="single" w:sz="8" w:color="53C0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80" w:type="dxa"/>
            <w:vAlign w:val="bottom"/>
            <w:tcBorders>
              <w:bottom w:val="single" w:sz="8" w:color="53C072"/>
            </w:tcBorders>
            <w:gridSpan w:val="24"/>
            <w:shd w:val="clear" w:color="auto" w:fill="CCEEFF"/>
          </w:tcPr>
          <w:p>
            <w:pPr>
              <w:spacing w:after="0"/>
              <w:rPr>
                <w:sz w:val="20"/>
                <w:szCs w:val="20"/>
                <w:color w:val="auto"/>
              </w:rPr>
            </w:pPr>
            <w:r>
              <w:rPr>
                <w:rFonts w:ascii="Arial" w:cs="Arial" w:eastAsia="Arial" w:hAnsi="Arial"/>
                <w:sz w:val="22"/>
                <w:szCs w:val="22"/>
                <w:b w:val="1"/>
                <w:bCs w:val="1"/>
                <w:color w:val="53C072"/>
                <w:w w:val="98"/>
              </w:rPr>
              <w:t>Delivery of Documents to Shareholders</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3900" w:type="dxa"/>
            <w:vAlign w:val="bottom"/>
            <w:gridSpan w:val="23"/>
            <w:shd w:val="clear" w:color="auto" w:fill="CCEEFF"/>
          </w:tcPr>
          <w:p>
            <w:pPr>
              <w:spacing w:after="0" w:line="209" w:lineRule="exact"/>
              <w:rPr>
                <w:sz w:val="20"/>
                <w:szCs w:val="20"/>
                <w:color w:val="auto"/>
              </w:rPr>
            </w:pPr>
            <w:r>
              <w:rPr>
                <w:rFonts w:ascii="Arial" w:cs="Arial" w:eastAsia="Arial" w:hAnsi="Arial"/>
                <w:sz w:val="22"/>
                <w:szCs w:val="22"/>
                <w:b w:val="1"/>
                <w:bCs w:val="1"/>
                <w:color w:val="53C072"/>
              </w:rPr>
              <w:t>with Same Last Name and Address</w:t>
            </w:r>
            <w:r>
              <w:rPr>
                <w:rFonts w:ascii="Arial" w:cs="Arial" w:eastAsia="Arial" w:hAnsi="Arial"/>
                <w:sz w:val="17"/>
                <w:szCs w:val="17"/>
                <w:color w:val="000000"/>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75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320" w:type="dxa"/>
            <w:vAlign w:val="bottom"/>
            <w:tcBorders>
              <w:top w:val="single" w:sz="8" w:color="53C072"/>
            </w:tcBorders>
            <w:shd w:val="clear" w:color="auto" w:fill="53C072"/>
          </w:tcPr>
          <w:p>
            <w:pPr>
              <w:spacing w:after="0" w:line="20" w:lineRule="exact"/>
              <w:rPr>
                <w:sz w:val="1"/>
                <w:szCs w:val="1"/>
                <w:color w:val="auto"/>
              </w:rPr>
            </w:pPr>
          </w:p>
        </w:tc>
        <w:tc>
          <w:tcPr>
            <w:tcW w:w="3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40" w:type="dxa"/>
            <w:vAlign w:val="bottom"/>
            <w:tcBorders>
              <w:top w:val="single" w:sz="8" w:color="53C072"/>
            </w:tcBorders>
            <w:shd w:val="clear" w:color="auto" w:fill="53C072"/>
          </w:tcPr>
          <w:p>
            <w:pPr>
              <w:spacing w:after="0" w:line="20" w:lineRule="exact"/>
              <w:rPr>
                <w:sz w:val="1"/>
                <w:szCs w:val="1"/>
                <w:color w:val="auto"/>
              </w:rPr>
            </w:pPr>
          </w:p>
        </w:tc>
        <w:tc>
          <w:tcPr>
            <w:tcW w:w="100" w:type="dxa"/>
            <w:vAlign w:val="bottom"/>
            <w:tcBorders>
              <w:top w:val="single" w:sz="8" w:color="53C072"/>
            </w:tcBorders>
            <w:shd w:val="clear" w:color="auto" w:fill="53C072"/>
          </w:tcPr>
          <w:p>
            <w:pPr>
              <w:spacing w:after="0" w:line="20" w:lineRule="exact"/>
              <w:rPr>
                <w:sz w:val="1"/>
                <w:szCs w:val="1"/>
                <w:color w:val="auto"/>
              </w:rPr>
            </w:pPr>
          </w:p>
        </w:tc>
        <w:tc>
          <w:tcPr>
            <w:tcW w:w="440" w:type="dxa"/>
            <w:vAlign w:val="bottom"/>
            <w:tcBorders>
              <w:top w:val="single" w:sz="8" w:color="53C072"/>
            </w:tcBorders>
            <w:shd w:val="clear" w:color="auto" w:fill="53C072"/>
          </w:tcPr>
          <w:p>
            <w:pPr>
              <w:spacing w:after="0" w:line="20" w:lineRule="exact"/>
              <w:rPr>
                <w:sz w:val="1"/>
                <w:szCs w:val="1"/>
                <w:color w:val="auto"/>
              </w:rPr>
            </w:pPr>
          </w:p>
        </w:tc>
        <w:tc>
          <w:tcPr>
            <w:tcW w:w="22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1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8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8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40" w:type="dxa"/>
            <w:vAlign w:val="bottom"/>
            <w:tcBorders>
              <w:top w:val="single" w:sz="8" w:color="53C072"/>
            </w:tcBorders>
            <w:shd w:val="clear" w:color="auto" w:fill="53C072"/>
          </w:tcPr>
          <w:p>
            <w:pPr>
              <w:spacing w:after="0" w:line="20" w:lineRule="exact"/>
              <w:rPr>
                <w:sz w:val="1"/>
                <w:szCs w:val="1"/>
                <w:color w:val="auto"/>
              </w:rPr>
            </w:pPr>
          </w:p>
        </w:tc>
        <w:tc>
          <w:tcPr>
            <w:tcW w:w="20" w:type="dxa"/>
            <w:vAlign w:val="bottom"/>
            <w:tcBorders>
              <w:top w:val="single" w:sz="8" w:color="53C072"/>
            </w:tcBorders>
            <w:shd w:val="clear" w:color="auto" w:fill="53C072"/>
          </w:tcPr>
          <w:p>
            <w:pPr>
              <w:spacing w:after="0" w:line="20" w:lineRule="exact"/>
              <w:rPr>
                <w:sz w:val="1"/>
                <w:szCs w:val="1"/>
                <w:color w:val="auto"/>
              </w:rPr>
            </w:pPr>
          </w:p>
        </w:tc>
        <w:tc>
          <w:tcPr>
            <w:tcW w:w="60" w:type="dxa"/>
            <w:vAlign w:val="bottom"/>
            <w:tcBorders>
              <w:top w:val="single" w:sz="8" w:color="53C072"/>
            </w:tcBorders>
            <w:shd w:val="clear" w:color="auto" w:fill="53C072"/>
          </w:tcPr>
          <w:p>
            <w:pPr>
              <w:spacing w:after="0" w:line="20" w:lineRule="exact"/>
              <w:rPr>
                <w:sz w:val="1"/>
                <w:szCs w:val="1"/>
                <w:color w:val="auto"/>
              </w:rPr>
            </w:pPr>
          </w:p>
        </w:tc>
        <w:tc>
          <w:tcPr>
            <w:tcW w:w="360" w:type="dxa"/>
            <w:vAlign w:val="bottom"/>
            <w:tcBorders>
              <w:top w:val="single" w:sz="8" w:color="53C072"/>
              <w:right w:val="single" w:sz="8" w:color="53C072"/>
            </w:tcBorders>
            <w:shd w:val="clear" w:color="auto" w:fill="53C072"/>
          </w:tcPr>
          <w:p>
            <w:pPr>
              <w:spacing w:after="0" w:line="20" w:lineRule="exact"/>
              <w:rPr>
                <w:sz w:val="1"/>
                <w:szCs w:val="1"/>
                <w:color w:val="auto"/>
              </w:rPr>
            </w:pPr>
          </w:p>
        </w:tc>
        <w:tc>
          <w:tcPr>
            <w:tcW w:w="12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80" w:type="dxa"/>
            <w:vAlign w:val="bottom"/>
            <w:tcBorders>
              <w:top w:val="single" w:sz="8" w:color="CCEEFF"/>
            </w:tcBorders>
            <w:shd w:val="clear" w:color="auto" w:fill="53C072"/>
          </w:tcPr>
          <w:p>
            <w:pPr>
              <w:spacing w:after="0" w:line="20" w:lineRule="exact"/>
              <w:rPr>
                <w:sz w:val="1"/>
                <w:szCs w:val="1"/>
                <w:color w:val="auto"/>
              </w:rPr>
            </w:pPr>
          </w:p>
        </w:tc>
        <w:tc>
          <w:tcPr>
            <w:tcW w:w="200" w:type="dxa"/>
            <w:vAlign w:val="bottom"/>
            <w:tcBorders>
              <w:top w:val="single" w:sz="8" w:color="0000EE"/>
            </w:tcBorders>
            <w:shd w:val="clear" w:color="auto" w:fill="53C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80" w:type="dxa"/>
            <w:vAlign w:val="bottom"/>
            <w:gridSpan w:val="24"/>
          </w:tcPr>
          <w:p>
            <w:pPr>
              <w:spacing w:after="0"/>
              <w:rPr>
                <w:sz w:val="20"/>
                <w:szCs w:val="20"/>
                <w:color w:val="auto"/>
              </w:rPr>
            </w:pPr>
            <w:r>
              <w:rPr>
                <w:rFonts w:ascii="Arial" w:cs="Arial" w:eastAsia="Arial" w:hAnsi="Arial"/>
                <w:sz w:val="22"/>
                <w:szCs w:val="22"/>
                <w:b w:val="1"/>
                <w:bCs w:val="1"/>
                <w:color w:val="53C072"/>
              </w:rPr>
              <w:t>General</w:t>
            </w:r>
            <w:r>
              <w:rPr>
                <w:rFonts w:ascii="Arial" w:cs="Arial" w:eastAsia="Arial" w:hAnsi="Arial"/>
                <w:sz w:val="17"/>
                <w:szCs w:val="17"/>
                <w:color w:val="000000"/>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0000EE"/>
              </w:rPr>
              <w:t>75</w:t>
            </w:r>
          </w:p>
        </w:tc>
        <w:tc>
          <w:tcPr>
            <w:tcW w:w="0" w:type="dxa"/>
            <w:vAlign w:val="bottom"/>
          </w:tcPr>
          <w:p>
            <w:pPr>
              <w:spacing w:after="0"/>
              <w:rPr>
                <w:sz w:val="1"/>
                <w:szCs w:val="1"/>
                <w:color w:val="auto"/>
              </w:rPr>
            </w:pPr>
          </w:p>
        </w:tc>
      </w:tr>
      <w:tr>
        <w:trPr>
          <w:trHeight w:val="34"/>
        </w:trPr>
        <w:tc>
          <w:tcPr>
            <w:tcW w:w="180" w:type="dxa"/>
            <w:vAlign w:val="bottom"/>
            <w:tcBorders>
              <w:top w:val="single" w:sz="8" w:color="53C072"/>
              <w:bottom w:val="single" w:sz="8" w:color="53C072"/>
            </w:tcBorders>
          </w:tcPr>
          <w:p>
            <w:pPr>
              <w:spacing w:after="0"/>
              <w:rPr>
                <w:sz w:val="2"/>
                <w:szCs w:val="2"/>
                <w:color w:val="auto"/>
              </w:rPr>
            </w:pPr>
          </w:p>
        </w:tc>
        <w:tc>
          <w:tcPr>
            <w:tcW w:w="180" w:type="dxa"/>
            <w:vAlign w:val="bottom"/>
            <w:tcBorders>
              <w:top w:val="single" w:sz="8" w:color="53C072"/>
              <w:bottom w:val="single" w:sz="8" w:color="53C072"/>
            </w:tcBorders>
          </w:tcPr>
          <w:p>
            <w:pPr>
              <w:spacing w:after="0"/>
              <w:rPr>
                <w:sz w:val="2"/>
                <w:szCs w:val="2"/>
                <w:color w:val="auto"/>
              </w:rPr>
            </w:pPr>
          </w:p>
        </w:tc>
        <w:tc>
          <w:tcPr>
            <w:tcW w:w="440" w:type="dxa"/>
            <w:vAlign w:val="bottom"/>
            <w:tcBorders>
              <w:top w:val="single" w:sz="8" w:color="53C072"/>
              <w:bottom w:val="single" w:sz="8" w:color="53C072"/>
            </w:tcBorders>
          </w:tcPr>
          <w:p>
            <w:pPr>
              <w:spacing w:after="0"/>
              <w:rPr>
                <w:sz w:val="2"/>
                <w:szCs w:val="2"/>
                <w:color w:val="auto"/>
              </w:rPr>
            </w:pPr>
          </w:p>
        </w:tc>
        <w:tc>
          <w:tcPr>
            <w:tcW w:w="320" w:type="dxa"/>
            <w:vAlign w:val="bottom"/>
            <w:tcBorders>
              <w:bottom w:val="single" w:sz="8" w:color="53C072"/>
            </w:tcBorders>
          </w:tcPr>
          <w:p>
            <w:pPr>
              <w:spacing w:after="0"/>
              <w:rPr>
                <w:sz w:val="2"/>
                <w:szCs w:val="2"/>
                <w:color w:val="auto"/>
              </w:rPr>
            </w:pPr>
          </w:p>
        </w:tc>
        <w:tc>
          <w:tcPr>
            <w:tcW w:w="380" w:type="dxa"/>
            <w:vAlign w:val="bottom"/>
            <w:tcBorders>
              <w:bottom w:val="single" w:sz="8" w:color="53C072"/>
            </w:tcBorders>
          </w:tcPr>
          <w:p>
            <w:pPr>
              <w:spacing w:after="0"/>
              <w:rPr>
                <w:sz w:val="2"/>
                <w:szCs w:val="2"/>
                <w:color w:val="auto"/>
              </w:rPr>
            </w:pPr>
          </w:p>
        </w:tc>
        <w:tc>
          <w:tcPr>
            <w:tcW w:w="2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440" w:type="dxa"/>
            <w:vAlign w:val="bottom"/>
            <w:tcBorders>
              <w:bottom w:val="single" w:sz="8" w:color="53C072"/>
            </w:tcBorders>
          </w:tcPr>
          <w:p>
            <w:pPr>
              <w:spacing w:after="0"/>
              <w:rPr>
                <w:sz w:val="2"/>
                <w:szCs w:val="2"/>
                <w:color w:val="auto"/>
              </w:rPr>
            </w:pPr>
          </w:p>
        </w:tc>
        <w:tc>
          <w:tcPr>
            <w:tcW w:w="22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160" w:type="dxa"/>
            <w:vAlign w:val="bottom"/>
            <w:tcBorders>
              <w:bottom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60" w:type="dxa"/>
            <w:vAlign w:val="bottom"/>
            <w:tcBorders>
              <w:bottom w:val="single" w:sz="8" w:color="53C072"/>
            </w:tcBorders>
          </w:tcPr>
          <w:p>
            <w:pPr>
              <w:spacing w:after="0"/>
              <w:rPr>
                <w:sz w:val="2"/>
                <w:szCs w:val="2"/>
                <w:color w:val="auto"/>
              </w:rPr>
            </w:pPr>
          </w:p>
        </w:tc>
        <w:tc>
          <w:tcPr>
            <w:tcW w:w="360" w:type="dxa"/>
            <w:vAlign w:val="bottom"/>
            <w:tcBorders>
              <w:bottom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00" w:type="dxa"/>
            <w:vAlign w:val="bottom"/>
            <w:tcBorders>
              <w:top w:val="single" w:sz="8" w:color="0000EE"/>
              <w:bottom w:val="single" w:sz="8" w:color="53C07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800" w:type="dxa"/>
            <w:vAlign w:val="bottom"/>
            <w:tcBorders>
              <w:bottom w:val="single" w:sz="8" w:color="53C072"/>
              <w:right w:val="single" w:sz="8" w:color="CCEEFF"/>
            </w:tcBorders>
            <w:gridSpan w:val="21"/>
            <w:shd w:val="clear" w:color="auto" w:fill="CCEEFF"/>
          </w:tcPr>
          <w:p>
            <w:pPr>
              <w:spacing w:after="0"/>
              <w:rPr>
                <w:sz w:val="20"/>
                <w:szCs w:val="20"/>
                <w:color w:val="auto"/>
              </w:rPr>
            </w:pPr>
            <w:r>
              <w:rPr>
                <w:rFonts w:ascii="Arial" w:cs="Arial" w:eastAsia="Arial" w:hAnsi="Arial"/>
                <w:sz w:val="22"/>
                <w:szCs w:val="22"/>
                <w:b w:val="1"/>
                <w:bCs w:val="1"/>
                <w:color w:val="53C072"/>
                <w:w w:val="97"/>
              </w:rPr>
              <w:t>Appendix A — Reconciliation of Non-</w:t>
            </w:r>
          </w:p>
        </w:tc>
        <w:tc>
          <w:tcPr>
            <w:tcW w:w="280" w:type="dxa"/>
            <w:vAlign w:val="bottom"/>
            <w:tcBorders>
              <w:bottom w:val="single" w:sz="8" w:color="CCEEFF"/>
            </w:tcBorders>
            <w:gridSpan w:val="3"/>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3900" w:type="dxa"/>
            <w:vAlign w:val="bottom"/>
            <w:gridSpan w:val="23"/>
            <w:shd w:val="clear" w:color="auto" w:fill="CCEEFF"/>
          </w:tcPr>
          <w:p>
            <w:pPr>
              <w:spacing w:after="0" w:line="209" w:lineRule="exact"/>
              <w:rPr>
                <w:sz w:val="20"/>
                <w:szCs w:val="20"/>
                <w:color w:val="auto"/>
              </w:rPr>
            </w:pPr>
            <w:r>
              <w:rPr>
                <w:rFonts w:ascii="Arial" w:cs="Arial" w:eastAsia="Arial" w:hAnsi="Arial"/>
                <w:sz w:val="22"/>
                <w:szCs w:val="22"/>
                <w:b w:val="1"/>
                <w:bCs w:val="1"/>
                <w:color w:val="53C072"/>
              </w:rPr>
              <w:t>GAAP Measures</w:t>
            </w:r>
            <w:r>
              <w:rPr>
                <w:rFonts w:ascii="Arial" w:cs="Arial" w:eastAsia="Arial" w:hAnsi="Arial"/>
                <w:sz w:val="17"/>
                <w:szCs w:val="17"/>
                <w:color w:val="53C072"/>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80" w:type="dxa"/>
            <w:vAlign w:val="bottom"/>
            <w:tcBorders>
              <w:top w:val="single" w:sz="8" w:color="CCEEFF"/>
              <w:bottom w:val="single" w:sz="8" w:color="53C072"/>
            </w:tcBorders>
            <w:shd w:val="clear" w:color="auto" w:fill="CCEEFF"/>
          </w:tcPr>
          <w:p>
            <w:pPr>
              <w:spacing w:after="0"/>
              <w:rPr>
                <w:sz w:val="10"/>
                <w:szCs w:val="10"/>
                <w:color w:val="auto"/>
              </w:rPr>
            </w:pPr>
          </w:p>
        </w:tc>
        <w:tc>
          <w:tcPr>
            <w:tcW w:w="180" w:type="dxa"/>
            <w:vAlign w:val="bottom"/>
            <w:tcBorders>
              <w:top w:val="single" w:sz="8" w:color="53C072"/>
              <w:bottom w:val="single" w:sz="8" w:color="53C072"/>
            </w:tcBorders>
            <w:shd w:val="clear" w:color="auto" w:fill="CCEEFF"/>
          </w:tcPr>
          <w:p>
            <w:pPr>
              <w:spacing w:after="0"/>
              <w:rPr>
                <w:sz w:val="10"/>
                <w:szCs w:val="10"/>
                <w:color w:val="auto"/>
              </w:rPr>
            </w:pPr>
          </w:p>
        </w:tc>
        <w:tc>
          <w:tcPr>
            <w:tcW w:w="440" w:type="dxa"/>
            <w:vAlign w:val="bottom"/>
            <w:tcBorders>
              <w:top w:val="single" w:sz="8" w:color="53C072"/>
              <w:bottom w:val="single" w:sz="8" w:color="53C072"/>
            </w:tcBorders>
            <w:shd w:val="clear" w:color="auto" w:fill="CCEEFF"/>
          </w:tcPr>
          <w:p>
            <w:pPr>
              <w:spacing w:after="0"/>
              <w:rPr>
                <w:sz w:val="10"/>
                <w:szCs w:val="10"/>
                <w:color w:val="auto"/>
              </w:rPr>
            </w:pPr>
          </w:p>
        </w:tc>
        <w:tc>
          <w:tcPr>
            <w:tcW w:w="320" w:type="dxa"/>
            <w:vAlign w:val="bottom"/>
            <w:tcBorders>
              <w:top w:val="single" w:sz="8" w:color="53C072"/>
              <w:bottom w:val="single" w:sz="8" w:color="53C072"/>
            </w:tcBorders>
            <w:shd w:val="clear" w:color="auto" w:fill="CCEEFF"/>
          </w:tcPr>
          <w:p>
            <w:pPr>
              <w:spacing w:after="0"/>
              <w:rPr>
                <w:sz w:val="10"/>
                <w:szCs w:val="10"/>
                <w:color w:val="auto"/>
              </w:rPr>
            </w:pPr>
          </w:p>
        </w:tc>
        <w:tc>
          <w:tcPr>
            <w:tcW w:w="380" w:type="dxa"/>
            <w:vAlign w:val="bottom"/>
            <w:tcBorders>
              <w:top w:val="single" w:sz="8" w:color="53C072"/>
              <w:bottom w:val="single" w:sz="8" w:color="53C072"/>
              <w:right w:val="single" w:sz="8" w:color="CCEEFF"/>
            </w:tcBorders>
            <w:shd w:val="clear" w:color="auto" w:fill="CCEEFF"/>
          </w:tcPr>
          <w:p>
            <w:pPr>
              <w:spacing w:after="0"/>
              <w:rPr>
                <w:sz w:val="10"/>
                <w:szCs w:val="10"/>
                <w:color w:val="auto"/>
              </w:rPr>
            </w:pPr>
          </w:p>
        </w:tc>
        <w:tc>
          <w:tcPr>
            <w:tcW w:w="240" w:type="dxa"/>
            <w:vAlign w:val="bottom"/>
            <w:tcBorders>
              <w:top w:val="single" w:sz="8" w:color="53C072"/>
              <w:bottom w:val="single" w:sz="8" w:color="53C072"/>
            </w:tcBorders>
            <w:shd w:val="clear" w:color="auto" w:fill="CCEEFF"/>
          </w:tcPr>
          <w:p>
            <w:pPr>
              <w:spacing w:after="0"/>
              <w:rPr>
                <w:sz w:val="10"/>
                <w:szCs w:val="10"/>
                <w:color w:val="auto"/>
              </w:rPr>
            </w:pPr>
          </w:p>
        </w:tc>
        <w:tc>
          <w:tcPr>
            <w:tcW w:w="100" w:type="dxa"/>
            <w:vAlign w:val="bottom"/>
            <w:tcBorders>
              <w:top w:val="single" w:sz="8" w:color="53C072"/>
              <w:bottom w:val="single" w:sz="8" w:color="53C072"/>
            </w:tcBorders>
            <w:shd w:val="clear" w:color="auto" w:fill="CCEEFF"/>
          </w:tcPr>
          <w:p>
            <w:pPr>
              <w:spacing w:after="0"/>
              <w:rPr>
                <w:sz w:val="10"/>
                <w:szCs w:val="10"/>
                <w:color w:val="auto"/>
              </w:rPr>
            </w:pPr>
          </w:p>
        </w:tc>
        <w:tc>
          <w:tcPr>
            <w:tcW w:w="440" w:type="dxa"/>
            <w:vAlign w:val="bottom"/>
            <w:tcBorders>
              <w:top w:val="single" w:sz="8" w:color="CCEEFF"/>
              <w:bottom w:val="single" w:sz="8" w:color="53C072"/>
            </w:tcBorders>
            <w:shd w:val="clear" w:color="auto" w:fill="CCEEFF"/>
          </w:tcPr>
          <w:p>
            <w:pPr>
              <w:spacing w:after="0"/>
              <w:rPr>
                <w:sz w:val="10"/>
                <w:szCs w:val="10"/>
                <w:color w:val="auto"/>
              </w:rPr>
            </w:pPr>
          </w:p>
        </w:tc>
        <w:tc>
          <w:tcPr>
            <w:tcW w:w="220" w:type="dxa"/>
            <w:vAlign w:val="bottom"/>
            <w:tcBorders>
              <w:top w:val="single" w:sz="8" w:color="CCEEFF"/>
              <w:bottom w:val="single" w:sz="8" w:color="53C072"/>
              <w:right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53C072"/>
            </w:tcBorders>
            <w:shd w:val="clear" w:color="auto" w:fill="CCEEFF"/>
          </w:tcPr>
          <w:p>
            <w:pPr>
              <w:spacing w:after="0"/>
              <w:rPr>
                <w:sz w:val="10"/>
                <w:szCs w:val="10"/>
                <w:color w:val="auto"/>
              </w:rPr>
            </w:pPr>
          </w:p>
        </w:tc>
        <w:tc>
          <w:tcPr>
            <w:tcW w:w="80" w:type="dxa"/>
            <w:vAlign w:val="bottom"/>
            <w:tcBorders>
              <w:top w:val="single" w:sz="8" w:color="CCEEFF"/>
              <w:bottom w:val="single" w:sz="8" w:color="53C072"/>
            </w:tcBorders>
            <w:shd w:val="clear" w:color="auto" w:fill="CCEEFF"/>
          </w:tcPr>
          <w:p>
            <w:pPr>
              <w:spacing w:after="0"/>
              <w:rPr>
                <w:sz w:val="10"/>
                <w:szCs w:val="10"/>
                <w:color w:val="auto"/>
              </w:rPr>
            </w:pPr>
          </w:p>
        </w:tc>
        <w:tc>
          <w:tcPr>
            <w:tcW w:w="120" w:type="dxa"/>
            <w:vAlign w:val="bottom"/>
            <w:tcBorders>
              <w:top w:val="single" w:sz="8" w:color="CCEEFF"/>
              <w:bottom w:val="single" w:sz="8" w:color="53C072"/>
            </w:tcBorders>
            <w:shd w:val="clear" w:color="auto" w:fill="CCEEFF"/>
          </w:tcPr>
          <w:p>
            <w:pPr>
              <w:spacing w:after="0"/>
              <w:rPr>
                <w:sz w:val="10"/>
                <w:szCs w:val="10"/>
                <w:color w:val="auto"/>
              </w:rPr>
            </w:pPr>
          </w:p>
        </w:tc>
        <w:tc>
          <w:tcPr>
            <w:tcW w:w="60" w:type="dxa"/>
            <w:vAlign w:val="bottom"/>
            <w:tcBorders>
              <w:top w:val="single" w:sz="8" w:color="CCEEFF"/>
              <w:bottom w:val="single" w:sz="8" w:color="53C072"/>
            </w:tcBorders>
            <w:shd w:val="clear" w:color="auto" w:fill="CCEEFF"/>
          </w:tcPr>
          <w:p>
            <w:pPr>
              <w:spacing w:after="0"/>
              <w:rPr>
                <w:sz w:val="10"/>
                <w:szCs w:val="10"/>
                <w:color w:val="auto"/>
              </w:rPr>
            </w:pPr>
          </w:p>
        </w:tc>
        <w:tc>
          <w:tcPr>
            <w:tcW w:w="160" w:type="dxa"/>
            <w:vAlign w:val="bottom"/>
            <w:tcBorders>
              <w:top w:val="single" w:sz="8" w:color="CCEEFF"/>
              <w:bottom w:val="single" w:sz="8" w:color="53C072"/>
              <w:right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53C072"/>
            </w:tcBorders>
            <w:shd w:val="clear" w:color="auto" w:fill="CCEEFF"/>
          </w:tcPr>
          <w:p>
            <w:pPr>
              <w:spacing w:after="0"/>
              <w:rPr>
                <w:sz w:val="10"/>
                <w:szCs w:val="10"/>
                <w:color w:val="auto"/>
              </w:rPr>
            </w:pPr>
          </w:p>
        </w:tc>
        <w:tc>
          <w:tcPr>
            <w:tcW w:w="20" w:type="dxa"/>
            <w:vAlign w:val="bottom"/>
            <w:tcBorders>
              <w:top w:val="single" w:sz="8" w:color="CCEEFF"/>
              <w:bottom w:val="single" w:sz="8" w:color="53C072"/>
            </w:tcBorders>
            <w:shd w:val="clear" w:color="auto" w:fill="CCEEFF"/>
          </w:tcPr>
          <w:p>
            <w:pPr>
              <w:spacing w:after="0"/>
              <w:rPr>
                <w:sz w:val="10"/>
                <w:szCs w:val="10"/>
                <w:color w:val="auto"/>
              </w:rPr>
            </w:pPr>
          </w:p>
        </w:tc>
        <w:tc>
          <w:tcPr>
            <w:tcW w:w="80" w:type="dxa"/>
            <w:vAlign w:val="bottom"/>
            <w:tcBorders>
              <w:top w:val="single" w:sz="8" w:color="CCEEFF"/>
              <w:bottom w:val="single" w:sz="8" w:color="53C072"/>
              <w:right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53C072"/>
            </w:tcBorders>
            <w:shd w:val="clear" w:color="auto" w:fill="CCEEFF"/>
          </w:tcPr>
          <w:p>
            <w:pPr>
              <w:spacing w:after="0"/>
              <w:rPr>
                <w:sz w:val="10"/>
                <w:szCs w:val="10"/>
                <w:color w:val="auto"/>
              </w:rPr>
            </w:pPr>
          </w:p>
        </w:tc>
        <w:tc>
          <w:tcPr>
            <w:tcW w:w="20" w:type="dxa"/>
            <w:vAlign w:val="bottom"/>
            <w:tcBorders>
              <w:top w:val="single" w:sz="8" w:color="CCEEFF"/>
              <w:bottom w:val="single" w:sz="8" w:color="53C072"/>
            </w:tcBorders>
            <w:shd w:val="clear" w:color="auto" w:fill="CCEEFF"/>
          </w:tcPr>
          <w:p>
            <w:pPr>
              <w:spacing w:after="0"/>
              <w:rPr>
                <w:sz w:val="10"/>
                <w:szCs w:val="10"/>
                <w:color w:val="auto"/>
              </w:rPr>
            </w:pPr>
          </w:p>
        </w:tc>
        <w:tc>
          <w:tcPr>
            <w:tcW w:w="60" w:type="dxa"/>
            <w:vAlign w:val="bottom"/>
            <w:tcBorders>
              <w:top w:val="single" w:sz="8" w:color="CCEEFF"/>
              <w:bottom w:val="single" w:sz="8" w:color="53C072"/>
            </w:tcBorders>
            <w:shd w:val="clear" w:color="auto" w:fill="CCEEFF"/>
          </w:tcPr>
          <w:p>
            <w:pPr>
              <w:spacing w:after="0"/>
              <w:rPr>
                <w:sz w:val="10"/>
                <w:szCs w:val="10"/>
                <w:color w:val="auto"/>
              </w:rPr>
            </w:pPr>
          </w:p>
        </w:tc>
        <w:tc>
          <w:tcPr>
            <w:tcW w:w="360" w:type="dxa"/>
            <w:vAlign w:val="bottom"/>
            <w:tcBorders>
              <w:top w:val="single" w:sz="8" w:color="CCEEFF"/>
              <w:bottom w:val="single" w:sz="8" w:color="53C072"/>
              <w:right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53C072"/>
            </w:tcBorders>
            <w:shd w:val="clear" w:color="auto" w:fill="CCEEFF"/>
          </w:tcPr>
          <w:p>
            <w:pPr>
              <w:spacing w:after="0"/>
              <w:rPr>
                <w:sz w:val="10"/>
                <w:szCs w:val="10"/>
                <w:color w:val="auto"/>
              </w:rPr>
            </w:pPr>
          </w:p>
        </w:tc>
        <w:tc>
          <w:tcPr>
            <w:tcW w:w="80" w:type="dxa"/>
            <w:vAlign w:val="bottom"/>
            <w:tcBorders>
              <w:top w:val="single" w:sz="8" w:color="CCEEFF"/>
              <w:bottom w:val="single" w:sz="8" w:color="53C072"/>
            </w:tcBorders>
            <w:shd w:val="clear" w:color="auto" w:fill="CCEEFF"/>
          </w:tcPr>
          <w:p>
            <w:pPr>
              <w:spacing w:after="0"/>
              <w:rPr>
                <w:sz w:val="10"/>
                <w:szCs w:val="10"/>
                <w:color w:val="auto"/>
              </w:rPr>
            </w:pPr>
          </w:p>
        </w:tc>
        <w:tc>
          <w:tcPr>
            <w:tcW w:w="80" w:type="dxa"/>
            <w:vAlign w:val="bottom"/>
            <w:tcBorders>
              <w:top w:val="single" w:sz="8" w:color="CCEEFF"/>
              <w:bottom w:val="single" w:sz="8" w:color="53C072"/>
            </w:tcBorders>
            <w:shd w:val="clear" w:color="auto" w:fill="CCEEFF"/>
          </w:tcPr>
          <w:p>
            <w:pPr>
              <w:spacing w:after="0"/>
              <w:rPr>
                <w:sz w:val="10"/>
                <w:szCs w:val="10"/>
                <w:color w:val="auto"/>
              </w:rPr>
            </w:pPr>
          </w:p>
        </w:tc>
        <w:tc>
          <w:tcPr>
            <w:tcW w:w="80" w:type="dxa"/>
            <w:vAlign w:val="bottom"/>
            <w:tcBorders>
              <w:top w:val="single" w:sz="8" w:color="CCEEFF"/>
              <w:bottom w:val="single" w:sz="8" w:color="53C072"/>
            </w:tcBorders>
            <w:shd w:val="clear" w:color="auto" w:fill="CCEEFF"/>
          </w:tcPr>
          <w:p>
            <w:pPr>
              <w:spacing w:after="0"/>
              <w:rPr>
                <w:sz w:val="10"/>
                <w:szCs w:val="10"/>
                <w:color w:val="auto"/>
              </w:rPr>
            </w:pPr>
          </w:p>
        </w:tc>
        <w:tc>
          <w:tcPr>
            <w:tcW w:w="200" w:type="dxa"/>
            <w:vAlign w:val="bottom"/>
            <w:tcBorders>
              <w:top w:val="single" w:sz="8" w:color="0000EE"/>
              <w:bottom w:val="single" w:sz="8" w:color="53C072"/>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2">
            <w:col w:w="5260" w:space="220"/>
            <w:col w:w="439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20"/>
        <w:spacing w:after="0"/>
        <w:rPr>
          <w:sz w:val="20"/>
          <w:szCs w:val="20"/>
          <w:color w:val="auto"/>
        </w:rPr>
      </w:pPr>
      <w:r>
        <w:rPr>
          <w:rFonts w:ascii="Arial" w:cs="Arial" w:eastAsia="Arial" w:hAnsi="Arial"/>
          <w:sz w:val="40"/>
          <w:szCs w:val="40"/>
          <w:b w:val="1"/>
          <w:bCs w:val="1"/>
          <w:color w:val="FEFEFE"/>
        </w:rPr>
        <w:t>PROXY STATEMENT SUMMARY</w:t>
      </w:r>
    </w:p>
    <w:p>
      <w:pPr>
        <w:spacing w:after="0" w:line="338" w:lineRule="exact"/>
        <w:rPr>
          <w:sz w:val="20"/>
          <w:szCs w:val="20"/>
          <w:color w:val="auto"/>
        </w:rPr>
      </w:pPr>
    </w:p>
    <w:p>
      <w:pPr>
        <w:ind w:left="1000" w:right="659"/>
        <w:spacing w:after="0" w:line="287" w:lineRule="auto"/>
        <w:rPr>
          <w:sz w:val="20"/>
          <w:szCs w:val="20"/>
          <w:color w:val="auto"/>
        </w:rPr>
      </w:pPr>
      <w:r>
        <w:rPr>
          <w:rFonts w:ascii="Arial" w:cs="Arial" w:eastAsia="Arial" w:hAnsi="Arial"/>
          <w:sz w:val="18"/>
          <w:szCs w:val="18"/>
          <w:color w:val="auto"/>
        </w:rPr>
        <w:t>This summary highlights selected information in this Proxy Statement. Please review the entire document before voting.</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132080</wp:posOffset>
            </wp:positionV>
            <wp:extent cx="5554980" cy="1226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54980" cy="1226185"/>
                    </a:xfrm>
                    <a:prstGeom prst="rect">
                      <a:avLst/>
                    </a:prstGeom>
                    <a:noFill/>
                  </pic:spPr>
                </pic:pic>
              </a:graphicData>
            </a:graphic>
          </wp:anchor>
        </w:drawing>
      </w:r>
    </w:p>
    <w:p>
      <w:pPr>
        <w:spacing w:after="0" w:line="168" w:lineRule="exact"/>
        <w:rPr>
          <w:sz w:val="20"/>
          <w:szCs w:val="20"/>
          <w:color w:val="auto"/>
        </w:rPr>
      </w:pPr>
    </w:p>
    <w:tbl>
      <w:tblPr>
        <w:tblLayout w:type="fixed"/>
        <w:tblInd w:w="980" w:type="dxa"/>
        <w:tblCellMar>
          <w:top w:w="0" w:type="dxa"/>
          <w:left w:w="0" w:type="dxa"/>
          <w:bottom w:w="0" w:type="dxa"/>
          <w:right w:w="0" w:type="dxa"/>
        </w:tblCellMar>
      </w:tblPr>
      <w:tr>
        <w:trPr>
          <w:trHeight w:val="228"/>
        </w:trPr>
        <w:tc>
          <w:tcPr>
            <w:tcW w:w="2500" w:type="dxa"/>
            <w:vAlign w:val="bottom"/>
            <w:tcBorders>
              <w:top w:val="single" w:sz="8" w:color="53C072"/>
            </w:tcBorders>
          </w:tcPr>
          <w:p>
            <w:pPr>
              <w:ind w:left="2200"/>
              <w:spacing w:after="0"/>
              <w:rPr>
                <w:sz w:val="20"/>
                <w:szCs w:val="20"/>
                <w:color w:val="auto"/>
              </w:rPr>
            </w:pPr>
            <w:r>
              <w:rPr>
                <w:rFonts w:ascii="Arial" w:cs="Arial" w:eastAsia="Arial" w:hAnsi="Arial"/>
                <w:sz w:val="16"/>
                <w:szCs w:val="16"/>
                <w:color w:val="404040"/>
              </w:rPr>
              <w:t>​ ​</w:t>
            </w:r>
          </w:p>
        </w:tc>
        <w:tc>
          <w:tcPr>
            <w:tcW w:w="2040" w:type="dxa"/>
            <w:vAlign w:val="bottom"/>
            <w:tcBorders>
              <w:top w:val="single" w:sz="8" w:color="53C072"/>
            </w:tcBorders>
          </w:tcPr>
          <w:p>
            <w:pPr>
              <w:ind w:left="1800"/>
              <w:spacing w:after="0"/>
              <w:rPr>
                <w:sz w:val="20"/>
                <w:szCs w:val="20"/>
                <w:color w:val="auto"/>
              </w:rPr>
            </w:pPr>
            <w:r>
              <w:rPr>
                <w:rFonts w:ascii="Arial" w:cs="Arial" w:eastAsia="Arial" w:hAnsi="Arial"/>
                <w:sz w:val="16"/>
                <w:szCs w:val="16"/>
                <w:color w:val="404040"/>
              </w:rPr>
              <w:t>​ ​</w:t>
            </w:r>
          </w:p>
        </w:tc>
        <w:tc>
          <w:tcPr>
            <w:tcW w:w="2180" w:type="dxa"/>
            <w:vAlign w:val="bottom"/>
            <w:tcBorders>
              <w:top w:val="single" w:sz="8" w:color="53C072"/>
            </w:tcBorders>
          </w:tcPr>
          <w:p>
            <w:pPr>
              <w:ind w:left="1900"/>
              <w:spacing w:after="0"/>
              <w:rPr>
                <w:sz w:val="20"/>
                <w:szCs w:val="20"/>
                <w:color w:val="auto"/>
              </w:rPr>
            </w:pPr>
            <w:r>
              <w:rPr>
                <w:rFonts w:ascii="Arial" w:cs="Arial" w:eastAsia="Arial" w:hAnsi="Arial"/>
                <w:sz w:val="16"/>
                <w:szCs w:val="16"/>
                <w:color w:val="404040"/>
              </w:rPr>
              <w:t>​ ​</w:t>
            </w:r>
          </w:p>
        </w:tc>
        <w:tc>
          <w:tcPr>
            <w:tcW w:w="2040" w:type="dxa"/>
            <w:vAlign w:val="bottom"/>
            <w:tcBorders>
              <w:top w:val="single" w:sz="8" w:color="53C072"/>
            </w:tcBorders>
          </w:tcPr>
          <w:p>
            <w:pPr>
              <w:ind w:left="1920"/>
              <w:spacing w:after="0"/>
              <w:rPr>
                <w:sz w:val="20"/>
                <w:szCs w:val="20"/>
                <w:color w:val="auto"/>
              </w:rPr>
            </w:pPr>
            <w:r>
              <w:rPr>
                <w:rFonts w:ascii="Arial" w:cs="Arial" w:eastAsia="Arial" w:hAnsi="Arial"/>
                <w:sz w:val="16"/>
                <w:szCs w:val="16"/>
                <w:color w:val="404040"/>
              </w:rPr>
              <w:t>​</w:t>
            </w:r>
          </w:p>
        </w:tc>
      </w:tr>
      <w:tr>
        <w:trPr>
          <w:trHeight w:val="892"/>
        </w:trPr>
        <w:tc>
          <w:tcPr>
            <w:tcW w:w="2500" w:type="dxa"/>
            <w:vAlign w:val="bottom"/>
          </w:tcPr>
          <w:p>
            <w:pPr>
              <w:jc w:val="center"/>
              <w:ind w:right="79"/>
              <w:spacing w:after="0"/>
              <w:rPr>
                <w:sz w:val="20"/>
                <w:szCs w:val="20"/>
                <w:color w:val="auto"/>
              </w:rPr>
            </w:pPr>
            <w:r>
              <w:rPr>
                <w:rFonts w:ascii="Arial" w:cs="Arial" w:eastAsia="Arial" w:hAnsi="Arial"/>
                <w:sz w:val="16"/>
                <w:szCs w:val="16"/>
                <w:b w:val="1"/>
                <w:bCs w:val="1"/>
                <w:color w:val="404040"/>
                <w:w w:val="96"/>
              </w:rPr>
              <w:t>DATE</w:t>
            </w:r>
          </w:p>
        </w:tc>
        <w:tc>
          <w:tcPr>
            <w:tcW w:w="2040" w:type="dxa"/>
            <w:vAlign w:val="bottom"/>
          </w:tcPr>
          <w:p>
            <w:pPr>
              <w:jc w:val="center"/>
              <w:ind w:right="379"/>
              <w:spacing w:after="0"/>
              <w:rPr>
                <w:sz w:val="20"/>
                <w:szCs w:val="20"/>
                <w:color w:val="auto"/>
              </w:rPr>
            </w:pPr>
            <w:r>
              <w:rPr>
                <w:rFonts w:ascii="Arial" w:cs="Arial" w:eastAsia="Arial" w:hAnsi="Arial"/>
                <w:sz w:val="16"/>
                <w:szCs w:val="16"/>
                <w:b w:val="1"/>
                <w:bCs w:val="1"/>
                <w:color w:val="404040"/>
                <w:w w:val="99"/>
              </w:rPr>
              <w:t>TIME</w:t>
            </w:r>
          </w:p>
        </w:tc>
        <w:tc>
          <w:tcPr>
            <w:tcW w:w="2180" w:type="dxa"/>
            <w:vAlign w:val="bottom"/>
          </w:tcPr>
          <w:p>
            <w:pPr>
              <w:jc w:val="center"/>
              <w:ind w:right="359"/>
              <w:spacing w:after="0"/>
              <w:rPr>
                <w:sz w:val="20"/>
                <w:szCs w:val="20"/>
                <w:color w:val="auto"/>
              </w:rPr>
            </w:pPr>
            <w:r>
              <w:rPr>
                <w:rFonts w:ascii="Arial" w:cs="Arial" w:eastAsia="Arial" w:hAnsi="Arial"/>
                <w:sz w:val="16"/>
                <w:szCs w:val="16"/>
                <w:b w:val="1"/>
                <w:bCs w:val="1"/>
                <w:color w:val="404040"/>
                <w:w w:val="99"/>
              </w:rPr>
              <w:t>PLACE</w:t>
            </w:r>
          </w:p>
        </w:tc>
        <w:tc>
          <w:tcPr>
            <w:tcW w:w="2040" w:type="dxa"/>
            <w:vAlign w:val="bottom"/>
          </w:tcPr>
          <w:p>
            <w:pPr>
              <w:jc w:val="center"/>
              <w:ind w:right="319"/>
              <w:spacing w:after="0"/>
              <w:rPr>
                <w:sz w:val="20"/>
                <w:szCs w:val="20"/>
                <w:color w:val="auto"/>
              </w:rPr>
            </w:pPr>
            <w:r>
              <w:rPr>
                <w:rFonts w:ascii="Arial" w:cs="Arial" w:eastAsia="Arial" w:hAnsi="Arial"/>
                <w:sz w:val="16"/>
                <w:szCs w:val="16"/>
                <w:b w:val="1"/>
                <w:bCs w:val="1"/>
                <w:color w:val="404040"/>
                <w:w w:val="98"/>
              </w:rPr>
              <w:t>RECORD DATE</w:t>
            </w:r>
          </w:p>
        </w:tc>
      </w:tr>
      <w:tr>
        <w:trPr>
          <w:trHeight w:val="241"/>
        </w:trPr>
        <w:tc>
          <w:tcPr>
            <w:tcW w:w="2500" w:type="dxa"/>
            <w:vAlign w:val="bottom"/>
          </w:tcPr>
          <w:p>
            <w:pPr>
              <w:jc w:val="center"/>
              <w:ind w:right="39"/>
              <w:spacing w:after="0"/>
              <w:rPr>
                <w:sz w:val="20"/>
                <w:szCs w:val="20"/>
                <w:color w:val="auto"/>
              </w:rPr>
            </w:pPr>
            <w:r>
              <w:rPr>
                <w:rFonts w:ascii="Arial" w:cs="Arial" w:eastAsia="Arial" w:hAnsi="Arial"/>
                <w:sz w:val="16"/>
                <w:szCs w:val="16"/>
                <w:color w:val="404040"/>
              </w:rPr>
              <w:t>November 22, 2024</w:t>
            </w:r>
          </w:p>
        </w:tc>
        <w:tc>
          <w:tcPr>
            <w:tcW w:w="2040" w:type="dxa"/>
            <w:vAlign w:val="bottom"/>
          </w:tcPr>
          <w:p>
            <w:pPr>
              <w:jc w:val="center"/>
              <w:ind w:right="359"/>
              <w:spacing w:after="0"/>
              <w:rPr>
                <w:sz w:val="20"/>
                <w:szCs w:val="20"/>
                <w:color w:val="auto"/>
              </w:rPr>
            </w:pPr>
            <w:r>
              <w:rPr>
                <w:rFonts w:ascii="Arial" w:cs="Arial" w:eastAsia="Arial" w:hAnsi="Arial"/>
                <w:sz w:val="16"/>
                <w:szCs w:val="16"/>
                <w:color w:val="404040"/>
              </w:rPr>
              <w:t>8:00 am local time</w:t>
            </w:r>
          </w:p>
        </w:tc>
        <w:tc>
          <w:tcPr>
            <w:tcW w:w="2180" w:type="dxa"/>
            <w:vAlign w:val="bottom"/>
          </w:tcPr>
          <w:p>
            <w:pPr>
              <w:jc w:val="center"/>
              <w:ind w:right="359"/>
              <w:spacing w:after="0"/>
              <w:rPr>
                <w:sz w:val="20"/>
                <w:szCs w:val="20"/>
                <w:color w:val="auto"/>
              </w:rPr>
            </w:pPr>
            <w:r>
              <w:rPr>
                <w:rFonts w:ascii="Arial" w:cs="Arial" w:eastAsia="Arial" w:hAnsi="Arial"/>
                <w:sz w:val="16"/>
                <w:szCs w:val="16"/>
                <w:color w:val="404040"/>
              </w:rPr>
              <w:t>Avnet’s Headquarters</w:t>
            </w:r>
          </w:p>
        </w:tc>
        <w:tc>
          <w:tcPr>
            <w:tcW w:w="2040" w:type="dxa"/>
            <w:vAlign w:val="bottom"/>
          </w:tcPr>
          <w:p>
            <w:pPr>
              <w:jc w:val="center"/>
              <w:ind w:right="279"/>
              <w:spacing w:after="0"/>
              <w:rPr>
                <w:sz w:val="20"/>
                <w:szCs w:val="20"/>
                <w:color w:val="auto"/>
              </w:rPr>
            </w:pPr>
            <w:r>
              <w:rPr>
                <w:rFonts w:ascii="Arial" w:cs="Arial" w:eastAsia="Arial" w:hAnsi="Arial"/>
                <w:sz w:val="16"/>
                <w:szCs w:val="16"/>
                <w:color w:val="404040"/>
              </w:rPr>
              <w:t>September 23, 2024</w:t>
            </w:r>
          </w:p>
        </w:tc>
      </w:tr>
    </w:tbl>
    <w:p>
      <w:pPr>
        <w:ind w:left="5560"/>
        <w:spacing w:after="0"/>
        <w:rPr>
          <w:sz w:val="20"/>
          <w:szCs w:val="20"/>
          <w:color w:val="auto"/>
        </w:rPr>
      </w:pPr>
      <w:r>
        <w:rPr>
          <w:rFonts w:ascii="Arial" w:cs="Arial" w:eastAsia="Arial" w:hAnsi="Arial"/>
          <w:sz w:val="16"/>
          <w:szCs w:val="16"/>
          <w:color w:val="404040"/>
        </w:rPr>
        <w:t>2211 South 47th Street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6"/>
          <w:szCs w:val="16"/>
          <w:color w:val="404040"/>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121920</wp:posOffset>
            </wp:positionV>
            <wp:extent cx="5554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3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PROPOSALS AND BOARD RECOMMENDATIONS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53C072"/>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17780</wp:posOffset>
            </wp:positionV>
            <wp:extent cx="3771900" cy="840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71900" cy="840105"/>
                    </a:xfrm>
                    <a:prstGeom prst="rect">
                      <a:avLst/>
                    </a:prstGeom>
                    <a:noFill/>
                  </pic:spPr>
                </pic:pic>
              </a:graphicData>
            </a:graphic>
          </wp:anchor>
        </w:drawing>
      </w:r>
    </w:p>
    <w:p>
      <w:pPr>
        <w:ind w:left="1940" w:hanging="680"/>
        <w:spacing w:after="0"/>
        <w:tabs>
          <w:tab w:leader="none" w:pos="1940" w:val="left"/>
        </w:tabs>
        <w:numPr>
          <w:ilvl w:val="0"/>
          <w:numId w:val="5"/>
        </w:numPr>
        <w:rPr>
          <w:rFonts w:ascii="Arial" w:cs="Arial" w:eastAsia="Arial" w:hAnsi="Arial"/>
          <w:sz w:val="32"/>
          <w:szCs w:val="32"/>
          <w:b w:val="1"/>
          <w:bCs w:val="1"/>
          <w:color w:val="FEFEFE"/>
        </w:rPr>
      </w:pPr>
      <w:r>
        <w:rPr>
          <w:rFonts w:ascii="Arial" w:cs="Arial" w:eastAsia="Arial" w:hAnsi="Arial"/>
          <w:sz w:val="18"/>
          <w:szCs w:val="18"/>
          <w:b w:val="1"/>
          <w:bCs w:val="1"/>
          <w:color w:val="auto"/>
        </w:rPr>
        <w:t>Election of Directors</w:t>
      </w:r>
    </w:p>
    <w:p>
      <w:pPr>
        <w:spacing w:after="0" w:line="24" w:lineRule="exact"/>
        <w:rPr>
          <w:sz w:val="20"/>
          <w:szCs w:val="20"/>
          <w:color w:val="auto"/>
        </w:rPr>
      </w:pPr>
    </w:p>
    <w:p>
      <w:pPr>
        <w:ind w:left="1940" w:hanging="680"/>
        <w:spacing w:after="0"/>
        <w:tabs>
          <w:tab w:leader="none" w:pos="1940" w:val="left"/>
        </w:tabs>
        <w:numPr>
          <w:ilvl w:val="0"/>
          <w:numId w:val="6"/>
        </w:numPr>
        <w:rPr>
          <w:rFonts w:ascii="Arial" w:cs="Arial" w:eastAsia="Arial" w:hAnsi="Arial"/>
          <w:sz w:val="32"/>
          <w:szCs w:val="32"/>
          <w:b w:val="1"/>
          <w:bCs w:val="1"/>
          <w:color w:val="FEFEFE"/>
        </w:rPr>
      </w:pPr>
      <w:r>
        <w:rPr>
          <w:rFonts w:ascii="Arial" w:cs="Arial" w:eastAsia="Arial" w:hAnsi="Arial"/>
          <w:sz w:val="18"/>
          <w:szCs w:val="18"/>
          <w:b w:val="1"/>
          <w:bCs w:val="1"/>
          <w:color w:val="auto"/>
        </w:rPr>
        <w:t>Advisory vote on named executive compensation</w:t>
      </w:r>
    </w:p>
    <w:p>
      <w:pPr>
        <w:spacing w:after="0" w:line="95" w:lineRule="exact"/>
        <w:rPr>
          <w:sz w:val="20"/>
          <w:szCs w:val="20"/>
          <w:color w:val="auto"/>
        </w:rPr>
      </w:pPr>
    </w:p>
    <w:p>
      <w:pPr>
        <w:ind w:left="1940" w:hanging="680"/>
        <w:spacing w:after="0" w:line="182" w:lineRule="auto"/>
        <w:tabs>
          <w:tab w:leader="none" w:pos="1940" w:val="left"/>
        </w:tabs>
        <w:numPr>
          <w:ilvl w:val="0"/>
          <w:numId w:val="7"/>
        </w:numPr>
        <w:rPr>
          <w:rFonts w:ascii="Arial" w:cs="Arial" w:eastAsia="Arial" w:hAnsi="Arial"/>
          <w:sz w:val="51"/>
          <w:szCs w:val="51"/>
          <w:b w:val="1"/>
          <w:bCs w:val="1"/>
          <w:color w:val="FEFEFE"/>
          <w:vertAlign w:val="subscript"/>
        </w:rPr>
      </w:pPr>
      <w:r>
        <w:rPr>
          <w:rFonts w:ascii="Arial" w:cs="Arial" w:eastAsia="Arial" w:hAnsi="Arial"/>
          <w:sz w:val="16"/>
          <w:szCs w:val="16"/>
          <w:b w:val="1"/>
          <w:bCs w:val="1"/>
          <w:color w:val="auto"/>
        </w:rPr>
        <w:t>Ratification of independent registered public accounting firm</w:t>
      </w:r>
    </w:p>
    <w:p>
      <w:pPr>
        <w:spacing w:after="0" w:line="23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157480</wp:posOffset>
            </wp:positionV>
            <wp:extent cx="2708910" cy="643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08910" cy="643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40" w:right="159" w:firstLine="468"/>
        <w:spacing w:after="0" w:line="265" w:lineRule="auto"/>
        <w:rPr>
          <w:sz w:val="20"/>
          <w:szCs w:val="20"/>
          <w:color w:val="auto"/>
        </w:rPr>
      </w:pPr>
      <w:r>
        <w:rPr>
          <w:rFonts w:ascii="Arial" w:cs="Arial" w:eastAsia="Arial" w:hAnsi="Arial"/>
          <w:sz w:val="18"/>
          <w:szCs w:val="18"/>
          <w:b w:val="1"/>
          <w:bCs w:val="1"/>
          <w:color w:val="53C072"/>
        </w:rPr>
        <w:t>Board Page Recommendation ​ ​ Reference</w:t>
      </w:r>
    </w:p>
    <w:tbl>
      <w:tblPr>
        <w:tblLayout w:type="fixed"/>
        <w:tblInd w:w="0" w:type="dxa"/>
        <w:tblCellMar>
          <w:top w:w="0" w:type="dxa"/>
          <w:left w:w="0" w:type="dxa"/>
          <w:bottom w:w="0" w:type="dxa"/>
          <w:right w:w="0" w:type="dxa"/>
        </w:tblCellMar>
      </w:tblPr>
      <w:tr>
        <w:trPr>
          <w:trHeight w:val="277"/>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53C072"/>
            </w:tcBorders>
            <w:shd w:val="clear" w:color="auto" w:fill="53C072"/>
          </w:tcPr>
          <w:p>
            <w:pPr>
              <w:spacing w:after="0"/>
              <w:rPr>
                <w:sz w:val="24"/>
                <w:szCs w:val="24"/>
                <w:color w:val="auto"/>
              </w:rPr>
            </w:pPr>
          </w:p>
        </w:tc>
        <w:tc>
          <w:tcPr>
            <w:tcW w:w="1540" w:type="dxa"/>
            <w:vAlign w:val="bottom"/>
            <w:tcBorders>
              <w:bottom w:val="single" w:sz="8" w:color="53C072"/>
            </w:tcBorders>
            <w:shd w:val="clear" w:color="auto" w:fill="53C072"/>
          </w:tcPr>
          <w:p>
            <w:pPr>
              <w:ind w:left="460"/>
              <w:spacing w:after="0" w:line="270" w:lineRule="exact"/>
              <w:rPr>
                <w:sz w:val="20"/>
                <w:szCs w:val="20"/>
                <w:color w:val="auto"/>
              </w:rPr>
            </w:pPr>
            <w:r>
              <w:rPr>
                <w:rFonts w:ascii="Arial" w:cs="Arial" w:eastAsia="Arial" w:hAnsi="Arial"/>
                <w:sz w:val="29"/>
                <w:szCs w:val="29"/>
                <w:b w:val="1"/>
                <w:bCs w:val="1"/>
                <w:color w:val="FFFFFF"/>
              </w:rPr>
              <w:t>FOR</w:t>
            </w:r>
          </w:p>
        </w:tc>
        <w:tc>
          <w:tcPr>
            <w:tcW w:w="120" w:type="dxa"/>
            <w:vAlign w:val="bottom"/>
            <w:tcBorders>
              <w:bottom w:val="single" w:sz="8" w:color="53C072"/>
            </w:tcBorders>
            <w:shd w:val="clear" w:color="auto" w:fill="53C072"/>
          </w:tcPr>
          <w:p>
            <w:pPr>
              <w:ind w:left="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D8D8D8"/>
            </w:tcBorders>
            <w:shd w:val="clear" w:color="auto" w:fill="D8D8D8"/>
          </w:tcPr>
          <w:p>
            <w:pPr>
              <w:spacing w:after="0"/>
              <w:rPr>
                <w:sz w:val="24"/>
                <w:szCs w:val="24"/>
                <w:color w:val="auto"/>
              </w:rPr>
            </w:pPr>
          </w:p>
        </w:tc>
        <w:tc>
          <w:tcPr>
            <w:tcW w:w="100" w:type="dxa"/>
            <w:vAlign w:val="bottom"/>
            <w:tcBorders>
              <w:bottom w:val="single" w:sz="8" w:color="0000EE"/>
            </w:tcBorders>
            <w:shd w:val="clear" w:color="auto" w:fill="D8D8D8"/>
          </w:tcPr>
          <w:p>
            <w:pPr>
              <w:spacing w:after="0"/>
              <w:rPr>
                <w:sz w:val="20"/>
                <w:szCs w:val="20"/>
                <w:color w:val="auto"/>
              </w:rPr>
            </w:pPr>
            <w:r>
              <w:rPr>
                <w:rFonts w:ascii="Arial" w:cs="Arial" w:eastAsia="Arial" w:hAnsi="Arial"/>
                <w:sz w:val="18"/>
                <w:szCs w:val="18"/>
                <w:b w:val="1"/>
                <w:bCs w:val="1"/>
                <w:color w:val="0000EE"/>
                <w:w w:val="79"/>
              </w:rPr>
              <w:t>8</w:t>
            </w:r>
          </w:p>
        </w:tc>
        <w:tc>
          <w:tcPr>
            <w:tcW w:w="60" w:type="dxa"/>
            <w:vAlign w:val="bottom"/>
            <w:tcBorders>
              <w:bottom w:val="single" w:sz="8" w:color="D8D8D8"/>
            </w:tcBorders>
            <w:shd w:val="clear" w:color="auto" w:fill="D8D8D8"/>
          </w:tcPr>
          <w:p>
            <w:pPr>
              <w:spacing w:after="0"/>
              <w:rPr>
                <w:sz w:val="24"/>
                <w:szCs w:val="24"/>
                <w:color w:val="auto"/>
              </w:rPr>
            </w:pPr>
          </w:p>
        </w:tc>
        <w:tc>
          <w:tcPr>
            <w:tcW w:w="340" w:type="dxa"/>
            <w:vAlign w:val="bottom"/>
            <w:tcBorders>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53C072"/>
            </w:tcBorders>
            <w:shd w:val="clear" w:color="auto" w:fill="53C072"/>
          </w:tcPr>
          <w:p>
            <w:pPr>
              <w:spacing w:after="0"/>
              <w:rPr>
                <w:sz w:val="24"/>
                <w:szCs w:val="24"/>
                <w:color w:val="auto"/>
              </w:rPr>
            </w:pPr>
          </w:p>
        </w:tc>
        <w:tc>
          <w:tcPr>
            <w:tcW w:w="1540" w:type="dxa"/>
            <w:vAlign w:val="bottom"/>
            <w:tcBorders>
              <w:bottom w:val="single" w:sz="8" w:color="53C072"/>
            </w:tcBorders>
            <w:vMerge w:val="restart"/>
            <w:shd w:val="clear" w:color="auto" w:fill="53C072"/>
          </w:tcPr>
          <w:p>
            <w:pPr>
              <w:ind w:left="460"/>
              <w:spacing w:after="0"/>
              <w:rPr>
                <w:sz w:val="20"/>
                <w:szCs w:val="20"/>
                <w:color w:val="auto"/>
              </w:rPr>
            </w:pPr>
            <w:r>
              <w:rPr>
                <w:rFonts w:ascii="Arial" w:cs="Arial" w:eastAsia="Arial" w:hAnsi="Arial"/>
                <w:sz w:val="29"/>
                <w:szCs w:val="29"/>
                <w:b w:val="1"/>
                <w:bCs w:val="1"/>
                <w:color w:val="FFFFFF"/>
              </w:rPr>
              <w:t>FOR</w:t>
            </w:r>
          </w:p>
        </w:tc>
        <w:tc>
          <w:tcPr>
            <w:tcW w:w="120" w:type="dxa"/>
            <w:vAlign w:val="bottom"/>
            <w:tcBorders>
              <w:bottom w:val="single" w:sz="8" w:color="53C072"/>
            </w:tcBorders>
            <w:vMerge w:val="restart"/>
            <w:shd w:val="clear" w:color="auto" w:fill="53C072"/>
          </w:tcPr>
          <w:p>
            <w:pPr>
              <w:ind w:left="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D8D8D8"/>
            </w:tcBorders>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0000EE"/>
            </w:tcBorders>
            <w:gridSpan w:val="3"/>
            <w:shd w:val="clear" w:color="auto" w:fill="D8D8D8"/>
          </w:tcPr>
          <w:p>
            <w:pPr>
              <w:spacing w:after="0"/>
              <w:rPr>
                <w:sz w:val="20"/>
                <w:szCs w:val="20"/>
                <w:color w:val="auto"/>
              </w:rPr>
            </w:pPr>
            <w:r>
              <w:rPr>
                <w:rFonts w:ascii="Arial" w:cs="Arial" w:eastAsia="Arial" w:hAnsi="Arial"/>
                <w:sz w:val="18"/>
                <w:szCs w:val="18"/>
                <w:b w:val="1"/>
                <w:bCs w:val="1"/>
                <w:color w:val="0000EE"/>
                <w:w w:val="89"/>
              </w:rPr>
              <w:t>38</w:t>
            </w:r>
          </w:p>
        </w:tc>
        <w:tc>
          <w:tcPr>
            <w:tcW w:w="340" w:type="dxa"/>
            <w:vAlign w:val="bottom"/>
            <w:tcBorders>
              <w:bottom w:val="single" w:sz="8" w:color="D8D8D8"/>
            </w:tcBorders>
            <w:vMerge w:val="restart"/>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53C072"/>
          </w:tcPr>
          <w:p>
            <w:pPr>
              <w:spacing w:after="0"/>
              <w:rPr>
                <w:sz w:val="8"/>
                <w:szCs w:val="8"/>
                <w:color w:val="auto"/>
              </w:rPr>
            </w:pPr>
          </w:p>
        </w:tc>
        <w:tc>
          <w:tcPr>
            <w:tcW w:w="1540" w:type="dxa"/>
            <w:vAlign w:val="bottom"/>
            <w:vMerge w:val="continue"/>
            <w:shd w:val="clear" w:color="auto" w:fill="53C072"/>
          </w:tcPr>
          <w:p>
            <w:pPr>
              <w:spacing w:after="0"/>
              <w:rPr>
                <w:sz w:val="8"/>
                <w:szCs w:val="8"/>
                <w:color w:val="auto"/>
              </w:rPr>
            </w:pPr>
          </w:p>
        </w:tc>
        <w:tc>
          <w:tcPr>
            <w:tcW w:w="120" w:type="dxa"/>
            <w:vAlign w:val="bottom"/>
            <w:vMerge w:val="continue"/>
            <w:shd w:val="clear" w:color="auto" w:fill="53C072"/>
          </w:tcPr>
          <w:p>
            <w:pPr>
              <w:spacing w:after="0"/>
              <w:rPr>
                <w:sz w:val="8"/>
                <w:szCs w:val="8"/>
                <w:color w:val="auto"/>
              </w:rPr>
            </w:pPr>
          </w:p>
        </w:tc>
        <w:tc>
          <w:tcPr>
            <w:tcW w:w="480" w:type="dxa"/>
            <w:vAlign w:val="bottom"/>
            <w:vMerge w:val="continue"/>
            <w:shd w:val="clear" w:color="auto" w:fill="D8D8D8"/>
          </w:tcPr>
          <w:p>
            <w:pPr>
              <w:spacing w:after="0"/>
              <w:rPr>
                <w:sz w:val="8"/>
                <w:szCs w:val="8"/>
                <w:color w:val="auto"/>
              </w:rPr>
            </w:pPr>
          </w:p>
        </w:tc>
        <w:tc>
          <w:tcPr>
            <w:tcW w:w="200" w:type="dxa"/>
            <w:vAlign w:val="bottom"/>
            <w:gridSpan w:val="3"/>
            <w:shd w:val="clear" w:color="auto" w:fill="D8D8D8"/>
          </w:tcPr>
          <w:p>
            <w:pPr>
              <w:spacing w:after="0"/>
              <w:rPr>
                <w:sz w:val="8"/>
                <w:szCs w:val="8"/>
                <w:color w:val="auto"/>
              </w:rPr>
            </w:pPr>
          </w:p>
        </w:tc>
        <w:tc>
          <w:tcPr>
            <w:tcW w:w="34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00" w:type="dxa"/>
            <w:vAlign w:val="bottom"/>
            <w:tcBorders>
              <w:bottom w:val="single" w:sz="8" w:color="D8D8D8"/>
            </w:tcBorders>
            <w:shd w:val="clear" w:color="auto" w:fill="D8D8D8"/>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53C072"/>
            </w:tcBorders>
            <w:shd w:val="clear" w:color="auto" w:fill="53C072"/>
          </w:tcPr>
          <w:p>
            <w:pPr>
              <w:spacing w:after="0"/>
              <w:rPr>
                <w:sz w:val="24"/>
                <w:szCs w:val="24"/>
                <w:color w:val="auto"/>
              </w:rPr>
            </w:pPr>
          </w:p>
        </w:tc>
        <w:tc>
          <w:tcPr>
            <w:tcW w:w="1540" w:type="dxa"/>
            <w:vAlign w:val="bottom"/>
            <w:tcBorders>
              <w:bottom w:val="single" w:sz="8" w:color="53C072"/>
            </w:tcBorders>
            <w:vMerge w:val="restart"/>
            <w:shd w:val="clear" w:color="auto" w:fill="53C072"/>
          </w:tcPr>
          <w:p>
            <w:pPr>
              <w:ind w:left="460"/>
              <w:spacing w:after="0"/>
              <w:rPr>
                <w:sz w:val="20"/>
                <w:szCs w:val="20"/>
                <w:color w:val="auto"/>
              </w:rPr>
            </w:pPr>
            <w:r>
              <w:rPr>
                <w:rFonts w:ascii="Arial" w:cs="Arial" w:eastAsia="Arial" w:hAnsi="Arial"/>
                <w:sz w:val="29"/>
                <w:szCs w:val="29"/>
                <w:b w:val="1"/>
                <w:bCs w:val="1"/>
                <w:color w:val="FFFFFF"/>
              </w:rPr>
              <w:t>FOR</w:t>
            </w:r>
          </w:p>
        </w:tc>
        <w:tc>
          <w:tcPr>
            <w:tcW w:w="120" w:type="dxa"/>
            <w:vAlign w:val="bottom"/>
            <w:tcBorders>
              <w:bottom w:val="single" w:sz="8" w:color="53C072"/>
            </w:tcBorders>
            <w:vMerge w:val="restart"/>
            <w:shd w:val="clear" w:color="auto" w:fill="53C072"/>
          </w:tcPr>
          <w:p>
            <w:pPr>
              <w:ind w:left="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D8D8D8"/>
            </w:tcBorders>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0000EE"/>
            </w:tcBorders>
            <w:gridSpan w:val="3"/>
            <w:shd w:val="clear" w:color="auto" w:fill="D8D8D8"/>
          </w:tcPr>
          <w:p>
            <w:pPr>
              <w:spacing w:after="0"/>
              <w:rPr>
                <w:sz w:val="20"/>
                <w:szCs w:val="20"/>
                <w:color w:val="auto"/>
              </w:rPr>
            </w:pPr>
            <w:r>
              <w:rPr>
                <w:rFonts w:ascii="Arial" w:cs="Arial" w:eastAsia="Arial" w:hAnsi="Arial"/>
                <w:sz w:val="18"/>
                <w:szCs w:val="18"/>
                <w:b w:val="1"/>
                <w:bCs w:val="1"/>
                <w:color w:val="0000EE"/>
                <w:w w:val="89"/>
              </w:rPr>
              <w:t>71</w:t>
            </w:r>
          </w:p>
        </w:tc>
        <w:tc>
          <w:tcPr>
            <w:tcW w:w="340" w:type="dxa"/>
            <w:vAlign w:val="bottom"/>
            <w:tcBorders>
              <w:bottom w:val="single" w:sz="8" w:color="D8D8D8"/>
            </w:tcBorders>
            <w:vMerge w:val="restart"/>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 w:type="dxa"/>
            <w:vAlign w:val="bottom"/>
            <w:shd w:val="clear" w:color="auto" w:fill="D8D8D8"/>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53C072"/>
          </w:tcPr>
          <w:p>
            <w:pPr>
              <w:spacing w:after="0"/>
              <w:rPr>
                <w:sz w:val="9"/>
                <w:szCs w:val="9"/>
                <w:color w:val="auto"/>
              </w:rPr>
            </w:pPr>
          </w:p>
        </w:tc>
        <w:tc>
          <w:tcPr>
            <w:tcW w:w="1540" w:type="dxa"/>
            <w:vAlign w:val="bottom"/>
            <w:vMerge w:val="continue"/>
            <w:shd w:val="clear" w:color="auto" w:fill="53C072"/>
          </w:tcPr>
          <w:p>
            <w:pPr>
              <w:spacing w:after="0"/>
              <w:rPr>
                <w:sz w:val="9"/>
                <w:szCs w:val="9"/>
                <w:color w:val="auto"/>
              </w:rPr>
            </w:pPr>
          </w:p>
        </w:tc>
        <w:tc>
          <w:tcPr>
            <w:tcW w:w="120" w:type="dxa"/>
            <w:vAlign w:val="bottom"/>
            <w:vMerge w:val="continue"/>
            <w:shd w:val="clear" w:color="auto" w:fill="53C072"/>
          </w:tcPr>
          <w:p>
            <w:pPr>
              <w:spacing w:after="0"/>
              <w:rPr>
                <w:sz w:val="9"/>
                <w:szCs w:val="9"/>
                <w:color w:val="auto"/>
              </w:rPr>
            </w:pPr>
          </w:p>
        </w:tc>
        <w:tc>
          <w:tcPr>
            <w:tcW w:w="480" w:type="dxa"/>
            <w:vAlign w:val="bottom"/>
            <w:vMerge w:val="continue"/>
            <w:shd w:val="clear" w:color="auto" w:fill="D8D8D8"/>
          </w:tcPr>
          <w:p>
            <w:pPr>
              <w:spacing w:after="0"/>
              <w:rPr>
                <w:sz w:val="9"/>
                <w:szCs w:val="9"/>
                <w:color w:val="auto"/>
              </w:rPr>
            </w:pPr>
          </w:p>
        </w:tc>
        <w:tc>
          <w:tcPr>
            <w:tcW w:w="200" w:type="dxa"/>
            <w:vAlign w:val="bottom"/>
            <w:gridSpan w:val="3"/>
            <w:shd w:val="clear" w:color="auto" w:fill="D8D8D8"/>
          </w:tcPr>
          <w:p>
            <w:pPr>
              <w:spacing w:after="0"/>
              <w:rPr>
                <w:sz w:val="9"/>
                <w:szCs w:val="9"/>
                <w:color w:val="auto"/>
              </w:rPr>
            </w:pPr>
          </w:p>
        </w:tc>
        <w:tc>
          <w:tcPr>
            <w:tcW w:w="34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00" w:type="dxa"/>
            <w:vAlign w:val="bottom"/>
            <w:shd w:val="clear" w:color="auto" w:fill="D8D8D8"/>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53C072"/>
          </w:tcPr>
          <w:p>
            <w:pPr>
              <w:spacing w:after="0"/>
              <w:rPr>
                <w:sz w:val="4"/>
                <w:szCs w:val="4"/>
                <w:color w:val="auto"/>
              </w:rPr>
            </w:pPr>
          </w:p>
        </w:tc>
        <w:tc>
          <w:tcPr>
            <w:tcW w:w="1540" w:type="dxa"/>
            <w:vAlign w:val="bottom"/>
            <w:shd w:val="clear" w:color="auto" w:fill="53C072"/>
          </w:tcPr>
          <w:p>
            <w:pPr>
              <w:spacing w:after="0"/>
              <w:rPr>
                <w:sz w:val="4"/>
                <w:szCs w:val="4"/>
                <w:color w:val="auto"/>
              </w:rPr>
            </w:pPr>
          </w:p>
        </w:tc>
        <w:tc>
          <w:tcPr>
            <w:tcW w:w="120" w:type="dxa"/>
            <w:vAlign w:val="bottom"/>
            <w:shd w:val="clear" w:color="auto" w:fill="53C072"/>
          </w:tcPr>
          <w:p>
            <w:pPr>
              <w:spacing w:after="0"/>
              <w:rPr>
                <w:sz w:val="4"/>
                <w:szCs w:val="4"/>
                <w:color w:val="auto"/>
              </w:rPr>
            </w:pPr>
          </w:p>
        </w:tc>
        <w:tc>
          <w:tcPr>
            <w:tcW w:w="480" w:type="dxa"/>
            <w:vAlign w:val="bottom"/>
            <w:shd w:val="clear" w:color="auto" w:fill="D8D8D8"/>
          </w:tcPr>
          <w:p>
            <w:pPr>
              <w:spacing w:after="0"/>
              <w:rPr>
                <w:sz w:val="4"/>
                <w:szCs w:val="4"/>
                <w:color w:val="auto"/>
              </w:rPr>
            </w:pPr>
          </w:p>
        </w:tc>
        <w:tc>
          <w:tcPr>
            <w:tcW w:w="40" w:type="dxa"/>
            <w:vAlign w:val="bottom"/>
            <w:shd w:val="clear" w:color="auto" w:fill="D8D8D8"/>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60" w:type="dxa"/>
            <w:vAlign w:val="bottom"/>
            <w:shd w:val="clear" w:color="auto" w:fill="D8D8D8"/>
          </w:tcPr>
          <w:p>
            <w:pPr>
              <w:spacing w:after="0"/>
              <w:rPr>
                <w:sz w:val="4"/>
                <w:szCs w:val="4"/>
                <w:color w:val="auto"/>
              </w:rPr>
            </w:pPr>
          </w:p>
        </w:tc>
        <w:tc>
          <w:tcPr>
            <w:tcW w:w="340" w:type="dxa"/>
            <w:vAlign w:val="bottom"/>
            <w:shd w:val="clear" w:color="auto" w:fill="D8D8D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-8255</wp:posOffset>
            </wp:positionV>
            <wp:extent cx="17748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74825" cy="171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-334010</wp:posOffset>
            </wp:positionV>
            <wp:extent cx="17748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74825" cy="171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-574040</wp:posOffset>
            </wp:positionV>
            <wp:extent cx="17748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74825" cy="17145"/>
                    </a:xfrm>
                    <a:prstGeom prst="rect">
                      <a:avLst/>
                    </a:prstGeom>
                    <a:noFill/>
                  </pic:spPr>
                </pic:pic>
              </a:graphicData>
            </a:graphic>
          </wp:anchor>
        </w:drawing>
        <w:drawing>
          <wp:anchor simplePos="0" relativeHeight="251657728" behindDoc="1" locked="0" layoutInCell="0" allowOverlap="1">
            <wp:simplePos x="0" y="0"/>
            <wp:positionH relativeFrom="column">
              <wp:posOffset>-855345</wp:posOffset>
            </wp:positionH>
            <wp:positionV relativeFrom="paragraph">
              <wp:posOffset>445770</wp:posOffset>
            </wp:positionV>
            <wp:extent cx="2708910" cy="582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08910" cy="582930"/>
                    </a:xfrm>
                    <a:prstGeom prst="rect">
                      <a:avLst/>
                    </a:prstGeom>
                    <a:noFill/>
                  </pic:spPr>
                </pic:pic>
              </a:graphicData>
            </a:graphic>
          </wp:anchor>
        </w:drawing>
      </w:r>
    </w:p>
    <w:p>
      <w:pPr>
        <w:spacing w:after="0" w:line="653" w:lineRule="exact"/>
        <w:rPr>
          <w:sz w:val="20"/>
          <w:szCs w:val="20"/>
          <w:color w:val="auto"/>
        </w:rPr>
      </w:pPr>
    </w:p>
    <w:p>
      <w:pPr>
        <w:sectPr>
          <w:pgSz w:w="11900" w:h="16838" w:orient="portrait"/>
          <w:cols w:equalWidth="0" w:num="2">
            <w:col w:w="6760" w:space="60"/>
            <w:col w:w="3059"/>
          </w:cols>
          <w:pgMar w:left="580" w:top="97" w:right="1440" w:bottom="1440" w:gutter="0" w:footer="0" w:header="0"/>
          <w:type w:val="continuous"/>
        </w:sectPr>
      </w:pP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53C072"/>
        </w:rPr>
        <w:t>INTERNET</w:t>
      </w:r>
    </w:p>
    <w:p>
      <w:pPr>
        <w:spacing w:after="0" w:line="59" w:lineRule="exact"/>
        <w:rPr>
          <w:sz w:val="20"/>
          <w:szCs w:val="20"/>
          <w:color w:val="auto"/>
        </w:rPr>
      </w:pPr>
    </w:p>
    <w:p>
      <w:pPr>
        <w:ind w:left="1120" w:right="820"/>
        <w:spacing w:after="0" w:line="304" w:lineRule="auto"/>
        <w:rPr>
          <w:sz w:val="20"/>
          <w:szCs w:val="20"/>
          <w:color w:val="auto"/>
        </w:rPr>
      </w:pPr>
      <w:r>
        <w:rPr>
          <w:rFonts w:ascii="Arial" w:cs="Arial" w:eastAsia="Arial" w:hAnsi="Arial"/>
          <w:sz w:val="16"/>
          <w:szCs w:val="16"/>
          <w:color w:val="auto"/>
        </w:rPr>
        <w:t>Visit the website noted on your proxy 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227330</wp:posOffset>
            </wp:positionV>
            <wp:extent cx="2708910" cy="711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08910" cy="7112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53C072"/>
        </w:rPr>
        <w:t>TELEPHONE</w:t>
      </w:r>
    </w:p>
    <w:p>
      <w:pPr>
        <w:spacing w:after="0" w:line="73" w:lineRule="exact"/>
        <w:rPr>
          <w:sz w:val="20"/>
          <w:szCs w:val="20"/>
          <w:color w:val="auto"/>
        </w:rPr>
      </w:pPr>
    </w:p>
    <w:p>
      <w:pPr>
        <w:jc w:val="both"/>
        <w:ind w:left="1120" w:right="1100"/>
        <w:spacing w:after="0" w:line="340" w:lineRule="auto"/>
        <w:rPr>
          <w:sz w:val="20"/>
          <w:szCs w:val="20"/>
          <w:color w:val="auto"/>
        </w:rPr>
      </w:pPr>
      <w:r>
        <w:rPr>
          <w:rFonts w:ascii="Arial" w:cs="Arial" w:eastAsia="Arial" w:hAnsi="Arial"/>
          <w:sz w:val="15"/>
          <w:szCs w:val="15"/>
          <w:color w:val="auto"/>
        </w:rPr>
        <w:t>Use the toll-free telephone number on your proxy card to vote by telephone.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3C072"/>
        </w:rPr>
        <w:t>MAIL</w:t>
      </w:r>
    </w:p>
    <w:p>
      <w:pPr>
        <w:spacing w:after="0" w:line="59" w:lineRule="exact"/>
        <w:rPr>
          <w:sz w:val="20"/>
          <w:szCs w:val="20"/>
          <w:color w:val="auto"/>
        </w:rPr>
      </w:pPr>
    </w:p>
    <w:p>
      <w:pPr>
        <w:ind w:right="1439"/>
        <w:spacing w:after="0" w:line="340" w:lineRule="auto"/>
        <w:rPr>
          <w:sz w:val="20"/>
          <w:szCs w:val="20"/>
          <w:color w:val="auto"/>
        </w:rPr>
      </w:pPr>
      <w:r>
        <w:rPr>
          <w:rFonts w:ascii="Arial" w:cs="Arial" w:eastAsia="Arial" w:hAnsi="Arial"/>
          <w:sz w:val="15"/>
          <w:szCs w:val="15"/>
          <w:color w:val="auto"/>
        </w:rPr>
        <w:t>Sign, date, and return your proxy card in the enclosed envelope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153035</wp:posOffset>
            </wp:positionV>
            <wp:extent cx="2708910" cy="677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08910" cy="67754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53C072"/>
        </w:rPr>
        <w:t>IN PERSON</w:t>
      </w:r>
    </w:p>
    <w:p>
      <w:pPr>
        <w:spacing w:after="0" w:line="73" w:lineRule="exact"/>
        <w:rPr>
          <w:sz w:val="20"/>
          <w:szCs w:val="20"/>
          <w:color w:val="auto"/>
        </w:rPr>
      </w:pPr>
    </w:p>
    <w:p>
      <w:pPr>
        <w:ind w:right="1599"/>
        <w:spacing w:after="0" w:line="304" w:lineRule="auto"/>
        <w:rPr>
          <w:sz w:val="20"/>
          <w:szCs w:val="20"/>
          <w:color w:val="auto"/>
        </w:rPr>
      </w:pPr>
      <w:r>
        <w:rPr>
          <w:rFonts w:ascii="Arial" w:cs="Arial" w:eastAsia="Arial" w:hAnsi="Arial"/>
          <w:sz w:val="16"/>
          <w:szCs w:val="16"/>
          <w:color w:val="auto"/>
        </w:rPr>
        <w:t>Cast your vote in person at the annual meeting.</w:t>
      </w:r>
    </w:p>
    <w:p>
      <w:pPr>
        <w:spacing w:after="0" w:line="317" w:lineRule="exact"/>
        <w:rPr>
          <w:sz w:val="20"/>
          <w:szCs w:val="20"/>
          <w:color w:val="auto"/>
        </w:rPr>
      </w:pPr>
    </w:p>
    <w:p>
      <w:pPr>
        <w:sectPr>
          <w:pgSz w:w="11900" w:h="16838" w:orient="portrait"/>
          <w:cols w:equalWidth="0" w:num="2">
            <w:col w:w="4880" w:space="720"/>
            <w:col w:w="42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7"/>
          <w:szCs w:val="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5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200" w:type="dxa"/>
            <w:vAlign w:val="bottom"/>
            <w:vMerge w:val="restart"/>
          </w:tcPr>
          <w:p>
            <w:pPr>
              <w:ind w:left="3180"/>
              <w:spacing w:after="0"/>
              <w:rPr>
                <w:sz w:val="20"/>
                <w:szCs w:val="20"/>
                <w:color w:val="auto"/>
              </w:rPr>
            </w:pPr>
            <w:r>
              <w:rPr>
                <w:rFonts w:ascii="Arial" w:cs="Arial" w:eastAsia="Arial" w:hAnsi="Arial"/>
                <w:sz w:val="14"/>
                <w:szCs w:val="14"/>
                <w:color w:val="auto"/>
              </w:rPr>
              <w:t>Proxy Summary</w:t>
            </w:r>
          </w:p>
        </w:tc>
        <w:tc>
          <w:tcPr>
            <w:tcW w:w="0" w:type="dxa"/>
            <w:vAlign w:val="bottom"/>
          </w:tcPr>
          <w:p>
            <w:pPr>
              <w:spacing w:after="0"/>
              <w:rPr>
                <w:sz w:val="1"/>
                <w:szCs w:val="1"/>
                <w:color w:val="auto"/>
              </w:rPr>
            </w:pPr>
          </w:p>
        </w:tc>
      </w:tr>
      <w:tr>
        <w:trPr>
          <w:trHeight w:val="88"/>
        </w:trPr>
        <w:tc>
          <w:tcPr>
            <w:tcW w:w="55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540" w:type="dxa"/>
            <w:vAlign w:val="bottom"/>
            <w:vMerge w:val="continue"/>
          </w:tcPr>
          <w:p>
            <w:pPr>
              <w:spacing w:after="0"/>
              <w:rPr>
                <w:sz w:val="11"/>
                <w:szCs w:val="11"/>
                <w:color w:val="auto"/>
              </w:rPr>
            </w:pPr>
          </w:p>
        </w:tc>
        <w:tc>
          <w:tcPr>
            <w:tcW w:w="4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SNAPSHOT OF 2024 DIRECTOR NOMINEES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19"/>
        </w:trPr>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vMerge w:val="restart"/>
          </w:tcPr>
          <w:p>
            <w:pPr>
              <w:jc w:val="center"/>
              <w:ind w:right="210"/>
              <w:spacing w:after="0"/>
              <w:rPr>
                <w:sz w:val="20"/>
                <w:szCs w:val="20"/>
                <w:color w:val="auto"/>
              </w:rPr>
            </w:pPr>
            <w:r>
              <w:rPr>
                <w:rFonts w:ascii="Arial" w:cs="Arial" w:eastAsia="Arial" w:hAnsi="Arial"/>
                <w:sz w:val="14"/>
                <w:szCs w:val="14"/>
                <w:b w:val="1"/>
                <w:bCs w:val="1"/>
                <w:color w:val="auto"/>
              </w:rPr>
              <w:t>Director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53C072"/>
            </w:tcBorders>
          </w:tcPr>
          <w:p>
            <w:pPr>
              <w:spacing w:after="0"/>
              <w:rPr>
                <w:sz w:val="19"/>
                <w:szCs w:val="19"/>
                <w:color w:val="auto"/>
              </w:rPr>
            </w:pPr>
          </w:p>
        </w:tc>
        <w:tc>
          <w:tcPr>
            <w:tcW w:w="40" w:type="dxa"/>
            <w:vAlign w:val="bottom"/>
            <w:tcBorders>
              <w:bottom w:val="single" w:sz="8" w:color="53C072"/>
            </w:tcBorders>
          </w:tcPr>
          <w:p>
            <w:pPr>
              <w:spacing w:after="0"/>
              <w:rPr>
                <w:sz w:val="19"/>
                <w:szCs w:val="19"/>
                <w:color w:val="auto"/>
              </w:rPr>
            </w:pPr>
          </w:p>
        </w:tc>
        <w:tc>
          <w:tcPr>
            <w:tcW w:w="40" w:type="dxa"/>
            <w:vAlign w:val="bottom"/>
            <w:tcBorders>
              <w:bottom w:val="single" w:sz="8" w:color="53C072"/>
            </w:tcBorders>
          </w:tcPr>
          <w:p>
            <w:pPr>
              <w:spacing w:after="0"/>
              <w:rPr>
                <w:sz w:val="19"/>
                <w:szCs w:val="19"/>
                <w:color w:val="auto"/>
              </w:rPr>
            </w:pPr>
          </w:p>
        </w:tc>
        <w:tc>
          <w:tcPr>
            <w:tcW w:w="200" w:type="dxa"/>
            <w:vAlign w:val="bottom"/>
            <w:tcBorders>
              <w:bottom w:val="single" w:sz="8" w:color="53C072"/>
            </w:tcBorders>
          </w:tcPr>
          <w:p>
            <w:pPr>
              <w:spacing w:after="0"/>
              <w:rPr>
                <w:sz w:val="19"/>
                <w:szCs w:val="19"/>
                <w:color w:val="auto"/>
              </w:rPr>
            </w:pPr>
          </w:p>
        </w:tc>
        <w:tc>
          <w:tcPr>
            <w:tcW w:w="60" w:type="dxa"/>
            <w:vAlign w:val="bottom"/>
            <w:tcBorders>
              <w:bottom w:val="single" w:sz="8" w:color="53C072"/>
            </w:tcBorders>
          </w:tcPr>
          <w:p>
            <w:pPr>
              <w:spacing w:after="0"/>
              <w:rPr>
                <w:sz w:val="19"/>
                <w:szCs w:val="19"/>
                <w:color w:val="auto"/>
              </w:rPr>
            </w:pPr>
          </w:p>
        </w:tc>
        <w:tc>
          <w:tcPr>
            <w:tcW w:w="80" w:type="dxa"/>
            <w:vAlign w:val="bottom"/>
            <w:tcBorders>
              <w:bottom w:val="single" w:sz="8" w:color="53C072"/>
            </w:tcBorders>
          </w:tcPr>
          <w:p>
            <w:pPr>
              <w:spacing w:after="0"/>
              <w:rPr>
                <w:sz w:val="19"/>
                <w:szCs w:val="19"/>
                <w:color w:val="auto"/>
              </w:rPr>
            </w:pPr>
          </w:p>
        </w:tc>
        <w:tc>
          <w:tcPr>
            <w:tcW w:w="120" w:type="dxa"/>
            <w:vAlign w:val="bottom"/>
            <w:tcBorders>
              <w:bottom w:val="single" w:sz="8" w:color="53C072"/>
            </w:tcBorders>
          </w:tcPr>
          <w:p>
            <w:pPr>
              <w:spacing w:after="0"/>
              <w:rPr>
                <w:sz w:val="19"/>
                <w:szCs w:val="19"/>
                <w:color w:val="auto"/>
              </w:rPr>
            </w:pPr>
          </w:p>
        </w:tc>
        <w:tc>
          <w:tcPr>
            <w:tcW w:w="160" w:type="dxa"/>
            <w:vAlign w:val="bottom"/>
            <w:tcBorders>
              <w:bottom w:val="single" w:sz="8" w:color="53C072"/>
            </w:tcBorders>
          </w:tcPr>
          <w:p>
            <w:pPr>
              <w:spacing w:after="0"/>
              <w:rPr>
                <w:sz w:val="19"/>
                <w:szCs w:val="19"/>
                <w:color w:val="auto"/>
              </w:rPr>
            </w:pPr>
          </w:p>
        </w:tc>
        <w:tc>
          <w:tcPr>
            <w:tcW w:w="20" w:type="dxa"/>
            <w:vAlign w:val="bottom"/>
            <w:tcBorders>
              <w:bottom w:val="single" w:sz="8" w:color="53C072"/>
            </w:tcBorders>
          </w:tcPr>
          <w:p>
            <w:pPr>
              <w:spacing w:after="0"/>
              <w:rPr>
                <w:sz w:val="19"/>
                <w:szCs w:val="19"/>
                <w:color w:val="auto"/>
              </w:rPr>
            </w:pPr>
          </w:p>
        </w:tc>
        <w:tc>
          <w:tcPr>
            <w:tcW w:w="40" w:type="dxa"/>
            <w:vAlign w:val="bottom"/>
            <w:tcBorders>
              <w:bottom w:val="single" w:sz="8" w:color="53C072"/>
            </w:tcBorders>
          </w:tcPr>
          <w:p>
            <w:pPr>
              <w:spacing w:after="0"/>
              <w:rPr>
                <w:sz w:val="19"/>
                <w:szCs w:val="19"/>
                <w:color w:val="auto"/>
              </w:rPr>
            </w:pPr>
          </w:p>
        </w:tc>
        <w:tc>
          <w:tcPr>
            <w:tcW w:w="1420" w:type="dxa"/>
            <w:vAlign w:val="bottom"/>
            <w:tcBorders>
              <w:bottom w:val="single" w:sz="8" w:color="53C072"/>
            </w:tcBorders>
            <w:gridSpan w:val="14"/>
          </w:tcPr>
          <w:p>
            <w:pPr>
              <w:jc w:val="center"/>
              <w:ind w:left="38"/>
              <w:spacing w:after="0"/>
              <w:rPr>
                <w:sz w:val="20"/>
                <w:szCs w:val="20"/>
                <w:color w:val="auto"/>
              </w:rPr>
            </w:pPr>
            <w:r>
              <w:rPr>
                <w:rFonts w:ascii="Arial" w:cs="Arial" w:eastAsia="Arial" w:hAnsi="Arial"/>
                <w:sz w:val="14"/>
                <w:szCs w:val="14"/>
                <w:b w:val="1"/>
                <w:bCs w:val="1"/>
                <w:color w:val="auto"/>
              </w:rPr>
              <w:t>Avnet Committees</w:t>
            </w:r>
          </w:p>
        </w:tc>
        <w:tc>
          <w:tcPr>
            <w:tcW w:w="180" w:type="dxa"/>
            <w:vAlign w:val="bottom"/>
            <w:tcBorders>
              <w:bottom w:val="single" w:sz="8" w:color="53C072"/>
            </w:tcBorders>
          </w:tcPr>
          <w:p>
            <w:pPr>
              <w:spacing w:after="0"/>
              <w:rPr>
                <w:sz w:val="19"/>
                <w:szCs w:val="19"/>
                <w:color w:val="auto"/>
              </w:rPr>
            </w:pPr>
          </w:p>
        </w:tc>
        <w:tc>
          <w:tcPr>
            <w:tcW w:w="160" w:type="dxa"/>
            <w:vAlign w:val="bottom"/>
            <w:tcBorders>
              <w:bottom w:val="single" w:sz="8" w:color="53C072"/>
            </w:tcBorders>
          </w:tcPr>
          <w:p>
            <w:pPr>
              <w:spacing w:after="0"/>
              <w:rPr>
                <w:sz w:val="19"/>
                <w:szCs w:val="19"/>
                <w:color w:val="auto"/>
              </w:rPr>
            </w:pPr>
          </w:p>
        </w:tc>
        <w:tc>
          <w:tcPr>
            <w:tcW w:w="80" w:type="dxa"/>
            <w:vAlign w:val="bottom"/>
            <w:tcBorders>
              <w:bottom w:val="single" w:sz="8" w:color="53C072"/>
            </w:tcBorders>
          </w:tcPr>
          <w:p>
            <w:pPr>
              <w:spacing w:after="0"/>
              <w:rPr>
                <w:sz w:val="19"/>
                <w:szCs w:val="19"/>
                <w:color w:val="auto"/>
              </w:rPr>
            </w:pPr>
          </w:p>
        </w:tc>
        <w:tc>
          <w:tcPr>
            <w:tcW w:w="60" w:type="dxa"/>
            <w:vAlign w:val="bottom"/>
            <w:tcBorders>
              <w:bottom w:val="single" w:sz="8" w:color="53C072"/>
            </w:tcBorders>
          </w:tcPr>
          <w:p>
            <w:pPr>
              <w:spacing w:after="0"/>
              <w:rPr>
                <w:sz w:val="19"/>
                <w:szCs w:val="19"/>
                <w:color w:val="auto"/>
              </w:rPr>
            </w:pPr>
          </w:p>
        </w:tc>
        <w:tc>
          <w:tcPr>
            <w:tcW w:w="140" w:type="dxa"/>
            <w:vAlign w:val="bottom"/>
            <w:tcBorders>
              <w:bottom w:val="single" w:sz="8" w:color="53C072"/>
            </w:tcBorders>
          </w:tcPr>
          <w:p>
            <w:pPr>
              <w:spacing w:after="0"/>
              <w:rPr>
                <w:sz w:val="19"/>
                <w:szCs w:val="19"/>
                <w:color w:val="auto"/>
              </w:rPr>
            </w:pPr>
          </w:p>
        </w:tc>
        <w:tc>
          <w:tcPr>
            <w:tcW w:w="20" w:type="dxa"/>
            <w:vAlign w:val="bottom"/>
            <w:tcBorders>
              <w:bottom w:val="single" w:sz="8" w:color="53C072"/>
            </w:tcBorders>
          </w:tcPr>
          <w:p>
            <w:pPr>
              <w:spacing w:after="0"/>
              <w:rPr>
                <w:sz w:val="19"/>
                <w:szCs w:val="19"/>
                <w:color w:val="auto"/>
              </w:rPr>
            </w:pPr>
          </w:p>
        </w:tc>
        <w:tc>
          <w:tcPr>
            <w:tcW w:w="40" w:type="dxa"/>
            <w:vAlign w:val="bottom"/>
            <w:tcBorders>
              <w:bottom w:val="single" w:sz="8" w:color="53C072"/>
            </w:tcBorders>
          </w:tcPr>
          <w:p>
            <w:pPr>
              <w:spacing w:after="0"/>
              <w:rPr>
                <w:sz w:val="19"/>
                <w:szCs w:val="19"/>
                <w:color w:val="auto"/>
              </w:rPr>
            </w:pPr>
          </w:p>
        </w:tc>
        <w:tc>
          <w:tcPr>
            <w:tcW w:w="200" w:type="dxa"/>
            <w:vAlign w:val="bottom"/>
            <w:tcBorders>
              <w:bottom w:val="single" w:sz="8" w:color="53C072"/>
            </w:tcBorders>
          </w:tcPr>
          <w:p>
            <w:pPr>
              <w:spacing w:after="0"/>
              <w:rPr>
                <w:sz w:val="19"/>
                <w:szCs w:val="19"/>
                <w:color w:val="auto"/>
              </w:rPr>
            </w:pPr>
          </w:p>
        </w:tc>
        <w:tc>
          <w:tcPr>
            <w:tcW w:w="160" w:type="dxa"/>
            <w:vAlign w:val="bottom"/>
            <w:tcBorders>
              <w:bottom w:val="single" w:sz="8" w:color="53C072"/>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580" w:type="dxa"/>
            <w:vAlign w:val="bottom"/>
            <w:gridSpan w:val="2"/>
          </w:tcPr>
          <w:p>
            <w:pPr>
              <w:jc w:val="center"/>
              <w:ind w:left="51"/>
              <w:spacing w:after="0" w:line="145" w:lineRule="exact"/>
              <w:rPr>
                <w:sz w:val="20"/>
                <w:szCs w:val="20"/>
                <w:color w:val="auto"/>
              </w:rPr>
            </w:pPr>
            <w:r>
              <w:rPr>
                <w:rFonts w:ascii="Arial" w:cs="Arial" w:eastAsia="Arial" w:hAnsi="Arial"/>
                <w:sz w:val="14"/>
                <w:szCs w:val="14"/>
                <w:b w:val="1"/>
                <w:bCs w:val="1"/>
                <w:color w:val="auto"/>
                <w:w w:val="91"/>
              </w:rPr>
              <w:t>    Age</w:t>
            </w:r>
          </w:p>
        </w:tc>
        <w:tc>
          <w:tcPr>
            <w:tcW w:w="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ind w:right="170"/>
              <w:spacing w:after="0" w:line="145" w:lineRule="exact"/>
              <w:rPr>
                <w:sz w:val="20"/>
                <w:szCs w:val="20"/>
                <w:color w:val="auto"/>
              </w:rPr>
            </w:pPr>
            <w:r>
              <w:rPr>
                <w:rFonts w:ascii="Arial" w:cs="Arial" w:eastAsia="Arial" w:hAnsi="Arial"/>
                <w:sz w:val="14"/>
                <w:szCs w:val="14"/>
                <w:b w:val="1"/>
                <w:bCs w:val="1"/>
                <w:color w:val="auto"/>
              </w:rPr>
              <w:t>Since</w:t>
            </w:r>
          </w:p>
        </w:tc>
        <w:tc>
          <w:tcPr>
            <w:tcW w:w="90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Independent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840" w:type="dxa"/>
            <w:vAlign w:val="bottom"/>
            <w:tcBorders>
              <w:bottom w:val="single" w:sz="8" w:color="53C072"/>
            </w:tcBorders>
          </w:tcPr>
          <w:p>
            <w:pPr>
              <w:spacing w:after="0"/>
              <w:rPr>
                <w:sz w:val="7"/>
                <w:szCs w:val="7"/>
                <w:color w:val="auto"/>
              </w:rPr>
            </w:pPr>
          </w:p>
        </w:tc>
        <w:tc>
          <w:tcPr>
            <w:tcW w:w="220" w:type="dxa"/>
            <w:vAlign w:val="bottom"/>
            <w:tcBorders>
              <w:bottom w:val="single" w:sz="8" w:color="53C072"/>
            </w:tcBorders>
          </w:tcPr>
          <w:p>
            <w:pPr>
              <w:ind w:left="80"/>
              <w:spacing w:after="0" w:line="68" w:lineRule="exact"/>
              <w:rPr>
                <w:sz w:val="20"/>
                <w:szCs w:val="20"/>
                <w:color w:val="auto"/>
              </w:rPr>
            </w:pPr>
            <w:r>
              <w:rPr>
                <w:rFonts w:ascii="Arial" w:cs="Arial" w:eastAsia="Arial" w:hAnsi="Arial"/>
                <w:sz w:val="7"/>
                <w:szCs w:val="7"/>
                <w:b w:val="1"/>
                <w:bCs w:val="1"/>
                <w:color w:val="auto"/>
              </w:rPr>
              <w:t>​​</w:t>
            </w:r>
          </w:p>
        </w:tc>
        <w:tc>
          <w:tcPr>
            <w:tcW w:w="360" w:type="dxa"/>
            <w:vAlign w:val="bottom"/>
            <w:tcBorders>
              <w:bottom w:val="single" w:sz="8" w:color="53C072"/>
            </w:tcBorders>
          </w:tcPr>
          <w:p>
            <w:pPr>
              <w:spacing w:after="0"/>
              <w:rPr>
                <w:sz w:val="7"/>
                <w:szCs w:val="7"/>
                <w:color w:val="auto"/>
              </w:rPr>
            </w:pPr>
          </w:p>
        </w:tc>
        <w:tc>
          <w:tcPr>
            <w:tcW w:w="100" w:type="dxa"/>
            <w:vAlign w:val="bottom"/>
            <w:tcBorders>
              <w:bottom w:val="single" w:sz="8" w:color="53C072"/>
            </w:tcBorders>
            <w:vMerge w:val="continue"/>
          </w:tcPr>
          <w:p>
            <w:pPr>
              <w:spacing w:after="0"/>
              <w:rPr>
                <w:sz w:val="7"/>
                <w:szCs w:val="7"/>
                <w:color w:val="auto"/>
              </w:rPr>
            </w:pPr>
          </w:p>
        </w:tc>
        <w:tc>
          <w:tcPr>
            <w:tcW w:w="820" w:type="dxa"/>
            <w:vAlign w:val="bottom"/>
            <w:tcBorders>
              <w:bottom w:val="single" w:sz="8" w:color="53C072"/>
            </w:tcBorders>
          </w:tcPr>
          <w:p>
            <w:pPr>
              <w:spacing w:after="0"/>
              <w:rPr>
                <w:sz w:val="7"/>
                <w:szCs w:val="7"/>
                <w:color w:val="auto"/>
              </w:rPr>
            </w:pPr>
          </w:p>
        </w:tc>
        <w:tc>
          <w:tcPr>
            <w:tcW w:w="100" w:type="dxa"/>
            <w:vAlign w:val="bottom"/>
            <w:tcBorders>
              <w:bottom w:val="single" w:sz="8" w:color="53C072"/>
            </w:tcBorders>
          </w:tcPr>
          <w:p>
            <w:pPr>
              <w:spacing w:after="0"/>
              <w:rPr>
                <w:sz w:val="7"/>
                <w:szCs w:val="7"/>
                <w:color w:val="auto"/>
              </w:rPr>
            </w:pPr>
          </w:p>
        </w:tc>
        <w:tc>
          <w:tcPr>
            <w:tcW w:w="200" w:type="dxa"/>
            <w:vAlign w:val="bottom"/>
            <w:tcBorders>
              <w:bottom w:val="single" w:sz="8" w:color="53C072"/>
            </w:tcBorders>
          </w:tcPr>
          <w:p>
            <w:pPr>
              <w:spacing w:after="0"/>
              <w:rPr>
                <w:sz w:val="7"/>
                <w:szCs w:val="7"/>
                <w:color w:val="auto"/>
              </w:rPr>
            </w:pPr>
          </w:p>
        </w:tc>
        <w:tc>
          <w:tcPr>
            <w:tcW w:w="600" w:type="dxa"/>
            <w:vAlign w:val="bottom"/>
            <w:tcBorders>
              <w:bottom w:val="single" w:sz="8" w:color="53C072"/>
            </w:tcBorders>
          </w:tcPr>
          <w:p>
            <w:pPr>
              <w:spacing w:after="0"/>
              <w:rPr>
                <w:sz w:val="7"/>
                <w:szCs w:val="7"/>
                <w:color w:val="auto"/>
              </w:rPr>
            </w:pPr>
          </w:p>
        </w:tc>
        <w:tc>
          <w:tcPr>
            <w:tcW w:w="160" w:type="dxa"/>
            <w:vAlign w:val="bottom"/>
            <w:tcBorders>
              <w:bottom w:val="single" w:sz="8" w:color="53C072"/>
            </w:tcBorders>
          </w:tcPr>
          <w:p>
            <w:pPr>
              <w:spacing w:after="0"/>
              <w:rPr>
                <w:sz w:val="7"/>
                <w:szCs w:val="7"/>
                <w:color w:val="auto"/>
              </w:rPr>
            </w:pPr>
          </w:p>
        </w:tc>
        <w:tc>
          <w:tcPr>
            <w:tcW w:w="140" w:type="dxa"/>
            <w:vAlign w:val="bottom"/>
            <w:tcBorders>
              <w:bottom w:val="single" w:sz="8" w:color="53C072"/>
            </w:tcBorders>
          </w:tcPr>
          <w:p>
            <w:pPr>
              <w:spacing w:after="0"/>
              <w:rPr>
                <w:sz w:val="7"/>
                <w:szCs w:val="7"/>
                <w:color w:val="auto"/>
              </w:rPr>
            </w:pPr>
          </w:p>
        </w:tc>
        <w:tc>
          <w:tcPr>
            <w:tcW w:w="40" w:type="dxa"/>
            <w:vAlign w:val="bottom"/>
            <w:tcBorders>
              <w:bottom w:val="single" w:sz="8" w:color="53C072"/>
            </w:tcBorders>
          </w:tcPr>
          <w:p>
            <w:pPr>
              <w:spacing w:after="0"/>
              <w:rPr>
                <w:sz w:val="7"/>
                <w:szCs w:val="7"/>
                <w:color w:val="auto"/>
              </w:rPr>
            </w:pPr>
          </w:p>
        </w:tc>
        <w:tc>
          <w:tcPr>
            <w:tcW w:w="40" w:type="dxa"/>
            <w:vAlign w:val="bottom"/>
            <w:tcBorders>
              <w:bottom w:val="single" w:sz="8" w:color="53C072"/>
            </w:tcBorders>
          </w:tcPr>
          <w:p>
            <w:pPr>
              <w:spacing w:after="0"/>
              <w:rPr>
                <w:sz w:val="7"/>
                <w:szCs w:val="7"/>
                <w:color w:val="auto"/>
              </w:rPr>
            </w:pPr>
          </w:p>
        </w:tc>
        <w:tc>
          <w:tcPr>
            <w:tcW w:w="260" w:type="dxa"/>
            <w:vAlign w:val="bottom"/>
            <w:tcBorders>
              <w:bottom w:val="single" w:sz="8" w:color="53C072"/>
            </w:tcBorders>
            <w:gridSpan w:val="2"/>
            <w:vMerge w:val="continue"/>
          </w:tcPr>
          <w:p>
            <w:pPr>
              <w:spacing w:after="0"/>
              <w:rPr>
                <w:sz w:val="7"/>
                <w:szCs w:val="7"/>
                <w:color w:val="auto"/>
              </w:rPr>
            </w:pPr>
          </w:p>
        </w:tc>
        <w:tc>
          <w:tcPr>
            <w:tcW w:w="80" w:type="dxa"/>
            <w:vAlign w:val="bottom"/>
            <w:tcBorders>
              <w:bottom w:val="single" w:sz="8" w:color="53C072"/>
            </w:tcBorders>
          </w:tcPr>
          <w:p>
            <w:pPr>
              <w:spacing w:after="0"/>
              <w:rPr>
                <w:sz w:val="7"/>
                <w:szCs w:val="7"/>
                <w:color w:val="auto"/>
              </w:rPr>
            </w:pPr>
          </w:p>
        </w:tc>
        <w:tc>
          <w:tcPr>
            <w:tcW w:w="120" w:type="dxa"/>
            <w:vAlign w:val="bottom"/>
            <w:tcBorders>
              <w:bottom w:val="single" w:sz="8" w:color="53C072"/>
            </w:tcBorders>
            <w:vMerge w:val="continue"/>
          </w:tcPr>
          <w:p>
            <w:pPr>
              <w:spacing w:after="0"/>
              <w:rPr>
                <w:sz w:val="7"/>
                <w:szCs w:val="7"/>
                <w:color w:val="auto"/>
              </w:rPr>
            </w:pPr>
          </w:p>
        </w:tc>
        <w:tc>
          <w:tcPr>
            <w:tcW w:w="160" w:type="dxa"/>
            <w:vAlign w:val="bottom"/>
            <w:tcBorders>
              <w:bottom w:val="single" w:sz="8" w:color="53C072"/>
            </w:tcBorders>
          </w:tcPr>
          <w:p>
            <w:pPr>
              <w:spacing w:after="0"/>
              <w:rPr>
                <w:sz w:val="7"/>
                <w:szCs w:val="7"/>
                <w:color w:val="auto"/>
              </w:rPr>
            </w:pPr>
          </w:p>
        </w:tc>
        <w:tc>
          <w:tcPr>
            <w:tcW w:w="20" w:type="dxa"/>
            <w:vAlign w:val="bottom"/>
            <w:tcBorders>
              <w:bottom w:val="single" w:sz="8" w:color="53C072"/>
            </w:tcBorders>
          </w:tcPr>
          <w:p>
            <w:pPr>
              <w:spacing w:after="0"/>
              <w:rPr>
                <w:sz w:val="7"/>
                <w:szCs w:val="7"/>
                <w:color w:val="auto"/>
              </w:rPr>
            </w:pPr>
          </w:p>
        </w:tc>
        <w:tc>
          <w:tcPr>
            <w:tcW w:w="40" w:type="dxa"/>
            <w:vAlign w:val="bottom"/>
            <w:tcBorders>
              <w:bottom w:val="single" w:sz="8" w:color="53C072"/>
            </w:tcBorders>
          </w:tcPr>
          <w:p>
            <w:pPr>
              <w:spacing w:after="0"/>
              <w:rPr>
                <w:sz w:val="7"/>
                <w:szCs w:val="7"/>
                <w:color w:val="auto"/>
              </w:rPr>
            </w:pPr>
          </w:p>
        </w:tc>
        <w:tc>
          <w:tcPr>
            <w:tcW w:w="200" w:type="dxa"/>
            <w:vAlign w:val="bottom"/>
            <w:tcBorders>
              <w:bottom w:val="single" w:sz="8" w:color="53C072"/>
            </w:tcBorders>
            <w:vMerge w:val="continue"/>
          </w:tcPr>
          <w:p>
            <w:pPr>
              <w:spacing w:after="0"/>
              <w:rPr>
                <w:sz w:val="7"/>
                <w:szCs w:val="7"/>
                <w:color w:val="auto"/>
              </w:rPr>
            </w:pPr>
          </w:p>
        </w:tc>
        <w:tc>
          <w:tcPr>
            <w:tcW w:w="160" w:type="dxa"/>
            <w:vAlign w:val="bottom"/>
            <w:tcBorders>
              <w:bottom w:val="single" w:sz="8" w:color="53C072"/>
            </w:tcBorders>
          </w:tcPr>
          <w:p>
            <w:pPr>
              <w:spacing w:after="0"/>
              <w:rPr>
                <w:sz w:val="7"/>
                <w:szCs w:val="7"/>
                <w:color w:val="auto"/>
              </w:rPr>
            </w:pPr>
          </w:p>
        </w:tc>
        <w:tc>
          <w:tcPr>
            <w:tcW w:w="80" w:type="dxa"/>
            <w:vAlign w:val="bottom"/>
            <w:tcBorders>
              <w:bottom w:val="single" w:sz="8" w:color="53C072"/>
            </w:tcBorders>
          </w:tcPr>
          <w:p>
            <w:pPr>
              <w:spacing w:after="0"/>
              <w:rPr>
                <w:sz w:val="7"/>
                <w:szCs w:val="7"/>
                <w:color w:val="auto"/>
              </w:rPr>
            </w:pPr>
          </w:p>
        </w:tc>
        <w:tc>
          <w:tcPr>
            <w:tcW w:w="40" w:type="dxa"/>
            <w:vAlign w:val="bottom"/>
            <w:tcBorders>
              <w:bottom w:val="single" w:sz="8" w:color="53C072"/>
            </w:tcBorders>
          </w:tcPr>
          <w:p>
            <w:pPr>
              <w:spacing w:after="0"/>
              <w:rPr>
                <w:sz w:val="7"/>
                <w:szCs w:val="7"/>
                <w:color w:val="auto"/>
              </w:rPr>
            </w:pPr>
          </w:p>
        </w:tc>
        <w:tc>
          <w:tcPr>
            <w:tcW w:w="160" w:type="dxa"/>
            <w:vAlign w:val="bottom"/>
            <w:tcBorders>
              <w:bottom w:val="single" w:sz="8" w:color="53C072"/>
            </w:tcBorders>
          </w:tcPr>
          <w:p>
            <w:pPr>
              <w:spacing w:after="0"/>
              <w:rPr>
                <w:sz w:val="7"/>
                <w:szCs w:val="7"/>
                <w:color w:val="auto"/>
              </w:rPr>
            </w:pPr>
          </w:p>
        </w:tc>
        <w:tc>
          <w:tcPr>
            <w:tcW w:w="20" w:type="dxa"/>
            <w:vAlign w:val="bottom"/>
            <w:tcBorders>
              <w:bottom w:val="single" w:sz="8" w:color="53C072"/>
            </w:tcBorders>
          </w:tcPr>
          <w:p>
            <w:pPr>
              <w:spacing w:after="0"/>
              <w:rPr>
                <w:sz w:val="7"/>
                <w:szCs w:val="7"/>
                <w:color w:val="auto"/>
              </w:rPr>
            </w:pPr>
          </w:p>
        </w:tc>
        <w:tc>
          <w:tcPr>
            <w:tcW w:w="240" w:type="dxa"/>
            <w:vAlign w:val="bottom"/>
            <w:tcBorders>
              <w:bottom w:val="single" w:sz="8" w:color="53C072"/>
            </w:tcBorders>
            <w:gridSpan w:val="2"/>
            <w:vMerge w:val="continue"/>
          </w:tcPr>
          <w:p>
            <w:pPr>
              <w:spacing w:after="0"/>
              <w:rPr>
                <w:sz w:val="7"/>
                <w:szCs w:val="7"/>
                <w:color w:val="auto"/>
              </w:rPr>
            </w:pPr>
          </w:p>
        </w:tc>
        <w:tc>
          <w:tcPr>
            <w:tcW w:w="160" w:type="dxa"/>
            <w:vAlign w:val="bottom"/>
            <w:tcBorders>
              <w:bottom w:val="single" w:sz="8" w:color="53C072"/>
            </w:tcBorders>
          </w:tcPr>
          <w:p>
            <w:pPr>
              <w:spacing w:after="0"/>
              <w:rPr>
                <w:sz w:val="7"/>
                <w:szCs w:val="7"/>
                <w:color w:val="auto"/>
              </w:rPr>
            </w:pPr>
          </w:p>
        </w:tc>
        <w:tc>
          <w:tcPr>
            <w:tcW w:w="80" w:type="dxa"/>
            <w:vAlign w:val="bottom"/>
            <w:tcBorders>
              <w:bottom w:val="single" w:sz="8" w:color="53C072"/>
            </w:tcBorders>
          </w:tcPr>
          <w:p>
            <w:pPr>
              <w:spacing w:after="0"/>
              <w:rPr>
                <w:sz w:val="7"/>
                <w:szCs w:val="7"/>
                <w:color w:val="auto"/>
              </w:rPr>
            </w:pPr>
          </w:p>
        </w:tc>
        <w:tc>
          <w:tcPr>
            <w:tcW w:w="40" w:type="dxa"/>
            <w:vAlign w:val="bottom"/>
            <w:tcBorders>
              <w:bottom w:val="single" w:sz="8" w:color="53C072"/>
            </w:tcBorders>
          </w:tcPr>
          <w:p>
            <w:pPr>
              <w:spacing w:after="0"/>
              <w:rPr>
                <w:sz w:val="7"/>
                <w:szCs w:val="7"/>
                <w:color w:val="auto"/>
              </w:rPr>
            </w:pPr>
          </w:p>
        </w:tc>
        <w:tc>
          <w:tcPr>
            <w:tcW w:w="160" w:type="dxa"/>
            <w:vAlign w:val="bottom"/>
            <w:tcBorders>
              <w:bottom w:val="single" w:sz="8" w:color="53C072"/>
            </w:tcBorders>
          </w:tcPr>
          <w:p>
            <w:pPr>
              <w:spacing w:after="0"/>
              <w:rPr>
                <w:sz w:val="7"/>
                <w:szCs w:val="7"/>
                <w:color w:val="auto"/>
              </w:rPr>
            </w:pPr>
          </w:p>
        </w:tc>
        <w:tc>
          <w:tcPr>
            <w:tcW w:w="20" w:type="dxa"/>
            <w:vAlign w:val="bottom"/>
            <w:tcBorders>
              <w:bottom w:val="single" w:sz="8" w:color="53C072"/>
            </w:tcBorders>
          </w:tcPr>
          <w:p>
            <w:pPr>
              <w:spacing w:after="0"/>
              <w:rPr>
                <w:sz w:val="7"/>
                <w:szCs w:val="7"/>
                <w:color w:val="auto"/>
              </w:rPr>
            </w:pPr>
          </w:p>
        </w:tc>
        <w:tc>
          <w:tcPr>
            <w:tcW w:w="60" w:type="dxa"/>
            <w:vAlign w:val="bottom"/>
            <w:tcBorders>
              <w:bottom w:val="single" w:sz="8" w:color="53C072"/>
            </w:tcBorders>
          </w:tcPr>
          <w:p>
            <w:pPr>
              <w:spacing w:after="0"/>
              <w:rPr>
                <w:sz w:val="7"/>
                <w:szCs w:val="7"/>
                <w:color w:val="auto"/>
              </w:rPr>
            </w:pPr>
          </w:p>
        </w:tc>
        <w:tc>
          <w:tcPr>
            <w:tcW w:w="180" w:type="dxa"/>
            <w:vAlign w:val="bottom"/>
            <w:tcBorders>
              <w:bottom w:val="single" w:sz="8" w:color="53C072"/>
            </w:tcBorders>
            <w:vMerge w:val="continue"/>
          </w:tcPr>
          <w:p>
            <w:pPr>
              <w:spacing w:after="0"/>
              <w:rPr>
                <w:sz w:val="7"/>
                <w:szCs w:val="7"/>
                <w:color w:val="auto"/>
              </w:rPr>
            </w:pPr>
          </w:p>
        </w:tc>
        <w:tc>
          <w:tcPr>
            <w:tcW w:w="160" w:type="dxa"/>
            <w:vAlign w:val="bottom"/>
            <w:tcBorders>
              <w:bottom w:val="single" w:sz="8" w:color="53C072"/>
            </w:tcBorders>
          </w:tcPr>
          <w:p>
            <w:pPr>
              <w:spacing w:after="0"/>
              <w:rPr>
                <w:sz w:val="7"/>
                <w:szCs w:val="7"/>
                <w:color w:val="auto"/>
              </w:rPr>
            </w:pPr>
          </w:p>
        </w:tc>
        <w:tc>
          <w:tcPr>
            <w:tcW w:w="80" w:type="dxa"/>
            <w:vAlign w:val="bottom"/>
            <w:tcBorders>
              <w:bottom w:val="single" w:sz="8" w:color="53C072"/>
            </w:tcBorders>
          </w:tcPr>
          <w:p>
            <w:pPr>
              <w:spacing w:after="0"/>
              <w:rPr>
                <w:sz w:val="7"/>
                <w:szCs w:val="7"/>
                <w:color w:val="auto"/>
              </w:rPr>
            </w:pPr>
          </w:p>
        </w:tc>
        <w:tc>
          <w:tcPr>
            <w:tcW w:w="60" w:type="dxa"/>
            <w:vAlign w:val="bottom"/>
            <w:tcBorders>
              <w:bottom w:val="single" w:sz="8" w:color="53C072"/>
            </w:tcBorders>
          </w:tcPr>
          <w:p>
            <w:pPr>
              <w:spacing w:after="0"/>
              <w:rPr>
                <w:sz w:val="7"/>
                <w:szCs w:val="7"/>
                <w:color w:val="auto"/>
              </w:rPr>
            </w:pPr>
          </w:p>
        </w:tc>
        <w:tc>
          <w:tcPr>
            <w:tcW w:w="140" w:type="dxa"/>
            <w:vAlign w:val="bottom"/>
            <w:tcBorders>
              <w:bottom w:val="single" w:sz="8" w:color="53C072"/>
            </w:tcBorders>
          </w:tcPr>
          <w:p>
            <w:pPr>
              <w:spacing w:after="0"/>
              <w:rPr>
                <w:sz w:val="7"/>
                <w:szCs w:val="7"/>
                <w:color w:val="auto"/>
              </w:rPr>
            </w:pPr>
          </w:p>
        </w:tc>
        <w:tc>
          <w:tcPr>
            <w:tcW w:w="20" w:type="dxa"/>
            <w:vAlign w:val="bottom"/>
            <w:tcBorders>
              <w:bottom w:val="single" w:sz="8" w:color="53C072"/>
            </w:tcBorders>
          </w:tcPr>
          <w:p>
            <w:pPr>
              <w:spacing w:after="0"/>
              <w:rPr>
                <w:sz w:val="7"/>
                <w:szCs w:val="7"/>
                <w:color w:val="auto"/>
              </w:rPr>
            </w:pPr>
          </w:p>
        </w:tc>
        <w:tc>
          <w:tcPr>
            <w:tcW w:w="40" w:type="dxa"/>
            <w:vAlign w:val="bottom"/>
            <w:tcBorders>
              <w:bottom w:val="single" w:sz="8" w:color="53C072"/>
            </w:tcBorders>
          </w:tcPr>
          <w:p>
            <w:pPr>
              <w:spacing w:after="0"/>
              <w:rPr>
                <w:sz w:val="7"/>
                <w:szCs w:val="7"/>
                <w:color w:val="auto"/>
              </w:rPr>
            </w:pPr>
          </w:p>
        </w:tc>
        <w:tc>
          <w:tcPr>
            <w:tcW w:w="200" w:type="dxa"/>
            <w:vAlign w:val="bottom"/>
            <w:tcBorders>
              <w:bottom w:val="single" w:sz="8" w:color="53C072"/>
            </w:tcBorders>
            <w:vMerge w:val="continue"/>
          </w:tcPr>
          <w:p>
            <w:pPr>
              <w:spacing w:after="0"/>
              <w:rPr>
                <w:sz w:val="7"/>
                <w:szCs w:val="7"/>
                <w:color w:val="auto"/>
              </w:rPr>
            </w:pPr>
          </w:p>
        </w:tc>
        <w:tc>
          <w:tcPr>
            <w:tcW w:w="160" w:type="dxa"/>
            <w:vAlign w:val="bottom"/>
            <w:tcBorders>
              <w:bottom w:val="single" w:sz="8" w:color="53C072"/>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Rodney C. Adkins</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404040"/>
              </w:rPr>
              <w:t>66</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2015</w:t>
            </w:r>
          </w:p>
        </w:tc>
        <w:tc>
          <w:tcPr>
            <w:tcW w:w="100" w:type="dxa"/>
            <w:vAlign w:val="bottom"/>
          </w:tcPr>
          <w:p>
            <w:pPr>
              <w:spacing w:after="0"/>
              <w:rPr>
                <w:sz w:val="20"/>
                <w:szCs w:val="2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Pr>
          <w:p>
            <w:pPr>
              <w:spacing w:after="0"/>
              <w:rPr>
                <w:sz w:val="20"/>
                <w:szCs w:val="20"/>
                <w:color w:val="auto"/>
              </w:rPr>
            </w:pPr>
          </w:p>
        </w:tc>
        <w:tc>
          <w:tcPr>
            <w:tcW w:w="80" w:type="dxa"/>
            <w:vAlign w:val="bottom"/>
            <w:gridSpan w:val="2"/>
            <w:vMerge w:val="restart"/>
          </w:tcPr>
          <w:p>
            <w:pPr>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right w:val="single" w:sz="8" w:color="B2B2B2"/>
            </w:tcBorders>
            <w:gridSpan w:val="2"/>
            <w:vMerge w:val="restart"/>
          </w:tcPr>
          <w:p>
            <w:pPr>
              <w:jc w:val="right"/>
              <w:spacing w:after="0"/>
              <w:rPr>
                <w:sz w:val="20"/>
                <w:szCs w:val="20"/>
                <w:color w:val="auto"/>
              </w:rPr>
            </w:pPr>
            <w:r>
              <w:rPr>
                <w:rFonts w:ascii="Arial" w:cs="Arial" w:eastAsia="Arial" w:hAnsi="Arial"/>
                <w:sz w:val="14"/>
                <w:szCs w:val="14"/>
                <w:color w:val="404040"/>
              </w:rPr>
              <w:t>​​</w:t>
            </w:r>
          </w:p>
        </w:tc>
        <w:tc>
          <w:tcPr>
            <w:tcW w:w="220" w:type="dxa"/>
            <w:vAlign w:val="bottom"/>
            <w:gridSpan w:val="3"/>
            <w:vMerge w:val="restart"/>
            <w:shd w:val="clear" w:color="auto" w:fill="B2B2B2"/>
          </w:tcPr>
          <w:p>
            <w:pPr>
              <w:ind w:left="160"/>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20"/>
                <w:szCs w:val="20"/>
                <w:color w:val="auto"/>
              </w:rPr>
            </w:pPr>
          </w:p>
        </w:tc>
        <w:tc>
          <w:tcPr>
            <w:tcW w:w="240" w:type="dxa"/>
            <w:vAlign w:val="bottom"/>
            <w:tcBorders>
              <w:right w:val="single" w:sz="8" w:color="FEFEFE"/>
            </w:tcBorders>
            <w:gridSpan w:val="2"/>
            <w:vMerge w:val="restart"/>
            <w:shd w:val="clear" w:color="auto" w:fill="B2B2B2"/>
          </w:tcPr>
          <w:p>
            <w:pPr>
              <w:jc w:val="right"/>
              <w:ind w:right="55"/>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20"/>
                <w:szCs w:val="20"/>
                <w:color w:val="auto"/>
              </w:rPr>
            </w:pPr>
          </w:p>
        </w:tc>
        <w:tc>
          <w:tcPr>
            <w:tcW w:w="260" w:type="dxa"/>
            <w:vAlign w:val="bottom"/>
            <w:gridSpan w:val="3"/>
            <w:vMerge w:val="restart"/>
            <w:shd w:val="clear" w:color="auto" w:fill="B2B2B2"/>
          </w:tcPr>
          <w:p>
            <w:pPr>
              <w:ind w:left="160"/>
              <w:spacing w:after="0"/>
              <w:rPr>
                <w:sz w:val="20"/>
                <w:szCs w:val="20"/>
                <w:color w:val="auto"/>
              </w:rPr>
            </w:pPr>
            <w:r>
              <w:rPr>
                <w:rFonts w:ascii="Arial" w:cs="Arial" w:eastAsia="Arial" w:hAnsi="Arial"/>
                <w:sz w:val="14"/>
                <w:szCs w:val="14"/>
                <w:color w:val="404040"/>
              </w:rPr>
              <w:t>​</w:t>
            </w:r>
          </w:p>
        </w:tc>
        <w:tc>
          <w:tcPr>
            <w:tcW w:w="160" w:type="dxa"/>
            <w:vAlign w:val="bottom"/>
            <w:vMerge w:val="restart"/>
            <w:shd w:val="clear" w:color="auto" w:fill="B2B2B2"/>
          </w:tcPr>
          <w:p>
            <w:pPr>
              <w:ind w:left="60"/>
              <w:spacing w:after="0"/>
              <w:rPr>
                <w:sz w:val="20"/>
                <w:szCs w:val="20"/>
                <w:color w:val="auto"/>
              </w:rPr>
            </w:pPr>
            <w:r>
              <w:rPr>
                <w:rFonts w:ascii="Arial" w:cs="Arial" w:eastAsia="Arial" w:hAnsi="Arial"/>
                <w:sz w:val="25"/>
                <w:szCs w:val="25"/>
                <w:color w:val="53C072"/>
                <w:w w:val="90"/>
              </w:rPr>
              <w:t>•</w:t>
            </w: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20"/>
                <w:szCs w:val="20"/>
                <w:color w:val="auto"/>
              </w:rPr>
            </w:pPr>
          </w:p>
        </w:tc>
        <w:tc>
          <w:tcPr>
            <w:tcW w:w="240" w:type="dxa"/>
            <w:vAlign w:val="bottom"/>
            <w:gridSpan w:val="3"/>
            <w:vMerge w:val="restart"/>
            <w:shd w:val="clear" w:color="auto" w:fill="B2B2B2"/>
          </w:tcPr>
          <w:p>
            <w:pPr>
              <w:ind w:left="160"/>
              <w:spacing w:after="0"/>
              <w:rPr>
                <w:sz w:val="20"/>
                <w:szCs w:val="20"/>
                <w:color w:val="auto"/>
              </w:rPr>
            </w:pPr>
            <w:r>
              <w:rPr>
                <w:rFonts w:ascii="Arial" w:cs="Arial" w:eastAsia="Arial" w:hAnsi="Arial"/>
                <w:sz w:val="14"/>
                <w:szCs w:val="14"/>
                <w:color w:val="404040"/>
              </w:rPr>
              <w:t>​</w:t>
            </w:r>
          </w:p>
        </w:tc>
        <w:tc>
          <w:tcPr>
            <w:tcW w:w="180" w:type="dxa"/>
            <w:vAlign w:val="bottom"/>
            <w:shd w:val="clear" w:color="auto" w:fill="B2B2B2"/>
          </w:tcPr>
          <w:p>
            <w:pPr>
              <w:spacing w:after="0"/>
              <w:rPr>
                <w:sz w:val="20"/>
                <w:szCs w:val="20"/>
                <w:color w:val="auto"/>
              </w:rPr>
            </w:pP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20"/>
                <w:szCs w:val="20"/>
                <w:color w:val="auto"/>
              </w:rPr>
            </w:pPr>
          </w:p>
        </w:tc>
        <w:tc>
          <w:tcPr>
            <w:tcW w:w="200" w:type="dxa"/>
            <w:vAlign w:val="bottom"/>
            <w:gridSpan w:val="3"/>
            <w:vMerge w:val="restart"/>
            <w:shd w:val="clear" w:color="auto" w:fill="B2B2B2"/>
          </w:tcPr>
          <w:p>
            <w:pPr>
              <w:ind w:left="140"/>
              <w:spacing w:after="0"/>
              <w:rPr>
                <w:sz w:val="20"/>
                <w:szCs w:val="20"/>
                <w:color w:val="auto"/>
              </w:rPr>
            </w:pPr>
            <w:r>
              <w:rPr>
                <w:rFonts w:ascii="Arial" w:cs="Arial" w:eastAsia="Arial" w:hAnsi="Arial"/>
                <w:sz w:val="14"/>
                <w:szCs w:val="14"/>
                <w:color w:val="404040"/>
              </w:rPr>
              <w:t>​</w:t>
            </w:r>
          </w:p>
        </w:tc>
        <w:tc>
          <w:tcPr>
            <w:tcW w:w="200" w:type="dxa"/>
            <w:vAlign w:val="bottom"/>
            <w:vMerge w:val="restart"/>
            <w:shd w:val="clear" w:color="auto" w:fill="B2B2B2"/>
          </w:tcPr>
          <w:p>
            <w:pPr>
              <w:jc w:val="right"/>
              <w:spacing w:after="0"/>
              <w:rPr>
                <w:sz w:val="20"/>
                <w:szCs w:val="20"/>
                <w:color w:val="auto"/>
              </w:rPr>
            </w:pPr>
            <w:r>
              <w:rPr>
                <w:rFonts w:ascii="Times New Roman" w:cs="Times New Roman" w:eastAsia="Times New Roman" w:hAnsi="Times New Roman"/>
                <w:sz w:val="25"/>
                <w:szCs w:val="25"/>
                <w:color w:val="auto"/>
              </w:rPr>
              <w:t>◦</w:t>
            </w:r>
          </w:p>
        </w:tc>
        <w:tc>
          <w:tcPr>
            <w:tcW w:w="160" w:type="dxa"/>
            <w:vAlign w:val="bottom"/>
            <w:shd w:val="clear" w:color="auto" w:fill="B2B2B2"/>
          </w:tcPr>
          <w:p>
            <w:pPr>
              <w:spacing w:after="0"/>
              <w:rPr>
                <w:sz w:val="20"/>
                <w:szCs w:val="20"/>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75"/>
        </w:trPr>
        <w:tc>
          <w:tcPr>
            <w:tcW w:w="2840" w:type="dxa"/>
            <w:vAlign w:val="bottom"/>
          </w:tcPr>
          <w:p>
            <w:pPr>
              <w:ind w:left="40"/>
              <w:spacing w:after="0"/>
              <w:rPr>
                <w:sz w:val="20"/>
                <w:szCs w:val="20"/>
                <w:color w:val="auto"/>
              </w:rPr>
            </w:pPr>
            <w:r>
              <w:rPr>
                <w:rFonts w:ascii="Arial" w:cs="Arial" w:eastAsia="Arial" w:hAnsi="Arial"/>
                <w:sz w:val="14"/>
                <w:szCs w:val="14"/>
                <w:color w:val="404040"/>
              </w:rPr>
              <w:t>Chairman of the Board of Avnet, Inc,</w:t>
            </w:r>
          </w:p>
        </w:tc>
        <w:tc>
          <w:tcPr>
            <w:tcW w:w="2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Borders>
              <w:right w:val="single" w:sz="8" w:color="B2B2B2"/>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right w:val="single" w:sz="8" w:color="B2B2B2"/>
            </w:tcBorders>
            <w:gridSpan w:val="2"/>
            <w:vMerge w:val="continue"/>
          </w:tcPr>
          <w:p>
            <w:pPr>
              <w:spacing w:after="0"/>
              <w:rPr>
                <w:sz w:val="15"/>
                <w:szCs w:val="15"/>
                <w:color w:val="auto"/>
              </w:rPr>
            </w:pPr>
          </w:p>
        </w:tc>
        <w:tc>
          <w:tcPr>
            <w:tcW w:w="220" w:type="dxa"/>
            <w:vAlign w:val="bottom"/>
            <w:gridSpan w:val="3"/>
            <w:vMerge w:val="continue"/>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240" w:type="dxa"/>
            <w:vAlign w:val="bottom"/>
            <w:tcBorders>
              <w:right w:val="single" w:sz="8" w:color="FEFEFE"/>
            </w:tcBorders>
            <w:gridSpan w:val="2"/>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60" w:type="dxa"/>
            <w:vAlign w:val="bottom"/>
            <w:gridSpan w:val="3"/>
            <w:vMerge w:val="continue"/>
            <w:shd w:val="clear" w:color="auto" w:fill="B2B2B2"/>
          </w:tcPr>
          <w:p>
            <w:pPr>
              <w:spacing w:after="0"/>
              <w:rPr>
                <w:sz w:val="15"/>
                <w:szCs w:val="15"/>
                <w:color w:val="auto"/>
              </w:rPr>
            </w:pPr>
          </w:p>
        </w:tc>
        <w:tc>
          <w:tcPr>
            <w:tcW w:w="160" w:type="dxa"/>
            <w:vAlign w:val="bottom"/>
            <w:vMerge w:val="continue"/>
            <w:shd w:val="clear" w:color="auto" w:fill="B2B2B2"/>
          </w:tcPr>
          <w:p>
            <w:pPr>
              <w:spacing w:after="0"/>
              <w:rPr>
                <w:sz w:val="15"/>
                <w:szCs w:val="15"/>
                <w:color w:val="auto"/>
              </w:rPr>
            </w:pPr>
          </w:p>
        </w:tc>
        <w:tc>
          <w:tcPr>
            <w:tcW w:w="240" w:type="dxa"/>
            <w:vAlign w:val="bottom"/>
            <w:tcBorders>
              <w:right w:val="single" w:sz="8" w:color="FEFEFE"/>
            </w:tcBorders>
            <w:gridSpan w:val="2"/>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40" w:type="dxa"/>
            <w:vAlign w:val="bottom"/>
            <w:gridSpan w:val="3"/>
            <w:vMerge w:val="continue"/>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240" w:type="dxa"/>
            <w:vAlign w:val="bottom"/>
            <w:tcBorders>
              <w:right w:val="single" w:sz="8" w:color="FEFEFE"/>
            </w:tcBorders>
            <w:gridSpan w:val="2"/>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200" w:type="dxa"/>
            <w:vAlign w:val="bottom"/>
            <w:gridSpan w:val="3"/>
            <w:vMerge w:val="continue"/>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President, 3RAM Group LLC</w:t>
            </w:r>
          </w:p>
        </w:tc>
        <w:tc>
          <w:tcPr>
            <w:tcW w:w="220" w:type="dxa"/>
            <w:vAlign w:val="bottom"/>
            <w:tcBorders>
              <w:bottom w:val="single" w:sz="8" w:color="7F7F7F"/>
            </w:tcBorders>
          </w:tcPr>
          <w:p>
            <w:pPr>
              <w:spacing w:after="0"/>
              <w:rPr>
                <w:sz w:val="16"/>
                <w:szCs w:val="16"/>
                <w:color w:val="auto"/>
              </w:rPr>
            </w:pPr>
          </w:p>
        </w:tc>
        <w:tc>
          <w:tcPr>
            <w:tcW w:w="36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8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6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40" w:type="dxa"/>
            <w:vAlign w:val="bottom"/>
            <w:tcBorders>
              <w:bottom w:val="single" w:sz="8" w:color="7F7F7F"/>
            </w:tcBorders>
          </w:tcPr>
          <w:p>
            <w:pPr>
              <w:spacing w:after="0"/>
              <w:rPr>
                <w:sz w:val="16"/>
                <w:szCs w:val="16"/>
                <w:color w:val="auto"/>
              </w:rPr>
            </w:pPr>
          </w:p>
        </w:tc>
        <w:tc>
          <w:tcPr>
            <w:tcW w:w="4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20" w:type="dxa"/>
            <w:vAlign w:val="bottom"/>
            <w:tcBorders>
              <w:right w:val="single" w:sz="8" w:color="B2B2B2"/>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Brenda L. Freeman</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404040"/>
              </w:rPr>
              <w:t>60</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2018</w:t>
            </w:r>
          </w:p>
        </w:tc>
        <w:tc>
          <w:tcPr>
            <w:tcW w:w="100" w:type="dxa"/>
            <w:vAlign w:val="bottom"/>
          </w:tcPr>
          <w:p>
            <w:pPr>
              <w:spacing w:after="0"/>
              <w:rPr>
                <w:sz w:val="18"/>
                <w:szCs w:val="18"/>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8"/>
                <w:szCs w:val="18"/>
                <w:color w:val="auto"/>
              </w:rPr>
            </w:pPr>
          </w:p>
        </w:tc>
        <w:tc>
          <w:tcPr>
            <w:tcW w:w="80" w:type="dxa"/>
            <w:vAlign w:val="bottom"/>
            <w:gridSpan w:val="2"/>
            <w:vMerge w:val="restart"/>
          </w:tcPr>
          <w:p>
            <w:pPr>
              <w:spacing w:after="0"/>
              <w:rPr>
                <w:sz w:val="20"/>
                <w:szCs w:val="20"/>
                <w:color w:val="auto"/>
              </w:rPr>
            </w:pPr>
            <w:r>
              <w:rPr>
                <w:rFonts w:ascii="Arial" w:cs="Arial" w:eastAsia="Arial" w:hAnsi="Arial"/>
                <w:sz w:val="14"/>
                <w:szCs w:val="14"/>
                <w:color w:val="404040"/>
              </w:rPr>
              <w:t>​</w:t>
            </w:r>
          </w:p>
        </w:tc>
        <w:tc>
          <w:tcPr>
            <w:tcW w:w="260" w:type="dxa"/>
            <w:vAlign w:val="bottom"/>
            <w:gridSpan w:val="2"/>
            <w:vMerge w:val="restart"/>
          </w:tcPr>
          <w:p>
            <w:pPr>
              <w:ind w:left="100"/>
              <w:spacing w:after="0"/>
              <w:rPr>
                <w:sz w:val="20"/>
                <w:szCs w:val="20"/>
                <w:color w:val="auto"/>
              </w:rPr>
            </w:pPr>
            <w:r>
              <w:rPr>
                <w:rFonts w:ascii="Arial" w:cs="Arial" w:eastAsia="Arial" w:hAnsi="Arial"/>
                <w:sz w:val="25"/>
                <w:szCs w:val="25"/>
                <w:color w:val="53C072"/>
              </w:rPr>
              <w:t>•</w:t>
            </w:r>
          </w:p>
        </w:tc>
        <w:tc>
          <w:tcPr>
            <w:tcW w:w="200" w:type="dxa"/>
            <w:vAlign w:val="bottom"/>
            <w:tcBorders>
              <w:right w:val="single" w:sz="8" w:color="B2B2B2"/>
            </w:tcBorders>
            <w:gridSpan w:val="2"/>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8"/>
                <w:szCs w:val="18"/>
                <w:color w:val="auto"/>
              </w:rPr>
            </w:pPr>
          </w:p>
        </w:tc>
        <w:tc>
          <w:tcPr>
            <w:tcW w:w="60" w:type="dxa"/>
            <w:vAlign w:val="bottom"/>
            <w:gridSpan w:val="2"/>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ind w:right="55"/>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0" w:type="dxa"/>
            <w:vAlign w:val="bottom"/>
            <w:gridSpan w:val="2"/>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160" w:type="dxa"/>
            <w:vAlign w:val="bottom"/>
            <w:vMerge w:val="restart"/>
            <w:shd w:val="clear" w:color="auto" w:fill="B2B2B2"/>
          </w:tcPr>
          <w:p>
            <w:pPr>
              <w:ind w:left="80"/>
              <w:spacing w:after="0"/>
              <w:rPr>
                <w:sz w:val="20"/>
                <w:szCs w:val="20"/>
                <w:color w:val="auto"/>
              </w:rPr>
            </w:pPr>
            <w:r>
              <w:rPr>
                <w:rFonts w:ascii="Arial" w:cs="Arial" w:eastAsia="Arial" w:hAnsi="Arial"/>
                <w:sz w:val="24"/>
                <w:szCs w:val="24"/>
                <w:color w:val="53C072"/>
                <w:w w:val="70"/>
              </w:rPr>
              <w:t>•</w:t>
            </w: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gridSpan w:val="2"/>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18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60" w:type="dxa"/>
            <w:vAlign w:val="bottom"/>
            <w:gridSpan w:val="2"/>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92"/>
        </w:trPr>
        <w:tc>
          <w:tcPr>
            <w:tcW w:w="2840" w:type="dxa"/>
            <w:vAlign w:val="bottom"/>
          </w:tcPr>
          <w:p>
            <w:pPr>
              <w:ind w:left="40"/>
              <w:spacing w:after="0"/>
              <w:rPr>
                <w:sz w:val="20"/>
                <w:szCs w:val="20"/>
                <w:color w:val="auto"/>
              </w:rPr>
            </w:pPr>
            <w:r>
              <w:rPr>
                <w:rFonts w:ascii="Arial" w:cs="Arial" w:eastAsia="Arial" w:hAnsi="Arial"/>
                <w:sz w:val="14"/>
                <w:szCs w:val="14"/>
                <w:color w:val="404040"/>
              </w:rPr>
              <w:t>Founder, Joyeux Advisory Group</w:t>
            </w:r>
          </w:p>
        </w:tc>
        <w:tc>
          <w:tcPr>
            <w:tcW w:w="22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Borders>
              <w:right w:val="single" w:sz="8" w:color="B2B2B2"/>
            </w:tcBorders>
            <w:vMerge w:val="continue"/>
          </w:tcPr>
          <w:p>
            <w:pPr>
              <w:spacing w:after="0"/>
              <w:rPr>
                <w:sz w:val="16"/>
                <w:szCs w:val="16"/>
                <w:color w:val="auto"/>
              </w:rPr>
            </w:pPr>
          </w:p>
        </w:tc>
        <w:tc>
          <w:tcPr>
            <w:tcW w:w="140" w:type="dxa"/>
            <w:vAlign w:val="bottom"/>
            <w:tcBorders>
              <w:bottom w:val="single" w:sz="8" w:color="B2B2B2"/>
              <w:right w:val="single" w:sz="8" w:color="B2B2B2"/>
            </w:tcBorders>
            <w:shd w:val="clear" w:color="auto" w:fill="B2B2B2"/>
          </w:tcPr>
          <w:p>
            <w:pPr>
              <w:spacing w:after="0"/>
              <w:rPr>
                <w:sz w:val="16"/>
                <w:szCs w:val="16"/>
                <w:color w:val="auto"/>
              </w:rPr>
            </w:pPr>
          </w:p>
        </w:tc>
        <w:tc>
          <w:tcPr>
            <w:tcW w:w="8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200" w:type="dxa"/>
            <w:vAlign w:val="bottom"/>
            <w:tcBorders>
              <w:right w:val="single" w:sz="8" w:color="B2B2B2"/>
            </w:tcBorders>
            <w:gridSpan w:val="2"/>
            <w:vMerge w:val="continue"/>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60" w:type="dxa"/>
            <w:vAlign w:val="bottom"/>
            <w:tcBorders>
              <w:bottom w:val="single" w:sz="8" w:color="B2B2B2"/>
            </w:tcBorders>
            <w:gridSpan w:val="2"/>
            <w:vMerge w:val="continue"/>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240" w:type="dxa"/>
            <w:vAlign w:val="bottom"/>
            <w:tcBorders>
              <w:bottom w:val="single" w:sz="8" w:color="B2B2B2"/>
              <w:right w:val="single" w:sz="8" w:color="FEFEFE"/>
            </w:tcBorders>
            <w:gridSpan w:val="2"/>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100" w:type="dxa"/>
            <w:vAlign w:val="bottom"/>
            <w:tcBorders>
              <w:bottom w:val="single" w:sz="8" w:color="B2B2B2"/>
            </w:tcBorders>
            <w:gridSpan w:val="2"/>
            <w:vMerge w:val="continue"/>
            <w:shd w:val="clear" w:color="auto" w:fill="B2B2B2"/>
          </w:tcPr>
          <w:p>
            <w:pPr>
              <w:spacing w:after="0"/>
              <w:rPr>
                <w:sz w:val="16"/>
                <w:szCs w:val="16"/>
                <w:color w:val="auto"/>
              </w:rPr>
            </w:pPr>
          </w:p>
        </w:tc>
        <w:tc>
          <w:tcPr>
            <w:tcW w:w="160" w:type="dxa"/>
            <w:vAlign w:val="bottom"/>
            <w:tcBorders>
              <w:bottom w:val="single" w:sz="8" w:color="B2B2B2"/>
            </w:tcBorders>
            <w:vMerge w:val="continue"/>
            <w:shd w:val="clear" w:color="auto" w:fill="B2B2B2"/>
          </w:tcPr>
          <w:p>
            <w:pPr>
              <w:spacing w:after="0"/>
              <w:rPr>
                <w:sz w:val="16"/>
                <w:szCs w:val="16"/>
                <w:color w:val="auto"/>
              </w:rPr>
            </w:pPr>
          </w:p>
        </w:tc>
        <w:tc>
          <w:tcPr>
            <w:tcW w:w="240" w:type="dxa"/>
            <w:vAlign w:val="bottom"/>
            <w:tcBorders>
              <w:bottom w:val="single" w:sz="8" w:color="B2B2B2"/>
              <w:right w:val="single" w:sz="8" w:color="FEFEFE"/>
            </w:tcBorders>
            <w:gridSpan w:val="2"/>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tcBorders>
            <w:gridSpan w:val="2"/>
            <w:vMerge w:val="continue"/>
            <w:shd w:val="clear" w:color="auto" w:fill="B2B2B2"/>
          </w:tcPr>
          <w:p>
            <w:pPr>
              <w:spacing w:after="0"/>
              <w:rPr>
                <w:sz w:val="16"/>
                <w:szCs w:val="16"/>
                <w:color w:val="auto"/>
              </w:rPr>
            </w:pPr>
          </w:p>
        </w:tc>
        <w:tc>
          <w:tcPr>
            <w:tcW w:w="180" w:type="dxa"/>
            <w:vAlign w:val="bottom"/>
            <w:tcBorders>
              <w:bottom w:val="single" w:sz="8" w:color="B2B2B2"/>
            </w:tcBorders>
            <w:shd w:val="clear" w:color="auto" w:fill="B2B2B2"/>
          </w:tcPr>
          <w:p>
            <w:pPr>
              <w:spacing w:after="0"/>
              <w:rPr>
                <w:sz w:val="16"/>
                <w:szCs w:val="16"/>
                <w:color w:val="auto"/>
              </w:rPr>
            </w:pPr>
          </w:p>
        </w:tc>
        <w:tc>
          <w:tcPr>
            <w:tcW w:w="240" w:type="dxa"/>
            <w:vAlign w:val="bottom"/>
            <w:tcBorders>
              <w:bottom w:val="single" w:sz="8" w:color="B2B2B2"/>
              <w:right w:val="single" w:sz="8" w:color="FEFEFE"/>
            </w:tcBorders>
            <w:gridSpan w:val="2"/>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40" w:type="dxa"/>
            <w:vAlign w:val="bottom"/>
            <w:tcBorders>
              <w:bottom w:val="single" w:sz="8" w:color="B2B2B2"/>
            </w:tcBorders>
            <w:shd w:val="clear" w:color="auto" w:fill="B2B2B2"/>
          </w:tcPr>
          <w:p>
            <w:pPr>
              <w:spacing w:after="0"/>
              <w:rPr>
                <w:sz w:val="16"/>
                <w:szCs w:val="16"/>
                <w:color w:val="auto"/>
              </w:rPr>
            </w:pPr>
          </w:p>
        </w:tc>
        <w:tc>
          <w:tcPr>
            <w:tcW w:w="60" w:type="dxa"/>
            <w:vAlign w:val="bottom"/>
            <w:tcBorders>
              <w:bottom w:val="single" w:sz="8" w:color="B2B2B2"/>
            </w:tcBorders>
            <w:gridSpan w:val="2"/>
            <w:vMerge w:val="continue"/>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36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82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0" w:type="dxa"/>
            <w:vAlign w:val="bottom"/>
            <w:shd w:val="clear" w:color="auto" w:fill="7F7F7F"/>
          </w:tcPr>
          <w:p>
            <w:pPr>
              <w:spacing w:after="0" w:line="20" w:lineRule="exact"/>
              <w:rPr>
                <w:sz w:val="1"/>
                <w:szCs w:val="1"/>
                <w:color w:val="auto"/>
              </w:rPr>
            </w:pPr>
          </w:p>
        </w:tc>
        <w:tc>
          <w:tcPr>
            <w:tcW w:w="160" w:type="dxa"/>
            <w:vAlign w:val="bottom"/>
            <w:tcBorders>
              <w:righ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20" w:type="dxa"/>
            <w:vAlign w:val="bottom"/>
            <w:tcBorders>
              <w:left w:val="single" w:sz="8" w:color="7F7F7F"/>
              <w:right w:val="single" w:sz="8" w:color="7F7F7F"/>
            </w:tcBorders>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Philip R. Gallagher</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404040"/>
              </w:rPr>
              <w:t>63</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2020</w:t>
            </w:r>
          </w:p>
        </w:tc>
        <w:tc>
          <w:tcPr>
            <w:tcW w:w="100" w:type="dxa"/>
            <w:vAlign w:val="bottom"/>
          </w:tcPr>
          <w:p>
            <w:pPr>
              <w:spacing w:after="0"/>
              <w:rPr>
                <w:sz w:val="18"/>
                <w:szCs w:val="18"/>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404040"/>
              </w:rPr>
              <w:t>​</w:t>
            </w:r>
          </w:p>
        </w:tc>
        <w:tc>
          <w:tcPr>
            <w:tcW w:w="600" w:type="dxa"/>
            <w:vAlign w:val="bottom"/>
            <w:vMerge w:val="restart"/>
          </w:tcPr>
          <w:p>
            <w:pPr>
              <w:ind w:left="60"/>
              <w:spacing w:after="0"/>
              <w:rPr>
                <w:sz w:val="20"/>
                <w:szCs w:val="20"/>
                <w:color w:val="auto"/>
              </w:rPr>
            </w:pPr>
            <w:r>
              <w:rPr>
                <w:rFonts w:ascii="Arial" w:cs="Arial" w:eastAsia="Arial" w:hAnsi="Arial"/>
                <w:sz w:val="14"/>
                <w:szCs w:val="14"/>
                <w:color w:val="404040"/>
              </w:rPr>
              <w:t>NO</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right w:val="single" w:sz="8" w:color="B2B2B2"/>
            </w:tcBorders>
            <w:gridSpan w:val="2"/>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ind w:right="55"/>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82"/>
        </w:trPr>
        <w:tc>
          <w:tcPr>
            <w:tcW w:w="2840" w:type="dxa"/>
            <w:vAlign w:val="bottom"/>
            <w:vMerge w:val="restart"/>
          </w:tcPr>
          <w:p>
            <w:pPr>
              <w:ind w:left="40"/>
              <w:spacing w:after="0"/>
              <w:rPr>
                <w:sz w:val="20"/>
                <w:szCs w:val="20"/>
                <w:color w:val="auto"/>
              </w:rPr>
            </w:pPr>
            <w:r>
              <w:rPr>
                <w:rFonts w:ascii="Arial" w:cs="Arial" w:eastAsia="Arial" w:hAnsi="Arial"/>
                <w:sz w:val="14"/>
                <w:szCs w:val="14"/>
                <w:color w:val="404040"/>
              </w:rPr>
              <w:t>Chief Executive Officer, Avnet, Inc.</w:t>
            </w:r>
          </w:p>
        </w:tc>
        <w:tc>
          <w:tcPr>
            <w:tcW w:w="22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Borders>
              <w:right w:val="single" w:sz="8" w:color="B2B2B2"/>
            </w:tcBorders>
            <w:vMerge w:val="continue"/>
          </w:tcPr>
          <w:p>
            <w:pPr>
              <w:spacing w:after="0"/>
              <w:rPr>
                <w:sz w:val="7"/>
                <w:szCs w:val="7"/>
                <w:color w:val="auto"/>
              </w:rPr>
            </w:pPr>
          </w:p>
        </w:tc>
        <w:tc>
          <w:tcPr>
            <w:tcW w:w="140" w:type="dxa"/>
            <w:vAlign w:val="bottom"/>
            <w:tcBorders>
              <w:right w:val="single" w:sz="8" w:color="B2B2B2"/>
            </w:tcBorders>
            <w:shd w:val="clear" w:color="auto" w:fill="B2B2B2"/>
          </w:tcPr>
          <w:p>
            <w:pPr>
              <w:spacing w:after="0"/>
              <w:rPr>
                <w:sz w:val="7"/>
                <w:szCs w:val="7"/>
                <w:color w:val="auto"/>
              </w:rPr>
            </w:pPr>
          </w:p>
        </w:tc>
        <w:tc>
          <w:tcPr>
            <w:tcW w:w="40" w:type="dxa"/>
            <w:vAlign w:val="bottom"/>
            <w:vMerge w:val="continue"/>
            <w:shd w:val="clear" w:color="auto" w:fill="B2B2B2"/>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right w:val="single" w:sz="8" w:color="B2B2B2"/>
            </w:tcBorders>
            <w:gridSpan w:val="2"/>
            <w:vMerge w:val="continue"/>
          </w:tcPr>
          <w:p>
            <w:pPr>
              <w:spacing w:after="0"/>
              <w:rPr>
                <w:sz w:val="7"/>
                <w:szCs w:val="7"/>
                <w:color w:val="auto"/>
              </w:rPr>
            </w:pPr>
          </w:p>
        </w:tc>
        <w:tc>
          <w:tcPr>
            <w:tcW w:w="160" w:type="dxa"/>
            <w:vAlign w:val="bottom"/>
            <w:shd w:val="clear" w:color="auto" w:fill="B2B2B2"/>
          </w:tcPr>
          <w:p>
            <w:pPr>
              <w:spacing w:after="0"/>
              <w:rPr>
                <w:sz w:val="7"/>
                <w:szCs w:val="7"/>
                <w:color w:val="auto"/>
              </w:rPr>
            </w:pPr>
          </w:p>
        </w:tc>
        <w:tc>
          <w:tcPr>
            <w:tcW w:w="20" w:type="dxa"/>
            <w:vAlign w:val="bottom"/>
            <w:vMerge w:val="continue"/>
            <w:shd w:val="clear" w:color="auto" w:fill="B2B2B2"/>
          </w:tcPr>
          <w:p>
            <w:pPr>
              <w:spacing w:after="0"/>
              <w:rPr>
                <w:sz w:val="7"/>
                <w:szCs w:val="7"/>
                <w:color w:val="auto"/>
              </w:rPr>
            </w:pPr>
          </w:p>
        </w:tc>
        <w:tc>
          <w:tcPr>
            <w:tcW w:w="40" w:type="dxa"/>
            <w:vAlign w:val="bottom"/>
            <w:shd w:val="clear" w:color="auto" w:fill="B2B2B2"/>
          </w:tcPr>
          <w:p>
            <w:pPr>
              <w:spacing w:after="0"/>
              <w:rPr>
                <w:sz w:val="7"/>
                <w:szCs w:val="7"/>
                <w:color w:val="auto"/>
              </w:rPr>
            </w:pPr>
          </w:p>
        </w:tc>
        <w:tc>
          <w:tcPr>
            <w:tcW w:w="200" w:type="dxa"/>
            <w:vAlign w:val="bottom"/>
            <w:shd w:val="clear" w:color="auto" w:fill="B2B2B2"/>
          </w:tcPr>
          <w:p>
            <w:pPr>
              <w:spacing w:after="0"/>
              <w:rPr>
                <w:sz w:val="7"/>
                <w:szCs w:val="7"/>
                <w:color w:val="auto"/>
              </w:rPr>
            </w:pPr>
          </w:p>
        </w:tc>
        <w:tc>
          <w:tcPr>
            <w:tcW w:w="240" w:type="dxa"/>
            <w:vAlign w:val="bottom"/>
            <w:tcBorders>
              <w:right w:val="single" w:sz="8" w:color="FEFEFE"/>
            </w:tcBorders>
            <w:gridSpan w:val="2"/>
            <w:vMerge w:val="continue"/>
            <w:shd w:val="clear" w:color="auto" w:fill="B2B2B2"/>
          </w:tcPr>
          <w:p>
            <w:pPr>
              <w:spacing w:after="0"/>
              <w:rPr>
                <w:sz w:val="7"/>
                <w:szCs w:val="7"/>
                <w:color w:val="auto"/>
              </w:rPr>
            </w:pPr>
          </w:p>
        </w:tc>
        <w:tc>
          <w:tcPr>
            <w:tcW w:w="40" w:type="dxa"/>
            <w:vAlign w:val="bottom"/>
            <w:shd w:val="clear" w:color="auto" w:fill="B2B2B2"/>
          </w:tcPr>
          <w:p>
            <w:pPr>
              <w:spacing w:after="0"/>
              <w:rPr>
                <w:sz w:val="7"/>
                <w:szCs w:val="7"/>
                <w:color w:val="auto"/>
              </w:rPr>
            </w:pPr>
          </w:p>
        </w:tc>
        <w:tc>
          <w:tcPr>
            <w:tcW w:w="160" w:type="dxa"/>
            <w:vAlign w:val="bottom"/>
            <w:shd w:val="clear" w:color="auto" w:fill="B2B2B2"/>
          </w:tcPr>
          <w:p>
            <w:pPr>
              <w:spacing w:after="0"/>
              <w:rPr>
                <w:sz w:val="7"/>
                <w:szCs w:val="7"/>
                <w:color w:val="auto"/>
              </w:rPr>
            </w:pPr>
          </w:p>
        </w:tc>
        <w:tc>
          <w:tcPr>
            <w:tcW w:w="20" w:type="dxa"/>
            <w:vAlign w:val="bottom"/>
            <w:vMerge w:val="continue"/>
            <w:shd w:val="clear" w:color="auto" w:fill="B2B2B2"/>
          </w:tcPr>
          <w:p>
            <w:pPr>
              <w:spacing w:after="0"/>
              <w:rPr>
                <w:sz w:val="7"/>
                <w:szCs w:val="7"/>
                <w:color w:val="auto"/>
              </w:rPr>
            </w:pPr>
          </w:p>
        </w:tc>
        <w:tc>
          <w:tcPr>
            <w:tcW w:w="80" w:type="dxa"/>
            <w:vAlign w:val="bottom"/>
            <w:shd w:val="clear" w:color="auto" w:fill="B2B2B2"/>
          </w:tcPr>
          <w:p>
            <w:pPr>
              <w:spacing w:after="0"/>
              <w:rPr>
                <w:sz w:val="7"/>
                <w:szCs w:val="7"/>
                <w:color w:val="auto"/>
              </w:rPr>
            </w:pPr>
          </w:p>
        </w:tc>
        <w:tc>
          <w:tcPr>
            <w:tcW w:w="160" w:type="dxa"/>
            <w:vAlign w:val="bottom"/>
            <w:shd w:val="clear" w:color="auto" w:fill="B2B2B2"/>
          </w:tcPr>
          <w:p>
            <w:pPr>
              <w:spacing w:after="0"/>
              <w:rPr>
                <w:sz w:val="7"/>
                <w:szCs w:val="7"/>
                <w:color w:val="auto"/>
              </w:rPr>
            </w:pPr>
          </w:p>
        </w:tc>
        <w:tc>
          <w:tcPr>
            <w:tcW w:w="240" w:type="dxa"/>
            <w:vAlign w:val="bottom"/>
            <w:tcBorders>
              <w:right w:val="single" w:sz="8" w:color="FEFEFE"/>
            </w:tcBorders>
            <w:gridSpan w:val="2"/>
            <w:vMerge w:val="continue"/>
            <w:shd w:val="clear" w:color="auto" w:fill="B2B2B2"/>
          </w:tcPr>
          <w:p>
            <w:pPr>
              <w:spacing w:after="0"/>
              <w:rPr>
                <w:sz w:val="7"/>
                <w:szCs w:val="7"/>
                <w:color w:val="auto"/>
              </w:rPr>
            </w:pPr>
          </w:p>
        </w:tc>
        <w:tc>
          <w:tcPr>
            <w:tcW w:w="40" w:type="dxa"/>
            <w:vAlign w:val="bottom"/>
            <w:shd w:val="clear" w:color="auto" w:fill="B2B2B2"/>
          </w:tcPr>
          <w:p>
            <w:pPr>
              <w:spacing w:after="0"/>
              <w:rPr>
                <w:sz w:val="7"/>
                <w:szCs w:val="7"/>
                <w:color w:val="auto"/>
              </w:rPr>
            </w:pPr>
          </w:p>
        </w:tc>
        <w:tc>
          <w:tcPr>
            <w:tcW w:w="160" w:type="dxa"/>
            <w:vAlign w:val="bottom"/>
            <w:shd w:val="clear" w:color="auto" w:fill="B2B2B2"/>
          </w:tcPr>
          <w:p>
            <w:pPr>
              <w:spacing w:after="0"/>
              <w:rPr>
                <w:sz w:val="7"/>
                <w:szCs w:val="7"/>
                <w:color w:val="auto"/>
              </w:rPr>
            </w:pPr>
          </w:p>
        </w:tc>
        <w:tc>
          <w:tcPr>
            <w:tcW w:w="20" w:type="dxa"/>
            <w:vAlign w:val="bottom"/>
            <w:vMerge w:val="continue"/>
            <w:shd w:val="clear" w:color="auto" w:fill="B2B2B2"/>
          </w:tcPr>
          <w:p>
            <w:pPr>
              <w:spacing w:after="0"/>
              <w:rPr>
                <w:sz w:val="7"/>
                <w:szCs w:val="7"/>
                <w:color w:val="auto"/>
              </w:rPr>
            </w:pPr>
          </w:p>
        </w:tc>
        <w:tc>
          <w:tcPr>
            <w:tcW w:w="60" w:type="dxa"/>
            <w:vAlign w:val="bottom"/>
            <w:shd w:val="clear" w:color="auto" w:fill="B2B2B2"/>
          </w:tcPr>
          <w:p>
            <w:pPr>
              <w:spacing w:after="0"/>
              <w:rPr>
                <w:sz w:val="7"/>
                <w:szCs w:val="7"/>
                <w:color w:val="auto"/>
              </w:rPr>
            </w:pPr>
          </w:p>
        </w:tc>
        <w:tc>
          <w:tcPr>
            <w:tcW w:w="180" w:type="dxa"/>
            <w:vAlign w:val="bottom"/>
            <w:shd w:val="clear" w:color="auto" w:fill="B2B2B2"/>
          </w:tcPr>
          <w:p>
            <w:pPr>
              <w:spacing w:after="0"/>
              <w:rPr>
                <w:sz w:val="7"/>
                <w:szCs w:val="7"/>
                <w:color w:val="auto"/>
              </w:rPr>
            </w:pPr>
          </w:p>
        </w:tc>
        <w:tc>
          <w:tcPr>
            <w:tcW w:w="240" w:type="dxa"/>
            <w:vAlign w:val="bottom"/>
            <w:tcBorders>
              <w:right w:val="single" w:sz="8" w:color="FEFEFE"/>
            </w:tcBorders>
            <w:gridSpan w:val="2"/>
            <w:vMerge w:val="continue"/>
            <w:shd w:val="clear" w:color="auto" w:fill="B2B2B2"/>
          </w:tcPr>
          <w:p>
            <w:pPr>
              <w:spacing w:after="0"/>
              <w:rPr>
                <w:sz w:val="7"/>
                <w:szCs w:val="7"/>
                <w:color w:val="auto"/>
              </w:rPr>
            </w:pPr>
          </w:p>
        </w:tc>
        <w:tc>
          <w:tcPr>
            <w:tcW w:w="60" w:type="dxa"/>
            <w:vAlign w:val="bottom"/>
            <w:shd w:val="clear" w:color="auto" w:fill="B2B2B2"/>
          </w:tcPr>
          <w:p>
            <w:pPr>
              <w:spacing w:after="0"/>
              <w:rPr>
                <w:sz w:val="7"/>
                <w:szCs w:val="7"/>
                <w:color w:val="auto"/>
              </w:rPr>
            </w:pPr>
          </w:p>
        </w:tc>
        <w:tc>
          <w:tcPr>
            <w:tcW w:w="140" w:type="dxa"/>
            <w:vAlign w:val="bottom"/>
            <w:shd w:val="clear" w:color="auto" w:fill="B2B2B2"/>
          </w:tcPr>
          <w:p>
            <w:pPr>
              <w:spacing w:after="0"/>
              <w:rPr>
                <w:sz w:val="7"/>
                <w:szCs w:val="7"/>
                <w:color w:val="auto"/>
              </w:rPr>
            </w:pPr>
          </w:p>
        </w:tc>
        <w:tc>
          <w:tcPr>
            <w:tcW w:w="20" w:type="dxa"/>
            <w:vAlign w:val="bottom"/>
            <w:vMerge w:val="continue"/>
            <w:shd w:val="clear" w:color="auto" w:fill="B2B2B2"/>
          </w:tcPr>
          <w:p>
            <w:pPr>
              <w:spacing w:after="0"/>
              <w:rPr>
                <w:sz w:val="7"/>
                <w:szCs w:val="7"/>
                <w:color w:val="auto"/>
              </w:rPr>
            </w:pPr>
          </w:p>
        </w:tc>
        <w:tc>
          <w:tcPr>
            <w:tcW w:w="40" w:type="dxa"/>
            <w:vAlign w:val="bottom"/>
            <w:shd w:val="clear" w:color="auto" w:fill="B2B2B2"/>
          </w:tcPr>
          <w:p>
            <w:pPr>
              <w:spacing w:after="0"/>
              <w:rPr>
                <w:sz w:val="7"/>
                <w:szCs w:val="7"/>
                <w:color w:val="auto"/>
              </w:rPr>
            </w:pPr>
          </w:p>
        </w:tc>
        <w:tc>
          <w:tcPr>
            <w:tcW w:w="200" w:type="dxa"/>
            <w:vAlign w:val="bottom"/>
            <w:shd w:val="clear" w:color="auto" w:fill="B2B2B2"/>
          </w:tcPr>
          <w:p>
            <w:pPr>
              <w:spacing w:after="0"/>
              <w:rPr>
                <w:sz w:val="7"/>
                <w:szCs w:val="7"/>
                <w:color w:val="auto"/>
              </w:rPr>
            </w:pPr>
          </w:p>
        </w:tc>
        <w:tc>
          <w:tcPr>
            <w:tcW w:w="160" w:type="dxa"/>
            <w:vAlign w:val="bottom"/>
            <w:shd w:val="clear" w:color="auto" w:fill="B2B2B2"/>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8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right w:val="single" w:sz="8" w:color="B2B2B2"/>
            </w:tcBorders>
          </w:tcPr>
          <w:p>
            <w:pPr>
              <w:spacing w:after="0"/>
              <w:rPr>
                <w:sz w:val="9"/>
                <w:szCs w:val="9"/>
                <w:color w:val="auto"/>
              </w:rPr>
            </w:pPr>
          </w:p>
        </w:tc>
        <w:tc>
          <w:tcPr>
            <w:tcW w:w="140" w:type="dxa"/>
            <w:vAlign w:val="bottom"/>
            <w:tcBorders>
              <w:bottom w:val="single" w:sz="8" w:color="B2B2B2"/>
              <w:right w:val="single" w:sz="8" w:color="B2B2B2"/>
            </w:tcBorders>
            <w:shd w:val="clear" w:color="auto" w:fill="B2B2B2"/>
          </w:tcPr>
          <w:p>
            <w:pPr>
              <w:spacing w:after="0"/>
              <w:rPr>
                <w:sz w:val="9"/>
                <w:szCs w:val="9"/>
                <w:color w:val="auto"/>
              </w:rPr>
            </w:pPr>
          </w:p>
        </w:tc>
        <w:tc>
          <w:tcPr>
            <w:tcW w:w="40" w:type="dxa"/>
            <w:vAlign w:val="bottom"/>
            <w:tcBorders>
              <w:bottom w:val="single" w:sz="8" w:color="B2B2B2"/>
            </w:tcBorders>
            <w:shd w:val="clear" w:color="auto" w:fill="B2B2B2"/>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right w:val="single" w:sz="8" w:color="B2B2B2"/>
            </w:tcBorders>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20" w:type="dxa"/>
            <w:vAlign w:val="bottom"/>
            <w:tcBorders>
              <w:bottom w:val="single" w:sz="8" w:color="B2B2B2"/>
            </w:tcBorders>
            <w:shd w:val="clear" w:color="auto" w:fill="B2B2B2"/>
          </w:tcPr>
          <w:p>
            <w:pPr>
              <w:spacing w:after="0"/>
              <w:rPr>
                <w:sz w:val="9"/>
                <w:szCs w:val="9"/>
                <w:color w:val="auto"/>
              </w:rPr>
            </w:pPr>
          </w:p>
        </w:tc>
        <w:tc>
          <w:tcPr>
            <w:tcW w:w="40" w:type="dxa"/>
            <w:vAlign w:val="bottom"/>
            <w:tcBorders>
              <w:bottom w:val="single" w:sz="8" w:color="B2B2B2"/>
            </w:tcBorders>
            <w:shd w:val="clear" w:color="auto" w:fill="B2B2B2"/>
          </w:tcPr>
          <w:p>
            <w:pPr>
              <w:spacing w:after="0"/>
              <w:rPr>
                <w:sz w:val="9"/>
                <w:szCs w:val="9"/>
                <w:color w:val="auto"/>
              </w:rPr>
            </w:pPr>
          </w:p>
        </w:tc>
        <w:tc>
          <w:tcPr>
            <w:tcW w:w="20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80" w:type="dxa"/>
            <w:vAlign w:val="bottom"/>
            <w:tcBorders>
              <w:bottom w:val="single" w:sz="8" w:color="B2B2B2"/>
              <w:right w:val="single" w:sz="8" w:color="FEFEFE"/>
            </w:tcBorders>
            <w:shd w:val="clear" w:color="auto" w:fill="B2B2B2"/>
          </w:tcPr>
          <w:p>
            <w:pPr>
              <w:spacing w:after="0"/>
              <w:rPr>
                <w:sz w:val="9"/>
                <w:szCs w:val="9"/>
                <w:color w:val="auto"/>
              </w:rPr>
            </w:pPr>
          </w:p>
        </w:tc>
        <w:tc>
          <w:tcPr>
            <w:tcW w:w="4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20" w:type="dxa"/>
            <w:vAlign w:val="bottom"/>
            <w:tcBorders>
              <w:bottom w:val="single" w:sz="8" w:color="B2B2B2"/>
            </w:tcBorders>
            <w:shd w:val="clear" w:color="auto" w:fill="B2B2B2"/>
          </w:tcPr>
          <w:p>
            <w:pPr>
              <w:spacing w:after="0"/>
              <w:rPr>
                <w:sz w:val="9"/>
                <w:szCs w:val="9"/>
                <w:color w:val="auto"/>
              </w:rPr>
            </w:pPr>
          </w:p>
        </w:tc>
        <w:tc>
          <w:tcPr>
            <w:tcW w:w="8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80" w:type="dxa"/>
            <w:vAlign w:val="bottom"/>
            <w:tcBorders>
              <w:bottom w:val="single" w:sz="8" w:color="B2B2B2"/>
              <w:right w:val="single" w:sz="8" w:color="FEFEFE"/>
            </w:tcBorders>
            <w:shd w:val="clear" w:color="auto" w:fill="B2B2B2"/>
          </w:tcPr>
          <w:p>
            <w:pPr>
              <w:spacing w:after="0"/>
              <w:rPr>
                <w:sz w:val="9"/>
                <w:szCs w:val="9"/>
                <w:color w:val="auto"/>
              </w:rPr>
            </w:pPr>
          </w:p>
        </w:tc>
        <w:tc>
          <w:tcPr>
            <w:tcW w:w="4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20" w:type="dxa"/>
            <w:vAlign w:val="bottom"/>
            <w:tcBorders>
              <w:bottom w:val="single" w:sz="8" w:color="B2B2B2"/>
            </w:tcBorders>
            <w:shd w:val="clear" w:color="auto" w:fill="B2B2B2"/>
          </w:tcPr>
          <w:p>
            <w:pPr>
              <w:spacing w:after="0"/>
              <w:rPr>
                <w:sz w:val="9"/>
                <w:szCs w:val="9"/>
                <w:color w:val="auto"/>
              </w:rPr>
            </w:pPr>
          </w:p>
        </w:tc>
        <w:tc>
          <w:tcPr>
            <w:tcW w:w="60" w:type="dxa"/>
            <w:vAlign w:val="bottom"/>
            <w:tcBorders>
              <w:bottom w:val="single" w:sz="8" w:color="B2B2B2"/>
            </w:tcBorders>
            <w:shd w:val="clear" w:color="auto" w:fill="B2B2B2"/>
          </w:tcPr>
          <w:p>
            <w:pPr>
              <w:spacing w:after="0"/>
              <w:rPr>
                <w:sz w:val="9"/>
                <w:szCs w:val="9"/>
                <w:color w:val="auto"/>
              </w:rPr>
            </w:pPr>
          </w:p>
        </w:tc>
        <w:tc>
          <w:tcPr>
            <w:tcW w:w="18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80" w:type="dxa"/>
            <w:vAlign w:val="bottom"/>
            <w:tcBorders>
              <w:bottom w:val="single" w:sz="8" w:color="B2B2B2"/>
              <w:right w:val="single" w:sz="8" w:color="FEFEFE"/>
            </w:tcBorders>
            <w:shd w:val="clear" w:color="auto" w:fill="B2B2B2"/>
          </w:tcPr>
          <w:p>
            <w:pPr>
              <w:spacing w:after="0"/>
              <w:rPr>
                <w:sz w:val="9"/>
                <w:szCs w:val="9"/>
                <w:color w:val="auto"/>
              </w:rPr>
            </w:pPr>
          </w:p>
        </w:tc>
        <w:tc>
          <w:tcPr>
            <w:tcW w:w="60" w:type="dxa"/>
            <w:vAlign w:val="bottom"/>
            <w:tcBorders>
              <w:bottom w:val="single" w:sz="8" w:color="B2B2B2"/>
            </w:tcBorders>
            <w:shd w:val="clear" w:color="auto" w:fill="B2B2B2"/>
          </w:tcPr>
          <w:p>
            <w:pPr>
              <w:spacing w:after="0"/>
              <w:rPr>
                <w:sz w:val="9"/>
                <w:szCs w:val="9"/>
                <w:color w:val="auto"/>
              </w:rPr>
            </w:pPr>
          </w:p>
        </w:tc>
        <w:tc>
          <w:tcPr>
            <w:tcW w:w="140" w:type="dxa"/>
            <w:vAlign w:val="bottom"/>
            <w:tcBorders>
              <w:bottom w:val="single" w:sz="8" w:color="B2B2B2"/>
            </w:tcBorders>
            <w:shd w:val="clear" w:color="auto" w:fill="B2B2B2"/>
          </w:tcPr>
          <w:p>
            <w:pPr>
              <w:spacing w:after="0"/>
              <w:rPr>
                <w:sz w:val="9"/>
                <w:szCs w:val="9"/>
                <w:color w:val="auto"/>
              </w:rPr>
            </w:pPr>
          </w:p>
        </w:tc>
        <w:tc>
          <w:tcPr>
            <w:tcW w:w="20" w:type="dxa"/>
            <w:vAlign w:val="bottom"/>
            <w:tcBorders>
              <w:bottom w:val="single" w:sz="8" w:color="B2B2B2"/>
            </w:tcBorders>
            <w:shd w:val="clear" w:color="auto" w:fill="B2B2B2"/>
          </w:tcPr>
          <w:p>
            <w:pPr>
              <w:spacing w:after="0"/>
              <w:rPr>
                <w:sz w:val="9"/>
                <w:szCs w:val="9"/>
                <w:color w:val="auto"/>
              </w:rPr>
            </w:pPr>
          </w:p>
        </w:tc>
        <w:tc>
          <w:tcPr>
            <w:tcW w:w="40" w:type="dxa"/>
            <w:vAlign w:val="bottom"/>
            <w:tcBorders>
              <w:bottom w:val="single" w:sz="8" w:color="B2B2B2"/>
            </w:tcBorders>
            <w:shd w:val="clear" w:color="auto" w:fill="B2B2B2"/>
          </w:tcPr>
          <w:p>
            <w:pPr>
              <w:spacing w:after="0"/>
              <w:rPr>
                <w:sz w:val="9"/>
                <w:szCs w:val="9"/>
                <w:color w:val="auto"/>
              </w:rPr>
            </w:pPr>
          </w:p>
        </w:tc>
        <w:tc>
          <w:tcPr>
            <w:tcW w:w="200" w:type="dxa"/>
            <w:vAlign w:val="bottom"/>
            <w:tcBorders>
              <w:bottom w:val="single" w:sz="8" w:color="B2B2B2"/>
            </w:tcBorders>
            <w:shd w:val="clear" w:color="auto" w:fill="B2B2B2"/>
          </w:tcPr>
          <w:p>
            <w:pPr>
              <w:spacing w:after="0"/>
              <w:rPr>
                <w:sz w:val="9"/>
                <w:szCs w:val="9"/>
                <w:color w:val="auto"/>
              </w:rPr>
            </w:pPr>
          </w:p>
        </w:tc>
        <w:tc>
          <w:tcPr>
            <w:tcW w:w="160" w:type="dxa"/>
            <w:vAlign w:val="bottom"/>
            <w:tcBorders>
              <w:bottom w:val="single" w:sz="8" w:color="B2B2B2"/>
            </w:tcBorders>
            <w:shd w:val="clear" w:color="auto" w:fill="B2B2B2"/>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36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82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0" w:type="dxa"/>
            <w:vAlign w:val="bottom"/>
            <w:shd w:val="clear" w:color="auto" w:fill="7F7F7F"/>
          </w:tcPr>
          <w:p>
            <w:pPr>
              <w:spacing w:after="0" w:line="20" w:lineRule="exact"/>
              <w:rPr>
                <w:sz w:val="1"/>
                <w:szCs w:val="1"/>
                <w:color w:val="auto"/>
              </w:rPr>
            </w:pPr>
          </w:p>
        </w:tc>
        <w:tc>
          <w:tcPr>
            <w:tcW w:w="160" w:type="dxa"/>
            <w:vAlign w:val="bottom"/>
            <w:tcBorders>
              <w:righ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20" w:type="dxa"/>
            <w:vAlign w:val="bottom"/>
            <w:tcBorders>
              <w:left w:val="single" w:sz="8" w:color="7F7F7F"/>
              <w:right w:val="single" w:sz="8" w:color="7F7F7F"/>
            </w:tcBorders>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Helmut Gassel</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404040"/>
              </w:rPr>
              <w:t>60</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2024</w:t>
            </w:r>
          </w:p>
        </w:tc>
        <w:tc>
          <w:tcPr>
            <w:tcW w:w="100" w:type="dxa"/>
            <w:vAlign w:val="bottom"/>
          </w:tcPr>
          <w:p>
            <w:pPr>
              <w:spacing w:after="0"/>
              <w:rPr>
                <w:sz w:val="18"/>
                <w:szCs w:val="18"/>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ind w:left="100"/>
              <w:spacing w:after="0"/>
              <w:rPr>
                <w:sz w:val="20"/>
                <w:szCs w:val="20"/>
                <w:color w:val="auto"/>
              </w:rPr>
            </w:pPr>
            <w:r>
              <w:rPr>
                <w:rFonts w:ascii="Arial" w:cs="Arial" w:eastAsia="Arial" w:hAnsi="Arial"/>
                <w:sz w:val="25"/>
                <w:szCs w:val="25"/>
                <w:color w:val="53C072"/>
                <w:w w:val="90"/>
              </w:rPr>
              <w:t>•</w:t>
            </w:r>
          </w:p>
        </w:tc>
        <w:tc>
          <w:tcPr>
            <w:tcW w:w="60" w:type="dxa"/>
            <w:vAlign w:val="bottom"/>
          </w:tcPr>
          <w:p>
            <w:pPr>
              <w:spacing w:after="0"/>
              <w:rPr>
                <w:sz w:val="18"/>
                <w:szCs w:val="18"/>
                <w:color w:val="auto"/>
              </w:rPr>
            </w:pPr>
          </w:p>
        </w:tc>
        <w:tc>
          <w:tcPr>
            <w:tcW w:w="200" w:type="dxa"/>
            <w:vAlign w:val="bottom"/>
            <w:tcBorders>
              <w:right w:val="single" w:sz="8" w:color="B2B2B2"/>
            </w:tcBorders>
            <w:gridSpan w:val="2"/>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ind w:right="55"/>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240" w:type="dxa"/>
            <w:vAlign w:val="bottom"/>
            <w:tcBorders>
              <w:right w:val="single" w:sz="8" w:color="FEFEFE"/>
            </w:tcBorders>
            <w:gridSpan w:val="2"/>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92"/>
        </w:trPr>
        <w:tc>
          <w:tcPr>
            <w:tcW w:w="2840" w:type="dxa"/>
            <w:vAlign w:val="bottom"/>
          </w:tcPr>
          <w:p>
            <w:pPr>
              <w:ind w:left="40"/>
              <w:spacing w:after="0"/>
              <w:rPr>
                <w:sz w:val="20"/>
                <w:szCs w:val="20"/>
                <w:color w:val="auto"/>
              </w:rPr>
            </w:pPr>
            <w:r>
              <w:rPr>
                <w:rFonts w:ascii="Arial" w:cs="Arial" w:eastAsia="Arial" w:hAnsi="Arial"/>
                <w:sz w:val="14"/>
                <w:szCs w:val="14"/>
                <w:color w:val="404040"/>
              </w:rPr>
              <w:t>Co-founder and Partner of Silian Partners</w:t>
            </w:r>
          </w:p>
        </w:tc>
        <w:tc>
          <w:tcPr>
            <w:tcW w:w="22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Borders>
              <w:right w:val="single" w:sz="8" w:color="B2B2B2"/>
            </w:tcBorders>
            <w:vMerge w:val="continue"/>
          </w:tcPr>
          <w:p>
            <w:pPr>
              <w:spacing w:after="0"/>
              <w:rPr>
                <w:sz w:val="16"/>
                <w:szCs w:val="16"/>
                <w:color w:val="auto"/>
              </w:rPr>
            </w:pPr>
          </w:p>
        </w:tc>
        <w:tc>
          <w:tcPr>
            <w:tcW w:w="140" w:type="dxa"/>
            <w:vAlign w:val="bottom"/>
            <w:tcBorders>
              <w:bottom w:val="single" w:sz="8" w:color="B2B2B2"/>
              <w:right w:val="single" w:sz="8" w:color="B2B2B2"/>
            </w:tcBorders>
            <w:shd w:val="clear" w:color="auto" w:fill="B2B2B2"/>
          </w:tcPr>
          <w:p>
            <w:pPr>
              <w:spacing w:after="0"/>
              <w:rPr>
                <w:sz w:val="16"/>
                <w:szCs w:val="16"/>
                <w:color w:val="auto"/>
              </w:rPr>
            </w:pPr>
          </w:p>
        </w:tc>
        <w:tc>
          <w:tcPr>
            <w:tcW w:w="4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vMerge w:val="continue"/>
            <w:shd w:val="clear" w:color="auto" w:fill="B2B2B2"/>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right w:val="single" w:sz="8" w:color="B2B2B2"/>
            </w:tcBorders>
            <w:gridSpan w:val="2"/>
            <w:vMerge w:val="continue"/>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240" w:type="dxa"/>
            <w:vAlign w:val="bottom"/>
            <w:tcBorders>
              <w:bottom w:val="single" w:sz="8" w:color="B2B2B2"/>
              <w:right w:val="single" w:sz="8" w:color="FEFEFE"/>
            </w:tcBorders>
            <w:gridSpan w:val="2"/>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8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40" w:type="dxa"/>
            <w:vAlign w:val="bottom"/>
            <w:tcBorders>
              <w:bottom w:val="single" w:sz="8" w:color="B2B2B2"/>
              <w:right w:val="single" w:sz="8" w:color="FEFEFE"/>
            </w:tcBorders>
            <w:gridSpan w:val="2"/>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80" w:type="dxa"/>
            <w:vAlign w:val="bottom"/>
            <w:tcBorders>
              <w:bottom w:val="single" w:sz="8" w:color="B2B2B2"/>
            </w:tcBorders>
            <w:shd w:val="clear" w:color="auto" w:fill="B2B2B2"/>
          </w:tcPr>
          <w:p>
            <w:pPr>
              <w:spacing w:after="0"/>
              <w:rPr>
                <w:sz w:val="16"/>
                <w:szCs w:val="16"/>
                <w:color w:val="auto"/>
              </w:rPr>
            </w:pPr>
          </w:p>
        </w:tc>
        <w:tc>
          <w:tcPr>
            <w:tcW w:w="240" w:type="dxa"/>
            <w:vAlign w:val="bottom"/>
            <w:tcBorders>
              <w:bottom w:val="single" w:sz="8" w:color="B2B2B2"/>
              <w:right w:val="single" w:sz="8" w:color="FEFEFE"/>
            </w:tcBorders>
            <w:gridSpan w:val="2"/>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4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36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82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0" w:type="dxa"/>
            <w:vAlign w:val="bottom"/>
            <w:shd w:val="clear" w:color="auto" w:fill="7F7F7F"/>
          </w:tcPr>
          <w:p>
            <w:pPr>
              <w:spacing w:after="0" w:line="20" w:lineRule="exact"/>
              <w:rPr>
                <w:sz w:val="1"/>
                <w:szCs w:val="1"/>
                <w:color w:val="auto"/>
              </w:rPr>
            </w:pPr>
          </w:p>
        </w:tc>
        <w:tc>
          <w:tcPr>
            <w:tcW w:w="160" w:type="dxa"/>
            <w:vAlign w:val="bottom"/>
            <w:tcBorders>
              <w:righ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20" w:type="dxa"/>
            <w:vAlign w:val="bottom"/>
            <w:tcBorders>
              <w:left w:val="single" w:sz="8" w:color="7F7F7F"/>
              <w:right w:val="single" w:sz="8" w:color="7F7F7F"/>
            </w:tcBorders>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Virginia L. Henkels</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404040"/>
              </w:rPr>
              <w:t>56</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2024</w:t>
            </w:r>
          </w:p>
        </w:tc>
        <w:tc>
          <w:tcPr>
            <w:tcW w:w="100" w:type="dxa"/>
            <w:vAlign w:val="bottom"/>
          </w:tcPr>
          <w:p>
            <w:pPr>
              <w:spacing w:after="0"/>
              <w:rPr>
                <w:sz w:val="18"/>
                <w:szCs w:val="18"/>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ind w:left="100"/>
              <w:spacing w:after="0"/>
              <w:rPr>
                <w:sz w:val="20"/>
                <w:szCs w:val="20"/>
                <w:color w:val="auto"/>
              </w:rPr>
            </w:pPr>
            <w:r>
              <w:rPr>
                <w:rFonts w:ascii="Arial" w:cs="Arial" w:eastAsia="Arial" w:hAnsi="Arial"/>
                <w:sz w:val="25"/>
                <w:szCs w:val="25"/>
                <w:color w:val="53C072"/>
                <w:w w:val="90"/>
              </w:rPr>
              <w:t>•</w:t>
            </w:r>
          </w:p>
        </w:tc>
        <w:tc>
          <w:tcPr>
            <w:tcW w:w="6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ind w:right="55"/>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76"/>
        </w:trPr>
        <w:tc>
          <w:tcPr>
            <w:tcW w:w="2840" w:type="dxa"/>
            <w:vAlign w:val="bottom"/>
          </w:tcPr>
          <w:p>
            <w:pPr>
              <w:ind w:left="40"/>
              <w:spacing w:after="0"/>
              <w:rPr>
                <w:sz w:val="20"/>
                <w:szCs w:val="20"/>
                <w:color w:val="auto"/>
              </w:rPr>
            </w:pPr>
            <w:r>
              <w:rPr>
                <w:rFonts w:ascii="Arial" w:cs="Arial" w:eastAsia="Arial" w:hAnsi="Arial"/>
                <w:sz w:val="14"/>
                <w:szCs w:val="14"/>
                <w:color w:val="404040"/>
              </w:rPr>
              <w:t>Former CFO of Swift Transportation and</w:t>
            </w:r>
          </w:p>
        </w:tc>
        <w:tc>
          <w:tcPr>
            <w:tcW w:w="2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Borders>
              <w:right w:val="single" w:sz="8" w:color="B2B2B2"/>
            </w:tcBorders>
            <w:vMerge w:val="continue"/>
          </w:tcPr>
          <w:p>
            <w:pPr>
              <w:spacing w:after="0"/>
              <w:rPr>
                <w:sz w:val="15"/>
                <w:szCs w:val="15"/>
                <w:color w:val="auto"/>
              </w:rPr>
            </w:pPr>
          </w:p>
        </w:tc>
        <w:tc>
          <w:tcPr>
            <w:tcW w:w="140" w:type="dxa"/>
            <w:vAlign w:val="bottom"/>
            <w:tcBorders>
              <w:right w:val="single" w:sz="8" w:color="B2B2B2"/>
            </w:tcBorders>
            <w:shd w:val="clear" w:color="auto" w:fill="B2B2B2"/>
          </w:tcPr>
          <w:p>
            <w:pPr>
              <w:spacing w:after="0"/>
              <w:rPr>
                <w:sz w:val="15"/>
                <w:szCs w:val="15"/>
                <w:color w:val="auto"/>
              </w:rPr>
            </w:pPr>
          </w:p>
        </w:tc>
        <w:tc>
          <w:tcPr>
            <w:tcW w:w="4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20" w:type="dxa"/>
            <w:vAlign w:val="bottom"/>
            <w:tcBorders>
              <w:right w:val="single" w:sz="8" w:color="B2B2B2"/>
            </w:tcBorders>
            <w:vMerge w:val="continue"/>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Empowerment &amp; Inclusion Capital I Corp.</w:t>
            </w:r>
          </w:p>
        </w:tc>
        <w:tc>
          <w:tcPr>
            <w:tcW w:w="220" w:type="dxa"/>
            <w:vAlign w:val="bottom"/>
            <w:tcBorders>
              <w:bottom w:val="single" w:sz="8" w:color="7F7F7F"/>
            </w:tcBorders>
          </w:tcPr>
          <w:p>
            <w:pPr>
              <w:spacing w:after="0"/>
              <w:rPr>
                <w:sz w:val="16"/>
                <w:szCs w:val="16"/>
                <w:color w:val="auto"/>
              </w:rPr>
            </w:pPr>
          </w:p>
        </w:tc>
        <w:tc>
          <w:tcPr>
            <w:tcW w:w="36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8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6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tcPr>
          <w:p>
            <w:pPr>
              <w:spacing w:after="0"/>
              <w:rPr>
                <w:sz w:val="16"/>
                <w:szCs w:val="16"/>
                <w:color w:val="auto"/>
              </w:rPr>
            </w:pPr>
          </w:p>
        </w:tc>
        <w:tc>
          <w:tcPr>
            <w:tcW w:w="140" w:type="dxa"/>
            <w:vAlign w:val="bottom"/>
            <w:tcBorders>
              <w:bottom w:val="single" w:sz="8" w:color="7F7F7F"/>
              <w:right w:val="single" w:sz="8" w:color="B2B2B2"/>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20" w:type="dxa"/>
            <w:vAlign w:val="bottom"/>
            <w:tcBorders>
              <w:right w:val="single" w:sz="8" w:color="B2B2B2"/>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Jo Ann Jenkins</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404040"/>
              </w:rPr>
              <w:t>66</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2018</w:t>
            </w:r>
          </w:p>
        </w:tc>
        <w:tc>
          <w:tcPr>
            <w:tcW w:w="100" w:type="dxa"/>
            <w:vAlign w:val="bottom"/>
          </w:tcPr>
          <w:p>
            <w:pPr>
              <w:spacing w:after="0"/>
              <w:rPr>
                <w:sz w:val="18"/>
                <w:szCs w:val="18"/>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ind w:left="120"/>
              <w:spacing w:after="0"/>
              <w:rPr>
                <w:sz w:val="20"/>
                <w:szCs w:val="20"/>
                <w:color w:val="auto"/>
              </w:rPr>
            </w:pPr>
            <w:r>
              <w:rPr>
                <w:rFonts w:ascii="Times New Roman" w:cs="Times New Roman" w:eastAsia="Times New Roman" w:hAnsi="Times New Roman"/>
                <w:sz w:val="24"/>
                <w:szCs w:val="24"/>
                <w:color w:val="auto"/>
                <w:w w:val="70"/>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ind w:right="55"/>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8"/>
                <w:szCs w:val="18"/>
                <w:color w:val="auto"/>
              </w:rPr>
            </w:pPr>
          </w:p>
        </w:tc>
        <w:tc>
          <w:tcPr>
            <w:tcW w:w="18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92"/>
        </w:trPr>
        <w:tc>
          <w:tcPr>
            <w:tcW w:w="2840" w:type="dxa"/>
            <w:vAlign w:val="bottom"/>
          </w:tcPr>
          <w:p>
            <w:pPr>
              <w:ind w:left="40"/>
              <w:spacing w:after="0"/>
              <w:rPr>
                <w:sz w:val="20"/>
                <w:szCs w:val="20"/>
                <w:color w:val="auto"/>
              </w:rPr>
            </w:pPr>
            <w:r>
              <w:rPr>
                <w:rFonts w:ascii="Arial" w:cs="Arial" w:eastAsia="Arial" w:hAnsi="Arial"/>
                <w:sz w:val="14"/>
                <w:szCs w:val="14"/>
                <w:color w:val="404040"/>
              </w:rPr>
              <w:t>Chief Executive Officer, AARP</w:t>
            </w:r>
          </w:p>
        </w:tc>
        <w:tc>
          <w:tcPr>
            <w:tcW w:w="22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Borders>
              <w:right w:val="single" w:sz="8" w:color="B2B2B2"/>
            </w:tcBorders>
            <w:vMerge w:val="continue"/>
          </w:tcPr>
          <w:p>
            <w:pPr>
              <w:spacing w:after="0"/>
              <w:rPr>
                <w:sz w:val="16"/>
                <w:szCs w:val="16"/>
                <w:color w:val="auto"/>
              </w:rPr>
            </w:pPr>
          </w:p>
        </w:tc>
        <w:tc>
          <w:tcPr>
            <w:tcW w:w="140" w:type="dxa"/>
            <w:vAlign w:val="bottom"/>
            <w:tcBorders>
              <w:bottom w:val="single" w:sz="8" w:color="B2B2B2"/>
              <w:right w:val="single" w:sz="8" w:color="B2B2B2"/>
            </w:tcBorders>
            <w:shd w:val="clear" w:color="auto" w:fill="B2B2B2"/>
          </w:tcPr>
          <w:p>
            <w:pPr>
              <w:spacing w:after="0"/>
              <w:rPr>
                <w:sz w:val="16"/>
                <w:szCs w:val="16"/>
                <w:color w:val="auto"/>
              </w:rPr>
            </w:pPr>
          </w:p>
        </w:tc>
        <w:tc>
          <w:tcPr>
            <w:tcW w:w="4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tcBorders>
            <w:shd w:val="clear" w:color="auto" w:fill="B2B2B2"/>
          </w:tcPr>
          <w:p>
            <w:pPr>
              <w:spacing w:after="0"/>
              <w:rPr>
                <w:sz w:val="16"/>
                <w:szCs w:val="16"/>
                <w:color w:val="auto"/>
              </w:rPr>
            </w:pPr>
          </w:p>
        </w:tc>
        <w:tc>
          <w:tcPr>
            <w:tcW w:w="120" w:type="dxa"/>
            <w:vAlign w:val="bottom"/>
            <w:tcBorders>
              <w:right w:val="single" w:sz="8" w:color="B2B2B2"/>
            </w:tcBorders>
            <w:vMerge w:val="continue"/>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8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8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4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36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82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0" w:type="dxa"/>
            <w:vAlign w:val="bottom"/>
            <w:shd w:val="clear" w:color="auto" w:fill="7F7F7F"/>
          </w:tcPr>
          <w:p>
            <w:pPr>
              <w:spacing w:after="0" w:line="20" w:lineRule="exact"/>
              <w:rPr>
                <w:sz w:val="1"/>
                <w:szCs w:val="1"/>
                <w:color w:val="auto"/>
              </w:rPr>
            </w:pPr>
          </w:p>
        </w:tc>
        <w:tc>
          <w:tcPr>
            <w:tcW w:w="160" w:type="dxa"/>
            <w:vAlign w:val="bottom"/>
            <w:tcBorders>
              <w:right w:val="single" w:sz="8" w:color="7F7F7F"/>
            </w:tcBorders>
            <w:shd w:val="clear" w:color="auto" w:fill="7F7F7F"/>
          </w:tcPr>
          <w:p>
            <w:pPr>
              <w:spacing w:after="0" w:line="20" w:lineRule="exact"/>
              <w:rPr>
                <w:sz w:val="1"/>
                <w:szCs w:val="1"/>
                <w:color w:val="auto"/>
              </w:rPr>
            </w:pPr>
          </w:p>
        </w:tc>
        <w:tc>
          <w:tcPr>
            <w:tcW w:w="140" w:type="dxa"/>
            <w:vAlign w:val="bottom"/>
            <w:tcBorders>
              <w:right w:val="single" w:sz="8" w:color="7F7F7F"/>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20" w:type="dxa"/>
            <w:vAlign w:val="bottom"/>
            <w:tcBorders>
              <w:left w:val="single" w:sz="8" w:color="7F7F7F"/>
              <w:right w:val="single" w:sz="8" w:color="7F7F7F"/>
            </w:tcBorders>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80" w:type="dxa"/>
            <w:vAlign w:val="bottom"/>
            <w:tcBorders>
              <w:right w:val="single" w:sz="8" w:color="FEFEFE"/>
            </w:tcBorders>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Oleg Khaykin</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404040"/>
              </w:rPr>
              <w:t>59</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2018</w:t>
            </w:r>
          </w:p>
        </w:tc>
        <w:tc>
          <w:tcPr>
            <w:tcW w:w="100" w:type="dxa"/>
            <w:vAlign w:val="bottom"/>
          </w:tcPr>
          <w:p>
            <w:pPr>
              <w:spacing w:after="0"/>
              <w:rPr>
                <w:sz w:val="18"/>
                <w:szCs w:val="18"/>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ind w:left="100"/>
              <w:spacing w:after="0"/>
              <w:rPr>
                <w:sz w:val="20"/>
                <w:szCs w:val="20"/>
                <w:color w:val="auto"/>
              </w:rPr>
            </w:pPr>
            <w:r>
              <w:rPr>
                <w:rFonts w:ascii="Arial" w:cs="Arial" w:eastAsia="Arial" w:hAnsi="Arial"/>
                <w:sz w:val="25"/>
                <w:szCs w:val="25"/>
                <w:color w:val="53C072"/>
                <w:w w:val="90"/>
              </w:rPr>
              <w:t>•</w:t>
            </w:r>
          </w:p>
        </w:tc>
        <w:tc>
          <w:tcPr>
            <w:tcW w:w="6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ind w:right="55"/>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8"/>
                <w:szCs w:val="18"/>
                <w:color w:val="auto"/>
              </w:rPr>
            </w:pPr>
          </w:p>
        </w:tc>
        <w:tc>
          <w:tcPr>
            <w:tcW w:w="180" w:type="dxa"/>
            <w:vAlign w:val="bottom"/>
            <w:vMerge w:val="restart"/>
            <w:shd w:val="clear" w:color="auto" w:fill="B2B2B2"/>
          </w:tcPr>
          <w:p>
            <w:pPr>
              <w:jc w:val="right"/>
              <w:spacing w:after="0"/>
              <w:rPr>
                <w:sz w:val="20"/>
                <w:szCs w:val="20"/>
                <w:color w:val="auto"/>
              </w:rPr>
            </w:pPr>
            <w:r>
              <w:rPr>
                <w:rFonts w:ascii="Times New Roman" w:cs="Times New Roman" w:eastAsia="Times New Roman" w:hAnsi="Times New Roman"/>
                <w:sz w:val="25"/>
                <w:szCs w:val="25"/>
                <w:color w:val="auto"/>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76"/>
        </w:trPr>
        <w:tc>
          <w:tcPr>
            <w:tcW w:w="2840" w:type="dxa"/>
            <w:vAlign w:val="bottom"/>
          </w:tcPr>
          <w:p>
            <w:pPr>
              <w:ind w:left="40"/>
              <w:spacing w:after="0"/>
              <w:rPr>
                <w:sz w:val="20"/>
                <w:szCs w:val="20"/>
                <w:color w:val="auto"/>
              </w:rPr>
            </w:pPr>
            <w:r>
              <w:rPr>
                <w:rFonts w:ascii="Arial" w:cs="Arial" w:eastAsia="Arial" w:hAnsi="Arial"/>
                <w:sz w:val="14"/>
                <w:szCs w:val="14"/>
                <w:color w:val="404040"/>
              </w:rPr>
              <w:t>President and Chief Executive Officer,</w:t>
            </w:r>
          </w:p>
        </w:tc>
        <w:tc>
          <w:tcPr>
            <w:tcW w:w="2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Borders>
              <w:right w:val="single" w:sz="8" w:color="B2B2B2"/>
            </w:tcBorders>
            <w:vMerge w:val="continue"/>
          </w:tcPr>
          <w:p>
            <w:pPr>
              <w:spacing w:after="0"/>
              <w:rPr>
                <w:sz w:val="15"/>
                <w:szCs w:val="15"/>
                <w:color w:val="auto"/>
              </w:rPr>
            </w:pPr>
          </w:p>
        </w:tc>
        <w:tc>
          <w:tcPr>
            <w:tcW w:w="140" w:type="dxa"/>
            <w:vAlign w:val="bottom"/>
            <w:tcBorders>
              <w:right w:val="single" w:sz="8" w:color="B2B2B2"/>
            </w:tcBorders>
            <w:shd w:val="clear" w:color="auto" w:fill="B2B2B2"/>
          </w:tcPr>
          <w:p>
            <w:pPr>
              <w:spacing w:after="0"/>
              <w:rPr>
                <w:sz w:val="15"/>
                <w:szCs w:val="15"/>
                <w:color w:val="auto"/>
              </w:rPr>
            </w:pPr>
          </w:p>
        </w:tc>
        <w:tc>
          <w:tcPr>
            <w:tcW w:w="4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20" w:type="dxa"/>
            <w:vAlign w:val="bottom"/>
            <w:tcBorders>
              <w:right w:val="single" w:sz="8" w:color="B2B2B2"/>
            </w:tcBorders>
            <w:vMerge w:val="continue"/>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8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Viavi Solutions, Inc.</w:t>
            </w:r>
          </w:p>
        </w:tc>
        <w:tc>
          <w:tcPr>
            <w:tcW w:w="220" w:type="dxa"/>
            <w:vAlign w:val="bottom"/>
            <w:tcBorders>
              <w:bottom w:val="single" w:sz="8" w:color="7F7F7F"/>
            </w:tcBorders>
          </w:tcPr>
          <w:p>
            <w:pPr>
              <w:spacing w:after="0"/>
              <w:rPr>
                <w:sz w:val="16"/>
                <w:szCs w:val="16"/>
                <w:color w:val="auto"/>
              </w:rPr>
            </w:pPr>
          </w:p>
        </w:tc>
        <w:tc>
          <w:tcPr>
            <w:tcW w:w="36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8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6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tcPr>
          <w:p>
            <w:pPr>
              <w:spacing w:after="0"/>
              <w:rPr>
                <w:sz w:val="16"/>
                <w:szCs w:val="16"/>
                <w:color w:val="auto"/>
              </w:rPr>
            </w:pPr>
          </w:p>
        </w:tc>
        <w:tc>
          <w:tcPr>
            <w:tcW w:w="140" w:type="dxa"/>
            <w:vAlign w:val="bottom"/>
            <w:tcBorders>
              <w:bottom w:val="single" w:sz="8" w:color="7F7F7F"/>
              <w:right w:val="single" w:sz="8" w:color="B2B2B2"/>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20" w:type="dxa"/>
            <w:vAlign w:val="bottom"/>
            <w:tcBorders>
              <w:right w:val="single" w:sz="8" w:color="B2B2B2"/>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Ernest E. Maddock</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404040"/>
              </w:rPr>
              <w:t>66</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2021</w:t>
            </w:r>
          </w:p>
        </w:tc>
        <w:tc>
          <w:tcPr>
            <w:tcW w:w="100" w:type="dxa"/>
            <w:vAlign w:val="bottom"/>
          </w:tcPr>
          <w:p>
            <w:pPr>
              <w:spacing w:after="0"/>
              <w:rPr>
                <w:sz w:val="18"/>
                <w:szCs w:val="18"/>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ind w:left="100"/>
              <w:spacing w:after="0"/>
              <w:rPr>
                <w:sz w:val="20"/>
                <w:szCs w:val="20"/>
                <w:color w:val="auto"/>
              </w:rPr>
            </w:pPr>
            <w:r>
              <w:rPr>
                <w:rFonts w:ascii="Times New Roman" w:cs="Times New Roman" w:eastAsia="Times New Roman" w:hAnsi="Times New Roman"/>
                <w:sz w:val="25"/>
                <w:szCs w:val="25"/>
                <w:color w:val="auto"/>
                <w:w w:val="89"/>
              </w:rPr>
              <w:t>◦</w:t>
            </w:r>
          </w:p>
        </w:tc>
        <w:tc>
          <w:tcPr>
            <w:tcW w:w="6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ind w:right="55"/>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8"/>
                <w:szCs w:val="18"/>
                <w:color w:val="auto"/>
              </w:rPr>
            </w:pPr>
          </w:p>
        </w:tc>
        <w:tc>
          <w:tcPr>
            <w:tcW w:w="18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75"/>
        </w:trPr>
        <w:tc>
          <w:tcPr>
            <w:tcW w:w="2840" w:type="dxa"/>
            <w:vAlign w:val="bottom"/>
          </w:tcPr>
          <w:p>
            <w:pPr>
              <w:ind w:left="40"/>
              <w:spacing w:after="0"/>
              <w:rPr>
                <w:sz w:val="20"/>
                <w:szCs w:val="20"/>
                <w:color w:val="auto"/>
              </w:rPr>
            </w:pPr>
            <w:r>
              <w:rPr>
                <w:rFonts w:ascii="Arial" w:cs="Arial" w:eastAsia="Arial" w:hAnsi="Arial"/>
                <w:sz w:val="14"/>
                <w:szCs w:val="14"/>
                <w:color w:val="404040"/>
              </w:rPr>
              <w:t>Former Chief Financial Officer, Micron</w:t>
            </w:r>
          </w:p>
        </w:tc>
        <w:tc>
          <w:tcPr>
            <w:tcW w:w="2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Borders>
              <w:right w:val="single" w:sz="8" w:color="B2B2B2"/>
            </w:tcBorders>
            <w:vMerge w:val="continue"/>
          </w:tcPr>
          <w:p>
            <w:pPr>
              <w:spacing w:after="0"/>
              <w:rPr>
                <w:sz w:val="15"/>
                <w:szCs w:val="15"/>
                <w:color w:val="auto"/>
              </w:rPr>
            </w:pPr>
          </w:p>
        </w:tc>
        <w:tc>
          <w:tcPr>
            <w:tcW w:w="140" w:type="dxa"/>
            <w:vAlign w:val="bottom"/>
            <w:tcBorders>
              <w:right w:val="single" w:sz="8" w:color="B2B2B2"/>
            </w:tcBorders>
            <w:shd w:val="clear" w:color="auto" w:fill="B2B2B2"/>
          </w:tcPr>
          <w:p>
            <w:pPr>
              <w:spacing w:after="0"/>
              <w:rPr>
                <w:sz w:val="15"/>
                <w:szCs w:val="15"/>
                <w:color w:val="auto"/>
              </w:rPr>
            </w:pPr>
          </w:p>
        </w:tc>
        <w:tc>
          <w:tcPr>
            <w:tcW w:w="4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20" w:type="dxa"/>
            <w:vAlign w:val="bottom"/>
            <w:tcBorders>
              <w:right w:val="single" w:sz="8" w:color="B2B2B2"/>
            </w:tcBorders>
            <w:vMerge w:val="continue"/>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8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Technology, Inc.</w:t>
            </w:r>
          </w:p>
        </w:tc>
        <w:tc>
          <w:tcPr>
            <w:tcW w:w="220" w:type="dxa"/>
            <w:vAlign w:val="bottom"/>
            <w:tcBorders>
              <w:bottom w:val="single" w:sz="8" w:color="7F7F7F"/>
            </w:tcBorders>
          </w:tcPr>
          <w:p>
            <w:pPr>
              <w:spacing w:after="0"/>
              <w:rPr>
                <w:sz w:val="16"/>
                <w:szCs w:val="16"/>
                <w:color w:val="auto"/>
              </w:rPr>
            </w:pPr>
          </w:p>
        </w:tc>
        <w:tc>
          <w:tcPr>
            <w:tcW w:w="36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8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6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tcPr>
          <w:p>
            <w:pPr>
              <w:spacing w:after="0"/>
              <w:rPr>
                <w:sz w:val="16"/>
                <w:szCs w:val="16"/>
                <w:color w:val="auto"/>
              </w:rPr>
            </w:pPr>
          </w:p>
        </w:tc>
        <w:tc>
          <w:tcPr>
            <w:tcW w:w="140" w:type="dxa"/>
            <w:vAlign w:val="bottom"/>
            <w:tcBorders>
              <w:bottom w:val="single" w:sz="8" w:color="7F7F7F"/>
              <w:right w:val="single" w:sz="8" w:color="B2B2B2"/>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20" w:type="dxa"/>
            <w:vAlign w:val="bottom"/>
            <w:tcBorders>
              <w:right w:val="single" w:sz="8" w:color="B2B2B2"/>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Avid Modjtabai</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B2B2B2"/>
            </w:tcBorders>
          </w:tcPr>
          <w:p>
            <w:pPr>
              <w:spacing w:after="0"/>
              <w:rPr>
                <w:sz w:val="18"/>
                <w:szCs w:val="18"/>
                <w:color w:val="auto"/>
              </w:rPr>
            </w:pP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20" w:type="dxa"/>
            <w:vAlign w:val="bottom"/>
            <w:tcBorders>
              <w:right w:val="single" w:sz="8" w:color="B2B2B2"/>
            </w:tcBorders>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ind w:left="100"/>
              <w:spacing w:after="0"/>
              <w:rPr>
                <w:sz w:val="20"/>
                <w:szCs w:val="20"/>
                <w:color w:val="auto"/>
              </w:rPr>
            </w:pPr>
            <w:r>
              <w:rPr>
                <w:rFonts w:ascii="Arial" w:cs="Arial" w:eastAsia="Arial" w:hAnsi="Arial"/>
                <w:sz w:val="25"/>
                <w:szCs w:val="25"/>
                <w:color w:val="53C072"/>
                <w:w w:val="90"/>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60" w:type="dxa"/>
            <w:vAlign w:val="bottom"/>
            <w:vMerge w:val="restart"/>
            <w:shd w:val="clear" w:color="auto" w:fill="B2B2B2"/>
          </w:tcPr>
          <w:p>
            <w:pPr>
              <w:ind w:left="60"/>
              <w:spacing w:after="0"/>
              <w:rPr>
                <w:sz w:val="20"/>
                <w:szCs w:val="20"/>
                <w:color w:val="auto"/>
              </w:rPr>
            </w:pPr>
            <w:r>
              <w:rPr>
                <w:rFonts w:ascii="Times New Roman" w:cs="Times New Roman" w:eastAsia="Times New Roman" w:hAnsi="Times New Roman"/>
                <w:sz w:val="25"/>
                <w:szCs w:val="25"/>
                <w:color w:val="auto"/>
                <w:w w:val="89"/>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jc w:val="right"/>
              <w:spacing w:after="0"/>
              <w:rPr>
                <w:sz w:val="20"/>
                <w:szCs w:val="20"/>
                <w:color w:val="auto"/>
              </w:rPr>
            </w:pPr>
            <w:r>
              <w:rPr>
                <w:rFonts w:ascii="Arial" w:cs="Arial" w:eastAsia="Arial" w:hAnsi="Arial"/>
                <w:sz w:val="25"/>
                <w:szCs w:val="25"/>
                <w:color w:val="53C072"/>
              </w:rPr>
              <w:t>•</w:t>
            </w:r>
          </w:p>
        </w:tc>
        <w:tc>
          <w:tcPr>
            <w:tcW w:w="160" w:type="dxa"/>
            <w:vAlign w:val="bottom"/>
            <w:shd w:val="clear" w:color="auto" w:fill="B2B2B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40"/>
              <w:spacing w:after="0"/>
              <w:rPr>
                <w:sz w:val="20"/>
                <w:szCs w:val="20"/>
                <w:color w:val="auto"/>
              </w:rPr>
            </w:pPr>
            <w:r>
              <w:rPr>
                <w:rFonts w:ascii="Arial" w:cs="Arial" w:eastAsia="Arial" w:hAnsi="Arial"/>
                <w:sz w:val="14"/>
                <w:szCs w:val="14"/>
                <w:color w:val="404040"/>
              </w:rPr>
              <w:t>Former Senior Executive Vice President,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404040"/>
              </w:rPr>
              <w:t>62</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2014</w:t>
            </w:r>
          </w:p>
        </w:tc>
        <w:tc>
          <w:tcPr>
            <w:tcW w:w="100" w:type="dxa"/>
            <w:vAlign w:val="bottom"/>
          </w:tcPr>
          <w:p>
            <w:pPr>
              <w:spacing w:after="0"/>
              <w:rPr>
                <w:sz w:val="15"/>
                <w:szCs w:val="15"/>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5"/>
                <w:szCs w:val="15"/>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5"/>
                <w:szCs w:val="15"/>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restart"/>
            <w:shd w:val="clear" w:color="auto" w:fill="B2B2B2"/>
          </w:tcPr>
          <w:p>
            <w:pPr>
              <w:jc w:val="right"/>
              <w:ind w:right="55"/>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5"/>
                <w:szCs w:val="15"/>
                <w:color w:val="auto"/>
              </w:rPr>
            </w:pPr>
          </w:p>
        </w:tc>
        <w:tc>
          <w:tcPr>
            <w:tcW w:w="16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75"/>
        </w:trPr>
        <w:tc>
          <w:tcPr>
            <w:tcW w:w="2840" w:type="dxa"/>
            <w:vAlign w:val="bottom"/>
          </w:tcPr>
          <w:p>
            <w:pPr>
              <w:ind w:left="40"/>
              <w:spacing w:after="0"/>
              <w:rPr>
                <w:sz w:val="20"/>
                <w:szCs w:val="20"/>
                <w:color w:val="auto"/>
              </w:rPr>
            </w:pPr>
            <w:r>
              <w:rPr>
                <w:rFonts w:ascii="Arial" w:cs="Arial" w:eastAsia="Arial" w:hAnsi="Arial"/>
                <w:sz w:val="14"/>
                <w:szCs w:val="14"/>
                <w:color w:val="404040"/>
              </w:rPr>
              <w:t>Payments, Virtual Solutions and Innovation</w:t>
            </w:r>
          </w:p>
        </w:tc>
        <w:tc>
          <w:tcPr>
            <w:tcW w:w="2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Borders>
              <w:right w:val="single" w:sz="8" w:color="B2B2B2"/>
            </w:tcBorders>
            <w:vMerge w:val="continue"/>
          </w:tcPr>
          <w:p>
            <w:pPr>
              <w:spacing w:after="0"/>
              <w:rPr>
                <w:sz w:val="15"/>
                <w:szCs w:val="15"/>
                <w:color w:val="auto"/>
              </w:rPr>
            </w:pPr>
          </w:p>
        </w:tc>
        <w:tc>
          <w:tcPr>
            <w:tcW w:w="140" w:type="dxa"/>
            <w:vAlign w:val="bottom"/>
            <w:tcBorders>
              <w:right w:val="single" w:sz="8" w:color="B2B2B2"/>
            </w:tcBorders>
            <w:shd w:val="clear" w:color="auto" w:fill="B2B2B2"/>
          </w:tcPr>
          <w:p>
            <w:pPr>
              <w:spacing w:after="0"/>
              <w:rPr>
                <w:sz w:val="15"/>
                <w:szCs w:val="15"/>
                <w:color w:val="auto"/>
              </w:rPr>
            </w:pPr>
          </w:p>
        </w:tc>
        <w:tc>
          <w:tcPr>
            <w:tcW w:w="4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20" w:type="dxa"/>
            <w:vAlign w:val="bottom"/>
            <w:tcBorders>
              <w:right w:val="single" w:sz="8" w:color="B2B2B2"/>
            </w:tcBorders>
            <w:vMerge w:val="continue"/>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80" w:type="dxa"/>
            <w:vAlign w:val="bottom"/>
            <w:shd w:val="clear" w:color="auto" w:fill="B2B2B2"/>
          </w:tcPr>
          <w:p>
            <w:pPr>
              <w:spacing w:after="0"/>
              <w:rPr>
                <w:sz w:val="15"/>
                <w:szCs w:val="15"/>
                <w:color w:val="auto"/>
              </w:rPr>
            </w:pPr>
          </w:p>
        </w:tc>
        <w:tc>
          <w:tcPr>
            <w:tcW w:w="16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80" w:type="dxa"/>
            <w:vAlign w:val="bottom"/>
            <w:tcBorders>
              <w:right w:val="single" w:sz="8" w:color="FEFEFE"/>
            </w:tcBorders>
            <w:vMerge w:val="continue"/>
            <w:shd w:val="clear" w:color="auto" w:fill="B2B2B2"/>
          </w:tcPr>
          <w:p>
            <w:pPr>
              <w:spacing w:after="0"/>
              <w:rPr>
                <w:sz w:val="15"/>
                <w:szCs w:val="15"/>
                <w:color w:val="auto"/>
              </w:rPr>
            </w:pPr>
          </w:p>
        </w:tc>
        <w:tc>
          <w:tcPr>
            <w:tcW w:w="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20" w:type="dxa"/>
            <w:vAlign w:val="bottom"/>
            <w:vMerge w:val="continue"/>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200" w:type="dxa"/>
            <w:vAlign w:val="bottom"/>
            <w:vMerge w:val="continue"/>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Group, Wells Fargo</w:t>
            </w:r>
          </w:p>
        </w:tc>
        <w:tc>
          <w:tcPr>
            <w:tcW w:w="220" w:type="dxa"/>
            <w:vAlign w:val="bottom"/>
            <w:tcBorders>
              <w:bottom w:val="single" w:sz="8" w:color="7F7F7F"/>
            </w:tcBorders>
          </w:tcPr>
          <w:p>
            <w:pPr>
              <w:spacing w:after="0"/>
              <w:rPr>
                <w:sz w:val="16"/>
                <w:szCs w:val="16"/>
                <w:color w:val="auto"/>
              </w:rPr>
            </w:pPr>
          </w:p>
        </w:tc>
        <w:tc>
          <w:tcPr>
            <w:tcW w:w="36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8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60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right w:val="single" w:sz="8" w:color="B2B2B2"/>
            </w:tcBorders>
          </w:tcPr>
          <w:p>
            <w:pPr>
              <w:spacing w:after="0"/>
              <w:rPr>
                <w:sz w:val="16"/>
                <w:szCs w:val="16"/>
                <w:color w:val="auto"/>
              </w:rPr>
            </w:pPr>
          </w:p>
        </w:tc>
        <w:tc>
          <w:tcPr>
            <w:tcW w:w="140" w:type="dxa"/>
            <w:vAlign w:val="bottom"/>
            <w:tcBorders>
              <w:bottom w:val="single" w:sz="8" w:color="7F7F7F"/>
              <w:right w:val="single" w:sz="8" w:color="B2B2B2"/>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20" w:type="dxa"/>
            <w:vAlign w:val="bottom"/>
            <w:tcBorders>
              <w:right w:val="single" w:sz="8" w:color="B2B2B2"/>
            </w:tcBorders>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8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80" w:type="dxa"/>
            <w:vAlign w:val="bottom"/>
            <w:tcBorders>
              <w:bottom w:val="single" w:sz="8" w:color="7F7F7F"/>
              <w:right w:val="single" w:sz="8" w:color="FEFEFE"/>
            </w:tcBorders>
            <w:shd w:val="clear" w:color="auto" w:fill="B2B2B2"/>
          </w:tcPr>
          <w:p>
            <w:pPr>
              <w:spacing w:after="0"/>
              <w:rPr>
                <w:sz w:val="16"/>
                <w:szCs w:val="16"/>
                <w:color w:val="auto"/>
              </w:rPr>
            </w:pPr>
          </w:p>
        </w:tc>
        <w:tc>
          <w:tcPr>
            <w:tcW w:w="60" w:type="dxa"/>
            <w:vAlign w:val="bottom"/>
            <w:tcBorders>
              <w:bottom w:val="single" w:sz="8" w:color="7F7F7F"/>
            </w:tcBorders>
            <w:shd w:val="clear" w:color="auto" w:fill="B2B2B2"/>
          </w:tcPr>
          <w:p>
            <w:pPr>
              <w:spacing w:after="0"/>
              <w:rPr>
                <w:sz w:val="16"/>
                <w:szCs w:val="16"/>
                <w:color w:val="auto"/>
              </w:rPr>
            </w:pPr>
          </w:p>
        </w:tc>
        <w:tc>
          <w:tcPr>
            <w:tcW w:w="140" w:type="dxa"/>
            <w:vAlign w:val="bottom"/>
            <w:tcBorders>
              <w:bottom w:val="single" w:sz="8" w:color="7F7F7F"/>
            </w:tcBorders>
            <w:shd w:val="clear" w:color="auto" w:fill="B2B2B2"/>
          </w:tcPr>
          <w:p>
            <w:pPr>
              <w:spacing w:after="0"/>
              <w:rPr>
                <w:sz w:val="16"/>
                <w:szCs w:val="16"/>
                <w:color w:val="auto"/>
              </w:rPr>
            </w:pPr>
          </w:p>
        </w:tc>
        <w:tc>
          <w:tcPr>
            <w:tcW w:w="20" w:type="dxa"/>
            <w:vAlign w:val="bottom"/>
            <w:tcBorders>
              <w:bottom w:val="single" w:sz="8" w:color="7F7F7F"/>
            </w:tcBorders>
            <w:shd w:val="clear" w:color="auto" w:fill="B2B2B2"/>
          </w:tcPr>
          <w:p>
            <w:pPr>
              <w:spacing w:after="0"/>
              <w:rPr>
                <w:sz w:val="16"/>
                <w:szCs w:val="16"/>
                <w:color w:val="auto"/>
              </w:rPr>
            </w:pPr>
          </w:p>
        </w:tc>
        <w:tc>
          <w:tcPr>
            <w:tcW w:w="40" w:type="dxa"/>
            <w:vAlign w:val="bottom"/>
            <w:tcBorders>
              <w:bottom w:val="single" w:sz="8" w:color="7F7F7F"/>
            </w:tcBorders>
            <w:shd w:val="clear" w:color="auto" w:fill="B2B2B2"/>
          </w:tcPr>
          <w:p>
            <w:pPr>
              <w:spacing w:after="0"/>
              <w:rPr>
                <w:sz w:val="16"/>
                <w:szCs w:val="16"/>
                <w:color w:val="auto"/>
              </w:rPr>
            </w:pPr>
          </w:p>
        </w:tc>
        <w:tc>
          <w:tcPr>
            <w:tcW w:w="200" w:type="dxa"/>
            <w:vAlign w:val="bottom"/>
            <w:tcBorders>
              <w:bottom w:val="single" w:sz="8" w:color="7F7F7F"/>
            </w:tcBorders>
            <w:shd w:val="clear" w:color="auto" w:fill="B2B2B2"/>
          </w:tcPr>
          <w:p>
            <w:pPr>
              <w:spacing w:after="0"/>
              <w:rPr>
                <w:sz w:val="16"/>
                <w:szCs w:val="16"/>
                <w:color w:val="auto"/>
              </w:rPr>
            </w:pPr>
          </w:p>
        </w:tc>
        <w:tc>
          <w:tcPr>
            <w:tcW w:w="160" w:type="dxa"/>
            <w:vAlign w:val="bottom"/>
            <w:tcBorders>
              <w:bottom w:val="single" w:sz="8" w:color="7F7F7F"/>
            </w:tcBorders>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Adalio T. Sanchez</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360" w:type="dxa"/>
            <w:vAlign w:val="bottom"/>
            <w:vMerge w:val="restart"/>
          </w:tcPr>
          <w:p>
            <w:pPr>
              <w:jc w:val="center"/>
              <w:ind w:right="8"/>
              <w:spacing w:after="0"/>
              <w:rPr>
                <w:sz w:val="20"/>
                <w:szCs w:val="20"/>
                <w:color w:val="auto"/>
              </w:rPr>
            </w:pPr>
            <w:r>
              <w:rPr>
                <w:rFonts w:ascii="Arial" w:cs="Arial" w:eastAsia="Arial" w:hAnsi="Arial"/>
                <w:sz w:val="14"/>
                <w:szCs w:val="14"/>
                <w:color w:val="404040"/>
              </w:rPr>
              <w:t>65</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820" w:type="dxa"/>
            <w:vAlign w:val="bottom"/>
            <w:vMerge w:val="restart"/>
          </w:tcPr>
          <w:p>
            <w:pPr>
              <w:jc w:val="center"/>
              <w:ind w:right="150"/>
              <w:spacing w:after="0"/>
              <w:rPr>
                <w:sz w:val="20"/>
                <w:szCs w:val="20"/>
                <w:color w:val="auto"/>
              </w:rPr>
            </w:pPr>
            <w:r>
              <w:rPr>
                <w:rFonts w:ascii="Arial" w:cs="Arial" w:eastAsia="Arial" w:hAnsi="Arial"/>
                <w:sz w:val="14"/>
                <w:szCs w:val="14"/>
                <w:color w:val="404040"/>
              </w:rPr>
              <w:t>2019</w:t>
            </w:r>
          </w:p>
        </w:tc>
        <w:tc>
          <w:tcPr>
            <w:tcW w:w="100" w:type="dxa"/>
            <w:vAlign w:val="bottom"/>
          </w:tcPr>
          <w:p>
            <w:pPr>
              <w:spacing w:after="0"/>
              <w:rPr>
                <w:sz w:val="18"/>
                <w:szCs w:val="18"/>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404040"/>
              </w:rPr>
              <w:t>​YES</w:t>
            </w:r>
          </w:p>
        </w:tc>
        <w:tc>
          <w:tcPr>
            <w:tcW w:w="160" w:type="dxa"/>
            <w:vAlign w:val="bottom"/>
            <w:tcBorders>
              <w:right w:val="single" w:sz="8" w:color="B2B2B2"/>
            </w:tcBorders>
            <w:vMerge w:val="restart"/>
          </w:tcPr>
          <w:p>
            <w:pPr>
              <w:ind w:left="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B2B2B2"/>
            </w:tcBorders>
            <w:shd w:val="clear" w:color="auto" w:fill="B2B2B2"/>
          </w:tcPr>
          <w:p>
            <w:pPr>
              <w:spacing w:after="0"/>
              <w:rPr>
                <w:sz w:val="18"/>
                <w:szCs w:val="18"/>
                <w:color w:val="auto"/>
              </w:rPr>
            </w:pPr>
          </w:p>
        </w:tc>
        <w:tc>
          <w:tcPr>
            <w:tcW w:w="40" w:type="dxa"/>
            <w:vAlign w:val="bottom"/>
            <w:vMerge w:val="restart"/>
            <w:shd w:val="clear" w:color="auto" w:fill="B2B2B2"/>
          </w:tcPr>
          <w:p>
            <w:pPr>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120" w:type="dxa"/>
            <w:vAlign w:val="bottom"/>
            <w:tcBorders>
              <w:right w:val="single" w:sz="8" w:color="B2B2B2"/>
            </w:tcBorders>
            <w:vMerge w:val="restart"/>
          </w:tcPr>
          <w:p>
            <w:pPr>
              <w:jc w:val="right"/>
              <w:spacing w:after="0"/>
              <w:rPr>
                <w:sz w:val="20"/>
                <w:szCs w:val="20"/>
                <w:color w:val="auto"/>
              </w:rPr>
            </w:pPr>
            <w:r>
              <w:rPr>
                <w:rFonts w:ascii="Arial" w:cs="Arial" w:eastAsia="Arial" w:hAnsi="Arial"/>
                <w:sz w:val="14"/>
                <w:szCs w:val="14"/>
                <w:color w:val="404040"/>
              </w:rPr>
              <w:t>​​</w:t>
            </w: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vMerge w:val="restart"/>
            <w:shd w:val="clear" w:color="auto" w:fill="B2B2B2"/>
          </w:tcPr>
          <w:p>
            <w:pPr>
              <w:ind w:left="120"/>
              <w:spacing w:after="0"/>
              <w:rPr>
                <w:sz w:val="20"/>
                <w:szCs w:val="20"/>
                <w:color w:val="auto"/>
              </w:rPr>
            </w:pPr>
            <w:r>
              <w:rPr>
                <w:rFonts w:ascii="Arial" w:cs="Arial" w:eastAsia="Arial" w:hAnsi="Arial"/>
                <w:sz w:val="24"/>
                <w:szCs w:val="24"/>
                <w:color w:val="53C072"/>
                <w:w w:val="70"/>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ind w:right="55"/>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80" w:type="dxa"/>
            <w:vAlign w:val="bottom"/>
            <w:shd w:val="clear" w:color="auto" w:fill="B2B2B2"/>
          </w:tcPr>
          <w:p>
            <w:pPr>
              <w:spacing w:after="0"/>
              <w:rPr>
                <w:sz w:val="18"/>
                <w:szCs w:val="18"/>
                <w:color w:val="auto"/>
              </w:rPr>
            </w:pPr>
          </w:p>
        </w:tc>
        <w:tc>
          <w:tcPr>
            <w:tcW w:w="160" w:type="dxa"/>
            <w:vAlign w:val="bottom"/>
            <w:vMerge w:val="restart"/>
            <w:shd w:val="clear" w:color="auto" w:fill="B2B2B2"/>
          </w:tcPr>
          <w:p>
            <w:pPr>
              <w:ind w:left="80"/>
              <w:spacing w:after="0"/>
              <w:rPr>
                <w:sz w:val="20"/>
                <w:szCs w:val="20"/>
                <w:color w:val="auto"/>
              </w:rPr>
            </w:pPr>
            <w:r>
              <w:rPr>
                <w:rFonts w:ascii="Arial" w:cs="Arial" w:eastAsia="Arial" w:hAnsi="Arial"/>
                <w:sz w:val="24"/>
                <w:szCs w:val="24"/>
                <w:color w:val="53C072"/>
                <w:w w:val="70"/>
              </w:rPr>
              <w:t>•</w:t>
            </w: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6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80" w:type="dxa"/>
            <w:vAlign w:val="bottom"/>
            <w:tcBorders>
              <w:right w:val="single" w:sz="8" w:color="FEFEFE"/>
            </w:tcBorders>
            <w:vMerge w:val="restart"/>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6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20" w:type="dxa"/>
            <w:vAlign w:val="bottom"/>
            <w:vMerge w:val="restart"/>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92"/>
        </w:trPr>
        <w:tc>
          <w:tcPr>
            <w:tcW w:w="2840" w:type="dxa"/>
            <w:vAlign w:val="bottom"/>
          </w:tcPr>
          <w:p>
            <w:pPr>
              <w:ind w:left="40"/>
              <w:spacing w:after="0"/>
              <w:rPr>
                <w:sz w:val="20"/>
                <w:szCs w:val="20"/>
                <w:color w:val="auto"/>
              </w:rPr>
            </w:pPr>
            <w:r>
              <w:rPr>
                <w:rFonts w:ascii="Arial" w:cs="Arial" w:eastAsia="Arial" w:hAnsi="Arial"/>
                <w:sz w:val="14"/>
                <w:szCs w:val="14"/>
                <w:color w:val="404040"/>
              </w:rPr>
              <w:t>President, S Group Advisory LLC</w:t>
            </w:r>
          </w:p>
        </w:tc>
        <w:tc>
          <w:tcPr>
            <w:tcW w:w="22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Borders>
              <w:right w:val="single" w:sz="8" w:color="B2B2B2"/>
            </w:tcBorders>
            <w:vMerge w:val="continue"/>
          </w:tcPr>
          <w:p>
            <w:pPr>
              <w:spacing w:after="0"/>
              <w:rPr>
                <w:sz w:val="16"/>
                <w:szCs w:val="16"/>
                <w:color w:val="auto"/>
              </w:rPr>
            </w:pPr>
          </w:p>
        </w:tc>
        <w:tc>
          <w:tcPr>
            <w:tcW w:w="140" w:type="dxa"/>
            <w:vAlign w:val="bottom"/>
            <w:tcBorders>
              <w:bottom w:val="single" w:sz="8" w:color="B2B2B2"/>
              <w:right w:val="single" w:sz="8" w:color="B2B2B2"/>
            </w:tcBorders>
            <w:shd w:val="clear" w:color="auto" w:fill="B2B2B2"/>
          </w:tcPr>
          <w:p>
            <w:pPr>
              <w:spacing w:after="0"/>
              <w:rPr>
                <w:sz w:val="16"/>
                <w:szCs w:val="16"/>
                <w:color w:val="auto"/>
              </w:rPr>
            </w:pPr>
          </w:p>
        </w:tc>
        <w:tc>
          <w:tcPr>
            <w:tcW w:w="4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tcBorders>
            <w:shd w:val="clear" w:color="auto" w:fill="B2B2B2"/>
          </w:tcPr>
          <w:p>
            <w:pPr>
              <w:spacing w:after="0"/>
              <w:rPr>
                <w:sz w:val="16"/>
                <w:szCs w:val="16"/>
                <w:color w:val="auto"/>
              </w:rPr>
            </w:pPr>
          </w:p>
        </w:tc>
        <w:tc>
          <w:tcPr>
            <w:tcW w:w="120" w:type="dxa"/>
            <w:vAlign w:val="bottom"/>
            <w:tcBorders>
              <w:right w:val="single" w:sz="8" w:color="B2B2B2"/>
            </w:tcBorders>
            <w:vMerge w:val="continue"/>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8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vMerge w:val="continue"/>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8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80" w:type="dxa"/>
            <w:vAlign w:val="bottom"/>
            <w:tcBorders>
              <w:bottom w:val="single" w:sz="8" w:color="B2B2B2"/>
              <w:right w:val="single" w:sz="8" w:color="FEFEFE"/>
            </w:tcBorders>
            <w:vMerge w:val="continue"/>
            <w:shd w:val="clear" w:color="auto" w:fill="B2B2B2"/>
          </w:tcPr>
          <w:p>
            <w:pPr>
              <w:spacing w:after="0"/>
              <w:rPr>
                <w:sz w:val="16"/>
                <w:szCs w:val="16"/>
                <w:color w:val="auto"/>
              </w:rPr>
            </w:pPr>
          </w:p>
        </w:tc>
        <w:tc>
          <w:tcPr>
            <w:tcW w:w="60" w:type="dxa"/>
            <w:vAlign w:val="bottom"/>
            <w:tcBorders>
              <w:bottom w:val="single" w:sz="8" w:color="B2B2B2"/>
            </w:tcBorders>
            <w:shd w:val="clear" w:color="auto" w:fill="B2B2B2"/>
          </w:tcPr>
          <w:p>
            <w:pPr>
              <w:spacing w:after="0"/>
              <w:rPr>
                <w:sz w:val="16"/>
                <w:szCs w:val="16"/>
                <w:color w:val="auto"/>
              </w:rPr>
            </w:pPr>
          </w:p>
        </w:tc>
        <w:tc>
          <w:tcPr>
            <w:tcW w:w="140" w:type="dxa"/>
            <w:vAlign w:val="bottom"/>
            <w:tcBorders>
              <w:bottom w:val="single" w:sz="8" w:color="B2B2B2"/>
            </w:tcBorders>
            <w:shd w:val="clear" w:color="auto" w:fill="B2B2B2"/>
          </w:tcPr>
          <w:p>
            <w:pPr>
              <w:spacing w:after="0"/>
              <w:rPr>
                <w:sz w:val="16"/>
                <w:szCs w:val="16"/>
                <w:color w:val="auto"/>
              </w:rPr>
            </w:pPr>
          </w:p>
        </w:tc>
        <w:tc>
          <w:tcPr>
            <w:tcW w:w="20" w:type="dxa"/>
            <w:vAlign w:val="bottom"/>
            <w:tcBorders>
              <w:bottom w:val="single" w:sz="8" w:color="B2B2B2"/>
            </w:tcBorders>
            <w:vMerge w:val="continue"/>
            <w:shd w:val="clear" w:color="auto" w:fill="B2B2B2"/>
          </w:tcPr>
          <w:p>
            <w:pPr>
              <w:spacing w:after="0"/>
              <w:rPr>
                <w:sz w:val="16"/>
                <w:szCs w:val="16"/>
                <w:color w:val="auto"/>
              </w:rPr>
            </w:pPr>
          </w:p>
        </w:tc>
        <w:tc>
          <w:tcPr>
            <w:tcW w:w="40" w:type="dxa"/>
            <w:vAlign w:val="bottom"/>
            <w:tcBorders>
              <w:bottom w:val="single" w:sz="8" w:color="B2B2B2"/>
            </w:tcBorders>
            <w:shd w:val="clear" w:color="auto" w:fill="B2B2B2"/>
          </w:tcPr>
          <w:p>
            <w:pPr>
              <w:spacing w:after="0"/>
              <w:rPr>
                <w:sz w:val="16"/>
                <w:szCs w:val="16"/>
                <w:color w:val="auto"/>
              </w:rPr>
            </w:pPr>
          </w:p>
        </w:tc>
        <w:tc>
          <w:tcPr>
            <w:tcW w:w="200" w:type="dxa"/>
            <w:vAlign w:val="bottom"/>
            <w:tcBorders>
              <w:bottom w:val="single" w:sz="8" w:color="B2B2B2"/>
            </w:tcBorders>
            <w:shd w:val="clear" w:color="auto" w:fill="B2B2B2"/>
          </w:tcPr>
          <w:p>
            <w:pPr>
              <w:spacing w:after="0"/>
              <w:rPr>
                <w:sz w:val="16"/>
                <w:szCs w:val="16"/>
                <w:color w:val="auto"/>
              </w:rPr>
            </w:pPr>
          </w:p>
        </w:tc>
        <w:tc>
          <w:tcPr>
            <w:tcW w:w="160" w:type="dxa"/>
            <w:vAlign w:val="bottom"/>
            <w:tcBorders>
              <w:bottom w:val="single" w:sz="8" w:color="B2B2B2"/>
            </w:tcBorders>
            <w:shd w:val="clear" w:color="auto" w:fill="B2B2B2"/>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53C072"/>
          </w:tcPr>
          <w:p>
            <w:pPr>
              <w:spacing w:after="0" w:line="20" w:lineRule="exact"/>
              <w:rPr>
                <w:sz w:val="1"/>
                <w:szCs w:val="1"/>
                <w:color w:val="auto"/>
              </w:rPr>
            </w:pPr>
          </w:p>
        </w:tc>
        <w:tc>
          <w:tcPr>
            <w:tcW w:w="220" w:type="dxa"/>
            <w:vAlign w:val="bottom"/>
            <w:shd w:val="clear" w:color="auto" w:fill="53C072"/>
          </w:tcPr>
          <w:p>
            <w:pPr>
              <w:spacing w:after="0" w:line="20" w:lineRule="exact"/>
              <w:rPr>
                <w:sz w:val="1"/>
                <w:szCs w:val="1"/>
                <w:color w:val="auto"/>
              </w:rPr>
            </w:pPr>
          </w:p>
        </w:tc>
        <w:tc>
          <w:tcPr>
            <w:tcW w:w="360" w:type="dxa"/>
            <w:vAlign w:val="bottom"/>
            <w:shd w:val="clear" w:color="auto" w:fill="53C072"/>
          </w:tcPr>
          <w:p>
            <w:pPr>
              <w:spacing w:after="0" w:line="20" w:lineRule="exact"/>
              <w:rPr>
                <w:sz w:val="1"/>
                <w:szCs w:val="1"/>
                <w:color w:val="auto"/>
              </w:rPr>
            </w:pPr>
          </w:p>
        </w:tc>
        <w:tc>
          <w:tcPr>
            <w:tcW w:w="100" w:type="dxa"/>
            <w:vAlign w:val="bottom"/>
            <w:shd w:val="clear" w:color="auto" w:fill="53C072"/>
          </w:tcPr>
          <w:p>
            <w:pPr>
              <w:spacing w:after="0" w:line="20" w:lineRule="exact"/>
              <w:rPr>
                <w:sz w:val="1"/>
                <w:szCs w:val="1"/>
                <w:color w:val="auto"/>
              </w:rPr>
            </w:pPr>
          </w:p>
        </w:tc>
        <w:tc>
          <w:tcPr>
            <w:tcW w:w="820" w:type="dxa"/>
            <w:vAlign w:val="bottom"/>
            <w:shd w:val="clear" w:color="auto" w:fill="53C072"/>
          </w:tcPr>
          <w:p>
            <w:pPr>
              <w:spacing w:after="0" w:line="20" w:lineRule="exact"/>
              <w:rPr>
                <w:sz w:val="1"/>
                <w:szCs w:val="1"/>
                <w:color w:val="auto"/>
              </w:rPr>
            </w:pPr>
          </w:p>
        </w:tc>
        <w:tc>
          <w:tcPr>
            <w:tcW w:w="100" w:type="dxa"/>
            <w:vAlign w:val="bottom"/>
            <w:shd w:val="clear" w:color="auto" w:fill="53C072"/>
          </w:tcPr>
          <w:p>
            <w:pPr>
              <w:spacing w:after="0" w:line="20" w:lineRule="exact"/>
              <w:rPr>
                <w:sz w:val="1"/>
                <w:szCs w:val="1"/>
                <w:color w:val="auto"/>
              </w:rPr>
            </w:pPr>
          </w:p>
        </w:tc>
        <w:tc>
          <w:tcPr>
            <w:tcW w:w="200" w:type="dxa"/>
            <w:vAlign w:val="bottom"/>
            <w:shd w:val="clear" w:color="auto" w:fill="53C072"/>
          </w:tcPr>
          <w:p>
            <w:pPr>
              <w:spacing w:after="0" w:line="20" w:lineRule="exact"/>
              <w:rPr>
                <w:sz w:val="1"/>
                <w:szCs w:val="1"/>
                <w:color w:val="auto"/>
              </w:rPr>
            </w:pPr>
          </w:p>
        </w:tc>
        <w:tc>
          <w:tcPr>
            <w:tcW w:w="600" w:type="dxa"/>
            <w:vAlign w:val="bottom"/>
            <w:shd w:val="clear" w:color="auto" w:fill="53C072"/>
          </w:tcPr>
          <w:p>
            <w:pPr>
              <w:spacing w:after="0" w:line="20" w:lineRule="exact"/>
              <w:rPr>
                <w:sz w:val="1"/>
                <w:szCs w:val="1"/>
                <w:color w:val="auto"/>
              </w:rPr>
            </w:pPr>
          </w:p>
        </w:tc>
        <w:tc>
          <w:tcPr>
            <w:tcW w:w="160" w:type="dxa"/>
            <w:vAlign w:val="bottom"/>
            <w:tcBorders>
              <w:right w:val="single" w:sz="8" w:color="53C072"/>
            </w:tcBorders>
            <w:shd w:val="clear" w:color="auto" w:fill="53C072"/>
          </w:tcPr>
          <w:p>
            <w:pPr>
              <w:spacing w:after="0" w:line="20" w:lineRule="exact"/>
              <w:rPr>
                <w:sz w:val="1"/>
                <w:szCs w:val="1"/>
                <w:color w:val="auto"/>
              </w:rPr>
            </w:pPr>
          </w:p>
        </w:tc>
        <w:tc>
          <w:tcPr>
            <w:tcW w:w="3360" w:type="dxa"/>
            <w:vAlign w:val="bottom"/>
            <w:gridSpan w:val="33"/>
            <w:shd w:val="clear" w:color="auto" w:fill="53C07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404040"/>
              </w:rPr>
              <w:t>​</w:t>
            </w:r>
            <w:r>
              <w:rPr>
                <w:rFonts w:ascii="Times New Roman" w:cs="Times New Roman" w:eastAsia="Times New Roman" w:hAnsi="Times New Roman"/>
                <w:sz w:val="14"/>
                <w:szCs w:val="14"/>
                <w:color w:val="404040"/>
              </w:rPr>
              <w:t>◦</w:t>
            </w:r>
            <w:r>
              <w:rPr>
                <w:rFonts w:ascii="Arial" w:cs="Arial" w:eastAsia="Arial" w:hAnsi="Arial"/>
                <w:sz w:val="14"/>
                <w:szCs w:val="14"/>
                <w:color w:val="404040"/>
              </w:rPr>
              <w:t xml:space="preserve"> Chair</w:t>
            </w: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200" w:type="dxa"/>
            <w:vAlign w:val="bottom"/>
          </w:tcPr>
          <w:p>
            <w:pPr>
              <w:ind w:left="60"/>
              <w:spacing w:after="0"/>
              <w:rPr>
                <w:sz w:val="20"/>
                <w:szCs w:val="20"/>
                <w:color w:val="auto"/>
              </w:rPr>
            </w:pPr>
            <w:r>
              <w:rPr>
                <w:rFonts w:ascii="Arial" w:cs="Arial" w:eastAsia="Arial" w:hAnsi="Arial"/>
                <w:sz w:val="14"/>
                <w:szCs w:val="14"/>
                <w:color w:val="404040"/>
              </w:rPr>
              <w:t>​</w:t>
            </w:r>
          </w:p>
        </w:tc>
        <w:tc>
          <w:tcPr>
            <w:tcW w:w="600" w:type="dxa"/>
            <w:vAlign w:val="bottom"/>
          </w:tcPr>
          <w:p>
            <w:pPr>
              <w:spacing w:after="0"/>
              <w:rPr>
                <w:sz w:val="20"/>
                <w:szCs w:val="20"/>
                <w:color w:val="auto"/>
              </w:rPr>
            </w:pPr>
            <w:r>
              <w:rPr>
                <w:rFonts w:ascii="Arial" w:cs="Arial" w:eastAsia="Arial" w:hAnsi="Arial"/>
                <w:sz w:val="14"/>
                <w:szCs w:val="14"/>
                <w:b w:val="1"/>
                <w:bCs w:val="1"/>
                <w:color w:val="404040"/>
              </w:rPr>
              <w:t xml:space="preserve">A: </w:t>
            </w:r>
            <w:r>
              <w:rPr>
                <w:rFonts w:ascii="Arial" w:cs="Arial" w:eastAsia="Arial" w:hAnsi="Arial"/>
                <w:sz w:val="14"/>
                <w:szCs w:val="14"/>
                <w:color w:val="404040"/>
              </w:rPr>
              <w:t>Audit</w:t>
            </w:r>
          </w:p>
        </w:tc>
        <w:tc>
          <w:tcPr>
            <w:tcW w:w="160" w:type="dxa"/>
            <w:vAlign w:val="bottom"/>
          </w:tcPr>
          <w:p>
            <w:pPr>
              <w:spacing w:after="0"/>
              <w:rPr>
                <w:sz w:val="24"/>
                <w:szCs w:val="24"/>
                <w:color w:val="auto"/>
              </w:rPr>
            </w:pPr>
          </w:p>
        </w:tc>
        <w:tc>
          <w:tcPr>
            <w:tcW w:w="3400" w:type="dxa"/>
            <w:vAlign w:val="bottom"/>
            <w:gridSpan w:val="34"/>
          </w:tcPr>
          <w:p>
            <w:pPr>
              <w:jc w:val="right"/>
              <w:spacing w:after="0"/>
              <w:rPr>
                <w:sz w:val="20"/>
                <w:szCs w:val="20"/>
                <w:color w:val="auto"/>
              </w:rPr>
            </w:pPr>
            <w:r>
              <w:rPr>
                <w:rFonts w:ascii="Arial" w:cs="Arial" w:eastAsia="Arial" w:hAnsi="Arial"/>
                <w:sz w:val="14"/>
                <w:szCs w:val="14"/>
                <w:color w:val="404040"/>
              </w:rPr>
              <w:t xml:space="preserve">​ ​ </w:t>
            </w:r>
            <w:r>
              <w:rPr>
                <w:rFonts w:ascii="Arial" w:cs="Arial" w:eastAsia="Arial" w:hAnsi="Arial"/>
                <w:sz w:val="14"/>
                <w:szCs w:val="14"/>
                <w:b w:val="1"/>
                <w:bCs w:val="1"/>
                <w:color w:val="404040"/>
              </w:rPr>
              <w:t>C:</w:t>
            </w:r>
            <w:r>
              <w:rPr>
                <w:rFonts w:ascii="Arial" w:cs="Arial" w:eastAsia="Arial" w:hAnsi="Arial"/>
                <w:sz w:val="14"/>
                <w:szCs w:val="14"/>
                <w:color w:val="404040"/>
              </w:rPr>
              <w:t xml:space="preserve"> Compensation and Leadership Development ​</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ind w:left="200"/>
              <w:spacing w:after="0" w:line="145" w:lineRule="exact"/>
              <w:rPr>
                <w:sz w:val="20"/>
                <w:szCs w:val="20"/>
                <w:color w:val="auto"/>
              </w:rPr>
            </w:pPr>
            <w:r>
              <w:rPr>
                <w:rFonts w:ascii="Arial" w:cs="Arial" w:eastAsia="Arial" w:hAnsi="Arial"/>
                <w:sz w:val="14"/>
                <w:szCs w:val="14"/>
                <w:color w:val="404040"/>
              </w:rPr>
              <w:t>​</w:t>
            </w:r>
          </w:p>
        </w:tc>
        <w:tc>
          <w:tcPr>
            <w:tcW w:w="100" w:type="dxa"/>
            <w:vAlign w:val="bottom"/>
          </w:tcPr>
          <w:p>
            <w:pPr>
              <w:ind w:left="20"/>
              <w:spacing w:after="0" w:line="145" w:lineRule="exact"/>
              <w:rPr>
                <w:sz w:val="20"/>
                <w:szCs w:val="20"/>
                <w:color w:val="auto"/>
              </w:rPr>
            </w:pPr>
            <w:r>
              <w:rPr>
                <w:rFonts w:ascii="Arial" w:cs="Arial" w:eastAsia="Arial" w:hAnsi="Arial"/>
                <w:sz w:val="14"/>
                <w:szCs w:val="14"/>
                <w:color w:val="404040"/>
              </w:rPr>
              <w:t>​</w:t>
            </w:r>
          </w:p>
        </w:tc>
        <w:tc>
          <w:tcPr>
            <w:tcW w:w="200" w:type="dxa"/>
            <w:vAlign w:val="bottom"/>
          </w:tcPr>
          <w:p>
            <w:pPr>
              <w:ind w:left="60"/>
              <w:spacing w:after="0" w:line="145" w:lineRule="exact"/>
              <w:rPr>
                <w:sz w:val="20"/>
                <w:szCs w:val="20"/>
                <w:color w:val="auto"/>
              </w:rPr>
            </w:pPr>
            <w:r>
              <w:rPr>
                <w:rFonts w:ascii="Arial" w:cs="Arial" w:eastAsia="Arial" w:hAnsi="Arial"/>
                <w:sz w:val="14"/>
                <w:szCs w:val="14"/>
                <w:color w:val="404040"/>
              </w:rPr>
              <w:t>​</w:t>
            </w:r>
          </w:p>
        </w:tc>
        <w:tc>
          <w:tcPr>
            <w:tcW w:w="1860" w:type="dxa"/>
            <w:vAlign w:val="bottom"/>
            <w:gridSpan w:val="13"/>
            <w:vMerge w:val="restart"/>
          </w:tcPr>
          <w:p>
            <w:pPr>
              <w:spacing w:after="0"/>
              <w:rPr>
                <w:sz w:val="20"/>
                <w:szCs w:val="20"/>
                <w:color w:val="auto"/>
              </w:rPr>
            </w:pPr>
            <w:r>
              <w:rPr>
                <w:rFonts w:ascii="Arial" w:cs="Arial" w:eastAsia="Arial" w:hAnsi="Arial"/>
                <w:sz w:val="14"/>
                <w:szCs w:val="14"/>
                <w:b w:val="1"/>
                <w:bCs w:val="1"/>
                <w:color w:val="404040"/>
              </w:rPr>
              <w:t xml:space="preserve">CG: </w:t>
            </w:r>
            <w:r>
              <w:rPr>
                <w:rFonts w:ascii="Arial" w:cs="Arial" w:eastAsia="Arial" w:hAnsi="Arial"/>
                <w:sz w:val="14"/>
                <w:szCs w:val="14"/>
                <w:color w:val="404040"/>
              </w:rPr>
              <w:t>Corporate Governance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gridSpan w:val="2"/>
          </w:tcPr>
          <w:p>
            <w:pPr>
              <w:jc w:val="right"/>
              <w:spacing w:after="0" w:line="145" w:lineRule="exact"/>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85"/>
        </w:trPr>
        <w:tc>
          <w:tcPr>
            <w:tcW w:w="2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ind w:left="200"/>
              <w:spacing w:after="0" w:line="85" w:lineRule="exact"/>
              <w:rPr>
                <w:sz w:val="20"/>
                <w:szCs w:val="20"/>
                <w:color w:val="auto"/>
              </w:rPr>
            </w:pPr>
            <w:r>
              <w:rPr>
                <w:rFonts w:ascii="Arial" w:cs="Arial" w:eastAsia="Arial" w:hAnsi="Arial"/>
                <w:sz w:val="9"/>
                <w:szCs w:val="9"/>
                <w:color w:val="404040"/>
              </w:rPr>
              <w:t>• Member</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60" w:type="dxa"/>
            <w:vAlign w:val="bottom"/>
            <w:gridSpan w:val="13"/>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2"/>
        </w:trPr>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4"/>
                <w:szCs w:val="14"/>
                <w:b w:val="1"/>
                <w:bCs w:val="1"/>
                <w:color w:val="404040"/>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404040"/>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404040"/>
              </w:rPr>
              <w: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404040"/>
              </w:rPr>
              <w:t xml:space="preserve">E: </w:t>
            </w:r>
            <w:r>
              <w:rPr>
                <w:rFonts w:ascii="Arial" w:cs="Arial" w:eastAsia="Arial" w:hAnsi="Arial"/>
                <w:sz w:val="14"/>
                <w:szCs w:val="14"/>
                <w:color w:val="404040"/>
              </w:rPr>
              <w:t>Executive</w:t>
            </w:r>
            <w:r>
              <w:rPr>
                <w:rFonts w:ascii="Arial" w:cs="Arial" w:eastAsia="Arial" w:hAnsi="Arial"/>
                <w:sz w:val="28"/>
                <w:szCs w:val="28"/>
                <w:b w:val="1"/>
                <w:bCs w:val="1"/>
                <w:color w:val="404040"/>
                <w:vertAlign w:val="superscript"/>
              </w:rPr>
              <w:t>​</w:t>
            </w:r>
          </w:p>
        </w:tc>
        <w:tc>
          <w:tcPr>
            <w:tcW w:w="80" w:type="dxa"/>
            <w:vAlign w:val="bottom"/>
            <w:gridSpan w:val="2"/>
          </w:tcPr>
          <w:p>
            <w:pPr>
              <w:ind w:left="20"/>
              <w:spacing w:after="0"/>
              <w:rPr>
                <w:sz w:val="20"/>
                <w:szCs w:val="20"/>
                <w:color w:val="auto"/>
              </w:rPr>
            </w:pPr>
            <w:r>
              <w:rPr>
                <w:rFonts w:ascii="Arial" w:cs="Arial" w:eastAsia="Arial" w:hAnsi="Arial"/>
                <w:sz w:val="14"/>
                <w:szCs w:val="14"/>
                <w:b w:val="1"/>
                <w:bCs w:val="1"/>
                <w:color w:val="404040"/>
              </w:rPr>
              <w:t>​</w:t>
            </w:r>
          </w:p>
        </w:tc>
        <w:tc>
          <w:tcPr>
            <w:tcW w:w="880" w:type="dxa"/>
            <w:vAlign w:val="bottom"/>
            <w:gridSpan w:val="8"/>
          </w:tcPr>
          <w:p>
            <w:pPr>
              <w:ind w:left="60"/>
              <w:spacing w:after="0"/>
              <w:rPr>
                <w:sz w:val="20"/>
                <w:szCs w:val="20"/>
                <w:color w:val="auto"/>
              </w:rPr>
            </w:pPr>
            <w:r>
              <w:rPr>
                <w:rFonts w:ascii="Arial" w:cs="Arial" w:eastAsia="Arial" w:hAnsi="Arial"/>
                <w:sz w:val="14"/>
                <w:szCs w:val="14"/>
                <w:b w:val="1"/>
                <w:bCs w:val="1"/>
                <w:color w:val="404040"/>
              </w:rPr>
              <w:t xml:space="preserve">F: </w:t>
            </w:r>
            <w:r>
              <w:rPr>
                <w:rFonts w:ascii="Arial" w:cs="Arial" w:eastAsia="Arial" w:hAnsi="Arial"/>
                <w:sz w:val="14"/>
                <w:szCs w:val="14"/>
                <w:color w:val="404040"/>
              </w:rPr>
              <w:t>Finance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4014470</wp:posOffset>
            </wp:positionH>
            <wp:positionV relativeFrom="paragraph">
              <wp:posOffset>-4074160</wp:posOffset>
            </wp:positionV>
            <wp:extent cx="436880" cy="3471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688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     </w:t>
      </w:r>
      <w:r>
        <w:rPr>
          <w:sz w:val="1"/>
          <w:szCs w:val="1"/>
          <w:color w:val="auto"/>
        </w:rPr>
        <w:drawing>
          <wp:inline distT="0" distB="0" distL="0" distR="0">
            <wp:extent cx="1242695" cy="2400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5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200" w:type="dxa"/>
            <w:vAlign w:val="bottom"/>
            <w:vMerge w:val="restart"/>
          </w:tcPr>
          <w:p>
            <w:pPr>
              <w:ind w:left="3180"/>
              <w:spacing w:after="0"/>
              <w:rPr>
                <w:sz w:val="20"/>
                <w:szCs w:val="20"/>
                <w:color w:val="auto"/>
              </w:rPr>
            </w:pPr>
            <w:r>
              <w:rPr>
                <w:rFonts w:ascii="Arial" w:cs="Arial" w:eastAsia="Arial" w:hAnsi="Arial"/>
                <w:sz w:val="14"/>
                <w:szCs w:val="14"/>
                <w:color w:val="auto"/>
              </w:rPr>
              <w:t>Proxy Summary</w:t>
            </w:r>
          </w:p>
        </w:tc>
        <w:tc>
          <w:tcPr>
            <w:tcW w:w="0" w:type="dxa"/>
            <w:vAlign w:val="bottom"/>
          </w:tcPr>
          <w:p>
            <w:pPr>
              <w:spacing w:after="0"/>
              <w:rPr>
                <w:sz w:val="1"/>
                <w:szCs w:val="1"/>
                <w:color w:val="auto"/>
              </w:rPr>
            </w:pPr>
          </w:p>
        </w:tc>
      </w:tr>
      <w:tr>
        <w:trPr>
          <w:trHeight w:val="88"/>
        </w:trPr>
        <w:tc>
          <w:tcPr>
            <w:tcW w:w="55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540" w:type="dxa"/>
            <w:vAlign w:val="bottom"/>
            <w:vMerge w:val="continue"/>
          </w:tcPr>
          <w:p>
            <w:pPr>
              <w:spacing w:after="0"/>
              <w:rPr>
                <w:sz w:val="11"/>
                <w:szCs w:val="11"/>
                <w:color w:val="auto"/>
              </w:rPr>
            </w:pPr>
          </w:p>
        </w:tc>
        <w:tc>
          <w:tcPr>
            <w:tcW w:w="4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309880</wp:posOffset>
            </wp:positionV>
            <wp:extent cx="5494655" cy="2786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9465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ABOUT AVNET</w:t>
      </w:r>
    </w:p>
    <w:p>
      <w:pPr>
        <w:spacing w:after="0" w:line="202" w:lineRule="exact"/>
        <w:rPr>
          <w:sz w:val="20"/>
          <w:szCs w:val="20"/>
          <w:color w:val="auto"/>
        </w:rPr>
      </w:pPr>
    </w:p>
    <w:p>
      <w:pPr>
        <w:ind w:left="1000" w:right="659"/>
        <w:spacing w:after="0" w:line="287" w:lineRule="auto"/>
        <w:rPr>
          <w:sz w:val="20"/>
          <w:szCs w:val="20"/>
          <w:color w:val="auto"/>
        </w:rPr>
      </w:pPr>
      <w:r>
        <w:rPr>
          <w:rFonts w:ascii="Arial" w:cs="Arial" w:eastAsia="Arial" w:hAnsi="Arial"/>
          <w:sz w:val="18"/>
          <w:szCs w:val="18"/>
          <w:b w:val="1"/>
          <w:bCs w:val="1"/>
          <w:color w:val="53C072"/>
        </w:rPr>
        <w:t xml:space="preserve">VISION: </w:t>
      </w:r>
      <w:r>
        <w:rPr>
          <w:rFonts w:ascii="Arial" w:cs="Arial" w:eastAsia="Arial" w:hAnsi="Arial"/>
          <w:sz w:val="18"/>
          <w:szCs w:val="18"/>
          <w:color w:val="000000"/>
        </w:rPr>
        <w:t>To be the preferred distributor partner at the center of the world’s technology design and supply</w:t>
      </w:r>
      <w:r>
        <w:rPr>
          <w:rFonts w:ascii="Arial" w:cs="Arial" w:eastAsia="Arial" w:hAnsi="Arial"/>
          <w:sz w:val="18"/>
          <w:szCs w:val="18"/>
          <w:b w:val="1"/>
          <w:bCs w:val="1"/>
          <w:color w:val="53C072"/>
        </w:rPr>
        <w:t xml:space="preserve"> </w:t>
      </w:r>
      <w:r>
        <w:rPr>
          <w:rFonts w:ascii="Arial" w:cs="Arial" w:eastAsia="Arial" w:hAnsi="Arial"/>
          <w:sz w:val="18"/>
          <w:szCs w:val="18"/>
          <w:color w:val="000000"/>
        </w:rPr>
        <w:t>chains by delivering the best experience for both customers and suppliers every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-310515</wp:posOffset>
            </wp:positionV>
            <wp:extent cx="5554980" cy="8572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54980" cy="857250"/>
                    </a:xfrm>
                    <a:prstGeom prst="rect">
                      <a:avLst/>
                    </a:prstGeom>
                    <a:noFill/>
                  </pic:spPr>
                </pic:pic>
              </a:graphicData>
            </a:graphic>
          </wp:anchor>
        </w:drawing>
      </w:r>
    </w:p>
    <w:p>
      <w:pPr>
        <w:spacing w:after="0" w:line="79" w:lineRule="exact"/>
        <w:rPr>
          <w:sz w:val="20"/>
          <w:szCs w:val="20"/>
          <w:color w:val="auto"/>
        </w:rPr>
      </w:pPr>
    </w:p>
    <w:p>
      <w:pPr>
        <w:ind w:left="1000" w:right="139"/>
        <w:spacing w:after="0" w:line="268" w:lineRule="auto"/>
        <w:rPr>
          <w:sz w:val="20"/>
          <w:szCs w:val="20"/>
          <w:color w:val="auto"/>
        </w:rPr>
      </w:pPr>
      <w:r>
        <w:rPr>
          <w:rFonts w:ascii="Arial" w:cs="Arial" w:eastAsia="Arial" w:hAnsi="Arial"/>
          <w:sz w:val="18"/>
          <w:szCs w:val="18"/>
          <w:b w:val="1"/>
          <w:bCs w:val="1"/>
          <w:color w:val="53C072"/>
        </w:rPr>
        <w:t xml:space="preserve">MISSION: </w:t>
      </w:r>
      <w:r>
        <w:rPr>
          <w:rFonts w:ascii="Arial" w:cs="Arial" w:eastAsia="Arial" w:hAnsi="Arial"/>
          <w:sz w:val="18"/>
          <w:szCs w:val="18"/>
          <w:color w:val="000000"/>
        </w:rPr>
        <w:t>We deliver superior service by holding ourselves accountable to our stakeholders, enabling design</w:t>
      </w:r>
      <w:r>
        <w:rPr>
          <w:rFonts w:ascii="Arial" w:cs="Arial" w:eastAsia="Arial" w:hAnsi="Arial"/>
          <w:sz w:val="18"/>
          <w:szCs w:val="18"/>
          <w:b w:val="1"/>
          <w:bCs w:val="1"/>
          <w:color w:val="53C072"/>
        </w:rPr>
        <w:t xml:space="preserve"> </w:t>
      </w:r>
      <w:r>
        <w:rPr>
          <w:rFonts w:ascii="Arial" w:cs="Arial" w:eastAsia="Arial" w:hAnsi="Arial"/>
          <w:sz w:val="18"/>
          <w:szCs w:val="18"/>
          <w:color w:val="000000"/>
        </w:rPr>
        <w:t>and supply chain technology solutions that improve life experiences globally, while staying grounded in our Core Values.</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CORE VALUES that drive our business and our people forward each day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146050</wp:posOffset>
            </wp:positionV>
            <wp:extent cx="4903470" cy="2048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0347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5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200" w:type="dxa"/>
            <w:vAlign w:val="bottom"/>
            <w:vMerge w:val="restart"/>
          </w:tcPr>
          <w:p>
            <w:pPr>
              <w:ind w:left="3180"/>
              <w:spacing w:after="0"/>
              <w:rPr>
                <w:sz w:val="20"/>
                <w:szCs w:val="20"/>
                <w:color w:val="auto"/>
              </w:rPr>
            </w:pPr>
            <w:r>
              <w:rPr>
                <w:rFonts w:ascii="Arial" w:cs="Arial" w:eastAsia="Arial" w:hAnsi="Arial"/>
                <w:sz w:val="14"/>
                <w:szCs w:val="14"/>
                <w:color w:val="auto"/>
              </w:rPr>
              <w:t>Proxy Summary</w:t>
            </w:r>
          </w:p>
        </w:tc>
        <w:tc>
          <w:tcPr>
            <w:tcW w:w="0" w:type="dxa"/>
            <w:vAlign w:val="bottom"/>
          </w:tcPr>
          <w:p>
            <w:pPr>
              <w:spacing w:after="0"/>
              <w:rPr>
                <w:sz w:val="1"/>
                <w:szCs w:val="1"/>
                <w:color w:val="auto"/>
              </w:rPr>
            </w:pPr>
          </w:p>
        </w:tc>
      </w:tr>
      <w:tr>
        <w:trPr>
          <w:trHeight w:val="88"/>
        </w:trPr>
        <w:tc>
          <w:tcPr>
            <w:tcW w:w="55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540" w:type="dxa"/>
            <w:vAlign w:val="bottom"/>
            <w:vMerge w:val="continue"/>
          </w:tcPr>
          <w:p>
            <w:pPr>
              <w:spacing w:after="0"/>
              <w:rPr>
                <w:sz w:val="11"/>
                <w:szCs w:val="11"/>
                <w:color w:val="auto"/>
              </w:rPr>
            </w:pPr>
          </w:p>
        </w:tc>
        <w:tc>
          <w:tcPr>
            <w:tcW w:w="4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FINANCIAL HIGHLIGHTS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46355</wp:posOffset>
            </wp:positionV>
            <wp:extent cx="4766310" cy="2143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631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46355</wp:posOffset>
            </wp:positionV>
            <wp:extent cx="4688840" cy="17487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8884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COMPENSATION PROGRAM FOR FISCAL 2024</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Below are the primary components of the fiscal 2024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34925</wp:posOffset>
            </wp:positionV>
            <wp:extent cx="4354830" cy="2322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5483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     </w:t>
      </w:r>
      <w:r>
        <w:rPr>
          <w:sz w:val="1"/>
          <w:szCs w:val="1"/>
          <w:color w:val="auto"/>
        </w:rPr>
        <w:drawing>
          <wp:inline distT="0" distB="0" distL="0" distR="0">
            <wp:extent cx="1242695" cy="2400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685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580" w:right="200"/>
        <w:spacing w:after="0" w:line="291" w:lineRule="auto"/>
        <w:rPr>
          <w:sz w:val="20"/>
          <w:szCs w:val="20"/>
          <w:color w:val="auto"/>
        </w:rPr>
      </w:pPr>
      <w:r>
        <w:rPr>
          <w:rFonts w:ascii="Arial" w:cs="Arial" w:eastAsia="Arial" w:hAnsi="Arial"/>
          <w:sz w:val="40"/>
          <w:szCs w:val="40"/>
          <w:b w:val="1"/>
          <w:bCs w:val="1"/>
          <w:color w:val="FEFEFE"/>
        </w:rPr>
        <w:t>PROXY STATEMENT FOR ANNUAL MEETING OF SHAREHOLDERS</w:t>
      </w:r>
      <w:r>
        <w:rPr>
          <w:rFonts w:ascii="Times New Roman" w:cs="Times New Roman" w:eastAsia="Times New Roman" w:hAnsi="Times New Roman"/>
          <w:sz w:val="17"/>
          <w:szCs w:val="17"/>
          <w:color w:val="FEFEFE"/>
        </w:rPr>
        <w:t>​</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6"/>
        </w:trPr>
        <w:tc>
          <w:tcPr>
            <w:tcW w:w="2160" w:type="dxa"/>
            <w:vAlign w:val="bottom"/>
            <w:tcBorders>
              <w:top w:val="single" w:sz="8" w:color="53C072"/>
            </w:tcBorders>
            <w:shd w:val="clear" w:color="auto" w:fill="D8D8D8"/>
          </w:tcPr>
          <w:p>
            <w:pPr>
              <w:ind w:left="210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53C072"/>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1820" w:type="dxa"/>
            <w:vAlign w:val="bottom"/>
            <w:tcBorders>
              <w:top w:val="single" w:sz="8" w:color="53C072"/>
            </w:tcBorders>
            <w:shd w:val="clear" w:color="auto" w:fill="D8D8D8"/>
          </w:tcPr>
          <w:p>
            <w:pPr>
              <w:ind w:left="17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53C072"/>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2180" w:type="dxa"/>
            <w:vAlign w:val="bottom"/>
            <w:tcBorders>
              <w:top w:val="single" w:sz="8" w:color="53C072"/>
            </w:tcBorders>
            <w:shd w:val="clear" w:color="auto" w:fill="D8D8D8"/>
          </w:tcPr>
          <w:p>
            <w:pPr>
              <w:ind w:left="21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53C072"/>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top w:val="single" w:sz="8" w:color="53C072"/>
            </w:tcBorders>
            <w:shd w:val="clear" w:color="auto" w:fill="D8D8D8"/>
          </w:tcPr>
          <w:p>
            <w:pPr>
              <w:ind w:left="1880"/>
              <w:spacing w:after="0"/>
              <w:rPr>
                <w:sz w:val="20"/>
                <w:szCs w:val="20"/>
                <w:color w:val="auto"/>
              </w:rPr>
            </w:pPr>
            <w:r>
              <w:rPr>
                <w:rFonts w:ascii="Arial" w:cs="Arial" w:eastAsia="Arial" w:hAnsi="Arial"/>
                <w:sz w:val="16"/>
                <w:szCs w:val="16"/>
                <w:b w:val="1"/>
                <w:bCs w:val="1"/>
                <w:color w:val="auto"/>
              </w:rPr>
              <w:t>​</w:t>
            </w:r>
          </w:p>
        </w:tc>
      </w:tr>
      <w:tr>
        <w:trPr>
          <w:trHeight w:val="870"/>
        </w:trPr>
        <w:tc>
          <w:tcPr>
            <w:tcW w:w="2160" w:type="dxa"/>
            <w:vAlign w:val="bottom"/>
            <w:shd w:val="clear" w:color="auto" w:fill="D8D8D8"/>
          </w:tcPr>
          <w:p>
            <w:pPr>
              <w:jc w:val="center"/>
              <w:ind w:left="19"/>
              <w:spacing w:after="0"/>
              <w:rPr>
                <w:sz w:val="20"/>
                <w:szCs w:val="20"/>
                <w:color w:val="auto"/>
              </w:rPr>
            </w:pPr>
            <w:r>
              <w:rPr>
                <w:rFonts w:ascii="Arial" w:cs="Arial" w:eastAsia="Arial" w:hAnsi="Arial"/>
                <w:sz w:val="16"/>
                <w:szCs w:val="16"/>
                <w:b w:val="1"/>
                <w:bCs w:val="1"/>
                <w:color w:val="53C072"/>
                <w:w w:val="96"/>
              </w:rPr>
              <w:t>DATE</w:t>
            </w:r>
          </w:p>
        </w:tc>
        <w:tc>
          <w:tcPr>
            <w:tcW w:w="220" w:type="dxa"/>
            <w:vAlign w:val="bottom"/>
            <w:shd w:val="clear" w:color="auto" w:fill="D8D8D8"/>
          </w:tcPr>
          <w:p>
            <w:pPr>
              <w:spacing w:after="0"/>
              <w:rPr>
                <w:sz w:val="24"/>
                <w:szCs w:val="24"/>
                <w:color w:val="auto"/>
              </w:rPr>
            </w:pPr>
          </w:p>
        </w:tc>
        <w:tc>
          <w:tcPr>
            <w:tcW w:w="182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53C072"/>
                <w:w w:val="99"/>
              </w:rPr>
              <w:t>TIME</w:t>
            </w:r>
          </w:p>
        </w:tc>
        <w:tc>
          <w:tcPr>
            <w:tcW w:w="200" w:type="dxa"/>
            <w:vAlign w:val="bottom"/>
            <w:shd w:val="clear" w:color="auto" w:fill="D8D8D8"/>
          </w:tcPr>
          <w:p>
            <w:pPr>
              <w:spacing w:after="0"/>
              <w:rPr>
                <w:sz w:val="24"/>
                <w:szCs w:val="24"/>
                <w:color w:val="auto"/>
              </w:rPr>
            </w:pPr>
          </w:p>
        </w:tc>
        <w:tc>
          <w:tcPr>
            <w:tcW w:w="218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53C072"/>
                <w:w w:val="99"/>
              </w:rPr>
              <w:t>PLACE</w:t>
            </w:r>
          </w:p>
        </w:tc>
        <w:tc>
          <w:tcPr>
            <w:tcW w:w="180" w:type="dxa"/>
            <w:vAlign w:val="bottom"/>
            <w:shd w:val="clear" w:color="auto" w:fill="D8D8D8"/>
          </w:tcPr>
          <w:p>
            <w:pPr>
              <w:spacing w:after="0"/>
              <w:rPr>
                <w:sz w:val="24"/>
                <w:szCs w:val="24"/>
                <w:color w:val="auto"/>
              </w:rPr>
            </w:pPr>
          </w:p>
        </w:tc>
        <w:tc>
          <w:tcPr>
            <w:tcW w:w="2000" w:type="dxa"/>
            <w:vAlign w:val="bottom"/>
            <w:shd w:val="clear" w:color="auto" w:fill="D8D8D8"/>
          </w:tcPr>
          <w:p>
            <w:pPr>
              <w:jc w:val="center"/>
              <w:ind w:right="279"/>
              <w:spacing w:after="0"/>
              <w:rPr>
                <w:sz w:val="20"/>
                <w:szCs w:val="20"/>
                <w:color w:val="auto"/>
              </w:rPr>
            </w:pPr>
            <w:r>
              <w:rPr>
                <w:rFonts w:ascii="Arial" w:cs="Arial" w:eastAsia="Arial" w:hAnsi="Arial"/>
                <w:sz w:val="16"/>
                <w:szCs w:val="16"/>
                <w:b w:val="1"/>
                <w:bCs w:val="1"/>
                <w:color w:val="53C072"/>
                <w:w w:val="98"/>
              </w:rPr>
              <w:t>RECORD DATE</w:t>
            </w:r>
          </w:p>
        </w:tc>
      </w:tr>
      <w:tr>
        <w:trPr>
          <w:trHeight w:val="203"/>
        </w:trPr>
        <w:tc>
          <w:tcPr>
            <w:tcW w:w="2160" w:type="dxa"/>
            <w:vAlign w:val="bottom"/>
            <w:shd w:val="clear" w:color="auto" w:fill="D8D8D8"/>
          </w:tcPr>
          <w:p>
            <w:pPr>
              <w:jc w:val="center"/>
              <w:ind w:left="59"/>
              <w:spacing w:after="0"/>
              <w:rPr>
                <w:sz w:val="20"/>
                <w:szCs w:val="20"/>
                <w:color w:val="auto"/>
              </w:rPr>
            </w:pPr>
            <w:r>
              <w:rPr>
                <w:rFonts w:ascii="Arial" w:cs="Arial" w:eastAsia="Arial" w:hAnsi="Arial"/>
                <w:sz w:val="16"/>
                <w:szCs w:val="16"/>
                <w:b w:val="1"/>
                <w:bCs w:val="1"/>
                <w:color w:val="auto"/>
              </w:rPr>
              <w:t>November 22, 2024</w:t>
            </w:r>
          </w:p>
        </w:tc>
        <w:tc>
          <w:tcPr>
            <w:tcW w:w="220" w:type="dxa"/>
            <w:vAlign w:val="bottom"/>
            <w:shd w:val="clear" w:color="auto" w:fill="D8D8D8"/>
          </w:tcPr>
          <w:p>
            <w:pPr>
              <w:spacing w:after="0"/>
              <w:rPr>
                <w:sz w:val="17"/>
                <w:szCs w:val="17"/>
                <w:color w:val="auto"/>
              </w:rPr>
            </w:pPr>
          </w:p>
        </w:tc>
        <w:tc>
          <w:tcPr>
            <w:tcW w:w="1820" w:type="dxa"/>
            <w:vAlign w:val="bottom"/>
            <w:shd w:val="clear" w:color="auto" w:fill="D8D8D8"/>
          </w:tcPr>
          <w:p>
            <w:pPr>
              <w:jc w:val="center"/>
              <w:ind w:right="139"/>
              <w:spacing w:after="0"/>
              <w:rPr>
                <w:sz w:val="20"/>
                <w:szCs w:val="20"/>
                <w:color w:val="auto"/>
              </w:rPr>
            </w:pPr>
            <w:r>
              <w:rPr>
                <w:rFonts w:ascii="Arial" w:cs="Arial" w:eastAsia="Arial" w:hAnsi="Arial"/>
                <w:sz w:val="16"/>
                <w:szCs w:val="16"/>
                <w:b w:val="1"/>
                <w:bCs w:val="1"/>
                <w:color w:val="auto"/>
              </w:rPr>
              <w:t>8:00 am local time</w:t>
            </w:r>
          </w:p>
        </w:tc>
        <w:tc>
          <w:tcPr>
            <w:tcW w:w="200" w:type="dxa"/>
            <w:vAlign w:val="bottom"/>
            <w:shd w:val="clear" w:color="auto" w:fill="D8D8D8"/>
          </w:tcPr>
          <w:p>
            <w:pPr>
              <w:spacing w:after="0"/>
              <w:rPr>
                <w:sz w:val="17"/>
                <w:szCs w:val="17"/>
                <w:color w:val="auto"/>
              </w:rPr>
            </w:pPr>
          </w:p>
        </w:tc>
        <w:tc>
          <w:tcPr>
            <w:tcW w:w="218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auto"/>
              </w:rPr>
              <w:t>Avnet’s Headquarters</w:t>
            </w:r>
          </w:p>
        </w:tc>
        <w:tc>
          <w:tcPr>
            <w:tcW w:w="180" w:type="dxa"/>
            <w:vAlign w:val="bottom"/>
            <w:shd w:val="clear" w:color="auto" w:fill="D8D8D8"/>
          </w:tcPr>
          <w:p>
            <w:pPr>
              <w:spacing w:after="0"/>
              <w:rPr>
                <w:sz w:val="17"/>
                <w:szCs w:val="17"/>
                <w:color w:val="auto"/>
              </w:rPr>
            </w:pPr>
          </w:p>
        </w:tc>
        <w:tc>
          <w:tcPr>
            <w:tcW w:w="2000" w:type="dxa"/>
            <w:vAlign w:val="bottom"/>
            <w:shd w:val="clear" w:color="auto" w:fill="D8D8D8"/>
          </w:tcPr>
          <w:p>
            <w:pPr>
              <w:jc w:val="center"/>
              <w:ind w:right="219"/>
              <w:spacing w:after="0"/>
              <w:rPr>
                <w:sz w:val="20"/>
                <w:szCs w:val="20"/>
                <w:color w:val="auto"/>
              </w:rPr>
            </w:pPr>
            <w:r>
              <w:rPr>
                <w:rFonts w:ascii="Arial" w:cs="Arial" w:eastAsia="Arial" w:hAnsi="Arial"/>
                <w:sz w:val="16"/>
                <w:szCs w:val="16"/>
                <w:b w:val="1"/>
                <w:bCs w:val="1"/>
                <w:color w:val="auto"/>
              </w:rPr>
              <w:t>September 23, 2024</w:t>
            </w:r>
          </w:p>
        </w:tc>
      </w:tr>
      <w:tr>
        <w:trPr>
          <w:trHeight w:val="189"/>
        </w:trPr>
        <w:tc>
          <w:tcPr>
            <w:tcW w:w="2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182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218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auto"/>
              </w:rPr>
              <w:t>2211 South 47th Street</w:t>
            </w:r>
          </w:p>
        </w:tc>
        <w:tc>
          <w:tcPr>
            <w:tcW w:w="180" w:type="dxa"/>
            <w:vAlign w:val="bottom"/>
            <w:shd w:val="clear" w:color="auto" w:fill="D8D8D8"/>
          </w:tcPr>
          <w:p>
            <w:pPr>
              <w:spacing w:after="0"/>
              <w:rPr>
                <w:sz w:val="16"/>
                <w:szCs w:val="16"/>
                <w:color w:val="auto"/>
              </w:rPr>
            </w:pPr>
          </w:p>
        </w:tc>
        <w:tc>
          <w:tcPr>
            <w:tcW w:w="2000" w:type="dxa"/>
            <w:vAlign w:val="bottom"/>
            <w:shd w:val="clear" w:color="auto" w:fill="D8D8D8"/>
          </w:tcPr>
          <w:p>
            <w:pPr>
              <w:spacing w:after="0"/>
              <w:rPr>
                <w:sz w:val="16"/>
                <w:szCs w:val="16"/>
                <w:color w:val="auto"/>
              </w:rPr>
            </w:pPr>
          </w:p>
        </w:tc>
      </w:tr>
      <w:tr>
        <w:trPr>
          <w:trHeight w:val="223"/>
        </w:trPr>
        <w:tc>
          <w:tcPr>
            <w:tcW w:w="216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820" w:type="dxa"/>
            <w:vAlign w:val="bottom"/>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2180" w:type="dxa"/>
            <w:vAlign w:val="bottom"/>
            <w:shd w:val="clear" w:color="auto" w:fill="D8D8D8"/>
          </w:tcPr>
          <w:p>
            <w:pPr>
              <w:jc w:val="center"/>
              <w:ind w:right="119"/>
              <w:spacing w:after="0"/>
              <w:rPr>
                <w:sz w:val="20"/>
                <w:szCs w:val="20"/>
                <w:color w:val="auto"/>
              </w:rPr>
            </w:pPr>
            <w:r>
              <w:rPr>
                <w:rFonts w:ascii="Arial" w:cs="Arial" w:eastAsia="Arial" w:hAnsi="Arial"/>
                <w:sz w:val="16"/>
                <w:szCs w:val="16"/>
                <w:b w:val="1"/>
                <w:bCs w:val="1"/>
                <w:color w:val="auto"/>
              </w:rPr>
              <w:t>Phoenix, Arizona 85034</w:t>
            </w:r>
          </w:p>
        </w:tc>
        <w:tc>
          <w:tcPr>
            <w:tcW w:w="180" w:type="dxa"/>
            <w:vAlign w:val="bottom"/>
            <w:shd w:val="clear" w:color="auto" w:fill="D8D8D8"/>
          </w:tcPr>
          <w:p>
            <w:pPr>
              <w:spacing w:after="0"/>
              <w:rPr>
                <w:sz w:val="19"/>
                <w:szCs w:val="19"/>
                <w:color w:val="auto"/>
              </w:rPr>
            </w:pPr>
          </w:p>
        </w:tc>
        <w:tc>
          <w:tcPr>
            <w:tcW w:w="2000" w:type="dxa"/>
            <w:vAlign w:val="bottom"/>
            <w:shd w:val="clear" w:color="auto" w:fill="D8D8D8"/>
          </w:tcPr>
          <w:p>
            <w:pPr>
              <w:spacing w:after="0"/>
              <w:rPr>
                <w:sz w:val="19"/>
                <w:szCs w:val="19"/>
                <w:color w:val="auto"/>
              </w:rPr>
            </w:pPr>
          </w:p>
        </w:tc>
      </w:tr>
      <w:tr>
        <w:trPr>
          <w:trHeight w:val="169"/>
        </w:trPr>
        <w:tc>
          <w:tcPr>
            <w:tcW w:w="2160" w:type="dxa"/>
            <w:vAlign w:val="bottom"/>
            <w:tcBorders>
              <w:bottom w:val="single" w:sz="8" w:color="53C072"/>
            </w:tcBorders>
            <w:shd w:val="clear" w:color="auto" w:fill="D8D8D8"/>
          </w:tcPr>
          <w:p>
            <w:pPr>
              <w:spacing w:after="0"/>
              <w:rPr>
                <w:sz w:val="14"/>
                <w:szCs w:val="14"/>
                <w:color w:val="auto"/>
              </w:rPr>
            </w:pPr>
          </w:p>
        </w:tc>
        <w:tc>
          <w:tcPr>
            <w:tcW w:w="220" w:type="dxa"/>
            <w:vAlign w:val="bottom"/>
            <w:tcBorders>
              <w:bottom w:val="single" w:sz="8" w:color="53C072"/>
            </w:tcBorders>
            <w:shd w:val="clear" w:color="auto" w:fill="D8D8D8"/>
          </w:tcPr>
          <w:p>
            <w:pPr>
              <w:spacing w:after="0"/>
              <w:rPr>
                <w:sz w:val="14"/>
                <w:szCs w:val="14"/>
                <w:color w:val="auto"/>
              </w:rPr>
            </w:pPr>
          </w:p>
        </w:tc>
        <w:tc>
          <w:tcPr>
            <w:tcW w:w="1820" w:type="dxa"/>
            <w:vAlign w:val="bottom"/>
            <w:tcBorders>
              <w:bottom w:val="single" w:sz="8" w:color="53C072"/>
            </w:tcBorders>
            <w:shd w:val="clear" w:color="auto" w:fill="D8D8D8"/>
          </w:tcPr>
          <w:p>
            <w:pPr>
              <w:spacing w:after="0"/>
              <w:rPr>
                <w:sz w:val="14"/>
                <w:szCs w:val="14"/>
                <w:color w:val="auto"/>
              </w:rPr>
            </w:pPr>
          </w:p>
        </w:tc>
        <w:tc>
          <w:tcPr>
            <w:tcW w:w="200" w:type="dxa"/>
            <w:vAlign w:val="bottom"/>
            <w:tcBorders>
              <w:bottom w:val="single" w:sz="8" w:color="53C072"/>
            </w:tcBorders>
            <w:shd w:val="clear" w:color="auto" w:fill="D8D8D8"/>
          </w:tcPr>
          <w:p>
            <w:pPr>
              <w:spacing w:after="0"/>
              <w:rPr>
                <w:sz w:val="14"/>
                <w:szCs w:val="14"/>
                <w:color w:val="auto"/>
              </w:rPr>
            </w:pPr>
          </w:p>
        </w:tc>
        <w:tc>
          <w:tcPr>
            <w:tcW w:w="2180" w:type="dxa"/>
            <w:vAlign w:val="bottom"/>
            <w:tcBorders>
              <w:bottom w:val="single" w:sz="8" w:color="53C072"/>
            </w:tcBorders>
            <w:shd w:val="clear" w:color="auto" w:fill="D8D8D8"/>
          </w:tcPr>
          <w:p>
            <w:pPr>
              <w:spacing w:after="0"/>
              <w:rPr>
                <w:sz w:val="14"/>
                <w:szCs w:val="14"/>
                <w:color w:val="auto"/>
              </w:rPr>
            </w:pPr>
          </w:p>
        </w:tc>
        <w:tc>
          <w:tcPr>
            <w:tcW w:w="180" w:type="dxa"/>
            <w:vAlign w:val="bottom"/>
            <w:tcBorders>
              <w:bottom w:val="single" w:sz="8" w:color="53C072"/>
            </w:tcBorders>
            <w:shd w:val="clear" w:color="auto" w:fill="D8D8D8"/>
          </w:tcPr>
          <w:p>
            <w:pPr>
              <w:spacing w:after="0"/>
              <w:rPr>
                <w:sz w:val="14"/>
                <w:szCs w:val="14"/>
                <w:color w:val="auto"/>
              </w:rPr>
            </w:pPr>
          </w:p>
        </w:tc>
        <w:tc>
          <w:tcPr>
            <w:tcW w:w="2000" w:type="dxa"/>
            <w:vAlign w:val="bottom"/>
            <w:tcBorders>
              <w:bottom w:val="single" w:sz="8" w:color="53C072"/>
            </w:tcBorders>
            <w:shd w:val="clear" w:color="auto" w:fill="D8D8D8"/>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-1062355</wp:posOffset>
            </wp:positionV>
            <wp:extent cx="428625" cy="436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8625" cy="43688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-1062355</wp:posOffset>
            </wp:positionV>
            <wp:extent cx="437515" cy="436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7515" cy="43688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-1062355</wp:posOffset>
            </wp:positionV>
            <wp:extent cx="325755" cy="436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755" cy="43688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-1062355</wp:posOffset>
            </wp:positionV>
            <wp:extent cx="428625" cy="436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8625" cy="436880"/>
                    </a:xfrm>
                    <a:prstGeom prst="rect">
                      <a:avLst/>
                    </a:prstGeom>
                    <a:noFill/>
                  </pic:spPr>
                </pic:pic>
              </a:graphicData>
            </a:graphic>
          </wp:anchor>
        </w:drawing>
      </w:r>
    </w:p>
    <w:p>
      <w:pPr>
        <w:spacing w:after="0" w:line="110" w:lineRule="exact"/>
        <w:rPr>
          <w:sz w:val="20"/>
          <w:szCs w:val="20"/>
          <w:color w:val="auto"/>
        </w:rPr>
      </w:pPr>
    </w:p>
    <w:p>
      <w:pPr>
        <w:ind w:left="1000" w:right="319"/>
        <w:spacing w:after="0" w:line="284"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of Avnet, Inc. (“Avnet” or the “Company”) to be voted at the Annual Meeting of Shareholders (the “Annual Meeting”), with respect to the matters referred to in the accompanying notice. This Proxy Statement and the enclosed form of proxy are first being sent or given to shareholders on approximately October 8, 2024. Only holders of record of outstanding shares of the Company’s common stock, par value $1.00 per share (the “Common Stock”), at the close of business on September 23, 2024, the record date, are entitled to notice of and to vote at the Annual Meeting. Each shareholder is entitled to one vote per share held on the record date. The aggregate number of shares of Common Stock outstanding (net of treasury shares) on September 23, 2024, was 87,379,439, comprising all the Company’s capital stock outstanding as of that date.</w:t>
      </w:r>
    </w:p>
    <w:p>
      <w:pPr>
        <w:spacing w:after="0" w:line="92" w:lineRule="exact"/>
        <w:rPr>
          <w:sz w:val="20"/>
          <w:szCs w:val="20"/>
          <w:color w:val="auto"/>
        </w:rPr>
      </w:pPr>
    </w:p>
    <w:p>
      <w:pPr>
        <w:ind w:left="1000" w:right="179"/>
        <w:spacing w:after="0" w:line="273" w:lineRule="auto"/>
        <w:rPr>
          <w:sz w:val="20"/>
          <w:szCs w:val="20"/>
          <w:color w:val="auto"/>
        </w:rPr>
      </w:pPr>
      <w:r>
        <w:rPr>
          <w:rFonts w:ascii="Arial" w:cs="Arial" w:eastAsia="Arial" w:hAnsi="Arial"/>
          <w:sz w:val="18"/>
          <w:szCs w:val="18"/>
          <w:color w:val="auto"/>
        </w:rPr>
        <w:t>At the Annual Meeting you will be asked to elect the ten Director nominees named in the Proxy Statement, conduct an advisory vote on named executive compensation, and ratify the appointment of KPMG LLP as the independent registered public accounting firm to audit the consolidated financial statements of the Company for the fiscal year ending June 28, 2025.</w:t>
      </w:r>
    </w:p>
    <w:p>
      <w:pPr>
        <w:spacing w:after="0" w:line="98" w:lineRule="exact"/>
        <w:rPr>
          <w:sz w:val="20"/>
          <w:szCs w:val="20"/>
          <w:color w:val="auto"/>
        </w:rPr>
      </w:pPr>
    </w:p>
    <w:p>
      <w:pPr>
        <w:ind w:left="1000" w:right="199"/>
        <w:spacing w:after="0" w:line="273" w:lineRule="auto"/>
        <w:rPr>
          <w:sz w:val="20"/>
          <w:szCs w:val="20"/>
          <w:color w:val="auto"/>
        </w:rPr>
      </w:pPr>
      <w:r>
        <w:rPr>
          <w:rFonts w:ascii="Arial" w:cs="Arial" w:eastAsia="Arial" w:hAnsi="Arial"/>
          <w:sz w:val="18"/>
          <w:szCs w:val="18"/>
          <w:color w:val="auto"/>
        </w:rPr>
        <w:t>The Company will bear the cost of soliciting proxies relating to the Annual Meeting. Directors, officers, and employees of the Company may, without additional compensation, solicit proxies by mail, telephone, email, or personal interview. The Company has not engaged an independent proxy solicitor. An independent inspector of election will be engaged to tabulate shareholder votes.</w:t>
      </w:r>
    </w:p>
    <w:p>
      <w:pPr>
        <w:spacing w:after="0" w:line="111" w:lineRule="exact"/>
        <w:rPr>
          <w:sz w:val="20"/>
          <w:szCs w:val="20"/>
          <w:color w:val="auto"/>
        </w:rPr>
      </w:pPr>
    </w:p>
    <w:p>
      <w:pPr>
        <w:ind w:left="1000" w:right="199"/>
        <w:spacing w:after="0" w:line="257" w:lineRule="auto"/>
        <w:rPr>
          <w:sz w:val="20"/>
          <w:szCs w:val="20"/>
          <w:color w:val="auto"/>
        </w:rPr>
      </w:pPr>
      <w:r>
        <w:rPr>
          <w:rFonts w:ascii="Arial" w:cs="Arial" w:eastAsia="Arial" w:hAnsi="Arial"/>
          <w:sz w:val="18"/>
          <w:szCs w:val="18"/>
          <w:color w:val="auto"/>
        </w:rPr>
        <w:t>The Company is furnishing proxy materials to its shareholders primarily via the Internet. On or about October 8, 2024, the Company mailed to its shareholders a Notice of Internet Availability of Proxy Materials containing instructions on how to access the Company’s proxy materials, including the 2024 Proxy Statement and the 2024 Annual Report, and how to vote. On or about October 8, 2024, certain shareholders, in accordance with their prior requests, were sent e-mail notifications of how to access proxy materials and vote or have been mailed paper copies of the Company’s proxy materials and a proxy card or voting form.</w:t>
      </w:r>
    </w:p>
    <w:p>
      <w:pPr>
        <w:spacing w:after="0" w:line="101" w:lineRule="exact"/>
        <w:rPr>
          <w:sz w:val="20"/>
          <w:szCs w:val="20"/>
          <w:color w:val="auto"/>
        </w:rPr>
      </w:pPr>
    </w:p>
    <w:p>
      <w:pPr>
        <w:ind w:left="1000" w:right="159"/>
        <w:spacing w:after="0" w:line="259" w:lineRule="auto"/>
        <w:rPr>
          <w:sz w:val="20"/>
          <w:szCs w:val="20"/>
          <w:color w:val="auto"/>
        </w:rPr>
      </w:pPr>
      <w:r>
        <w:rPr>
          <w:rFonts w:ascii="Arial" w:cs="Arial" w:eastAsia="Arial" w:hAnsi="Arial"/>
          <w:sz w:val="18"/>
          <w:szCs w:val="18"/>
          <w:color w:val="auto"/>
        </w:rPr>
        <w:t>Internet distribution of the Company’s proxy materials is designed to expedite receipt by shareholders, lower the cost of the Annual Meeting, and conserve natural resources. However, if you prefer to receive printed proxy materials, please follow the instructions included in the Notice of Internet Availability. If you have previously elected to receive the Company’s proxy materials electronically, you will continue to receive these materials via e-mail unless you elect otherwise.</w:t>
      </w:r>
    </w:p>
    <w:p>
      <w:pPr>
        <w:spacing w:after="0" w:line="112" w:lineRule="exact"/>
        <w:rPr>
          <w:sz w:val="20"/>
          <w:szCs w:val="20"/>
          <w:color w:val="auto"/>
        </w:rPr>
      </w:pPr>
    </w:p>
    <w:p>
      <w:pPr>
        <w:ind w:left="1000" w:right="159"/>
        <w:spacing w:after="0" w:line="262" w:lineRule="auto"/>
        <w:rPr>
          <w:sz w:val="20"/>
          <w:szCs w:val="20"/>
          <w:color w:val="auto"/>
        </w:rPr>
      </w:pPr>
      <w:r>
        <w:rPr>
          <w:rFonts w:ascii="Arial" w:cs="Arial" w:eastAsia="Arial" w:hAnsi="Arial"/>
          <w:sz w:val="18"/>
          <w:szCs w:val="18"/>
          <w:color w:val="auto"/>
        </w:rPr>
        <w:t>The Company will request banks, brokerage houses and other institutions, nominees, and fiduciaries to forward the proxy materials to the beneficial owners of Common Stock and to obtain authorization for the execution of proxies. The Company will, upon request, reimburse banks, brokerage houses and other institutions, nominees, and fiduciaries for their reasonable expenses in forwarding the proxy materials.</w:t>
      </w:r>
    </w:p>
    <w:p>
      <w:pPr>
        <w:sectPr>
          <w:pgSz w:w="11900" w:h="16838" w:orient="portrait"/>
          <w:cols w:equalWidth="0" w:num="1">
            <w:col w:w="9879"/>
          </w:cols>
          <w:pgMar w:left="580" w:top="97" w:right="1440" w:bottom="1440" w:gutter="0" w:footer="0" w:header="0"/>
        </w:sectPr>
      </w:pPr>
    </w:p>
    <w:p>
      <w:pPr>
        <w:spacing w:after="0" w:line="140"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7"/>
          <w:szCs w:val="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5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220" w:type="dxa"/>
            <w:vAlign w:val="bottom"/>
            <w:vMerge w:val="restart"/>
          </w:tcPr>
          <w:p>
            <w:pPr>
              <w:ind w:left="3180"/>
              <w:spacing w:after="0"/>
              <w:rPr>
                <w:sz w:val="20"/>
                <w:szCs w:val="20"/>
                <w:color w:val="auto"/>
              </w:rPr>
            </w:pPr>
            <w:r>
              <w:rPr>
                <w:rFonts w:ascii="Arial" w:cs="Arial" w:eastAsia="Arial" w:hAnsi="Arial"/>
                <w:sz w:val="14"/>
                <w:szCs w:val="14"/>
                <w:color w:val="auto"/>
                <w:w w:val="98"/>
              </w:rPr>
              <w:t>Proxy Statement</w:t>
            </w:r>
          </w:p>
        </w:tc>
        <w:tc>
          <w:tcPr>
            <w:tcW w:w="0" w:type="dxa"/>
            <w:vAlign w:val="bottom"/>
          </w:tcPr>
          <w:p>
            <w:pPr>
              <w:spacing w:after="0"/>
              <w:rPr>
                <w:sz w:val="1"/>
                <w:szCs w:val="1"/>
                <w:color w:val="auto"/>
              </w:rPr>
            </w:pPr>
          </w:p>
        </w:tc>
      </w:tr>
      <w:tr>
        <w:trPr>
          <w:trHeight w:val="88"/>
        </w:trPr>
        <w:tc>
          <w:tcPr>
            <w:tcW w:w="55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520" w:type="dxa"/>
            <w:vAlign w:val="bottom"/>
            <w:vMerge w:val="continue"/>
          </w:tcPr>
          <w:p>
            <w:pPr>
              <w:spacing w:after="0"/>
              <w:rPr>
                <w:sz w:val="11"/>
                <w:szCs w:val="11"/>
                <w:color w:val="auto"/>
              </w:rPr>
            </w:pPr>
          </w:p>
        </w:tc>
        <w:tc>
          <w:tcPr>
            <w:tcW w:w="4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 AND REVOCATION OF PROXY</w:t>
      </w:r>
    </w:p>
    <w:p>
      <w:pPr>
        <w:spacing w:after="0" w:line="162" w:lineRule="exact"/>
        <w:rPr>
          <w:sz w:val="20"/>
          <w:szCs w:val="20"/>
          <w:color w:val="auto"/>
        </w:rPr>
      </w:pPr>
    </w:p>
    <w:p>
      <w:pPr>
        <w:ind w:left="1000" w:right="379"/>
        <w:spacing w:after="0" w:line="243" w:lineRule="auto"/>
        <w:rPr>
          <w:sz w:val="20"/>
          <w:szCs w:val="20"/>
          <w:color w:val="auto"/>
        </w:rPr>
      </w:pPr>
      <w:r>
        <w:rPr>
          <w:rFonts w:ascii="Arial" w:cs="Arial" w:eastAsia="Arial" w:hAnsi="Arial"/>
          <w:sz w:val="18"/>
          <w:szCs w:val="18"/>
          <w:color w:val="auto"/>
        </w:rPr>
        <w:t>Shareholders may mail their completed proxy cards or submit their proxy voting instructions by telephone or through the Internet. Shareholders who hold their shares through a broker, bank, or other nominee should contact their nominee to determine whether they may submit their proxy by telephone or Internet. Common Stock represented by a proxy properly signed or submitted and received at or prior to the Annual Meeting will be voted in accordance with the shareholder’s instructions. If a proxy card is signed, dated, and returned without indicating any voting instructions, the Common Stock represented by the proxy will be voted as the Board recommends. The Board of Directors is not currently aware of any business to be acted upon at the Annual Meeting other than as described in this Proxy Statement. If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11" w:lineRule="exact"/>
        <w:rPr>
          <w:sz w:val="20"/>
          <w:szCs w:val="20"/>
          <w:color w:val="auto"/>
        </w:rPr>
      </w:pPr>
    </w:p>
    <w:p>
      <w:pPr>
        <w:ind w:left="1000" w:right="139"/>
        <w:spacing w:after="0" w:line="253" w:lineRule="auto"/>
        <w:rPr>
          <w:sz w:val="20"/>
          <w:szCs w:val="20"/>
          <w:color w:val="auto"/>
        </w:rPr>
      </w:pPr>
      <w:r>
        <w:rPr>
          <w:rFonts w:ascii="Arial" w:cs="Arial" w:eastAsia="Arial" w:hAnsi="Arial"/>
          <w:sz w:val="18"/>
          <w:szCs w:val="18"/>
          <w:color w:val="auto"/>
        </w:rPr>
        <w:t>Any shareholder may revoke a completed proxy card or voting instructions by submitting a written notice of revocation, submitting a new proxy that is received by the Company prior to the Annual Meeting, or by voting in person at the Annual Meeting. However, a proxy will not be revoked by simply attending the Annual Meeting and not voting. All written notices of revocation and other communications with respect to revocation by shareholders should be addressed as follows: Corporate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BROKER VOTING</w:t>
      </w:r>
    </w:p>
    <w:p>
      <w:pPr>
        <w:spacing w:after="0" w:line="148" w:lineRule="exact"/>
        <w:rPr>
          <w:sz w:val="20"/>
          <w:szCs w:val="20"/>
          <w:color w:val="auto"/>
        </w:rPr>
      </w:pPr>
    </w:p>
    <w:p>
      <w:pPr>
        <w:ind w:left="1000" w:right="199"/>
        <w:spacing w:after="0" w:line="255" w:lineRule="auto"/>
        <w:rPr>
          <w:sz w:val="20"/>
          <w:szCs w:val="20"/>
          <w:color w:val="auto"/>
        </w:rPr>
      </w:pPr>
      <w:r>
        <w:rPr>
          <w:rFonts w:ascii="Arial" w:cs="Arial" w:eastAsia="Arial" w:hAnsi="Arial"/>
          <w:sz w:val="18"/>
          <w:szCs w:val="18"/>
          <w:color w:val="auto"/>
        </w:rPr>
        <w:t>Brokers holding shares of record for a shareholder may vote on certain limited matters if they do not receive timely voting instructions from the shareholder. There are also some matters (“non-routine matters”) on which brokers may not vote if they do not receive timely voting instructions from the shareholder. When a broker cannot vote on a particular matter and the shareholder has not given timely voting instructions, then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117" w:lineRule="exact"/>
        <w:rPr>
          <w:sz w:val="20"/>
          <w:szCs w:val="20"/>
          <w:color w:val="auto"/>
        </w:rPr>
      </w:pPr>
    </w:p>
    <w:p>
      <w:pPr>
        <w:ind w:left="1000" w:right="299"/>
        <w:spacing w:after="0" w:line="272" w:lineRule="auto"/>
        <w:rPr>
          <w:sz w:val="20"/>
          <w:szCs w:val="20"/>
          <w:color w:val="auto"/>
        </w:rPr>
      </w:pPr>
      <w:r>
        <w:rPr>
          <w:rFonts w:ascii="Arial" w:cs="Arial" w:eastAsia="Arial" w:hAnsi="Arial"/>
          <w:sz w:val="17"/>
          <w:szCs w:val="17"/>
          <w:color w:val="auto"/>
        </w:rPr>
        <w:t>The election of Directors (Proposal 1) and the advisory vote on named executive compensation (Proposal 2) are classified as non-routine matters. Accordingly, brokers, banks, and other nominees will not be permitted to vote on any proposal other than the ratification of the appointment of the independent registered public</w:t>
      </w:r>
    </w:p>
    <w:p>
      <w:pPr>
        <w:spacing w:after="0" w:line="1" w:lineRule="exact"/>
        <w:rPr>
          <w:sz w:val="20"/>
          <w:szCs w:val="20"/>
          <w:color w:val="auto"/>
        </w:rPr>
      </w:pPr>
    </w:p>
    <w:p>
      <w:pPr>
        <w:ind w:left="1000" w:right="299"/>
        <w:spacing w:after="0" w:line="263" w:lineRule="auto"/>
        <w:rPr>
          <w:sz w:val="20"/>
          <w:szCs w:val="20"/>
          <w:color w:val="auto"/>
        </w:rPr>
      </w:pPr>
      <w:r>
        <w:rPr>
          <w:rFonts w:ascii="Arial" w:cs="Arial" w:eastAsia="Arial" w:hAnsi="Arial"/>
          <w:sz w:val="18"/>
          <w:szCs w:val="18"/>
          <w:color w:val="auto"/>
        </w:rPr>
        <w:t xml:space="preserve">accounting firm (Proposal 3) without instructions from the beneficial owners. </w:t>
      </w:r>
      <w:r>
        <w:rPr>
          <w:rFonts w:ascii="Arial" w:cs="Arial" w:eastAsia="Arial" w:hAnsi="Arial"/>
          <w:sz w:val="18"/>
          <w:szCs w:val="18"/>
          <w:b w:val="1"/>
          <w:bCs w:val="1"/>
          <w:color w:val="auto"/>
        </w:rPr>
        <w:t>As a result, the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encourages all beneficial owners to provide voting instructions to your nominees to ensure that your shares are voted at the Annual Meeting.</w:t>
      </w:r>
    </w:p>
    <w:p>
      <w:pPr>
        <w:spacing w:after="0" w:line="15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MEETING ATTENDANCE</w:t>
      </w:r>
    </w:p>
    <w:p>
      <w:pPr>
        <w:spacing w:after="0" w:line="148" w:lineRule="exact"/>
        <w:rPr>
          <w:sz w:val="20"/>
          <w:szCs w:val="20"/>
          <w:color w:val="auto"/>
        </w:rPr>
      </w:pPr>
    </w:p>
    <w:p>
      <w:pPr>
        <w:ind w:left="1000" w:right="259"/>
        <w:spacing w:after="0" w:line="275" w:lineRule="auto"/>
        <w:rPr>
          <w:sz w:val="20"/>
          <w:szCs w:val="20"/>
          <w:color w:val="auto"/>
        </w:rPr>
      </w:pPr>
      <w:r>
        <w:rPr>
          <w:rFonts w:ascii="Arial" w:cs="Arial" w:eastAsia="Arial" w:hAnsi="Arial"/>
          <w:sz w:val="17"/>
          <w:szCs w:val="17"/>
          <w:color w:val="auto"/>
        </w:rPr>
        <w:t>Admission to the Annual Meeting will be limited to shareholders. You are entitled to attend the Annual Meeting only if you are a shareholder of record as of the record date or hold a valid proxy for the meeting. To be admitted to the Annual Meeting, you must present proof of ownership of the Company’s Common Stock on the record date, which can be a brokerage statement or letter from a bank or broker indicating ownership on the record date, the Notice of Internet Availability of Proxy Materials, a proxy card, or legal proxy or voting instruction card provided by your broker, bank, or nominee. Any holder of a proxy from a shareholder must</w:t>
      </w:r>
    </w:p>
    <w:p>
      <w:pPr>
        <w:spacing w:after="0" w:line="10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     </w:t>
      </w:r>
      <w:r>
        <w:rPr>
          <w:sz w:val="1"/>
          <w:szCs w:val="1"/>
          <w:color w:val="auto"/>
        </w:rPr>
        <w:drawing>
          <wp:inline distT="0" distB="0" distL="0" distR="0">
            <wp:extent cx="1242695" cy="24003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5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220" w:type="dxa"/>
            <w:vAlign w:val="bottom"/>
            <w:vMerge w:val="restart"/>
          </w:tcPr>
          <w:p>
            <w:pPr>
              <w:ind w:left="3180"/>
              <w:spacing w:after="0"/>
              <w:rPr>
                <w:sz w:val="20"/>
                <w:szCs w:val="20"/>
                <w:color w:val="auto"/>
              </w:rPr>
            </w:pPr>
            <w:r>
              <w:rPr>
                <w:rFonts w:ascii="Arial" w:cs="Arial" w:eastAsia="Arial" w:hAnsi="Arial"/>
                <w:sz w:val="14"/>
                <w:szCs w:val="14"/>
                <w:color w:val="auto"/>
                <w:w w:val="98"/>
              </w:rPr>
              <w:t>Proxy Statement</w:t>
            </w:r>
          </w:p>
        </w:tc>
        <w:tc>
          <w:tcPr>
            <w:tcW w:w="0" w:type="dxa"/>
            <w:vAlign w:val="bottom"/>
          </w:tcPr>
          <w:p>
            <w:pPr>
              <w:spacing w:after="0"/>
              <w:rPr>
                <w:sz w:val="1"/>
                <w:szCs w:val="1"/>
                <w:color w:val="auto"/>
              </w:rPr>
            </w:pPr>
          </w:p>
        </w:tc>
      </w:tr>
      <w:tr>
        <w:trPr>
          <w:trHeight w:val="88"/>
        </w:trPr>
        <w:tc>
          <w:tcPr>
            <w:tcW w:w="55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520" w:type="dxa"/>
            <w:vAlign w:val="bottom"/>
            <w:vMerge w:val="continue"/>
          </w:tcPr>
          <w:p>
            <w:pPr>
              <w:spacing w:after="0"/>
              <w:rPr>
                <w:sz w:val="11"/>
                <w:szCs w:val="11"/>
                <w:color w:val="auto"/>
              </w:rPr>
            </w:pPr>
          </w:p>
        </w:tc>
        <w:tc>
          <w:tcPr>
            <w:tcW w:w="4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239"/>
        <w:spacing w:after="0" w:line="259" w:lineRule="auto"/>
        <w:rPr>
          <w:sz w:val="20"/>
          <w:szCs w:val="20"/>
          <w:color w:val="auto"/>
        </w:rPr>
      </w:pPr>
      <w:r>
        <w:rPr>
          <w:rFonts w:ascii="Arial" w:cs="Arial" w:eastAsia="Arial" w:hAnsi="Arial"/>
          <w:sz w:val="18"/>
          <w:szCs w:val="18"/>
          <w:color w:val="auto"/>
        </w:rPr>
        <w:t>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QUORUM</w:t>
      </w:r>
    </w:p>
    <w:p>
      <w:pPr>
        <w:spacing w:after="0" w:line="162" w:lineRule="exact"/>
        <w:rPr>
          <w:sz w:val="20"/>
          <w:szCs w:val="20"/>
          <w:color w:val="auto"/>
        </w:rPr>
      </w:pPr>
    </w:p>
    <w:p>
      <w:pPr>
        <w:ind w:left="1000" w:right="279"/>
        <w:spacing w:after="0" w:line="282" w:lineRule="auto"/>
        <w:rPr>
          <w:sz w:val="20"/>
          <w:szCs w:val="20"/>
          <w:color w:val="auto"/>
        </w:rPr>
      </w:pPr>
      <w:r>
        <w:rPr>
          <w:rFonts w:ascii="Arial" w:cs="Arial" w:eastAsia="Arial" w:hAnsi="Arial"/>
          <w:sz w:val="17"/>
          <w:szCs w:val="17"/>
          <w:color w:val="auto"/>
        </w:rPr>
        <w:t>The presence at the Annual Meeting, in person or by proxy, of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5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REQUIRED VOTE AND BOARD RECOMMENDATIONS</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53C072"/>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52070</wp:posOffset>
            </wp:positionV>
            <wp:extent cx="2846070" cy="13627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1362710"/>
                    </a:xfrm>
                    <a:prstGeom prst="rect">
                      <a:avLst/>
                    </a:prstGeom>
                    <a:noFill/>
                  </pic:spPr>
                </pic:pic>
              </a:graphicData>
            </a:graphic>
          </wp:anchor>
        </w:drawing>
      </w:r>
    </w:p>
    <w:p>
      <w:pPr>
        <w:spacing w:after="0" w:line="178" w:lineRule="exact"/>
        <w:rPr>
          <w:sz w:val="20"/>
          <w:szCs w:val="20"/>
          <w:color w:val="auto"/>
        </w:rPr>
      </w:pPr>
    </w:p>
    <w:p>
      <w:pPr>
        <w:ind w:left="1760" w:hanging="514"/>
        <w:spacing w:after="0"/>
        <w:tabs>
          <w:tab w:leader="none" w:pos="1760" w:val="left"/>
        </w:tabs>
        <w:numPr>
          <w:ilvl w:val="0"/>
          <w:numId w:val="8"/>
        </w:numPr>
        <w:rPr>
          <w:rFonts w:ascii="Arial" w:cs="Arial" w:eastAsia="Arial" w:hAnsi="Arial"/>
          <w:sz w:val="32"/>
          <w:szCs w:val="32"/>
          <w:b w:val="1"/>
          <w:bCs w:val="1"/>
          <w:color w:val="FEFEFE"/>
        </w:rPr>
      </w:pPr>
      <w:r>
        <w:rPr>
          <w:rFonts w:ascii="Arial" w:cs="Arial" w:eastAsia="Arial" w:hAnsi="Arial"/>
          <w:sz w:val="18"/>
          <w:szCs w:val="18"/>
          <w:b w:val="1"/>
          <w:bCs w:val="1"/>
          <w:color w:val="auto"/>
        </w:rPr>
        <w:t>​  Election of Directors</w:t>
      </w:r>
    </w:p>
    <w:p>
      <w:pPr>
        <w:ind w:left="2020" w:hanging="774"/>
        <w:spacing w:after="0" w:line="180" w:lineRule="auto"/>
        <w:tabs>
          <w:tab w:leader="none" w:pos="2020" w:val="left"/>
        </w:tabs>
        <w:numPr>
          <w:ilvl w:val="0"/>
          <w:numId w:val="9"/>
        </w:numPr>
        <w:rPr>
          <w:rFonts w:ascii="Arial" w:cs="Arial" w:eastAsia="Arial" w:hAnsi="Arial"/>
          <w:sz w:val="64"/>
          <w:szCs w:val="64"/>
          <w:b w:val="1"/>
          <w:bCs w:val="1"/>
          <w:color w:val="FEFEFE"/>
          <w:vertAlign w:val="subscript"/>
        </w:rPr>
      </w:pPr>
      <w:r>
        <w:rPr>
          <w:rFonts w:ascii="Arial" w:cs="Arial" w:eastAsia="Arial" w:hAnsi="Arial"/>
          <w:sz w:val="18"/>
          <w:szCs w:val="18"/>
          <w:b w:val="1"/>
          <w:bCs w:val="1"/>
          <w:color w:val="auto"/>
        </w:rPr>
        <w:t>Advisory vote on named executive</w:t>
      </w:r>
    </w:p>
    <w:p>
      <w:pPr>
        <w:spacing w:after="0" w:line="2" w:lineRule="exact"/>
        <w:rPr>
          <w:rFonts w:ascii="Arial" w:cs="Arial" w:eastAsia="Arial" w:hAnsi="Arial"/>
          <w:sz w:val="64"/>
          <w:szCs w:val="64"/>
          <w:b w:val="1"/>
          <w:bCs w:val="1"/>
          <w:color w:val="FEFEFE"/>
          <w:vertAlign w:val="subscript"/>
        </w:rPr>
      </w:pPr>
    </w:p>
    <w:p>
      <w:pPr>
        <w:ind w:left="2020" w:hanging="267"/>
        <w:spacing w:after="0" w:line="183" w:lineRule="auto"/>
        <w:tabs>
          <w:tab w:leader="none" w:pos="2020" w:val="left"/>
        </w:tabs>
        <w:numPr>
          <w:ilvl w:val="1"/>
          <w:numId w:val="9"/>
        </w:numPr>
        <w:rPr>
          <w:rFonts w:ascii="Arial" w:cs="Arial" w:eastAsia="Arial" w:hAnsi="Arial"/>
          <w:sz w:val="26"/>
          <w:szCs w:val="26"/>
          <w:b w:val="1"/>
          <w:bCs w:val="1"/>
          <w:color w:val="auto"/>
          <w:vertAlign w:val="superscript"/>
        </w:rPr>
      </w:pPr>
      <w:r>
        <w:rPr>
          <w:rFonts w:ascii="Arial" w:cs="Arial" w:eastAsia="Arial" w:hAnsi="Arial"/>
          <w:sz w:val="15"/>
          <w:szCs w:val="15"/>
          <w:b w:val="1"/>
          <w:bCs w:val="1"/>
          <w:color w:val="auto"/>
        </w:rPr>
        <w:t>compensation</w:t>
      </w:r>
    </w:p>
    <w:p>
      <w:pPr>
        <w:ind w:left="2020" w:hanging="774"/>
        <w:spacing w:after="0" w:line="181" w:lineRule="auto"/>
        <w:tabs>
          <w:tab w:leader="none" w:pos="2020" w:val="left"/>
        </w:tabs>
        <w:numPr>
          <w:ilvl w:val="0"/>
          <w:numId w:val="10"/>
        </w:numPr>
        <w:rPr>
          <w:rFonts w:ascii="Arial" w:cs="Arial" w:eastAsia="Arial" w:hAnsi="Arial"/>
          <w:sz w:val="56"/>
          <w:szCs w:val="56"/>
          <w:b w:val="1"/>
          <w:bCs w:val="1"/>
          <w:color w:val="FEFEFE"/>
          <w:vertAlign w:val="subscript"/>
        </w:rPr>
      </w:pPr>
      <w:r>
        <w:rPr>
          <w:rFonts w:ascii="Arial" w:cs="Arial" w:eastAsia="Arial" w:hAnsi="Arial"/>
          <w:sz w:val="17"/>
          <w:szCs w:val="17"/>
          <w:b w:val="1"/>
          <w:bCs w:val="1"/>
          <w:color w:val="auto"/>
        </w:rPr>
        <w:t>Ratification of independent registered</w:t>
      </w:r>
    </w:p>
    <w:p>
      <w:pPr>
        <w:spacing w:after="0" w:line="1" w:lineRule="exact"/>
        <w:rPr>
          <w:rFonts w:ascii="Arial" w:cs="Arial" w:eastAsia="Arial" w:hAnsi="Arial"/>
          <w:sz w:val="56"/>
          <w:szCs w:val="56"/>
          <w:b w:val="1"/>
          <w:bCs w:val="1"/>
          <w:color w:val="FEFEFE"/>
          <w:vertAlign w:val="subscript"/>
        </w:rPr>
      </w:pPr>
    </w:p>
    <w:p>
      <w:pPr>
        <w:ind w:left="2020" w:hanging="267"/>
        <w:spacing w:after="0" w:line="183" w:lineRule="auto"/>
        <w:tabs>
          <w:tab w:leader="none" w:pos="2020" w:val="left"/>
        </w:tabs>
        <w:numPr>
          <w:ilvl w:val="1"/>
          <w:numId w:val="10"/>
        </w:numPr>
        <w:rPr>
          <w:rFonts w:ascii="Arial" w:cs="Arial" w:eastAsia="Arial" w:hAnsi="Arial"/>
          <w:sz w:val="26"/>
          <w:szCs w:val="26"/>
          <w:b w:val="1"/>
          <w:bCs w:val="1"/>
          <w:color w:val="auto"/>
          <w:vertAlign w:val="superscript"/>
        </w:rPr>
      </w:pPr>
      <w:r>
        <w:rPr>
          <w:rFonts w:ascii="Arial" w:cs="Arial" w:eastAsia="Arial" w:hAnsi="Arial"/>
          <w:sz w:val="15"/>
          <w:szCs w:val="15"/>
          <w:b w:val="1"/>
          <w:bCs w:val="1"/>
          <w:color w:val="auto"/>
        </w:rPr>
        <w:t>public accounting firm</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53C072"/>
                <w:w w:val="96"/>
              </w:rPr>
              <w:t>Voting</w:t>
            </w:r>
          </w:p>
        </w:tc>
        <w:tc>
          <w:tcPr>
            <w:tcW w:w="180" w:type="dxa"/>
            <w:vAlign w:val="bottom"/>
          </w:tcPr>
          <w:p>
            <w:pPr>
              <w:spacing w:after="0"/>
              <w:rPr>
                <w:sz w:val="17"/>
                <w:szCs w:val="17"/>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b w:val="1"/>
                <w:bCs w:val="1"/>
                <w:color w:val="53C072"/>
              </w:rPr>
              <w:t>Board</w:t>
            </w:r>
          </w:p>
        </w:tc>
        <w:tc>
          <w:tcPr>
            <w:tcW w:w="160" w:type="dxa"/>
            <w:vAlign w:val="bottom"/>
          </w:tcPr>
          <w:p>
            <w:pPr>
              <w:spacing w:after="0"/>
              <w:rPr>
                <w:sz w:val="17"/>
                <w:szCs w:val="17"/>
                <w:color w:val="auto"/>
              </w:rPr>
            </w:pPr>
          </w:p>
        </w:tc>
        <w:tc>
          <w:tcPr>
            <w:tcW w:w="900" w:type="dxa"/>
            <w:vAlign w:val="bottom"/>
            <w:gridSpan w:val="5"/>
          </w:tcPr>
          <w:p>
            <w:pPr>
              <w:ind w:left="220"/>
              <w:spacing w:after="0"/>
              <w:rPr>
                <w:sz w:val="20"/>
                <w:szCs w:val="20"/>
                <w:color w:val="auto"/>
              </w:rPr>
            </w:pPr>
            <w:r>
              <w:rPr>
                <w:rFonts w:ascii="Arial" w:cs="Arial" w:eastAsia="Arial" w:hAnsi="Arial"/>
                <w:sz w:val="18"/>
                <w:szCs w:val="18"/>
                <w:b w:val="1"/>
                <w:bCs w:val="1"/>
                <w:color w:val="53C072"/>
              </w:rPr>
              <w:t>Page</w:t>
            </w:r>
          </w:p>
        </w:tc>
        <w:tc>
          <w:tcPr>
            <w:tcW w:w="0" w:type="dxa"/>
            <w:vAlign w:val="bottom"/>
          </w:tcPr>
          <w:p>
            <w:pPr>
              <w:spacing w:after="0"/>
              <w:rPr>
                <w:sz w:val="1"/>
                <w:szCs w:val="1"/>
                <w:color w:val="auto"/>
              </w:rPr>
            </w:pPr>
          </w:p>
        </w:tc>
      </w:tr>
      <w:tr>
        <w:trPr>
          <w:trHeight w:val="247"/>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53C072"/>
                <w:w w:val="97"/>
              </w:rPr>
              <w:t>Standard</w:t>
            </w:r>
          </w:p>
        </w:tc>
        <w:tc>
          <w:tcPr>
            <w:tcW w:w="18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53C072"/>
              </w:rPr>
              <w:t>Recommendation</w:t>
            </w:r>
          </w:p>
        </w:tc>
        <w:tc>
          <w:tcPr>
            <w:tcW w:w="160" w:type="dxa"/>
            <w:vAlign w:val="bottom"/>
          </w:tcPr>
          <w:p>
            <w:pPr>
              <w:spacing w:after="0"/>
              <w:rPr>
                <w:sz w:val="21"/>
                <w:szCs w:val="21"/>
                <w:color w:val="auto"/>
              </w:rPr>
            </w:pPr>
          </w:p>
        </w:tc>
        <w:tc>
          <w:tcPr>
            <w:tcW w:w="900" w:type="dxa"/>
            <w:vAlign w:val="bottom"/>
            <w:gridSpan w:val="5"/>
          </w:tcPr>
          <w:p>
            <w:pPr>
              <w:jc w:val="center"/>
              <w:spacing w:after="0"/>
              <w:rPr>
                <w:sz w:val="20"/>
                <w:szCs w:val="20"/>
                <w:color w:val="auto"/>
              </w:rPr>
            </w:pPr>
            <w:r>
              <w:rPr>
                <w:rFonts w:ascii="Arial" w:cs="Arial" w:eastAsia="Arial" w:hAnsi="Arial"/>
                <w:sz w:val="18"/>
                <w:szCs w:val="18"/>
                <w:b w:val="1"/>
                <w:bCs w:val="1"/>
                <w:color w:val="53C072"/>
                <w:w w:val="98"/>
              </w:rPr>
              <w:t>Reference</w:t>
            </w:r>
          </w:p>
        </w:tc>
        <w:tc>
          <w:tcPr>
            <w:tcW w:w="0" w:type="dxa"/>
            <w:vAlign w:val="bottom"/>
          </w:tcPr>
          <w:p>
            <w:pPr>
              <w:spacing w:after="0"/>
              <w:rPr>
                <w:sz w:val="1"/>
                <w:szCs w:val="1"/>
                <w:color w:val="auto"/>
              </w:rPr>
            </w:pPr>
          </w:p>
        </w:tc>
      </w:tr>
      <w:tr>
        <w:trPr>
          <w:trHeight w:val="42"/>
        </w:trPr>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60" w:type="dxa"/>
            <w:vAlign w:val="bottom"/>
            <w:shd w:val="clear" w:color="auto" w:fill="D8D8D8"/>
          </w:tcPr>
          <w:p>
            <w:pPr>
              <w:spacing w:after="0"/>
              <w:rPr>
                <w:sz w:val="23"/>
                <w:szCs w:val="23"/>
                <w:color w:val="auto"/>
              </w:rPr>
            </w:pPr>
          </w:p>
        </w:tc>
        <w:tc>
          <w:tcPr>
            <w:tcW w:w="1160" w:type="dxa"/>
            <w:vAlign w:val="bottom"/>
            <w:shd w:val="clear" w:color="auto" w:fill="D8D8D8"/>
          </w:tcPr>
          <w:p>
            <w:pPr>
              <w:jc w:val="center"/>
              <w:ind w:right="130"/>
              <w:spacing w:after="0"/>
              <w:rPr>
                <w:sz w:val="20"/>
                <w:szCs w:val="20"/>
                <w:color w:val="auto"/>
              </w:rPr>
            </w:pPr>
            <w:r>
              <w:rPr>
                <w:rFonts w:ascii="Arial" w:cs="Arial" w:eastAsia="Arial" w:hAnsi="Arial"/>
                <w:sz w:val="18"/>
                <w:szCs w:val="18"/>
                <w:b w:val="1"/>
                <w:bCs w:val="1"/>
                <w:color w:val="auto"/>
                <w:w w:val="98"/>
              </w:rPr>
              <w:t>Majority of</w:t>
            </w:r>
          </w:p>
        </w:tc>
        <w:tc>
          <w:tcPr>
            <w:tcW w:w="180" w:type="dxa"/>
            <w:vAlign w:val="bottom"/>
            <w:shd w:val="clear" w:color="auto" w:fill="53C072"/>
          </w:tcPr>
          <w:p>
            <w:pPr>
              <w:spacing w:after="0"/>
              <w:rPr>
                <w:sz w:val="23"/>
                <w:szCs w:val="23"/>
                <w:color w:val="auto"/>
              </w:rPr>
            </w:pPr>
          </w:p>
        </w:tc>
        <w:tc>
          <w:tcPr>
            <w:tcW w:w="1700" w:type="dxa"/>
            <w:vAlign w:val="bottom"/>
            <w:gridSpan w:val="2"/>
            <w:vMerge w:val="restart"/>
            <w:shd w:val="clear" w:color="auto" w:fill="53C072"/>
          </w:tcPr>
          <w:p>
            <w:pPr>
              <w:ind w:left="460"/>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60" w:type="dxa"/>
            <w:vAlign w:val="bottom"/>
            <w:shd w:val="clear" w:color="auto" w:fill="D8D8D8"/>
          </w:tcPr>
          <w:p>
            <w:pPr>
              <w:spacing w:after="0"/>
              <w:rPr>
                <w:sz w:val="23"/>
                <w:szCs w:val="23"/>
                <w:color w:val="auto"/>
              </w:rPr>
            </w:pPr>
          </w:p>
        </w:tc>
        <w:tc>
          <w:tcPr>
            <w:tcW w:w="360" w:type="dxa"/>
            <w:vAlign w:val="bottom"/>
            <w:shd w:val="clear" w:color="auto" w:fill="D8D8D8"/>
          </w:tcPr>
          <w:p>
            <w:pPr>
              <w:spacing w:after="0"/>
              <w:rPr>
                <w:sz w:val="23"/>
                <w:szCs w:val="23"/>
                <w:color w:val="auto"/>
              </w:rPr>
            </w:pPr>
          </w:p>
        </w:tc>
        <w:tc>
          <w:tcPr>
            <w:tcW w:w="40" w:type="dxa"/>
            <w:vAlign w:val="bottom"/>
            <w:shd w:val="clear" w:color="auto" w:fill="D8D8D8"/>
          </w:tcPr>
          <w:p>
            <w:pPr>
              <w:spacing w:after="0"/>
              <w:rPr>
                <w:sz w:val="23"/>
                <w:szCs w:val="23"/>
                <w:color w:val="auto"/>
              </w:rPr>
            </w:pPr>
          </w:p>
        </w:tc>
        <w:tc>
          <w:tcPr>
            <w:tcW w:w="100" w:type="dxa"/>
            <w:vAlign w:val="bottom"/>
            <w:vMerge w:val="restart"/>
            <w:shd w:val="clear" w:color="auto" w:fill="D8D8D8"/>
          </w:tcPr>
          <w:p>
            <w:pPr>
              <w:jc w:val="center"/>
              <w:spacing w:after="0"/>
              <w:rPr>
                <w:sz w:val="20"/>
                <w:szCs w:val="20"/>
                <w:color w:val="auto"/>
              </w:rPr>
            </w:pPr>
            <w:r>
              <w:rPr>
                <w:rFonts w:ascii="Arial" w:cs="Arial" w:eastAsia="Arial" w:hAnsi="Arial"/>
                <w:sz w:val="18"/>
                <w:szCs w:val="18"/>
                <w:b w:val="1"/>
                <w:bCs w:val="1"/>
                <w:color w:val="0000EE"/>
                <w:w w:val="99"/>
              </w:rPr>
              <w:t>8</w:t>
            </w:r>
          </w:p>
        </w:tc>
        <w:tc>
          <w:tcPr>
            <w:tcW w:w="6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60" w:type="dxa"/>
            <w:vAlign w:val="bottom"/>
            <w:tcBorders>
              <w:bottom w:val="single" w:sz="8" w:color="D8D8D8"/>
            </w:tcBorders>
            <w:shd w:val="clear" w:color="auto" w:fill="D8D8D8"/>
          </w:tcPr>
          <w:p>
            <w:pPr>
              <w:spacing w:after="0"/>
              <w:rPr>
                <w:sz w:val="14"/>
                <w:szCs w:val="14"/>
                <w:color w:val="auto"/>
              </w:rPr>
            </w:pPr>
          </w:p>
        </w:tc>
        <w:tc>
          <w:tcPr>
            <w:tcW w:w="1160" w:type="dxa"/>
            <w:vAlign w:val="bottom"/>
            <w:tcBorders>
              <w:bottom w:val="single" w:sz="8" w:color="D8D8D8"/>
            </w:tcBorders>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votes cast</w:t>
            </w:r>
            <w:r>
              <w:rPr>
                <w:rFonts w:ascii="Arial" w:cs="Arial" w:eastAsia="Arial" w:hAnsi="Arial"/>
                <w:sz w:val="28"/>
                <w:szCs w:val="28"/>
                <w:b w:val="1"/>
                <w:bCs w:val="1"/>
                <w:color w:val="auto"/>
              </w:rPr>
              <w:t>​</w:t>
            </w:r>
          </w:p>
        </w:tc>
        <w:tc>
          <w:tcPr>
            <w:tcW w:w="180" w:type="dxa"/>
            <w:vAlign w:val="bottom"/>
            <w:tcBorders>
              <w:bottom w:val="single" w:sz="8" w:color="53C072"/>
            </w:tcBorders>
            <w:shd w:val="clear" w:color="auto" w:fill="53C072"/>
          </w:tcPr>
          <w:p>
            <w:pPr>
              <w:spacing w:after="0"/>
              <w:rPr>
                <w:sz w:val="14"/>
                <w:szCs w:val="14"/>
                <w:color w:val="auto"/>
              </w:rPr>
            </w:pPr>
          </w:p>
        </w:tc>
        <w:tc>
          <w:tcPr>
            <w:tcW w:w="1700" w:type="dxa"/>
            <w:vAlign w:val="bottom"/>
            <w:tcBorders>
              <w:bottom w:val="single" w:sz="8" w:color="53C072"/>
            </w:tcBorders>
            <w:gridSpan w:val="2"/>
            <w:vMerge w:val="continue"/>
            <w:shd w:val="clear" w:color="auto" w:fill="53C072"/>
          </w:tcPr>
          <w:p>
            <w:pPr>
              <w:spacing w:after="0"/>
              <w:rPr>
                <w:sz w:val="14"/>
                <w:szCs w:val="14"/>
                <w:color w:val="auto"/>
              </w:rPr>
            </w:pPr>
          </w:p>
        </w:tc>
        <w:tc>
          <w:tcPr>
            <w:tcW w:w="160" w:type="dxa"/>
            <w:vAlign w:val="bottom"/>
            <w:tcBorders>
              <w:bottom w:val="single" w:sz="8" w:color="D8D8D8"/>
            </w:tcBorders>
            <w:shd w:val="clear" w:color="auto" w:fill="D8D8D8"/>
          </w:tcPr>
          <w:p>
            <w:pPr>
              <w:spacing w:after="0"/>
              <w:rPr>
                <w:sz w:val="14"/>
                <w:szCs w:val="14"/>
                <w:color w:val="auto"/>
              </w:rPr>
            </w:pPr>
          </w:p>
        </w:tc>
        <w:tc>
          <w:tcPr>
            <w:tcW w:w="360" w:type="dxa"/>
            <w:vAlign w:val="bottom"/>
            <w:tcBorders>
              <w:bottom w:val="single" w:sz="8" w:color="D8D8D8"/>
            </w:tcBorders>
            <w:shd w:val="clear" w:color="auto" w:fill="D8D8D8"/>
          </w:tcPr>
          <w:p>
            <w:pPr>
              <w:spacing w:after="0"/>
              <w:rPr>
                <w:sz w:val="14"/>
                <w:szCs w:val="14"/>
                <w:color w:val="auto"/>
              </w:rPr>
            </w:pPr>
          </w:p>
        </w:tc>
        <w:tc>
          <w:tcPr>
            <w:tcW w:w="40" w:type="dxa"/>
            <w:vAlign w:val="bottom"/>
            <w:tcBorders>
              <w:bottom w:val="single" w:sz="8" w:color="D8D8D8"/>
            </w:tcBorders>
            <w:shd w:val="clear" w:color="auto" w:fill="D8D8D8"/>
          </w:tcPr>
          <w:p>
            <w:pPr>
              <w:spacing w:after="0"/>
              <w:rPr>
                <w:sz w:val="14"/>
                <w:szCs w:val="14"/>
                <w:color w:val="auto"/>
              </w:rPr>
            </w:pPr>
          </w:p>
        </w:tc>
        <w:tc>
          <w:tcPr>
            <w:tcW w:w="100" w:type="dxa"/>
            <w:vAlign w:val="bottom"/>
            <w:tcBorders>
              <w:bottom w:val="single" w:sz="8" w:color="0000EE"/>
            </w:tcBorders>
            <w:vMerge w:val="continue"/>
            <w:shd w:val="clear" w:color="auto" w:fill="D8D8D8"/>
          </w:tcPr>
          <w:p>
            <w:pPr>
              <w:spacing w:after="0"/>
              <w:rPr>
                <w:sz w:val="14"/>
                <w:szCs w:val="14"/>
                <w:color w:val="auto"/>
              </w:rPr>
            </w:pPr>
          </w:p>
        </w:tc>
        <w:tc>
          <w:tcPr>
            <w:tcW w:w="60" w:type="dxa"/>
            <w:vAlign w:val="bottom"/>
            <w:tcBorders>
              <w:bottom w:val="single" w:sz="8" w:color="D8D8D8"/>
            </w:tcBorders>
            <w:shd w:val="clear" w:color="auto" w:fill="D8D8D8"/>
          </w:tcPr>
          <w:p>
            <w:pPr>
              <w:spacing w:after="0"/>
              <w:rPr>
                <w:sz w:val="14"/>
                <w:szCs w:val="14"/>
                <w:color w:val="auto"/>
              </w:rPr>
            </w:pPr>
          </w:p>
        </w:tc>
        <w:tc>
          <w:tcPr>
            <w:tcW w:w="340" w:type="dxa"/>
            <w:vAlign w:val="bottom"/>
            <w:tcBorders>
              <w:bottom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160" w:type="dxa"/>
            <w:vAlign w:val="bottom"/>
            <w:shd w:val="clear" w:color="auto" w:fill="D8D8D8"/>
          </w:tcPr>
          <w:p>
            <w:pPr>
              <w:spacing w:after="0"/>
              <w:rPr>
                <w:sz w:val="18"/>
                <w:szCs w:val="18"/>
                <w:color w:val="auto"/>
              </w:rPr>
            </w:pPr>
          </w:p>
        </w:tc>
        <w:tc>
          <w:tcPr>
            <w:tcW w:w="1160" w:type="dxa"/>
            <w:vAlign w:val="bottom"/>
            <w:vMerge w:val="continue"/>
            <w:shd w:val="clear" w:color="auto" w:fill="D8D8D8"/>
          </w:tcPr>
          <w:p>
            <w:pPr>
              <w:spacing w:after="0"/>
              <w:rPr>
                <w:sz w:val="18"/>
                <w:szCs w:val="18"/>
                <w:color w:val="auto"/>
              </w:rPr>
            </w:pPr>
          </w:p>
        </w:tc>
        <w:tc>
          <w:tcPr>
            <w:tcW w:w="180" w:type="dxa"/>
            <w:vAlign w:val="bottom"/>
            <w:shd w:val="clear" w:color="auto" w:fill="53C072"/>
          </w:tcPr>
          <w:p>
            <w:pPr>
              <w:spacing w:after="0"/>
              <w:rPr>
                <w:sz w:val="18"/>
                <w:szCs w:val="18"/>
                <w:color w:val="auto"/>
              </w:rPr>
            </w:pPr>
          </w:p>
        </w:tc>
        <w:tc>
          <w:tcPr>
            <w:tcW w:w="1520" w:type="dxa"/>
            <w:vAlign w:val="bottom"/>
            <w:shd w:val="clear" w:color="auto" w:fill="53C072"/>
          </w:tcPr>
          <w:p>
            <w:pPr>
              <w:spacing w:after="0"/>
              <w:rPr>
                <w:sz w:val="18"/>
                <w:szCs w:val="18"/>
                <w:color w:val="auto"/>
              </w:rPr>
            </w:pPr>
          </w:p>
        </w:tc>
        <w:tc>
          <w:tcPr>
            <w:tcW w:w="180" w:type="dxa"/>
            <w:vAlign w:val="bottom"/>
            <w:shd w:val="clear" w:color="auto" w:fill="53C072"/>
          </w:tcPr>
          <w:p>
            <w:pPr>
              <w:spacing w:after="0"/>
              <w:rPr>
                <w:sz w:val="18"/>
                <w:szCs w:val="18"/>
                <w:color w:val="auto"/>
              </w:rPr>
            </w:pPr>
          </w:p>
        </w:tc>
        <w:tc>
          <w:tcPr>
            <w:tcW w:w="160" w:type="dxa"/>
            <w:vAlign w:val="bottom"/>
            <w:shd w:val="clear" w:color="auto" w:fill="D8D8D8"/>
          </w:tcPr>
          <w:p>
            <w:pPr>
              <w:spacing w:after="0"/>
              <w:rPr>
                <w:sz w:val="18"/>
                <w:szCs w:val="18"/>
                <w:color w:val="auto"/>
              </w:rPr>
            </w:pPr>
          </w:p>
        </w:tc>
        <w:tc>
          <w:tcPr>
            <w:tcW w:w="360" w:type="dxa"/>
            <w:vAlign w:val="bottom"/>
            <w:shd w:val="clear" w:color="auto" w:fill="D8D8D8"/>
          </w:tcPr>
          <w:p>
            <w:pPr>
              <w:spacing w:after="0"/>
              <w:rPr>
                <w:sz w:val="18"/>
                <w:szCs w:val="18"/>
                <w:color w:val="auto"/>
              </w:rPr>
            </w:pPr>
          </w:p>
        </w:tc>
        <w:tc>
          <w:tcPr>
            <w:tcW w:w="4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180" w:type="dxa"/>
            <w:vAlign w:val="bottom"/>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1160" w:type="dxa"/>
            <w:vAlign w:val="bottom"/>
            <w:shd w:val="clear" w:color="auto" w:fill="D8D8D8"/>
          </w:tcPr>
          <w:p>
            <w:pPr>
              <w:jc w:val="center"/>
              <w:ind w:right="130"/>
              <w:spacing w:after="0"/>
              <w:rPr>
                <w:sz w:val="20"/>
                <w:szCs w:val="20"/>
                <w:color w:val="auto"/>
              </w:rPr>
            </w:pPr>
            <w:r>
              <w:rPr>
                <w:rFonts w:ascii="Arial" w:cs="Arial" w:eastAsia="Arial" w:hAnsi="Arial"/>
                <w:sz w:val="18"/>
                <w:szCs w:val="18"/>
                <w:b w:val="1"/>
                <w:bCs w:val="1"/>
                <w:color w:val="auto"/>
                <w:w w:val="98"/>
              </w:rPr>
              <w:t>Majority of</w:t>
            </w:r>
          </w:p>
        </w:tc>
        <w:tc>
          <w:tcPr>
            <w:tcW w:w="180" w:type="dxa"/>
            <w:vAlign w:val="bottom"/>
            <w:shd w:val="clear" w:color="auto" w:fill="53C072"/>
          </w:tcPr>
          <w:p>
            <w:pPr>
              <w:spacing w:after="0"/>
              <w:rPr>
                <w:sz w:val="24"/>
                <w:szCs w:val="24"/>
                <w:color w:val="auto"/>
              </w:rPr>
            </w:pPr>
          </w:p>
        </w:tc>
        <w:tc>
          <w:tcPr>
            <w:tcW w:w="1520" w:type="dxa"/>
            <w:vAlign w:val="bottom"/>
            <w:vMerge w:val="restart"/>
            <w:shd w:val="clear" w:color="auto" w:fill="53C072"/>
          </w:tcPr>
          <w:p>
            <w:pPr>
              <w:ind w:left="460"/>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80" w:type="dxa"/>
            <w:vAlign w:val="bottom"/>
            <w:shd w:val="clear" w:color="auto" w:fill="53C072"/>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360" w:type="dxa"/>
            <w:vAlign w:val="bottom"/>
            <w:shd w:val="clear" w:color="auto" w:fill="D8D8D8"/>
          </w:tcPr>
          <w:p>
            <w:pPr>
              <w:spacing w:after="0"/>
              <w:rPr>
                <w:sz w:val="24"/>
                <w:szCs w:val="24"/>
                <w:color w:val="auto"/>
              </w:rPr>
            </w:pPr>
          </w:p>
        </w:tc>
        <w:tc>
          <w:tcPr>
            <w:tcW w:w="200" w:type="dxa"/>
            <w:vAlign w:val="bottom"/>
            <w:gridSpan w:val="3"/>
            <w:vMerge w:val="restart"/>
            <w:shd w:val="clear" w:color="auto" w:fill="D8D8D8"/>
          </w:tcPr>
          <w:p>
            <w:pPr>
              <w:jc w:val="center"/>
              <w:spacing w:after="0"/>
              <w:rPr>
                <w:sz w:val="20"/>
                <w:szCs w:val="20"/>
                <w:color w:val="auto"/>
              </w:rPr>
            </w:pPr>
            <w:r>
              <w:rPr>
                <w:rFonts w:ascii="Arial" w:cs="Arial" w:eastAsia="Arial" w:hAnsi="Arial"/>
                <w:sz w:val="18"/>
                <w:szCs w:val="18"/>
                <w:b w:val="1"/>
                <w:bCs w:val="1"/>
                <w:color w:val="0000EE"/>
                <w:w w:val="99"/>
              </w:rPr>
              <w:t>38</w:t>
            </w:r>
          </w:p>
        </w:tc>
        <w:tc>
          <w:tcPr>
            <w:tcW w:w="34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60" w:type="dxa"/>
            <w:vAlign w:val="bottom"/>
            <w:tcBorders>
              <w:bottom w:val="single" w:sz="8" w:color="D8D8D8"/>
            </w:tcBorders>
            <w:shd w:val="clear" w:color="auto" w:fill="D8D8D8"/>
          </w:tcPr>
          <w:p>
            <w:pPr>
              <w:spacing w:after="0"/>
              <w:rPr>
                <w:sz w:val="10"/>
                <w:szCs w:val="10"/>
                <w:color w:val="auto"/>
              </w:rPr>
            </w:pPr>
          </w:p>
        </w:tc>
        <w:tc>
          <w:tcPr>
            <w:tcW w:w="1160" w:type="dxa"/>
            <w:vAlign w:val="bottom"/>
            <w:tcBorders>
              <w:bottom w:val="single" w:sz="8" w:color="D8D8D8"/>
            </w:tcBorders>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votes cast</w:t>
            </w:r>
            <w:r>
              <w:rPr>
                <w:rFonts w:ascii="Arial" w:cs="Arial" w:eastAsia="Arial" w:hAnsi="Arial"/>
                <w:sz w:val="28"/>
                <w:szCs w:val="28"/>
                <w:b w:val="1"/>
                <w:bCs w:val="1"/>
                <w:color w:val="auto"/>
              </w:rPr>
              <w:t>​</w:t>
            </w:r>
          </w:p>
        </w:tc>
        <w:tc>
          <w:tcPr>
            <w:tcW w:w="180" w:type="dxa"/>
            <w:vAlign w:val="bottom"/>
            <w:tcBorders>
              <w:bottom w:val="single" w:sz="8" w:color="53C072"/>
            </w:tcBorders>
            <w:shd w:val="clear" w:color="auto" w:fill="53C072"/>
          </w:tcPr>
          <w:p>
            <w:pPr>
              <w:spacing w:after="0"/>
              <w:rPr>
                <w:sz w:val="10"/>
                <w:szCs w:val="10"/>
                <w:color w:val="auto"/>
              </w:rPr>
            </w:pPr>
          </w:p>
        </w:tc>
        <w:tc>
          <w:tcPr>
            <w:tcW w:w="1520" w:type="dxa"/>
            <w:vAlign w:val="bottom"/>
            <w:tcBorders>
              <w:bottom w:val="single" w:sz="8" w:color="53C072"/>
            </w:tcBorders>
            <w:vMerge w:val="continue"/>
            <w:shd w:val="clear" w:color="auto" w:fill="53C072"/>
          </w:tcPr>
          <w:p>
            <w:pPr>
              <w:spacing w:after="0"/>
              <w:rPr>
                <w:sz w:val="10"/>
                <w:szCs w:val="10"/>
                <w:color w:val="auto"/>
              </w:rPr>
            </w:pPr>
          </w:p>
        </w:tc>
        <w:tc>
          <w:tcPr>
            <w:tcW w:w="180" w:type="dxa"/>
            <w:vAlign w:val="bottom"/>
            <w:tcBorders>
              <w:bottom w:val="single" w:sz="8" w:color="53C072"/>
            </w:tcBorders>
            <w:shd w:val="clear" w:color="auto" w:fill="53C072"/>
          </w:tcPr>
          <w:p>
            <w:pPr>
              <w:spacing w:after="0"/>
              <w:rPr>
                <w:sz w:val="10"/>
                <w:szCs w:val="10"/>
                <w:color w:val="auto"/>
              </w:rPr>
            </w:pPr>
          </w:p>
        </w:tc>
        <w:tc>
          <w:tcPr>
            <w:tcW w:w="160" w:type="dxa"/>
            <w:vAlign w:val="bottom"/>
            <w:tcBorders>
              <w:bottom w:val="single" w:sz="8" w:color="D8D8D8"/>
            </w:tcBorders>
            <w:shd w:val="clear" w:color="auto" w:fill="D8D8D8"/>
          </w:tcPr>
          <w:p>
            <w:pPr>
              <w:spacing w:after="0"/>
              <w:rPr>
                <w:sz w:val="10"/>
                <w:szCs w:val="10"/>
                <w:color w:val="auto"/>
              </w:rPr>
            </w:pPr>
          </w:p>
        </w:tc>
        <w:tc>
          <w:tcPr>
            <w:tcW w:w="360" w:type="dxa"/>
            <w:vAlign w:val="bottom"/>
            <w:tcBorders>
              <w:bottom w:val="single" w:sz="8" w:color="D8D8D8"/>
            </w:tcBorders>
            <w:shd w:val="clear" w:color="auto" w:fill="D8D8D8"/>
          </w:tcPr>
          <w:p>
            <w:pPr>
              <w:spacing w:after="0"/>
              <w:rPr>
                <w:sz w:val="10"/>
                <w:szCs w:val="10"/>
                <w:color w:val="auto"/>
              </w:rPr>
            </w:pPr>
          </w:p>
        </w:tc>
        <w:tc>
          <w:tcPr>
            <w:tcW w:w="200" w:type="dxa"/>
            <w:vAlign w:val="bottom"/>
            <w:tcBorders>
              <w:bottom w:val="single" w:sz="8" w:color="0000EE"/>
            </w:tcBorders>
            <w:gridSpan w:val="3"/>
            <w:vMerge w:val="continue"/>
            <w:shd w:val="clear" w:color="auto" w:fill="D8D8D8"/>
          </w:tcPr>
          <w:p>
            <w:pPr>
              <w:spacing w:after="0"/>
              <w:rPr>
                <w:sz w:val="10"/>
                <w:szCs w:val="10"/>
                <w:color w:val="auto"/>
              </w:rPr>
            </w:pPr>
          </w:p>
        </w:tc>
        <w:tc>
          <w:tcPr>
            <w:tcW w:w="340" w:type="dxa"/>
            <w:vAlign w:val="bottom"/>
            <w:tcBorders>
              <w:bottom w:val="single" w:sz="8" w:color="D8D8D8"/>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80" w:type="dxa"/>
            <w:vAlign w:val="bottom"/>
          </w:tcPr>
          <w:p>
            <w:pPr>
              <w:spacing w:after="0"/>
              <w:rPr>
                <w:sz w:val="22"/>
                <w:szCs w:val="22"/>
                <w:color w:val="auto"/>
              </w:rPr>
            </w:pPr>
          </w:p>
        </w:tc>
        <w:tc>
          <w:tcPr>
            <w:tcW w:w="160" w:type="dxa"/>
            <w:vAlign w:val="bottom"/>
            <w:shd w:val="clear" w:color="auto" w:fill="D8D8D8"/>
          </w:tcPr>
          <w:p>
            <w:pPr>
              <w:spacing w:after="0"/>
              <w:rPr>
                <w:sz w:val="22"/>
                <w:szCs w:val="22"/>
                <w:color w:val="auto"/>
              </w:rPr>
            </w:pPr>
          </w:p>
        </w:tc>
        <w:tc>
          <w:tcPr>
            <w:tcW w:w="1160" w:type="dxa"/>
            <w:vAlign w:val="bottom"/>
            <w:vMerge w:val="continue"/>
            <w:shd w:val="clear" w:color="auto" w:fill="D8D8D8"/>
          </w:tcPr>
          <w:p>
            <w:pPr>
              <w:spacing w:after="0"/>
              <w:rPr>
                <w:sz w:val="22"/>
                <w:szCs w:val="22"/>
                <w:color w:val="auto"/>
              </w:rPr>
            </w:pPr>
          </w:p>
        </w:tc>
        <w:tc>
          <w:tcPr>
            <w:tcW w:w="180" w:type="dxa"/>
            <w:vAlign w:val="bottom"/>
            <w:shd w:val="clear" w:color="auto" w:fill="53C072"/>
          </w:tcPr>
          <w:p>
            <w:pPr>
              <w:spacing w:after="0"/>
              <w:rPr>
                <w:sz w:val="22"/>
                <w:szCs w:val="22"/>
                <w:color w:val="auto"/>
              </w:rPr>
            </w:pPr>
          </w:p>
        </w:tc>
        <w:tc>
          <w:tcPr>
            <w:tcW w:w="1520" w:type="dxa"/>
            <w:vAlign w:val="bottom"/>
            <w:shd w:val="clear" w:color="auto" w:fill="53C072"/>
          </w:tcPr>
          <w:p>
            <w:pPr>
              <w:spacing w:after="0"/>
              <w:rPr>
                <w:sz w:val="22"/>
                <w:szCs w:val="22"/>
                <w:color w:val="auto"/>
              </w:rPr>
            </w:pPr>
          </w:p>
        </w:tc>
        <w:tc>
          <w:tcPr>
            <w:tcW w:w="180" w:type="dxa"/>
            <w:vAlign w:val="bottom"/>
            <w:shd w:val="clear" w:color="auto" w:fill="53C072"/>
          </w:tcPr>
          <w:p>
            <w:pPr>
              <w:spacing w:after="0"/>
              <w:rPr>
                <w:sz w:val="22"/>
                <w:szCs w:val="22"/>
                <w:color w:val="auto"/>
              </w:rPr>
            </w:pPr>
          </w:p>
        </w:tc>
        <w:tc>
          <w:tcPr>
            <w:tcW w:w="160" w:type="dxa"/>
            <w:vAlign w:val="bottom"/>
            <w:shd w:val="clear" w:color="auto" w:fill="D8D8D8"/>
          </w:tcPr>
          <w:p>
            <w:pPr>
              <w:spacing w:after="0"/>
              <w:rPr>
                <w:sz w:val="22"/>
                <w:szCs w:val="22"/>
                <w:color w:val="auto"/>
              </w:rPr>
            </w:pPr>
          </w:p>
        </w:tc>
        <w:tc>
          <w:tcPr>
            <w:tcW w:w="360" w:type="dxa"/>
            <w:vAlign w:val="bottom"/>
            <w:shd w:val="clear" w:color="auto" w:fill="D8D8D8"/>
          </w:tcPr>
          <w:p>
            <w:pPr>
              <w:spacing w:after="0"/>
              <w:rPr>
                <w:sz w:val="22"/>
                <w:szCs w:val="22"/>
                <w:color w:val="auto"/>
              </w:rPr>
            </w:pPr>
          </w:p>
        </w:tc>
        <w:tc>
          <w:tcPr>
            <w:tcW w:w="40" w:type="dxa"/>
            <w:vAlign w:val="bottom"/>
            <w:shd w:val="clear" w:color="auto" w:fill="D8D8D8"/>
          </w:tcPr>
          <w:p>
            <w:pPr>
              <w:spacing w:after="0"/>
              <w:rPr>
                <w:sz w:val="22"/>
                <w:szCs w:val="22"/>
                <w:color w:val="auto"/>
              </w:rPr>
            </w:pPr>
          </w:p>
        </w:tc>
        <w:tc>
          <w:tcPr>
            <w:tcW w:w="100" w:type="dxa"/>
            <w:vAlign w:val="bottom"/>
            <w:shd w:val="clear" w:color="auto" w:fill="D8D8D8"/>
          </w:tcPr>
          <w:p>
            <w:pPr>
              <w:spacing w:after="0"/>
              <w:rPr>
                <w:sz w:val="22"/>
                <w:szCs w:val="22"/>
                <w:color w:val="auto"/>
              </w:rPr>
            </w:pPr>
          </w:p>
        </w:tc>
        <w:tc>
          <w:tcPr>
            <w:tcW w:w="60" w:type="dxa"/>
            <w:vAlign w:val="bottom"/>
            <w:shd w:val="clear" w:color="auto" w:fill="D8D8D8"/>
          </w:tcPr>
          <w:p>
            <w:pPr>
              <w:spacing w:after="0"/>
              <w:rPr>
                <w:sz w:val="22"/>
                <w:szCs w:val="22"/>
                <w:color w:val="auto"/>
              </w:rPr>
            </w:pPr>
          </w:p>
        </w:tc>
        <w:tc>
          <w:tcPr>
            <w:tcW w:w="34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8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Majority of</w:t>
            </w:r>
          </w:p>
        </w:tc>
        <w:tc>
          <w:tcPr>
            <w:tcW w:w="180" w:type="dxa"/>
            <w:vAlign w:val="bottom"/>
            <w:shd w:val="clear" w:color="auto" w:fill="53C072"/>
          </w:tcPr>
          <w:p>
            <w:pPr>
              <w:spacing w:after="0"/>
              <w:rPr>
                <w:sz w:val="24"/>
                <w:szCs w:val="24"/>
                <w:color w:val="auto"/>
              </w:rPr>
            </w:pPr>
          </w:p>
        </w:tc>
        <w:tc>
          <w:tcPr>
            <w:tcW w:w="1520" w:type="dxa"/>
            <w:vAlign w:val="bottom"/>
            <w:vMerge w:val="restart"/>
            <w:shd w:val="clear" w:color="auto" w:fill="53C072"/>
          </w:tcPr>
          <w:p>
            <w:pPr>
              <w:ind w:left="460"/>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80" w:type="dxa"/>
            <w:vAlign w:val="bottom"/>
            <w:shd w:val="clear" w:color="auto" w:fill="53C072"/>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360" w:type="dxa"/>
            <w:vAlign w:val="bottom"/>
            <w:shd w:val="clear" w:color="auto" w:fill="D8D8D8"/>
          </w:tcPr>
          <w:p>
            <w:pPr>
              <w:spacing w:after="0"/>
              <w:rPr>
                <w:sz w:val="24"/>
                <w:szCs w:val="24"/>
                <w:color w:val="auto"/>
              </w:rPr>
            </w:pPr>
          </w:p>
        </w:tc>
        <w:tc>
          <w:tcPr>
            <w:tcW w:w="200" w:type="dxa"/>
            <w:vAlign w:val="bottom"/>
            <w:gridSpan w:val="3"/>
            <w:vMerge w:val="restart"/>
            <w:shd w:val="clear" w:color="auto" w:fill="D8D8D8"/>
          </w:tcPr>
          <w:p>
            <w:pPr>
              <w:jc w:val="center"/>
              <w:spacing w:after="0"/>
              <w:rPr>
                <w:sz w:val="20"/>
                <w:szCs w:val="20"/>
                <w:color w:val="auto"/>
              </w:rPr>
            </w:pPr>
            <w:r>
              <w:rPr>
                <w:rFonts w:ascii="Arial" w:cs="Arial" w:eastAsia="Arial" w:hAnsi="Arial"/>
                <w:sz w:val="18"/>
                <w:szCs w:val="18"/>
                <w:b w:val="1"/>
                <w:bCs w:val="1"/>
                <w:color w:val="0000EE"/>
                <w:w w:val="99"/>
              </w:rPr>
              <w:t>71</w:t>
            </w:r>
          </w:p>
        </w:tc>
        <w:tc>
          <w:tcPr>
            <w:tcW w:w="34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 w:type="dxa"/>
            <w:vAlign w:val="bottom"/>
            <w:tcBorders>
              <w:bottom w:val="single" w:sz="8" w:color="D8D8D8"/>
            </w:tcBorders>
            <w:shd w:val="clear" w:color="auto" w:fill="D8D8D8"/>
          </w:tcPr>
          <w:p>
            <w:pPr>
              <w:spacing w:after="0"/>
              <w:rPr>
                <w:sz w:val="12"/>
                <w:szCs w:val="12"/>
                <w:color w:val="auto"/>
              </w:rPr>
            </w:pPr>
          </w:p>
        </w:tc>
        <w:tc>
          <w:tcPr>
            <w:tcW w:w="160" w:type="dxa"/>
            <w:vAlign w:val="bottom"/>
            <w:tcBorders>
              <w:bottom w:val="single" w:sz="8" w:color="D8D8D8"/>
            </w:tcBorders>
            <w:shd w:val="clear" w:color="auto" w:fill="D8D8D8"/>
          </w:tcPr>
          <w:p>
            <w:pPr>
              <w:spacing w:after="0"/>
              <w:rPr>
                <w:sz w:val="12"/>
                <w:szCs w:val="12"/>
                <w:color w:val="auto"/>
              </w:rPr>
            </w:pPr>
          </w:p>
        </w:tc>
        <w:tc>
          <w:tcPr>
            <w:tcW w:w="11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votes cast</w:t>
            </w:r>
            <w:r>
              <w:rPr>
                <w:rFonts w:ascii="Arial" w:cs="Arial" w:eastAsia="Arial" w:hAnsi="Arial"/>
                <w:sz w:val="28"/>
                <w:szCs w:val="28"/>
                <w:b w:val="1"/>
                <w:bCs w:val="1"/>
                <w:color w:val="auto"/>
              </w:rPr>
              <w:t>​</w:t>
            </w:r>
          </w:p>
        </w:tc>
        <w:tc>
          <w:tcPr>
            <w:tcW w:w="180" w:type="dxa"/>
            <w:vAlign w:val="bottom"/>
            <w:tcBorders>
              <w:bottom w:val="single" w:sz="8" w:color="53C072"/>
            </w:tcBorders>
            <w:shd w:val="clear" w:color="auto" w:fill="53C072"/>
          </w:tcPr>
          <w:p>
            <w:pPr>
              <w:spacing w:after="0"/>
              <w:rPr>
                <w:sz w:val="12"/>
                <w:szCs w:val="12"/>
                <w:color w:val="auto"/>
              </w:rPr>
            </w:pPr>
          </w:p>
        </w:tc>
        <w:tc>
          <w:tcPr>
            <w:tcW w:w="1520" w:type="dxa"/>
            <w:vAlign w:val="bottom"/>
            <w:tcBorders>
              <w:bottom w:val="single" w:sz="8" w:color="53C072"/>
            </w:tcBorders>
            <w:vMerge w:val="continue"/>
            <w:shd w:val="clear" w:color="auto" w:fill="53C072"/>
          </w:tcPr>
          <w:p>
            <w:pPr>
              <w:spacing w:after="0"/>
              <w:rPr>
                <w:sz w:val="12"/>
                <w:szCs w:val="12"/>
                <w:color w:val="auto"/>
              </w:rPr>
            </w:pPr>
          </w:p>
        </w:tc>
        <w:tc>
          <w:tcPr>
            <w:tcW w:w="180" w:type="dxa"/>
            <w:vAlign w:val="bottom"/>
            <w:tcBorders>
              <w:bottom w:val="single" w:sz="8" w:color="53C072"/>
            </w:tcBorders>
            <w:shd w:val="clear" w:color="auto" w:fill="53C072"/>
          </w:tcPr>
          <w:p>
            <w:pPr>
              <w:spacing w:after="0"/>
              <w:rPr>
                <w:sz w:val="12"/>
                <w:szCs w:val="12"/>
                <w:color w:val="auto"/>
              </w:rPr>
            </w:pPr>
          </w:p>
        </w:tc>
        <w:tc>
          <w:tcPr>
            <w:tcW w:w="160" w:type="dxa"/>
            <w:vAlign w:val="bottom"/>
            <w:tcBorders>
              <w:bottom w:val="single" w:sz="8" w:color="D8D8D8"/>
            </w:tcBorders>
            <w:shd w:val="clear" w:color="auto" w:fill="D8D8D8"/>
          </w:tcPr>
          <w:p>
            <w:pPr>
              <w:spacing w:after="0"/>
              <w:rPr>
                <w:sz w:val="12"/>
                <w:szCs w:val="12"/>
                <w:color w:val="auto"/>
              </w:rPr>
            </w:pPr>
          </w:p>
        </w:tc>
        <w:tc>
          <w:tcPr>
            <w:tcW w:w="360" w:type="dxa"/>
            <w:vAlign w:val="bottom"/>
            <w:tcBorders>
              <w:bottom w:val="single" w:sz="8" w:color="D8D8D8"/>
            </w:tcBorders>
            <w:shd w:val="clear" w:color="auto" w:fill="D8D8D8"/>
          </w:tcPr>
          <w:p>
            <w:pPr>
              <w:spacing w:after="0"/>
              <w:rPr>
                <w:sz w:val="12"/>
                <w:szCs w:val="12"/>
                <w:color w:val="auto"/>
              </w:rPr>
            </w:pPr>
          </w:p>
        </w:tc>
        <w:tc>
          <w:tcPr>
            <w:tcW w:w="200" w:type="dxa"/>
            <w:vAlign w:val="bottom"/>
            <w:tcBorders>
              <w:bottom w:val="single" w:sz="8" w:color="0000EE"/>
            </w:tcBorders>
            <w:gridSpan w:val="3"/>
            <w:vMerge w:val="continue"/>
            <w:shd w:val="clear" w:color="auto" w:fill="D8D8D8"/>
          </w:tcPr>
          <w:p>
            <w:pPr>
              <w:spacing w:after="0"/>
              <w:rPr>
                <w:sz w:val="12"/>
                <w:szCs w:val="12"/>
                <w:color w:val="auto"/>
              </w:rPr>
            </w:pPr>
          </w:p>
        </w:tc>
        <w:tc>
          <w:tcPr>
            <w:tcW w:w="340" w:type="dxa"/>
            <w:vAlign w:val="bottom"/>
            <w:tcBorders>
              <w:bottom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80" w:type="dxa"/>
            <w:vAlign w:val="bottom"/>
            <w:shd w:val="clear" w:color="auto" w:fill="D8D8D8"/>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1160" w:type="dxa"/>
            <w:vAlign w:val="bottom"/>
            <w:vMerge w:val="continue"/>
          </w:tcPr>
          <w:p>
            <w:pPr>
              <w:spacing w:after="0"/>
              <w:rPr>
                <w:sz w:val="19"/>
                <w:szCs w:val="19"/>
                <w:color w:val="auto"/>
              </w:rPr>
            </w:pPr>
          </w:p>
        </w:tc>
        <w:tc>
          <w:tcPr>
            <w:tcW w:w="180" w:type="dxa"/>
            <w:vAlign w:val="bottom"/>
            <w:shd w:val="clear" w:color="auto" w:fill="53C072"/>
          </w:tcPr>
          <w:p>
            <w:pPr>
              <w:spacing w:after="0"/>
              <w:rPr>
                <w:sz w:val="19"/>
                <w:szCs w:val="19"/>
                <w:color w:val="auto"/>
              </w:rPr>
            </w:pPr>
          </w:p>
        </w:tc>
        <w:tc>
          <w:tcPr>
            <w:tcW w:w="1520" w:type="dxa"/>
            <w:vAlign w:val="bottom"/>
            <w:shd w:val="clear" w:color="auto" w:fill="53C072"/>
          </w:tcPr>
          <w:p>
            <w:pPr>
              <w:spacing w:after="0"/>
              <w:rPr>
                <w:sz w:val="19"/>
                <w:szCs w:val="19"/>
                <w:color w:val="auto"/>
              </w:rPr>
            </w:pPr>
          </w:p>
        </w:tc>
        <w:tc>
          <w:tcPr>
            <w:tcW w:w="180" w:type="dxa"/>
            <w:vAlign w:val="bottom"/>
            <w:shd w:val="clear" w:color="auto" w:fill="53C072"/>
          </w:tcPr>
          <w:p>
            <w:pPr>
              <w:spacing w:after="0"/>
              <w:rPr>
                <w:sz w:val="19"/>
                <w:szCs w:val="19"/>
                <w:color w:val="auto"/>
              </w:rPr>
            </w:pPr>
          </w:p>
        </w:tc>
        <w:tc>
          <w:tcPr>
            <w:tcW w:w="16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180" w:type="dxa"/>
            <w:vAlign w:val="bottom"/>
            <w:shd w:val="clear" w:color="auto" w:fill="D8D8D8"/>
          </w:tcPr>
          <w:p>
            <w:pPr>
              <w:spacing w:after="0"/>
              <w:rPr>
                <w:sz w:val="5"/>
                <w:szCs w:val="5"/>
                <w:color w:val="auto"/>
              </w:rPr>
            </w:pPr>
          </w:p>
        </w:tc>
        <w:tc>
          <w:tcPr>
            <w:tcW w:w="160" w:type="dxa"/>
            <w:vAlign w:val="bottom"/>
            <w:shd w:val="clear" w:color="auto" w:fill="D8D8D8"/>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shd w:val="clear" w:color="auto" w:fill="53C072"/>
          </w:tcPr>
          <w:p>
            <w:pPr>
              <w:spacing w:after="0"/>
              <w:rPr>
                <w:sz w:val="5"/>
                <w:szCs w:val="5"/>
                <w:color w:val="auto"/>
              </w:rPr>
            </w:pPr>
          </w:p>
        </w:tc>
        <w:tc>
          <w:tcPr>
            <w:tcW w:w="1520" w:type="dxa"/>
            <w:vAlign w:val="bottom"/>
            <w:shd w:val="clear" w:color="auto" w:fill="53C072"/>
          </w:tcPr>
          <w:p>
            <w:pPr>
              <w:spacing w:after="0"/>
              <w:rPr>
                <w:sz w:val="5"/>
                <w:szCs w:val="5"/>
                <w:color w:val="auto"/>
              </w:rPr>
            </w:pPr>
          </w:p>
        </w:tc>
        <w:tc>
          <w:tcPr>
            <w:tcW w:w="180" w:type="dxa"/>
            <w:vAlign w:val="bottom"/>
            <w:shd w:val="clear" w:color="auto" w:fill="53C072"/>
          </w:tcPr>
          <w:p>
            <w:pPr>
              <w:spacing w:after="0"/>
              <w:rPr>
                <w:sz w:val="5"/>
                <w:szCs w:val="5"/>
                <w:color w:val="auto"/>
              </w:rPr>
            </w:pPr>
          </w:p>
        </w:tc>
        <w:tc>
          <w:tcPr>
            <w:tcW w:w="160" w:type="dxa"/>
            <w:vAlign w:val="bottom"/>
            <w:shd w:val="clear" w:color="auto" w:fill="D8D8D8"/>
          </w:tcPr>
          <w:p>
            <w:pPr>
              <w:spacing w:after="0"/>
              <w:rPr>
                <w:sz w:val="5"/>
                <w:szCs w:val="5"/>
                <w:color w:val="auto"/>
              </w:rPr>
            </w:pPr>
          </w:p>
        </w:tc>
        <w:tc>
          <w:tcPr>
            <w:tcW w:w="360" w:type="dxa"/>
            <w:vAlign w:val="bottom"/>
            <w:shd w:val="clear" w:color="auto" w:fill="D8D8D8"/>
          </w:tcPr>
          <w:p>
            <w:pPr>
              <w:spacing w:after="0"/>
              <w:rPr>
                <w:sz w:val="5"/>
                <w:szCs w:val="5"/>
                <w:color w:val="auto"/>
              </w:rPr>
            </w:pPr>
          </w:p>
        </w:tc>
        <w:tc>
          <w:tcPr>
            <w:tcW w:w="40" w:type="dxa"/>
            <w:vAlign w:val="bottom"/>
            <w:shd w:val="clear" w:color="auto" w:fill="D8D8D8"/>
          </w:tcPr>
          <w:p>
            <w:pPr>
              <w:spacing w:after="0"/>
              <w:rPr>
                <w:sz w:val="5"/>
                <w:szCs w:val="5"/>
                <w:color w:val="auto"/>
              </w:rPr>
            </w:pPr>
          </w:p>
        </w:tc>
        <w:tc>
          <w:tcPr>
            <w:tcW w:w="100" w:type="dxa"/>
            <w:vAlign w:val="bottom"/>
            <w:shd w:val="clear" w:color="auto" w:fill="D8D8D8"/>
          </w:tcPr>
          <w:p>
            <w:pPr>
              <w:spacing w:after="0"/>
              <w:rPr>
                <w:sz w:val="5"/>
                <w:szCs w:val="5"/>
                <w:color w:val="auto"/>
              </w:rPr>
            </w:pPr>
          </w:p>
        </w:tc>
        <w:tc>
          <w:tcPr>
            <w:tcW w:w="60" w:type="dxa"/>
            <w:vAlign w:val="bottom"/>
            <w:shd w:val="clear" w:color="auto" w:fill="D8D8D8"/>
          </w:tcPr>
          <w:p>
            <w:pPr>
              <w:spacing w:after="0"/>
              <w:rPr>
                <w:sz w:val="5"/>
                <w:szCs w:val="5"/>
                <w:color w:val="auto"/>
              </w:rPr>
            </w:pPr>
          </w:p>
        </w:tc>
        <w:tc>
          <w:tcPr>
            <w:tcW w:w="34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-916940</wp:posOffset>
            </wp:positionV>
            <wp:extent cx="2700655" cy="925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00655" cy="925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60"/>
            <w:col w:w="45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7"/>
          <w:szCs w:val="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00"/>
        <w:spacing w:after="0"/>
        <w:rPr>
          <w:sz w:val="20"/>
          <w:szCs w:val="20"/>
          <w:color w:val="auto"/>
        </w:rPr>
      </w:pPr>
      <w:r>
        <w:rPr>
          <w:rFonts w:ascii="Arial" w:cs="Arial" w:eastAsia="Arial" w:hAnsi="Arial"/>
          <w:sz w:val="40"/>
          <w:szCs w:val="40"/>
          <w:b w:val="1"/>
          <w:bCs w:val="1"/>
          <w:color w:val="FEFEFE"/>
        </w:rPr>
        <w:t>PROPOSAL 1: ELECTION OF DIRECTORS</w:t>
      </w:r>
      <w:r>
        <w:rPr>
          <w:rFonts w:ascii="Times New Roman" w:cs="Times New Roman" w:eastAsia="Times New Roman" w:hAnsi="Times New Roman"/>
          <w:sz w:val="17"/>
          <w:szCs w:val="17"/>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226695</wp:posOffset>
            </wp:positionV>
            <wp:extent cx="5554980" cy="771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399" w:lineRule="exact"/>
        <w:rPr>
          <w:sz w:val="20"/>
          <w:szCs w:val="20"/>
          <w:color w:val="auto"/>
        </w:rPr>
      </w:pPr>
    </w:p>
    <w:p>
      <w:pPr>
        <w:ind w:left="1440"/>
        <w:spacing w:after="0"/>
        <w:rPr>
          <w:sz w:val="20"/>
          <w:szCs w:val="20"/>
          <w:color w:val="auto"/>
        </w:rPr>
      </w:pPr>
      <w:r>
        <w:rPr>
          <w:rFonts w:ascii="Arial" w:cs="Arial" w:eastAsia="Arial" w:hAnsi="Arial"/>
          <w:sz w:val="17"/>
          <w:szCs w:val="17"/>
          <w:b w:val="1"/>
          <w:bCs w:val="1"/>
          <w:color w:val="FEFEFE"/>
        </w:rPr>
        <w:t>RECOMMENDATION OF THE BOARD</w:t>
      </w:r>
    </w:p>
    <w:p>
      <w:pPr>
        <w:spacing w:after="0" w:line="200" w:lineRule="exact"/>
        <w:rPr>
          <w:sz w:val="20"/>
          <w:szCs w:val="20"/>
          <w:color w:val="auto"/>
        </w:rPr>
      </w:pPr>
    </w:p>
    <w:p>
      <w:pPr>
        <w:spacing w:after="0" w:line="22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3C072"/>
        </w:rPr>
        <w:t>FOR</w:t>
      </w:r>
      <w:r>
        <w:rPr>
          <w:rFonts w:ascii="Arial" w:cs="Arial" w:eastAsia="Arial" w:hAnsi="Arial"/>
          <w:sz w:val="18"/>
          <w:szCs w:val="18"/>
          <w:b w:val="1"/>
          <w:bCs w:val="1"/>
          <w:color w:val="auto"/>
        </w:rPr>
        <w:t xml:space="preserve"> all ten nominees listed below.</w:t>
      </w:r>
    </w:p>
    <w:p>
      <w:pPr>
        <w:spacing w:after="0" w:line="200" w:lineRule="exact"/>
        <w:rPr>
          <w:sz w:val="20"/>
          <w:szCs w:val="20"/>
          <w:color w:val="auto"/>
        </w:rPr>
      </w:pPr>
    </w:p>
    <w:p>
      <w:pPr>
        <w:spacing w:after="0" w:line="32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Description of Proposal</w:t>
      </w:r>
    </w:p>
    <w:p>
      <w:pPr>
        <w:spacing w:after="0" w:line="148" w:lineRule="exact"/>
        <w:rPr>
          <w:sz w:val="20"/>
          <w:szCs w:val="20"/>
          <w:color w:val="auto"/>
        </w:rPr>
      </w:pPr>
    </w:p>
    <w:p>
      <w:pPr>
        <w:ind w:left="1000" w:right="419"/>
        <w:spacing w:after="0" w:line="273" w:lineRule="auto"/>
        <w:rPr>
          <w:sz w:val="20"/>
          <w:szCs w:val="20"/>
          <w:color w:val="auto"/>
        </w:rPr>
      </w:pPr>
      <w:r>
        <w:rPr>
          <w:rFonts w:ascii="Arial" w:cs="Arial" w:eastAsia="Arial" w:hAnsi="Arial"/>
          <w:sz w:val="18"/>
          <w:szCs w:val="18"/>
          <w:color w:val="auto"/>
        </w:rPr>
        <w:t>Rodney C. Adkins, Brenda L. Freeman, Philip R. Gallagher, Helmut Gassel, Virginia L. Henkels, Jo Ann Jenkins, Oleg Khaykin, Ernest E. Maddock, Avid Modjtabai, and Adalio T. Sanchez have been nominated for election as Directors at the Annual Meeting, to serve until the next annual meeting of shareholders and until their successors have been elected and qualified.</w:t>
      </w:r>
    </w:p>
    <w:p>
      <w:pPr>
        <w:spacing w:after="0" w:line="111" w:lineRule="exact"/>
        <w:rPr>
          <w:sz w:val="20"/>
          <w:szCs w:val="20"/>
          <w:color w:val="auto"/>
        </w:rPr>
      </w:pPr>
    </w:p>
    <w:p>
      <w:pPr>
        <w:ind w:left="1000" w:right="579"/>
        <w:spacing w:after="0" w:line="276" w:lineRule="auto"/>
        <w:rPr>
          <w:sz w:val="20"/>
          <w:szCs w:val="20"/>
          <w:color w:val="auto"/>
        </w:rPr>
      </w:pPr>
      <w:r>
        <w:rPr>
          <w:rFonts w:ascii="Arial" w:cs="Arial" w:eastAsia="Arial" w:hAnsi="Arial"/>
          <w:sz w:val="18"/>
          <w:szCs w:val="18"/>
          <w:color w:val="auto"/>
        </w:rPr>
        <w:t>All the nominees are presently serving as Directors of the Board. The Corporate Governance Committee recommended to the Board all the nominees for re-election. Each nominee has consented to being named herein and to serving if elected.</w:t>
      </w:r>
    </w:p>
    <w:p>
      <w:pPr>
        <w:spacing w:after="0" w:line="96" w:lineRule="exact"/>
        <w:rPr>
          <w:sz w:val="20"/>
          <w:szCs w:val="20"/>
          <w:color w:val="auto"/>
        </w:rPr>
      </w:pPr>
    </w:p>
    <w:p>
      <w:pPr>
        <w:ind w:left="1000" w:right="159"/>
        <w:spacing w:after="0" w:line="271" w:lineRule="auto"/>
        <w:rPr>
          <w:sz w:val="20"/>
          <w:szCs w:val="20"/>
          <w:color w:val="auto"/>
        </w:rPr>
      </w:pPr>
      <w:r>
        <w:rPr>
          <w:rFonts w:ascii="Arial" w:cs="Arial" w:eastAsia="Arial" w:hAnsi="Arial"/>
          <w:sz w:val="18"/>
          <w:szCs w:val="18"/>
          <w:color w:val="auto"/>
        </w:rPr>
        <w:t>If any nominee should become unavailable for election, either: (1) the persons named as proxies in the enclosed proxy card may vote for a substitute nominee or vote for the remaining nominees and leave a vacancy on the Board of Directors, whereby such vacancy may be filled by a majority vote of the Directors then in office or by the shareholders at a meeting, or (2) the Board may reduce the size of the Board and the number of nominees to eliminate the vacancy.</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Required Vote</w:t>
      </w:r>
    </w:p>
    <w:p>
      <w:pPr>
        <w:spacing w:after="0" w:line="148" w:lineRule="exact"/>
        <w:rPr>
          <w:sz w:val="20"/>
          <w:szCs w:val="20"/>
          <w:color w:val="auto"/>
        </w:rPr>
      </w:pPr>
    </w:p>
    <w:p>
      <w:pPr>
        <w:ind w:left="1000" w:right="179"/>
        <w:spacing w:after="0" w:line="273" w:lineRule="auto"/>
        <w:rPr>
          <w:sz w:val="20"/>
          <w:szCs w:val="20"/>
          <w:color w:val="auto"/>
        </w:rPr>
      </w:pPr>
      <w:r>
        <w:rPr>
          <w:rFonts w:ascii="Arial" w:cs="Arial" w:eastAsia="Arial" w:hAnsi="Arial"/>
          <w:sz w:val="18"/>
          <w:szCs w:val="18"/>
          <w:color w:val="auto"/>
        </w:rPr>
        <w:t>To be elected, each nominee must receive affirmative votes from a simple majority of shareholder votes cast at the Annual Meeting. A majority of the votes cast means that the number of shares voted “for” a Director nominee must exceed the number of shares voted “against” that Director nominee. Abstentions are not counted in determining the votes cast, and therefore will have no effect on the outcome.</w:t>
      </w:r>
    </w:p>
    <w:p>
      <w:pPr>
        <w:spacing w:after="0" w:line="9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Brokers who hold shares of Common Stock as nominees may not vote such shares for a Director nominee.</w:t>
      </w:r>
    </w:p>
    <w:p>
      <w:pPr>
        <w:spacing w:after="0" w:line="158" w:lineRule="exact"/>
        <w:rPr>
          <w:sz w:val="20"/>
          <w:szCs w:val="20"/>
          <w:color w:val="auto"/>
        </w:rPr>
      </w:pPr>
    </w:p>
    <w:p>
      <w:pPr>
        <w:ind w:left="1000" w:right="319"/>
        <w:spacing w:after="0" w:line="276" w:lineRule="auto"/>
        <w:rPr>
          <w:sz w:val="20"/>
          <w:szCs w:val="20"/>
          <w:color w:val="auto"/>
        </w:rPr>
      </w:pPr>
      <w:r>
        <w:rPr>
          <w:rFonts w:ascii="Arial" w:cs="Arial" w:eastAsia="Arial" w:hAnsi="Arial"/>
          <w:sz w:val="18"/>
          <w:szCs w:val="18"/>
          <w:color w:val="auto"/>
        </w:rPr>
        <w:t>If an incumbent nominee is not elected by the requisite vote, he or she must tender his or her resignation, and the Board, excluding such individual, will, within 90 days of the election, decide whether to accept such resignation and will disclose and explain its decision.</w:t>
      </w:r>
    </w:p>
    <w:p>
      <w:pPr>
        <w:spacing w:after="0" w:line="16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w:t>
      </w:r>
    </w:p>
    <w:p>
      <w:pPr>
        <w:spacing w:after="0" w:line="148" w:lineRule="exact"/>
        <w:rPr>
          <w:sz w:val="20"/>
          <w:szCs w:val="20"/>
          <w:color w:val="auto"/>
        </w:rPr>
      </w:pPr>
    </w:p>
    <w:p>
      <w:pPr>
        <w:ind w:left="1000" w:right="359"/>
        <w:spacing w:after="0" w:line="303"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the election of all ten nominees listed below.</w:t>
      </w:r>
    </w:p>
    <w:p>
      <w:pPr>
        <w:spacing w:after="0" w:line="12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Nominees</w:t>
      </w:r>
    </w:p>
    <w:p>
      <w:pPr>
        <w:spacing w:after="0" w:line="162" w:lineRule="exact"/>
        <w:rPr>
          <w:sz w:val="20"/>
          <w:szCs w:val="20"/>
          <w:color w:val="auto"/>
        </w:rPr>
      </w:pPr>
    </w:p>
    <w:p>
      <w:pPr>
        <w:ind w:left="1000" w:right="539"/>
        <w:spacing w:after="0" w:line="273" w:lineRule="auto"/>
        <w:rPr>
          <w:sz w:val="20"/>
          <w:szCs w:val="20"/>
          <w:color w:val="auto"/>
        </w:rPr>
      </w:pPr>
      <w:r>
        <w:rPr>
          <w:rFonts w:ascii="Arial" w:cs="Arial" w:eastAsia="Arial" w:hAnsi="Arial"/>
          <w:sz w:val="18"/>
          <w:szCs w:val="18"/>
          <w:color w:val="auto"/>
        </w:rPr>
        <w:t>The following tables set forth the names and biographical information of the nominees as of September 23, 2024, including their age, principal occupation, the year they first became a Director, and the experience, qualifications, attributes, and skills that led the Board to conclude that these nominees should serve as Directors.</w:t>
      </w:r>
    </w:p>
    <w:p>
      <w:pPr>
        <w:spacing w:after="0" w:line="200" w:lineRule="exact"/>
        <w:rPr>
          <w:sz w:val="20"/>
          <w:szCs w:val="20"/>
          <w:color w:val="auto"/>
        </w:rPr>
      </w:pPr>
    </w:p>
    <w:p>
      <w:pPr>
        <w:spacing w:after="0" w:line="2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8     </w:t>
      </w:r>
      <w:r>
        <w:rPr>
          <w:sz w:val="1"/>
          <w:szCs w:val="1"/>
          <w:color w:val="auto"/>
        </w:rPr>
        <w:drawing>
          <wp:inline distT="0" distB="0" distL="0" distR="0">
            <wp:extent cx="1242695" cy="24003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2015</w:t>
      </w:r>
      <w:r>
        <w:rPr>
          <w:rFonts w:ascii="Arial" w:cs="Arial" w:eastAsia="Arial" w:hAnsi="Arial"/>
          <w:sz w:val="17"/>
          <w:szCs w:val="17"/>
          <w:color w:val="auto"/>
        </w:rPr>
        <w: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Board Chair Since: </w:t>
      </w:r>
      <w:r>
        <w:rPr>
          <w:rFonts w:ascii="Arial" w:cs="Arial" w:eastAsia="Arial" w:hAnsi="Arial"/>
          <w:sz w:val="14"/>
          <w:szCs w:val="14"/>
          <w:color w:val="auto"/>
        </w:rPr>
        <w:t>2018</w:t>
      </w:r>
      <w:r>
        <w:rPr>
          <w:rFonts w:ascii="Arial" w:cs="Arial" w:eastAsia="Arial" w:hAnsi="Arial"/>
          <w:sz w:val="17"/>
          <w:szCs w:val="17"/>
          <w:color w:val="auto"/>
        </w:rPr>
        <w:t>​</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66</w:t>
      </w:r>
    </w:p>
    <w:p>
      <w:pPr>
        <w:spacing w:after="0" w:line="11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76" w:lineRule="exact"/>
        <w:rPr>
          <w:sz w:val="20"/>
          <w:szCs w:val="20"/>
          <w:color w:val="auto"/>
        </w:rPr>
      </w:pPr>
    </w:p>
    <w:p>
      <w:pPr>
        <w:ind w:left="1340" w:hanging="269"/>
        <w:spacing w:after="0"/>
        <w:tabs>
          <w:tab w:leader="none" w:pos="1340" w:val="left"/>
        </w:tabs>
        <w:numPr>
          <w:ilvl w:val="0"/>
          <w:numId w:val="11"/>
        </w:numPr>
        <w:rPr>
          <w:rFonts w:ascii="Arial" w:cs="Arial" w:eastAsia="Arial" w:hAnsi="Arial"/>
          <w:sz w:val="18"/>
          <w:szCs w:val="18"/>
          <w:color w:val="53C072"/>
        </w:rPr>
      </w:pPr>
      <w:r>
        <w:rPr>
          <w:rFonts w:ascii="Arial" w:cs="Arial" w:eastAsia="Arial" w:hAnsi="Arial"/>
          <w:sz w:val="14"/>
          <w:szCs w:val="14"/>
          <w:color w:val="auto"/>
        </w:rPr>
        <w:t>Corporate Governance</w:t>
      </w:r>
    </w:p>
    <w:p>
      <w:pPr>
        <w:spacing w:after="0" w:line="25" w:lineRule="exact"/>
        <w:rPr>
          <w:rFonts w:ascii="Arial" w:cs="Arial" w:eastAsia="Arial" w:hAnsi="Arial"/>
          <w:sz w:val="18"/>
          <w:szCs w:val="18"/>
          <w:color w:val="53C072"/>
        </w:rPr>
      </w:pPr>
    </w:p>
    <w:p>
      <w:pPr>
        <w:ind w:left="1340" w:hanging="269"/>
        <w:spacing w:after="0" w:line="220" w:lineRule="auto"/>
        <w:tabs>
          <w:tab w:leader="none" w:pos="1340" w:val="left"/>
        </w:tabs>
        <w:numPr>
          <w:ilvl w:val="0"/>
          <w:numId w:val="11"/>
        </w:numPr>
        <w:rPr>
          <w:rFonts w:ascii="Arial" w:cs="Arial" w:eastAsia="Arial" w:hAnsi="Arial"/>
          <w:sz w:val="18"/>
          <w:szCs w:val="18"/>
          <w:color w:val="53C072"/>
        </w:rPr>
      </w:pPr>
      <w:r>
        <w:rPr>
          <w:rFonts w:ascii="Arial" w:cs="Arial" w:eastAsia="Arial" w:hAnsi="Arial"/>
          <w:sz w:val="14"/>
          <w:szCs w:val="14"/>
          <w:color w:val="auto"/>
        </w:rPr>
        <w:t>Executive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120" w:type="dxa"/>
            <w:vAlign w:val="bottom"/>
            <w:gridSpan w:val="2"/>
          </w:tcPr>
          <w:p>
            <w:pPr>
              <w:ind w:left="1100"/>
              <w:spacing w:after="0"/>
              <w:rPr>
                <w:sz w:val="20"/>
                <w:szCs w:val="20"/>
                <w:color w:val="auto"/>
              </w:rPr>
            </w:pPr>
            <w:r>
              <w:rPr>
                <w:rFonts w:ascii="Arial" w:cs="Arial" w:eastAsia="Arial" w:hAnsi="Arial"/>
                <w:sz w:val="14"/>
                <w:szCs w:val="14"/>
                <w:color w:val="auto"/>
                <w:w w:val="99"/>
              </w:rPr>
              <w:t>Proposal 1: Election of Directors</w:t>
            </w:r>
          </w:p>
        </w:tc>
      </w:tr>
      <w:tr>
        <w:trPr>
          <w:trHeight w:val="623"/>
        </w:trPr>
        <w:tc>
          <w:tcPr>
            <w:tcW w:w="180" w:type="dxa"/>
            <w:vAlign w:val="bottom"/>
            <w:gridSpan w:val="2"/>
          </w:tcPr>
          <w:p>
            <w:pPr>
              <w:spacing w:after="0"/>
              <w:rPr>
                <w:sz w:val="24"/>
                <w:szCs w:val="24"/>
                <w:color w:val="auto"/>
              </w:rPr>
            </w:pPr>
          </w:p>
        </w:tc>
        <w:tc>
          <w:tcPr>
            <w:tcW w:w="3140" w:type="dxa"/>
            <w:vAlign w:val="bottom"/>
          </w:tcPr>
          <w:p>
            <w:pPr>
              <w:spacing w:after="0"/>
              <w:rPr>
                <w:sz w:val="24"/>
                <w:szCs w:val="24"/>
                <w:color w:val="auto"/>
              </w:rPr>
            </w:pPr>
          </w:p>
        </w:tc>
        <w:tc>
          <w:tcPr>
            <w:tcW w:w="3120" w:type="dxa"/>
            <w:vAlign w:val="bottom"/>
            <w:gridSpan w:val="2"/>
          </w:tcPr>
          <w:p>
            <w:pPr>
              <w:spacing w:after="0"/>
              <w:rPr>
                <w:sz w:val="24"/>
                <w:szCs w:val="24"/>
                <w:color w:val="auto"/>
              </w:rPr>
            </w:pPr>
          </w:p>
        </w:tc>
      </w:tr>
      <w:tr>
        <w:trPr>
          <w:trHeight w:val="363"/>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53C072"/>
            </w:tcBorders>
            <w:shd w:val="clear" w:color="auto" w:fill="53C072"/>
          </w:tcPr>
          <w:p>
            <w:pPr>
              <w:ind w:left="40"/>
              <w:spacing w:after="0"/>
              <w:rPr>
                <w:sz w:val="20"/>
                <w:szCs w:val="20"/>
                <w:color w:val="auto"/>
              </w:rPr>
            </w:pPr>
            <w:r>
              <w:rPr>
                <w:rFonts w:ascii="Arial" w:cs="Arial" w:eastAsia="Arial" w:hAnsi="Arial"/>
                <w:sz w:val="14"/>
                <w:szCs w:val="14"/>
                <w:color w:val="auto"/>
              </w:rPr>
              <w:t>​</w:t>
            </w:r>
          </w:p>
        </w:tc>
        <w:tc>
          <w:tcPr>
            <w:tcW w:w="3140" w:type="dxa"/>
            <w:vAlign w:val="bottom"/>
            <w:tcBorders>
              <w:top w:val="single" w:sz="8" w:color="53C072"/>
            </w:tcBorders>
            <w:shd w:val="clear" w:color="auto" w:fill="53C072"/>
          </w:tcPr>
          <w:p>
            <w:pPr>
              <w:spacing w:after="0"/>
              <w:rPr>
                <w:sz w:val="20"/>
                <w:szCs w:val="20"/>
                <w:color w:val="auto"/>
              </w:rPr>
            </w:pPr>
            <w:r>
              <w:rPr>
                <w:rFonts w:ascii="Arial" w:cs="Arial" w:eastAsia="Arial" w:hAnsi="Arial"/>
                <w:sz w:val="22"/>
                <w:szCs w:val="22"/>
                <w:b w:val="1"/>
                <w:bCs w:val="1"/>
                <w:color w:val="FEFEFE"/>
              </w:rPr>
              <w:t>RODNEY C. ADKINS</w:t>
            </w:r>
          </w:p>
        </w:tc>
        <w:tc>
          <w:tcPr>
            <w:tcW w:w="3100" w:type="dxa"/>
            <w:vAlign w:val="bottom"/>
            <w:tcBorders>
              <w:top w:val="single" w:sz="8" w:color="53C072"/>
            </w:tcBorders>
            <w:shd w:val="clear" w:color="auto" w:fill="53C072"/>
          </w:tcPr>
          <w:p>
            <w:pPr>
              <w:ind w:left="306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53C072"/>
            </w:tcBorders>
          </w:tcPr>
          <w:p>
            <w:pPr>
              <w:spacing w:after="0"/>
              <w:rPr>
                <w:sz w:val="24"/>
                <w:szCs w:val="24"/>
                <w:color w:val="auto"/>
              </w:rPr>
            </w:pPr>
          </w:p>
        </w:tc>
      </w:tr>
      <w:tr>
        <w:trPr>
          <w:trHeight w:val="68"/>
        </w:trPr>
        <w:tc>
          <w:tcPr>
            <w:tcW w:w="80" w:type="dxa"/>
            <w:vAlign w:val="bottom"/>
          </w:tcPr>
          <w:p>
            <w:pPr>
              <w:spacing w:after="0"/>
              <w:rPr>
                <w:sz w:val="5"/>
                <w:szCs w:val="5"/>
                <w:color w:val="auto"/>
              </w:rPr>
            </w:pPr>
          </w:p>
        </w:tc>
        <w:tc>
          <w:tcPr>
            <w:tcW w:w="100" w:type="dxa"/>
            <w:vAlign w:val="bottom"/>
            <w:shd w:val="clear" w:color="auto" w:fill="53C072"/>
          </w:tcPr>
          <w:p>
            <w:pPr>
              <w:spacing w:after="0"/>
              <w:rPr>
                <w:sz w:val="5"/>
                <w:szCs w:val="5"/>
                <w:color w:val="auto"/>
              </w:rPr>
            </w:pPr>
          </w:p>
        </w:tc>
        <w:tc>
          <w:tcPr>
            <w:tcW w:w="3140" w:type="dxa"/>
            <w:vAlign w:val="bottom"/>
            <w:shd w:val="clear" w:color="auto" w:fill="53C072"/>
          </w:tcPr>
          <w:p>
            <w:pPr>
              <w:spacing w:after="0"/>
              <w:rPr>
                <w:sz w:val="5"/>
                <w:szCs w:val="5"/>
                <w:color w:val="auto"/>
              </w:rPr>
            </w:pPr>
          </w:p>
        </w:tc>
        <w:tc>
          <w:tcPr>
            <w:tcW w:w="3100" w:type="dxa"/>
            <w:vAlign w:val="bottom"/>
            <w:shd w:val="clear" w:color="auto" w:fill="53C072"/>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-290830</wp:posOffset>
            </wp:positionV>
            <wp:extent cx="5554980" cy="398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54980" cy="3985895"/>
                    </a:xfrm>
                    <a:prstGeom prst="rect">
                      <a:avLst/>
                    </a:prstGeom>
                    <a:noFill/>
                  </pic:spPr>
                </pic:pic>
              </a:graphicData>
            </a:graphic>
          </wp:anchor>
        </w:drawing>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80" w:right="359"/>
        <w:spacing w:after="0" w:line="267" w:lineRule="auto"/>
        <w:rPr>
          <w:sz w:val="20"/>
          <w:szCs w:val="20"/>
          <w:color w:val="auto"/>
        </w:rPr>
      </w:pPr>
      <w:r>
        <w:rPr>
          <w:rFonts w:ascii="Arial" w:cs="Arial" w:eastAsia="Arial" w:hAnsi="Arial"/>
          <w:sz w:val="17"/>
          <w:szCs w:val="17"/>
          <w:color w:val="auto"/>
        </w:rPr>
        <w:t>Mr. Adkins has served as the Company’s Chair of the Board since November 2018. He serves as the President of 3RAM Group LLC, a privately held company specializing in capital investments, business consulting services, and property management. Mr. Adkins formerly served as Senior Vice President of IBM from 2007 until 2014. In his 33-year career with IBM, Mr. Adkins held a number of development and management roles, including Senior Vice President of Corporate Strategy from 2013 to 2014 and Senior Vice President of Systems and Technology Group from 2009 to 2013.</w:t>
      </w:r>
    </w:p>
    <w:p>
      <w:pPr>
        <w:spacing w:after="0" w:line="6" w:lineRule="exact"/>
        <w:rPr>
          <w:sz w:val="20"/>
          <w:szCs w:val="20"/>
          <w:color w:val="auto"/>
        </w:rPr>
      </w:pPr>
    </w:p>
    <w:p>
      <w:pPr>
        <w:jc w:val="both"/>
        <w:ind w:left="180" w:right="319"/>
        <w:spacing w:after="0" w:line="254" w:lineRule="auto"/>
        <w:rPr>
          <w:sz w:val="20"/>
          <w:szCs w:val="20"/>
          <w:color w:val="auto"/>
        </w:rPr>
      </w:pPr>
      <w:r>
        <w:rPr>
          <w:rFonts w:ascii="Arial" w:cs="Arial" w:eastAsia="Arial" w:hAnsi="Arial"/>
          <w:sz w:val="18"/>
          <w:szCs w:val="18"/>
          <w:color w:val="auto"/>
        </w:rPr>
        <w:t>Mr. Adkins currently serves on the board of directors of United Parcel Service, Inc. (NYSE: UPS); W.W. Grainger, Inc. (NYSE: GWW), and PayPal Holdings, Inc. (Nasdaq: PYPL). From 2007 to 2013, he served on the board of directors of Pitney Bowes Inc. (NYSE: PBI) and from 2014 to 2019, he served on board of directors of PPL Corporation (NYSE: PPL).</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Operations</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International Business</w:t>
      </w:r>
    </w:p>
    <w:p>
      <w:pPr>
        <w:spacing w:after="0" w:line="63"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Technology/Digital Media</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Industry</w:t>
      </w:r>
    </w:p>
    <w:p>
      <w:pPr>
        <w:spacing w:after="0" w:line="63" w:lineRule="exact"/>
        <w:rPr>
          <w:sz w:val="20"/>
          <w:szCs w:val="20"/>
          <w:color w:val="auto"/>
        </w:rPr>
      </w:pPr>
    </w:p>
    <w:p>
      <w:pPr>
        <w:ind w:left="500" w:hanging="326"/>
        <w:spacing w:after="0"/>
        <w:tabs>
          <w:tab w:leader="none" w:pos="500" w:val="left"/>
        </w:tabs>
        <w:numPr>
          <w:ilvl w:val="0"/>
          <w:numId w:val="12"/>
        </w:numPr>
        <w:rPr>
          <w:rFonts w:ascii="Arial" w:cs="Arial" w:eastAsia="Arial" w:hAnsi="Arial"/>
          <w:sz w:val="18"/>
          <w:szCs w:val="18"/>
          <w:color w:val="53C072"/>
        </w:rPr>
      </w:pPr>
      <w:r>
        <w:rPr>
          <w:rFonts w:ascii="Arial" w:cs="Arial" w:eastAsia="Arial" w:hAnsi="Arial"/>
          <w:sz w:val="18"/>
          <w:szCs w:val="18"/>
          <w:color w:val="auto"/>
        </w:rPr>
        <w:t>Risk Management</w:t>
      </w:r>
    </w:p>
    <w:p>
      <w:pPr>
        <w:spacing w:after="0" w:line="77" w:lineRule="exact"/>
        <w:rPr>
          <w:sz w:val="20"/>
          <w:szCs w:val="20"/>
          <w:color w:val="auto"/>
        </w:rPr>
      </w:pPr>
    </w:p>
    <w:p>
      <w:pPr>
        <w:ind w:left="180" w:right="339"/>
        <w:spacing w:after="0" w:line="259" w:lineRule="auto"/>
        <w:rPr>
          <w:sz w:val="20"/>
          <w:szCs w:val="20"/>
          <w:color w:val="auto"/>
        </w:rPr>
      </w:pPr>
      <w:r>
        <w:rPr>
          <w:rFonts w:ascii="Arial" w:cs="Arial" w:eastAsia="Arial" w:hAnsi="Arial"/>
          <w:sz w:val="18"/>
          <w:szCs w:val="18"/>
          <w:color w:val="auto"/>
        </w:rPr>
        <w:t>The Board benefits from Mr. Adkins’ global business experience in the technology industry, including emerging technologies and services, international and emerging markets, and supply chain management. He provides additional experience in the areas of corporate governance, strategy development, and senior leadership.</w:t>
      </w:r>
    </w:p>
    <w:p>
      <w:pPr>
        <w:spacing w:after="0" w:line="200" w:lineRule="exact"/>
        <w:rPr>
          <w:sz w:val="20"/>
          <w:szCs w:val="20"/>
          <w:color w:val="auto"/>
        </w:rPr>
      </w:pPr>
    </w:p>
    <w:p>
      <w:pPr>
        <w:sectPr>
          <w:pgSz w:w="11900" w:h="16838" w:orient="portrait"/>
          <w:cols w:equalWidth="0" w:num="2">
            <w:col w:w="2780" w:space="520"/>
            <w:col w:w="65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3330" cy="2400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7"/>
          <w:szCs w:val="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8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r>
        <w:rPr>
          <w:rFonts w:ascii="Arial" w:cs="Arial" w:eastAsia="Arial" w:hAnsi="Arial"/>
          <w:sz w:val="17"/>
          <w:szCs w:val="17"/>
          <w:color w:val="auto"/>
        </w:rPr>
        <w: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60</w:t>
      </w:r>
      <w:r>
        <w:rPr>
          <w:rFonts w:ascii="Arial" w:cs="Arial" w:eastAsia="Arial" w:hAnsi="Arial"/>
          <w:sz w:val="17"/>
          <w:szCs w:val="17"/>
          <w:color w:val="auto"/>
        </w:rPr>
        <w: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92" w:lineRule="exact"/>
        <w:rPr>
          <w:sz w:val="20"/>
          <w:szCs w:val="20"/>
          <w:color w:val="auto"/>
        </w:rPr>
      </w:pPr>
    </w:p>
    <w:p>
      <w:pPr>
        <w:ind w:left="1340" w:hanging="269"/>
        <w:spacing w:after="0"/>
        <w:tabs>
          <w:tab w:leader="none" w:pos="1340" w:val="left"/>
        </w:tabs>
        <w:numPr>
          <w:ilvl w:val="0"/>
          <w:numId w:val="13"/>
        </w:numPr>
        <w:rPr>
          <w:rFonts w:ascii="Arial" w:cs="Arial" w:eastAsia="Arial" w:hAnsi="Arial"/>
          <w:sz w:val="18"/>
          <w:szCs w:val="18"/>
          <w:color w:val="53C072"/>
        </w:rPr>
      </w:pPr>
      <w:r>
        <w:rPr>
          <w:rFonts w:ascii="Arial" w:cs="Arial" w:eastAsia="Arial" w:hAnsi="Arial"/>
          <w:sz w:val="14"/>
          <w:szCs w:val="14"/>
          <w:color w:val="auto"/>
        </w:rPr>
        <w:t>Audit</w:t>
      </w:r>
    </w:p>
    <w:p>
      <w:pPr>
        <w:spacing w:after="0" w:line="25" w:lineRule="exact"/>
        <w:rPr>
          <w:rFonts w:ascii="Arial" w:cs="Arial" w:eastAsia="Arial" w:hAnsi="Arial"/>
          <w:sz w:val="18"/>
          <w:szCs w:val="18"/>
          <w:color w:val="53C072"/>
        </w:rPr>
      </w:pPr>
    </w:p>
    <w:p>
      <w:pPr>
        <w:ind w:left="1340" w:hanging="269"/>
        <w:spacing w:after="0" w:line="220" w:lineRule="auto"/>
        <w:tabs>
          <w:tab w:leader="none" w:pos="1340" w:val="left"/>
        </w:tabs>
        <w:numPr>
          <w:ilvl w:val="0"/>
          <w:numId w:val="13"/>
        </w:numPr>
        <w:rPr>
          <w:rFonts w:ascii="Arial" w:cs="Arial" w:eastAsia="Arial" w:hAnsi="Arial"/>
          <w:sz w:val="18"/>
          <w:szCs w:val="18"/>
          <w:color w:val="53C072"/>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020" w:type="dxa"/>
            <w:vAlign w:val="bottom"/>
            <w:gridSpan w:val="2"/>
          </w:tcPr>
          <w:p>
            <w:pPr>
              <w:ind w:left="1000"/>
              <w:spacing w:after="0"/>
              <w:rPr>
                <w:sz w:val="20"/>
                <w:szCs w:val="20"/>
                <w:color w:val="auto"/>
              </w:rPr>
            </w:pPr>
            <w:r>
              <w:rPr>
                <w:rFonts w:ascii="Arial" w:cs="Arial" w:eastAsia="Arial" w:hAnsi="Arial"/>
                <w:sz w:val="14"/>
                <w:szCs w:val="14"/>
                <w:color w:val="auto"/>
                <w:w w:val="99"/>
              </w:rPr>
              <w:t>Proposal 1: Election of Directors</w:t>
            </w:r>
          </w:p>
        </w:tc>
      </w:tr>
      <w:tr>
        <w:trPr>
          <w:trHeight w:val="623"/>
        </w:trPr>
        <w:tc>
          <w:tcPr>
            <w:tcW w:w="180" w:type="dxa"/>
            <w:vAlign w:val="bottom"/>
            <w:gridSpan w:val="2"/>
          </w:tcPr>
          <w:p>
            <w:pPr>
              <w:spacing w:after="0"/>
              <w:rPr>
                <w:sz w:val="24"/>
                <w:szCs w:val="24"/>
                <w:color w:val="auto"/>
              </w:rPr>
            </w:pPr>
          </w:p>
        </w:tc>
        <w:tc>
          <w:tcPr>
            <w:tcW w:w="3240" w:type="dxa"/>
            <w:vAlign w:val="bottom"/>
          </w:tcPr>
          <w:p>
            <w:pPr>
              <w:spacing w:after="0"/>
              <w:rPr>
                <w:sz w:val="24"/>
                <w:szCs w:val="24"/>
                <w:color w:val="auto"/>
              </w:rPr>
            </w:pPr>
          </w:p>
        </w:tc>
        <w:tc>
          <w:tcPr>
            <w:tcW w:w="3020" w:type="dxa"/>
            <w:vAlign w:val="bottom"/>
            <w:gridSpan w:val="2"/>
          </w:tcPr>
          <w:p>
            <w:pPr>
              <w:spacing w:after="0"/>
              <w:rPr>
                <w:sz w:val="24"/>
                <w:szCs w:val="24"/>
                <w:color w:val="auto"/>
              </w:rPr>
            </w:pPr>
          </w:p>
        </w:tc>
      </w:tr>
      <w:tr>
        <w:trPr>
          <w:trHeight w:val="363"/>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53C072"/>
            </w:tcBorders>
            <w:shd w:val="clear" w:color="auto" w:fill="53C072"/>
          </w:tcPr>
          <w:p>
            <w:pPr>
              <w:ind w:left="40"/>
              <w:spacing w:after="0"/>
              <w:rPr>
                <w:sz w:val="20"/>
                <w:szCs w:val="20"/>
                <w:color w:val="auto"/>
              </w:rPr>
            </w:pPr>
            <w:r>
              <w:rPr>
                <w:rFonts w:ascii="Arial" w:cs="Arial" w:eastAsia="Arial" w:hAnsi="Arial"/>
                <w:sz w:val="14"/>
                <w:szCs w:val="14"/>
                <w:color w:val="auto"/>
              </w:rPr>
              <w:t>​</w:t>
            </w:r>
          </w:p>
        </w:tc>
        <w:tc>
          <w:tcPr>
            <w:tcW w:w="3240" w:type="dxa"/>
            <w:vAlign w:val="bottom"/>
            <w:tcBorders>
              <w:top w:val="single" w:sz="8" w:color="53C072"/>
            </w:tcBorders>
            <w:shd w:val="clear" w:color="auto" w:fill="53C072"/>
          </w:tcPr>
          <w:p>
            <w:pPr>
              <w:spacing w:after="0"/>
              <w:rPr>
                <w:sz w:val="20"/>
                <w:szCs w:val="20"/>
                <w:color w:val="auto"/>
              </w:rPr>
            </w:pPr>
            <w:r>
              <w:rPr>
                <w:rFonts w:ascii="Arial" w:cs="Arial" w:eastAsia="Arial" w:hAnsi="Arial"/>
                <w:sz w:val="22"/>
                <w:szCs w:val="22"/>
                <w:b w:val="1"/>
                <w:bCs w:val="1"/>
                <w:color w:val="FEFEFE"/>
              </w:rPr>
              <w:t>BRENDA L. FREEMAN</w:t>
            </w:r>
          </w:p>
        </w:tc>
        <w:tc>
          <w:tcPr>
            <w:tcW w:w="3000" w:type="dxa"/>
            <w:vAlign w:val="bottom"/>
            <w:tcBorders>
              <w:top w:val="single" w:sz="8" w:color="53C072"/>
            </w:tcBorders>
            <w:shd w:val="clear" w:color="auto" w:fill="53C072"/>
          </w:tcPr>
          <w:p>
            <w:pPr>
              <w:ind w:left="296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53C072"/>
            </w:tcBorders>
          </w:tcPr>
          <w:p>
            <w:pPr>
              <w:spacing w:after="0"/>
              <w:rPr>
                <w:sz w:val="24"/>
                <w:szCs w:val="24"/>
                <w:color w:val="auto"/>
              </w:rPr>
            </w:pPr>
          </w:p>
        </w:tc>
      </w:tr>
      <w:tr>
        <w:trPr>
          <w:trHeight w:val="68"/>
        </w:trPr>
        <w:tc>
          <w:tcPr>
            <w:tcW w:w="80" w:type="dxa"/>
            <w:vAlign w:val="bottom"/>
          </w:tcPr>
          <w:p>
            <w:pPr>
              <w:spacing w:after="0"/>
              <w:rPr>
                <w:sz w:val="5"/>
                <w:szCs w:val="5"/>
                <w:color w:val="auto"/>
              </w:rPr>
            </w:pPr>
          </w:p>
        </w:tc>
        <w:tc>
          <w:tcPr>
            <w:tcW w:w="100" w:type="dxa"/>
            <w:vAlign w:val="bottom"/>
            <w:shd w:val="clear" w:color="auto" w:fill="53C072"/>
          </w:tcPr>
          <w:p>
            <w:pPr>
              <w:spacing w:after="0"/>
              <w:rPr>
                <w:sz w:val="5"/>
                <w:szCs w:val="5"/>
                <w:color w:val="auto"/>
              </w:rPr>
            </w:pPr>
          </w:p>
        </w:tc>
        <w:tc>
          <w:tcPr>
            <w:tcW w:w="3240" w:type="dxa"/>
            <w:vAlign w:val="bottom"/>
            <w:shd w:val="clear" w:color="auto" w:fill="53C072"/>
          </w:tcPr>
          <w:p>
            <w:pPr>
              <w:spacing w:after="0"/>
              <w:rPr>
                <w:sz w:val="5"/>
                <w:szCs w:val="5"/>
                <w:color w:val="auto"/>
              </w:rPr>
            </w:pPr>
          </w:p>
        </w:tc>
        <w:tc>
          <w:tcPr>
            <w:tcW w:w="3000" w:type="dxa"/>
            <w:vAlign w:val="bottom"/>
            <w:shd w:val="clear" w:color="auto" w:fill="53C072"/>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-290830</wp:posOffset>
            </wp:positionV>
            <wp:extent cx="5554980" cy="47745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54980" cy="4774565"/>
                    </a:xfrm>
                    <a:prstGeom prst="rect">
                      <a:avLst/>
                    </a:prstGeom>
                    <a:noFill/>
                  </pic:spPr>
                </pic:pic>
              </a:graphicData>
            </a:graphic>
          </wp:anchor>
        </w:drawing>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80" w:right="239"/>
        <w:spacing w:after="0" w:line="252" w:lineRule="auto"/>
        <w:rPr>
          <w:sz w:val="20"/>
          <w:szCs w:val="20"/>
          <w:color w:val="auto"/>
        </w:rPr>
      </w:pPr>
      <w:r>
        <w:rPr>
          <w:rFonts w:ascii="Arial" w:cs="Arial" w:eastAsia="Arial" w:hAnsi="Arial"/>
          <w:sz w:val="18"/>
          <w:szCs w:val="18"/>
          <w:color w:val="auto"/>
        </w:rPr>
        <w:t>Ms. Freeman is the founder of an advisory company, Joyeux Advisory Group, which was founded in 2018. She has been a Venture Partner of Debut Capital since May 2021. Ms. Freeman formerly served as the Chief Executive Officer and a Director of Arteza, a direct-to-consumer arts and crafts supplies company, from February 2020 to April 2021. Previously she served as Chief Marketing Officer of Magic Leap, Inc., a private company focused on virtual retinal displays, from 2016 to 2019. Prior to that, she served as Chief Marketing Officer at the National Geographic Channel from 2015 to 2016; Vice President, Television Marketing at DreamWorks Animation SKG Inc. from 2014 to 2015; Chief Marketing Officer, Turner Animation, Young Adults and Kids Media at Turner Broadcasting Systems, Inc. from 2008 to 2014; and Senior Vice President, Integrated Marketing and Partnerships, Nickelodeon at MTV Networks Company from 2005 to 2008. She has also served in other leadership roles for MTV Networks Company, VH1, ABC Radio Networks, and PepsiCo, Inc. (Nasdaq: PEP). Ms. Freeman has served on the board of directors at WM Technology, Inc. (Nasdaq: MAPS) since June 2021, Blue Apron Holdings, Inc. (NYSE: APRN) since October 2020, and Caleres, Inc. (NYSE: CAL) since April 2017. Previously, she served on the board of directors of Herman Miller, Inc. (Nasdaq: MLHR) from 2016 to 2019 and Under Armour, Inc. (NYSE: UA) from 2012 to 2013.</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58"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CEO</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Finance</w:t>
      </w:r>
    </w:p>
    <w:p>
      <w:pPr>
        <w:spacing w:after="0" w:line="77"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Technology/ Digital Media</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Marketing</w:t>
      </w:r>
    </w:p>
    <w:p>
      <w:pPr>
        <w:spacing w:after="0" w:line="77" w:lineRule="exact"/>
        <w:rPr>
          <w:sz w:val="20"/>
          <w:szCs w:val="20"/>
          <w:color w:val="auto"/>
        </w:rPr>
      </w:pPr>
    </w:p>
    <w:p>
      <w:pPr>
        <w:ind w:left="500" w:hanging="326"/>
        <w:spacing w:after="0"/>
        <w:tabs>
          <w:tab w:leader="none" w:pos="500" w:val="left"/>
        </w:tabs>
        <w:numPr>
          <w:ilvl w:val="0"/>
          <w:numId w:val="14"/>
        </w:numPr>
        <w:rPr>
          <w:rFonts w:ascii="Arial" w:cs="Arial" w:eastAsia="Arial" w:hAnsi="Arial"/>
          <w:sz w:val="18"/>
          <w:szCs w:val="18"/>
          <w:color w:val="53C072"/>
        </w:rPr>
      </w:pPr>
      <w:r>
        <w:rPr>
          <w:rFonts w:ascii="Arial" w:cs="Arial" w:eastAsia="Arial" w:hAnsi="Arial"/>
          <w:sz w:val="18"/>
          <w:szCs w:val="18"/>
          <w:color w:val="auto"/>
        </w:rPr>
        <w:t>ESG</w:t>
      </w:r>
    </w:p>
    <w:p>
      <w:pPr>
        <w:spacing w:after="0" w:line="158" w:lineRule="exact"/>
        <w:rPr>
          <w:sz w:val="20"/>
          <w:szCs w:val="20"/>
          <w:color w:val="auto"/>
        </w:rPr>
      </w:pPr>
    </w:p>
    <w:p>
      <w:pPr>
        <w:ind w:left="180" w:right="319"/>
        <w:spacing w:after="0" w:line="268" w:lineRule="auto"/>
        <w:rPr>
          <w:sz w:val="20"/>
          <w:szCs w:val="20"/>
          <w:color w:val="auto"/>
        </w:rPr>
      </w:pPr>
      <w:r>
        <w:rPr>
          <w:rFonts w:ascii="Arial" w:cs="Arial" w:eastAsia="Arial" w:hAnsi="Arial"/>
          <w:sz w:val="18"/>
          <w:szCs w:val="18"/>
          <w:color w:val="auto"/>
        </w:rPr>
        <w:t>The Board benefits from Ms. Freeman’s experience in corporate leadership, serving on other boards, and her strong background in marketing, technology, digital commerce, and digital transformation.</w:t>
      </w:r>
    </w:p>
    <w:p>
      <w:pPr>
        <w:spacing w:after="0" w:line="200" w:lineRule="exact"/>
        <w:rPr>
          <w:sz w:val="20"/>
          <w:szCs w:val="20"/>
          <w:color w:val="auto"/>
        </w:rPr>
      </w:pPr>
    </w:p>
    <w:p>
      <w:pPr>
        <w:sectPr>
          <w:pgSz w:w="11900" w:h="16838" w:orient="portrait"/>
          <w:cols w:equalWidth="0" w:num="2">
            <w:col w:w="2780" w:space="520"/>
            <w:col w:w="65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10     </w:t>
      </w:r>
      <w:r>
        <w:rPr>
          <w:sz w:val="1"/>
          <w:szCs w:val="1"/>
          <w:color w:val="auto"/>
        </w:rPr>
        <w:drawing>
          <wp:inline distT="0" distB="0" distL="0" distR="0">
            <wp:extent cx="1242695" cy="24003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700" w:type="dxa"/>
            <w:vAlign w:val="bottom"/>
            <w:vMerge w:val="restart"/>
          </w:tcPr>
          <w:p>
            <w:pPr>
              <w:ind w:left="2680"/>
              <w:spacing w:after="0"/>
              <w:rPr>
                <w:sz w:val="20"/>
                <w:szCs w:val="20"/>
                <w:color w:val="auto"/>
              </w:rPr>
            </w:pPr>
            <w:r>
              <w:rPr>
                <w:rFonts w:ascii="Arial" w:cs="Arial" w:eastAsia="Arial" w:hAnsi="Arial"/>
                <w:sz w:val="14"/>
                <w:szCs w:val="14"/>
                <w:color w:val="auto"/>
                <w:w w:val="99"/>
              </w:rPr>
              <w:t>Proposal 1: Election of Directors</w:t>
            </w:r>
          </w:p>
        </w:tc>
        <w:tc>
          <w:tcPr>
            <w:tcW w:w="0" w:type="dxa"/>
            <w:vAlign w:val="bottom"/>
          </w:tcPr>
          <w:p>
            <w:pPr>
              <w:spacing w:after="0"/>
              <w:rPr>
                <w:sz w:val="1"/>
                <w:szCs w:val="1"/>
                <w:color w:val="auto"/>
              </w:rPr>
            </w:pPr>
          </w:p>
        </w:tc>
      </w:tr>
      <w:tr>
        <w:trPr>
          <w:trHeight w:val="88"/>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37973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54980" cy="37973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2020</w:t>
      </w:r>
      <w:r>
        <w:rPr>
          <w:rFonts w:ascii="Arial" w:cs="Arial" w:eastAsia="Arial" w:hAnsi="Arial"/>
          <w:sz w:val="17"/>
          <w:szCs w:val="17"/>
          <w:color w:val="auto"/>
        </w:rPr>
        <w:t>​</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r>
        <w:rPr>
          <w:rFonts w:ascii="Arial" w:cs="Arial" w:eastAsia="Arial" w:hAnsi="Arial"/>
          <w:sz w:val="17"/>
          <w:szCs w:val="17"/>
          <w:color w:val="auto"/>
        </w:rPr>
        <w:t>​</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Not Independent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tabs>
          <w:tab w:leader="none" w:pos="6360" w:val="left"/>
        </w:tabs>
        <w:rPr>
          <w:sz w:val="20"/>
          <w:szCs w:val="20"/>
          <w:color w:val="auto"/>
        </w:rPr>
      </w:pPr>
      <w:r>
        <w:rPr>
          <w:rFonts w:ascii="Arial" w:cs="Arial" w:eastAsia="Arial" w:hAnsi="Arial"/>
          <w:sz w:val="35"/>
          <w:szCs w:val="35"/>
          <w:color w:val="000000"/>
          <w:vertAlign w:val="superscript"/>
        </w:rPr>
        <w:t>​ ​</w:t>
      </w:r>
      <w:r>
        <w:rPr>
          <w:rFonts w:ascii="Arial" w:cs="Arial" w:eastAsia="Arial" w:hAnsi="Arial"/>
          <w:sz w:val="22"/>
          <w:szCs w:val="22"/>
          <w:b w:val="1"/>
          <w:bCs w:val="1"/>
          <w:color w:val="FEFEFE"/>
        </w:rPr>
        <w:t>PHILIP R. GALLAGHER</w:t>
      </w:r>
      <w:r>
        <w:rPr>
          <w:sz w:val="20"/>
          <w:szCs w:val="20"/>
          <w:color w:val="auto"/>
        </w:rPr>
        <w:tab/>
      </w:r>
      <w:r>
        <w:rPr>
          <w:rFonts w:ascii="Arial" w:cs="Arial" w:eastAsia="Arial" w:hAnsi="Arial"/>
          <w:sz w:val="36"/>
          <w:szCs w:val="36"/>
          <w:color w:val="auto"/>
          <w:vertAlign w:val="superscript"/>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80" w:right="239"/>
        <w:spacing w:after="0" w:line="249" w:lineRule="auto"/>
        <w:rPr>
          <w:sz w:val="20"/>
          <w:szCs w:val="20"/>
          <w:color w:val="auto"/>
        </w:rPr>
      </w:pPr>
      <w:r>
        <w:rPr>
          <w:rFonts w:ascii="Arial" w:cs="Arial" w:eastAsia="Arial" w:hAnsi="Arial"/>
          <w:sz w:val="18"/>
          <w:szCs w:val="18"/>
          <w:color w:val="auto"/>
        </w:rPr>
        <w:t>Mr. Gallagher has served as the Company’s Chief Executive Officer and a Director since November 2020, and as President, Electronic Components, since August 2018. He previously served as the Interim Chief Executive Officer from July 2020 until November 2020 and as the Global President, Core Distribution Business from May 2017 to August 2018. He began his career with the Company in 1982 and held executive leadership positions in sales, marketing, and operations during his 38 years at the Company, with his last role as Global President of Technology Solutions from 2009 to 2014. He left the Company in 2014, and served as President, Americas Sales and Marketing, at TTI, a leading authorized distributor of interconnect, passive, electromechanical and discrete components, from 2016 to 2017. He rejoined the Company in May 2017. Mr. Gallagher currently serves on the advisory council for Women in Electronics and is also a member of Greater Phoenix Leadership (GPL), an organization of leading CEOs focused on creating action on priority issues.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Industry</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International Business</w:t>
      </w:r>
    </w:p>
    <w:p>
      <w:pPr>
        <w:spacing w:after="0" w:line="77" w:lineRule="exact"/>
        <w:rPr>
          <w:sz w:val="20"/>
          <w:szCs w:val="20"/>
          <w:color w:val="auto"/>
        </w:rPr>
      </w:pPr>
    </w:p>
    <w:p>
      <w:pPr>
        <w:ind w:left="180"/>
        <w:spacing w:after="0"/>
        <w:tabs>
          <w:tab w:leader="none" w:pos="480" w:val="left"/>
          <w:tab w:leader="none" w:pos="3340" w:val="left"/>
          <w:tab w:leader="none" w:pos="366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Technology/Digital Media</w:t>
      </w:r>
      <w:r>
        <w:rPr>
          <w:sz w:val="20"/>
          <w:szCs w:val="20"/>
          <w:color w:val="auto"/>
        </w:rPr>
        <w:tab/>
      </w:r>
      <w:r>
        <w:rPr>
          <w:rFonts w:ascii="Arial" w:cs="Arial" w:eastAsia="Arial" w:hAnsi="Arial"/>
          <w:sz w:val="18"/>
          <w:szCs w:val="18"/>
          <w:color w:val="53C072"/>
        </w:rPr>
        <w:t>•</w:t>
      </w:r>
      <w:r>
        <w:rPr>
          <w:rFonts w:ascii="Arial" w:cs="Arial" w:eastAsia="Arial" w:hAnsi="Arial"/>
          <w:sz w:val="18"/>
          <w:szCs w:val="18"/>
          <w:color w:val="auto"/>
        </w:rPr>
        <w:tab/>
        <w:t>CEO</w:t>
      </w:r>
    </w:p>
    <w:p>
      <w:pPr>
        <w:spacing w:after="0" w:line="104" w:lineRule="exact"/>
        <w:rPr>
          <w:sz w:val="20"/>
          <w:szCs w:val="20"/>
          <w:color w:val="auto"/>
        </w:rPr>
      </w:pPr>
    </w:p>
    <w:p>
      <w:pPr>
        <w:ind w:left="180" w:right="419"/>
        <w:spacing w:after="0" w:line="268" w:lineRule="auto"/>
        <w:rPr>
          <w:sz w:val="20"/>
          <w:szCs w:val="20"/>
          <w:color w:val="auto"/>
        </w:rPr>
      </w:pPr>
      <w:r>
        <w:rPr>
          <w:rFonts w:ascii="Arial" w:cs="Arial" w:eastAsia="Arial" w:hAnsi="Arial"/>
          <w:sz w:val="18"/>
          <w:szCs w:val="18"/>
          <w:color w:val="auto"/>
        </w:rPr>
        <w:t>The Board benefits from Mr. Gallagher’s extensive experience in business operations, corporate leadership, and management. The Board also benefits from his broad knowledge of the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214630</wp:posOffset>
            </wp:positionV>
            <wp:extent cx="5554980" cy="31203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720"/>
            <w:col w:w="65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2024</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60</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92" w:lineRule="exact"/>
        <w:rPr>
          <w:sz w:val="20"/>
          <w:szCs w:val="20"/>
          <w:color w:val="auto"/>
        </w:rPr>
      </w:pPr>
    </w:p>
    <w:p>
      <w:pPr>
        <w:ind w:left="1340" w:hanging="269"/>
        <w:spacing w:after="0"/>
        <w:tabs>
          <w:tab w:leader="none" w:pos="1340" w:val="left"/>
        </w:tabs>
        <w:numPr>
          <w:ilvl w:val="0"/>
          <w:numId w:val="15"/>
        </w:numPr>
        <w:rPr>
          <w:rFonts w:ascii="Arial" w:cs="Arial" w:eastAsia="Arial" w:hAnsi="Arial"/>
          <w:sz w:val="18"/>
          <w:szCs w:val="18"/>
          <w:color w:val="53C072"/>
        </w:rPr>
      </w:pPr>
      <w:r>
        <w:rPr>
          <w:rFonts w:ascii="Arial" w:cs="Arial" w:eastAsia="Arial" w:hAnsi="Arial"/>
          <w:sz w:val="14"/>
          <w:szCs w:val="14"/>
          <w:color w:val="auto"/>
        </w:rPr>
        <w:t>Audit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tabs>
          <w:tab w:leader="none" w:pos="6360" w:val="left"/>
        </w:tabs>
        <w:rPr>
          <w:sz w:val="20"/>
          <w:szCs w:val="20"/>
          <w:color w:val="auto"/>
        </w:rPr>
      </w:pPr>
      <w:r>
        <w:rPr>
          <w:rFonts w:ascii="Arial" w:cs="Arial" w:eastAsia="Arial" w:hAnsi="Arial"/>
          <w:sz w:val="28"/>
          <w:szCs w:val="28"/>
          <w:b w:val="1"/>
          <w:bCs w:val="1"/>
          <w:color w:val="000000"/>
          <w:vertAlign w:val="superscript"/>
        </w:rPr>
        <w:t>​ ​</w:t>
      </w:r>
      <w:r>
        <w:rPr>
          <w:rFonts w:ascii="Arial" w:cs="Arial" w:eastAsia="Arial" w:hAnsi="Arial"/>
          <w:sz w:val="22"/>
          <w:szCs w:val="22"/>
          <w:b w:val="1"/>
          <w:bCs w:val="1"/>
          <w:color w:val="FEFEFE"/>
        </w:rPr>
        <w:t>HELMUT GASSEL</w:t>
      </w:r>
      <w:r>
        <w:rPr>
          <w:sz w:val="20"/>
          <w:szCs w:val="20"/>
          <w:color w:val="auto"/>
        </w:rPr>
        <w:tab/>
      </w:r>
      <w:r>
        <w:rPr>
          <w:rFonts w:ascii="Arial" w:cs="Arial" w:eastAsia="Arial" w:hAnsi="Arial"/>
          <w:sz w:val="29"/>
          <w:szCs w:val="29"/>
          <w:b w:val="1"/>
          <w:bCs w:val="1"/>
          <w:color w:val="auto"/>
          <w:vertAlign w:val="superscript"/>
        </w:rPr>
        <w:t>​</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80" w:right="359"/>
        <w:spacing w:after="0" w:line="251" w:lineRule="auto"/>
        <w:rPr>
          <w:sz w:val="20"/>
          <w:szCs w:val="20"/>
          <w:color w:val="auto"/>
        </w:rPr>
      </w:pPr>
      <w:r>
        <w:rPr>
          <w:rFonts w:ascii="Arial" w:cs="Arial" w:eastAsia="Arial" w:hAnsi="Arial"/>
          <w:sz w:val="18"/>
          <w:szCs w:val="18"/>
          <w:color w:val="auto"/>
        </w:rPr>
        <w:t>Helmut Gassel is an experienced semiconductor executive with more than 30 years in the industry. Among other activities, he is currently Co-founder and Partner of Silian Partners, a group of semiconductor industry senior executives. He also serves as a Board Member for Nordic Semiconductor’s Board of Directors, since 2024. Prior to 2022, he held several leadership positions during his 27-year tenure at Infineon Technologies, including Board Member, Chief Marketing Officer, and Division President for Industrial Power Control. Mr. Gassel holds a Diploma in Nuclear Physics from Ruhr University Bochum and a Doctorate in Electrical Engineering from the University of Duisburg-Essen.</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80"/>
        <w:spacing w:after="0"/>
        <w:tabs>
          <w:tab w:leader="none" w:pos="520" w:val="left"/>
          <w:tab w:leader="none" w:pos="3340" w:val="left"/>
          <w:tab w:leader="none" w:pos="3660" w:val="left"/>
        </w:tabs>
        <w:rPr>
          <w:sz w:val="20"/>
          <w:szCs w:val="20"/>
          <w:color w:val="auto"/>
        </w:rPr>
      </w:pPr>
      <w:r>
        <w:rPr>
          <w:rFonts w:ascii="Arial" w:cs="Arial" w:eastAsia="Arial" w:hAnsi="Arial"/>
          <w:sz w:val="18"/>
          <w:szCs w:val="18"/>
          <w:color w:val="53C072"/>
        </w:rPr>
        <w:t>•</w:t>
      </w:r>
      <w:r>
        <w:rPr>
          <w:sz w:val="20"/>
          <w:szCs w:val="20"/>
          <w:color w:val="auto"/>
        </w:rPr>
        <w:tab/>
      </w:r>
      <w:r>
        <w:rPr>
          <w:rFonts w:ascii="Arial" w:cs="Arial" w:eastAsia="Arial" w:hAnsi="Arial"/>
          <w:sz w:val="18"/>
          <w:szCs w:val="18"/>
          <w:color w:val="auto"/>
        </w:rPr>
        <w:t>International Business</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Technology/Digital Media</w:t>
      </w:r>
    </w:p>
    <w:p>
      <w:pPr>
        <w:spacing w:after="0" w:line="77" w:lineRule="exact"/>
        <w:rPr>
          <w:sz w:val="20"/>
          <w:szCs w:val="20"/>
          <w:color w:val="auto"/>
        </w:rPr>
      </w:pPr>
    </w:p>
    <w:p>
      <w:pPr>
        <w:ind w:left="180"/>
        <w:spacing w:after="0"/>
        <w:tabs>
          <w:tab w:leader="none" w:pos="520" w:val="left"/>
          <w:tab w:leader="none" w:pos="3340" w:val="left"/>
          <w:tab w:leader="none" w:pos="3660" w:val="left"/>
        </w:tabs>
        <w:rPr>
          <w:sz w:val="20"/>
          <w:szCs w:val="20"/>
          <w:color w:val="auto"/>
        </w:rPr>
      </w:pPr>
      <w:r>
        <w:rPr>
          <w:rFonts w:ascii="Arial" w:cs="Arial" w:eastAsia="Arial" w:hAnsi="Arial"/>
          <w:sz w:val="18"/>
          <w:szCs w:val="18"/>
          <w:color w:val="53C072"/>
        </w:rPr>
        <w:t>•</w:t>
      </w:r>
      <w:r>
        <w:rPr>
          <w:sz w:val="20"/>
          <w:szCs w:val="20"/>
          <w:color w:val="auto"/>
        </w:rPr>
        <w:tab/>
      </w:r>
      <w:r>
        <w:rPr>
          <w:rFonts w:ascii="Arial" w:cs="Arial" w:eastAsia="Arial" w:hAnsi="Arial"/>
          <w:sz w:val="18"/>
          <w:szCs w:val="18"/>
          <w:color w:val="auto"/>
        </w:rPr>
        <w:t>Marketing</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Industry</w:t>
      </w:r>
    </w:p>
    <w:p>
      <w:pPr>
        <w:spacing w:after="0" w:line="104" w:lineRule="exact"/>
        <w:rPr>
          <w:sz w:val="20"/>
          <w:szCs w:val="20"/>
          <w:color w:val="auto"/>
        </w:rPr>
      </w:pPr>
    </w:p>
    <w:p>
      <w:pPr>
        <w:ind w:left="180" w:right="719"/>
        <w:spacing w:after="0" w:line="291" w:lineRule="auto"/>
        <w:rPr>
          <w:sz w:val="20"/>
          <w:szCs w:val="20"/>
          <w:color w:val="auto"/>
        </w:rPr>
      </w:pPr>
      <w:r>
        <w:rPr>
          <w:rFonts w:ascii="Arial" w:cs="Arial" w:eastAsia="Arial" w:hAnsi="Arial"/>
          <w:sz w:val="17"/>
          <w:szCs w:val="17"/>
          <w:color w:val="auto"/>
        </w:rPr>
        <w:t>The Board benefits from Mr. Gassel’s extensive experience in the semiconductor industry, technology and innovation, sales and marketing, global business, and corporate leadership and management.</w:t>
      </w:r>
    </w:p>
    <w:p>
      <w:pPr>
        <w:spacing w:after="0" w:line="200" w:lineRule="exact"/>
        <w:rPr>
          <w:sz w:val="20"/>
          <w:szCs w:val="20"/>
          <w:color w:val="auto"/>
        </w:rPr>
      </w:pPr>
    </w:p>
    <w:p>
      <w:pPr>
        <w:sectPr>
          <w:pgSz w:w="11900" w:h="16838" w:orient="portrait"/>
          <w:cols w:equalWidth="0" w:num="2">
            <w:col w:w="2580" w:space="720"/>
            <w:col w:w="6579"/>
          </w:cols>
          <w:pgMar w:left="580" w:top="97" w:right="1440" w:bottom="1440" w:gutter="0" w:footer="0" w:header="0"/>
          <w:type w:val="continuous"/>
        </w:sectPr>
      </w:pPr>
    </w:p>
    <w:p>
      <w:pPr>
        <w:spacing w:after="0" w:line="248" w:lineRule="exact"/>
        <w:rPr>
          <w:sz w:val="20"/>
          <w:szCs w:val="20"/>
          <w:color w:val="auto"/>
        </w:rPr>
      </w:pPr>
    </w:p>
    <w:p>
      <w:pPr>
        <w:ind w:left="7560"/>
        <w:spacing w:after="0"/>
        <w:rPr>
          <w:sz w:val="20"/>
          <w:szCs w:val="20"/>
          <w:color w:val="auto"/>
        </w:rPr>
      </w:pPr>
      <w:r>
        <w:rPr>
          <w:sz w:val="1"/>
          <w:szCs w:val="1"/>
          <w:color w:val="auto"/>
        </w:rPr>
        <w:drawing>
          <wp:inline distT="0" distB="0" distL="0" distR="0">
            <wp:extent cx="1242695" cy="24003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700" w:type="dxa"/>
            <w:vAlign w:val="bottom"/>
            <w:vMerge w:val="restart"/>
          </w:tcPr>
          <w:p>
            <w:pPr>
              <w:ind w:left="2680"/>
              <w:spacing w:after="0"/>
              <w:rPr>
                <w:sz w:val="20"/>
                <w:szCs w:val="20"/>
                <w:color w:val="auto"/>
              </w:rPr>
            </w:pPr>
            <w:r>
              <w:rPr>
                <w:rFonts w:ascii="Arial" w:cs="Arial" w:eastAsia="Arial" w:hAnsi="Arial"/>
                <w:sz w:val="14"/>
                <w:szCs w:val="14"/>
                <w:color w:val="auto"/>
                <w:w w:val="99"/>
              </w:rPr>
              <w:t>Proposal 1: Election of Directors</w:t>
            </w:r>
          </w:p>
        </w:tc>
        <w:tc>
          <w:tcPr>
            <w:tcW w:w="0" w:type="dxa"/>
            <w:vAlign w:val="bottom"/>
          </w:tcPr>
          <w:p>
            <w:pPr>
              <w:spacing w:after="0"/>
              <w:rPr>
                <w:sz w:val="1"/>
                <w:szCs w:val="1"/>
                <w:color w:val="auto"/>
              </w:rPr>
            </w:pPr>
          </w:p>
        </w:tc>
      </w:tr>
      <w:tr>
        <w:trPr>
          <w:trHeight w:val="88"/>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404495</wp:posOffset>
            </wp:positionV>
            <wp:extent cx="5554980" cy="35058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54980" cy="350583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2024</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56</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99" w:lineRule="exact"/>
        <w:rPr>
          <w:sz w:val="20"/>
          <w:szCs w:val="20"/>
          <w:color w:val="auto"/>
        </w:rPr>
      </w:pPr>
    </w:p>
    <w:p>
      <w:pPr>
        <w:ind w:left="1340" w:hanging="269"/>
        <w:spacing w:after="0"/>
        <w:tabs>
          <w:tab w:leader="none" w:pos="1340" w:val="left"/>
        </w:tabs>
        <w:numPr>
          <w:ilvl w:val="0"/>
          <w:numId w:val="16"/>
        </w:numPr>
        <w:rPr>
          <w:rFonts w:ascii="Arial" w:cs="Arial" w:eastAsia="Arial" w:hAnsi="Arial"/>
          <w:sz w:val="18"/>
          <w:szCs w:val="18"/>
          <w:color w:val="53C072"/>
        </w:rPr>
      </w:pPr>
      <w:r>
        <w:rPr>
          <w:rFonts w:ascii="Arial" w:cs="Arial" w:eastAsia="Arial" w:hAnsi="Arial"/>
          <w:sz w:val="14"/>
          <w:szCs w:val="14"/>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6360" w:val="left"/>
        </w:tabs>
        <w:rPr>
          <w:sz w:val="20"/>
          <w:szCs w:val="20"/>
          <w:color w:val="auto"/>
        </w:rPr>
      </w:pPr>
      <w:r>
        <w:rPr>
          <w:rFonts w:ascii="Arial" w:cs="Arial" w:eastAsia="Arial" w:hAnsi="Arial"/>
          <w:sz w:val="28"/>
          <w:szCs w:val="28"/>
          <w:b w:val="1"/>
          <w:bCs w:val="1"/>
          <w:color w:val="000000"/>
          <w:vertAlign w:val="superscript"/>
        </w:rPr>
        <w:t>​ ​</w:t>
      </w:r>
      <w:r>
        <w:rPr>
          <w:rFonts w:ascii="Arial" w:cs="Arial" w:eastAsia="Arial" w:hAnsi="Arial"/>
          <w:sz w:val="22"/>
          <w:szCs w:val="22"/>
          <w:b w:val="1"/>
          <w:bCs w:val="1"/>
          <w:color w:val="FEFEFE"/>
        </w:rPr>
        <w:t>VIRGINIA L. HENKELS</w:t>
      </w:r>
      <w:r>
        <w:rPr>
          <w:sz w:val="20"/>
          <w:szCs w:val="20"/>
          <w:color w:val="auto"/>
        </w:rPr>
        <w:tab/>
      </w:r>
      <w:r>
        <w:rPr>
          <w:rFonts w:ascii="Arial" w:cs="Arial" w:eastAsia="Arial" w:hAnsi="Arial"/>
          <w:sz w:val="29"/>
          <w:szCs w:val="29"/>
          <w:b w:val="1"/>
          <w:bCs w:val="1"/>
          <w:color w:val="auto"/>
          <w:vertAlign w:val="superscript"/>
        </w:rPr>
        <w:t>​</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Ms. Henkels served as Chief Financial Officer and Secretary of Empowerment</w:t>
      </w:r>
    </w:p>
    <w:p>
      <w:pPr>
        <w:spacing w:after="0" w:line="27" w:lineRule="exact"/>
        <w:rPr>
          <w:sz w:val="20"/>
          <w:szCs w:val="20"/>
          <w:color w:val="auto"/>
        </w:rPr>
      </w:pPr>
    </w:p>
    <w:p>
      <w:pPr>
        <w:ind w:left="180" w:right="259" w:hanging="6"/>
        <w:spacing w:after="0" w:line="263" w:lineRule="auto"/>
        <w:tabs>
          <w:tab w:leader="none" w:pos="347"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Inclusion Capital I Corp., a special-purpose acquisition company focused on promoting equity and inclusion until February 2023. Prior to that, Ms. Henkels served as Executive Vice President, Chief Financial Officer, and Treasurer of Swift Transportation Company from 2008 to 2017. She held various finance and accounting leadership positions with increasing responsibilities since 2004 at Swift Transportation and from 1990 to 2002 at Honeywell International, Inc., a global diversified technology and manufacturing company. Ms. Henkels has served on the board of directors of Viad Corp. (NYSE: VVI) since November 2017, LCI Industries (NYSE: LCII) since September 2017, and privately-held Isaac Instruments since March 2023. From 2018 to 2021, Ms. Henkels served on the board of directors of Echo Global Logistics, Inc. (Nasdaq: ECHO).</w:t>
      </w:r>
    </w:p>
    <w:p>
      <w:pPr>
        <w:spacing w:after="0" w:line="3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80"/>
        <w:spacing w:after="0"/>
        <w:tabs>
          <w:tab w:leader="none" w:pos="520" w:val="left"/>
          <w:tab w:leader="none" w:pos="3340" w:val="left"/>
          <w:tab w:leader="none" w:pos="3660" w:val="left"/>
        </w:tabs>
        <w:rPr>
          <w:sz w:val="20"/>
          <w:szCs w:val="20"/>
          <w:color w:val="auto"/>
        </w:rPr>
      </w:pPr>
      <w:r>
        <w:rPr>
          <w:rFonts w:ascii="Arial" w:cs="Arial" w:eastAsia="Arial" w:hAnsi="Arial"/>
          <w:sz w:val="18"/>
          <w:szCs w:val="18"/>
          <w:color w:val="53C072"/>
        </w:rPr>
        <w:t>•</w:t>
      </w:r>
      <w:r>
        <w:rPr>
          <w:sz w:val="20"/>
          <w:szCs w:val="20"/>
          <w:color w:val="auto"/>
        </w:rPr>
        <w:tab/>
      </w:r>
      <w:r>
        <w:rPr>
          <w:rFonts w:ascii="Arial" w:cs="Arial" w:eastAsia="Arial" w:hAnsi="Arial"/>
          <w:sz w:val="18"/>
          <w:szCs w:val="18"/>
          <w:color w:val="auto"/>
        </w:rPr>
        <w:t>International Business</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Risk Management</w:t>
      </w:r>
    </w:p>
    <w:p>
      <w:pPr>
        <w:spacing w:after="0" w:line="77" w:lineRule="exact"/>
        <w:rPr>
          <w:sz w:val="20"/>
          <w:szCs w:val="20"/>
          <w:color w:val="auto"/>
        </w:rPr>
      </w:pPr>
    </w:p>
    <w:p>
      <w:pPr>
        <w:ind w:left="540" w:hanging="366"/>
        <w:spacing w:after="0"/>
        <w:tabs>
          <w:tab w:leader="none" w:pos="540" w:val="left"/>
        </w:tabs>
        <w:numPr>
          <w:ilvl w:val="0"/>
          <w:numId w:val="18"/>
        </w:numPr>
        <w:rPr>
          <w:rFonts w:ascii="Arial" w:cs="Arial" w:eastAsia="Arial" w:hAnsi="Arial"/>
          <w:sz w:val="18"/>
          <w:szCs w:val="18"/>
          <w:color w:val="53C072"/>
        </w:rPr>
      </w:pPr>
      <w:r>
        <w:rPr>
          <w:rFonts w:ascii="Arial" w:cs="Arial" w:eastAsia="Arial" w:hAnsi="Arial"/>
          <w:sz w:val="18"/>
          <w:szCs w:val="18"/>
          <w:color w:val="auto"/>
        </w:rPr>
        <w:t>Finance</w:t>
      </w:r>
    </w:p>
    <w:p>
      <w:pPr>
        <w:spacing w:after="0" w:line="104" w:lineRule="exact"/>
        <w:rPr>
          <w:sz w:val="20"/>
          <w:szCs w:val="20"/>
          <w:color w:val="auto"/>
        </w:rPr>
      </w:pPr>
    </w:p>
    <w:p>
      <w:pPr>
        <w:jc w:val="both"/>
        <w:ind w:left="180" w:right="479"/>
        <w:spacing w:after="0" w:line="268" w:lineRule="auto"/>
        <w:rPr>
          <w:sz w:val="20"/>
          <w:szCs w:val="20"/>
          <w:color w:val="auto"/>
        </w:rPr>
      </w:pPr>
      <w:r>
        <w:rPr>
          <w:rFonts w:ascii="Arial" w:cs="Arial" w:eastAsia="Arial" w:hAnsi="Arial"/>
          <w:sz w:val="18"/>
          <w:szCs w:val="18"/>
          <w:color w:val="auto"/>
        </w:rPr>
        <w:t>The Board benefits from Ms. Henkels’ experience with finance, accounting, capital markets, investor relations, strategy development, risk management, financial reporting, audit,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214630</wp:posOffset>
            </wp:positionV>
            <wp:extent cx="5554980" cy="3206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54980" cy="3206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720"/>
            <w:col w:w="65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66</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88" w:lineRule="exact"/>
        <w:rPr>
          <w:sz w:val="20"/>
          <w:szCs w:val="20"/>
          <w:color w:val="auto"/>
        </w:rPr>
      </w:pPr>
    </w:p>
    <w:p>
      <w:pPr>
        <w:ind w:left="1340" w:hanging="269"/>
        <w:spacing w:after="0" w:line="181" w:lineRule="auto"/>
        <w:tabs>
          <w:tab w:leader="none" w:pos="1340" w:val="left"/>
        </w:tabs>
        <w:numPr>
          <w:ilvl w:val="0"/>
          <w:numId w:val="19"/>
        </w:numPr>
        <w:rPr>
          <w:rFonts w:ascii="Arial" w:cs="Arial" w:eastAsia="Arial" w:hAnsi="Arial"/>
          <w:sz w:val="30"/>
          <w:szCs w:val="30"/>
          <w:color w:val="53C072"/>
          <w:vertAlign w:val="subscript"/>
        </w:rPr>
      </w:pPr>
      <w:r>
        <w:rPr>
          <w:rFonts w:ascii="Arial" w:cs="Arial" w:eastAsia="Arial" w:hAnsi="Arial"/>
          <w:sz w:val="13"/>
          <w:szCs w:val="13"/>
          <w:color w:val="auto"/>
        </w:rPr>
        <w:t>Compensation and Leadership Development</w:t>
      </w:r>
      <w:r>
        <w:rPr>
          <w:rFonts w:ascii="Arial" w:cs="Arial" w:eastAsia="Arial" w:hAnsi="Arial"/>
          <w:sz w:val="15"/>
          <w:szCs w:val="15"/>
          <w:color w:val="auto"/>
        </w:rPr>
        <w:t>​</w:t>
      </w:r>
    </w:p>
    <w:p>
      <w:pPr>
        <w:spacing w:after="0" w:line="65" w:lineRule="exact"/>
        <w:rPr>
          <w:rFonts w:ascii="Arial" w:cs="Arial" w:eastAsia="Arial" w:hAnsi="Arial"/>
          <w:sz w:val="30"/>
          <w:szCs w:val="30"/>
          <w:color w:val="53C072"/>
          <w:vertAlign w:val="subscript"/>
        </w:rPr>
      </w:pPr>
    </w:p>
    <w:p>
      <w:pPr>
        <w:ind w:left="1340" w:hanging="269"/>
        <w:spacing w:after="0"/>
        <w:tabs>
          <w:tab w:leader="none" w:pos="1340" w:val="left"/>
        </w:tabs>
        <w:numPr>
          <w:ilvl w:val="0"/>
          <w:numId w:val="19"/>
        </w:numPr>
        <w:rPr>
          <w:rFonts w:ascii="Arial" w:cs="Arial" w:eastAsia="Arial" w:hAnsi="Arial"/>
          <w:sz w:val="18"/>
          <w:szCs w:val="18"/>
          <w:color w:val="53C072"/>
        </w:rPr>
      </w:pPr>
      <w:r>
        <w:rPr>
          <w:rFonts w:ascii="Arial" w:cs="Arial" w:eastAsia="Arial" w:hAnsi="Arial"/>
          <w:sz w:val="14"/>
          <w:szCs w:val="14"/>
          <w:color w:val="auto"/>
        </w:rPr>
        <w:t>Finance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tabs>
          <w:tab w:leader="none" w:pos="634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JO ANN JENKINS</w:t>
      </w:r>
      <w:r>
        <w:rPr>
          <w:sz w:val="20"/>
          <w:szCs w:val="20"/>
          <w:color w:val="auto"/>
        </w:rPr>
        <w:tab/>
      </w:r>
      <w:r>
        <w:rPr>
          <w:rFonts w:ascii="Arial" w:cs="Arial" w:eastAsia="Arial" w:hAnsi="Arial"/>
          <w:sz w:val="29"/>
          <w:szCs w:val="29"/>
          <w:color w:val="auto"/>
          <w:vertAlign w:val="superscript"/>
        </w:rPr>
        <w: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60" w:right="319"/>
        <w:spacing w:after="0" w:line="263" w:lineRule="auto"/>
        <w:rPr>
          <w:sz w:val="20"/>
          <w:szCs w:val="20"/>
          <w:color w:val="auto"/>
        </w:rPr>
      </w:pPr>
      <w:r>
        <w:rPr>
          <w:rFonts w:ascii="Arial" w:cs="Arial" w:eastAsia="Arial" w:hAnsi="Arial"/>
          <w:sz w:val="17"/>
          <w:szCs w:val="17"/>
          <w:color w:val="auto"/>
        </w:rPr>
        <w:t>Ms. Jenkins has served as the Chief Executive Officer of AARP, the nation’s largest nonprofit, nonpartisan organization dedicated to empowering people 50 and older to choose how they live and age, since 2014. Previously, she served as the Executive Vice President and Chief Operating Officer of AARP from 2013 to 2014 and President of the AARP Foundation from 2010 to 2013. Prior to that, Ms. Jenkins held various positions at the Library of Congress from 1994 to 2010, including Chief Operating Officer from 2007 to 2010.</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Ms. Jenkins has served on the board of directors of General Mills, Inc. (NYSE: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GIS) since January 2020.</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CEO</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Operations</w:t>
      </w:r>
    </w:p>
    <w:p>
      <w:pPr>
        <w:spacing w:after="0" w:line="104" w:lineRule="exact"/>
        <w:rPr>
          <w:sz w:val="20"/>
          <w:szCs w:val="20"/>
          <w:color w:val="auto"/>
        </w:rPr>
      </w:pPr>
    </w:p>
    <w:p>
      <w:pPr>
        <w:ind w:left="160" w:right="539"/>
        <w:spacing w:after="0" w:line="254" w:lineRule="auto"/>
        <w:rPr>
          <w:sz w:val="20"/>
          <w:szCs w:val="20"/>
          <w:color w:val="auto"/>
        </w:rPr>
      </w:pPr>
      <w:r>
        <w:rPr>
          <w:rFonts w:ascii="Arial" w:cs="Arial" w:eastAsia="Arial" w:hAnsi="Arial"/>
          <w:sz w:val="18"/>
          <w:szCs w:val="18"/>
          <w:color w:val="auto"/>
        </w:rPr>
        <w:t>The Board benefits from Ms. Jenkins’ deep understanding of strategic management and innovative marketing, which she developed through her CEO and operational roles. She contributes valuable insights regarding corporate leadership and management, government affairs and community relations, and innovation and strategic transformation, including developing and implementing diversity strategies.</w:t>
      </w:r>
    </w:p>
    <w:p>
      <w:pPr>
        <w:spacing w:after="0" w:line="200" w:lineRule="exact"/>
        <w:rPr>
          <w:sz w:val="20"/>
          <w:szCs w:val="20"/>
          <w:color w:val="auto"/>
        </w:rPr>
      </w:pPr>
    </w:p>
    <w:p>
      <w:pPr>
        <w:sectPr>
          <w:pgSz w:w="11900" w:h="16838" w:orient="portrait"/>
          <w:cols w:equalWidth="0" w:num="2">
            <w:col w:w="3280" w:space="40"/>
            <w:col w:w="6559"/>
          </w:cols>
          <w:pgMar w:left="580" w:top="97" w:right="1440"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12     </w:t>
      </w:r>
      <w:r>
        <w:rPr>
          <w:sz w:val="1"/>
          <w:szCs w:val="1"/>
          <w:color w:val="auto"/>
        </w:rPr>
        <w:drawing>
          <wp:inline distT="0" distB="0" distL="0" distR="0">
            <wp:extent cx="1242695" cy="24003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700" w:type="dxa"/>
            <w:vAlign w:val="bottom"/>
            <w:vMerge w:val="restart"/>
          </w:tcPr>
          <w:p>
            <w:pPr>
              <w:ind w:left="2680"/>
              <w:spacing w:after="0"/>
              <w:rPr>
                <w:sz w:val="20"/>
                <w:szCs w:val="20"/>
                <w:color w:val="auto"/>
              </w:rPr>
            </w:pPr>
            <w:r>
              <w:rPr>
                <w:rFonts w:ascii="Arial" w:cs="Arial" w:eastAsia="Arial" w:hAnsi="Arial"/>
                <w:sz w:val="14"/>
                <w:szCs w:val="14"/>
                <w:color w:val="auto"/>
                <w:w w:val="99"/>
              </w:rPr>
              <w:t>Proposal 1: Election of Directors</w:t>
            </w:r>
          </w:p>
        </w:tc>
        <w:tc>
          <w:tcPr>
            <w:tcW w:w="0" w:type="dxa"/>
            <w:vAlign w:val="bottom"/>
          </w:tcPr>
          <w:p>
            <w:pPr>
              <w:spacing w:after="0"/>
              <w:rPr>
                <w:sz w:val="1"/>
                <w:szCs w:val="1"/>
                <w:color w:val="auto"/>
              </w:rPr>
            </w:pPr>
          </w:p>
        </w:tc>
      </w:tr>
      <w:tr>
        <w:trPr>
          <w:trHeight w:val="88"/>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39001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54980" cy="39001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2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59</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63" w:lineRule="exact"/>
        <w:rPr>
          <w:sz w:val="20"/>
          <w:szCs w:val="20"/>
          <w:color w:val="auto"/>
        </w:rPr>
      </w:pPr>
    </w:p>
    <w:p>
      <w:pPr>
        <w:ind w:left="1340" w:hanging="269"/>
        <w:spacing w:after="0"/>
        <w:tabs>
          <w:tab w:leader="none" w:pos="1340" w:val="left"/>
        </w:tabs>
        <w:numPr>
          <w:ilvl w:val="0"/>
          <w:numId w:val="20"/>
        </w:numPr>
        <w:rPr>
          <w:rFonts w:ascii="Arial" w:cs="Arial" w:eastAsia="Arial" w:hAnsi="Arial"/>
          <w:sz w:val="18"/>
          <w:szCs w:val="18"/>
          <w:color w:val="53C072"/>
        </w:rPr>
      </w:pPr>
      <w:r>
        <w:rPr>
          <w:rFonts w:ascii="Arial" w:cs="Arial" w:eastAsia="Arial" w:hAnsi="Arial"/>
          <w:sz w:val="14"/>
          <w:szCs w:val="14"/>
          <w:color w:val="auto"/>
        </w:rPr>
        <w:t>Audit</w:t>
      </w:r>
    </w:p>
    <w:p>
      <w:pPr>
        <w:spacing w:after="0" w:line="25" w:lineRule="exact"/>
        <w:rPr>
          <w:rFonts w:ascii="Arial" w:cs="Arial" w:eastAsia="Arial" w:hAnsi="Arial"/>
          <w:sz w:val="18"/>
          <w:szCs w:val="18"/>
          <w:color w:val="53C072"/>
        </w:rPr>
      </w:pPr>
    </w:p>
    <w:p>
      <w:pPr>
        <w:ind w:left="1340" w:hanging="269"/>
        <w:spacing w:after="0" w:line="205" w:lineRule="auto"/>
        <w:tabs>
          <w:tab w:leader="none" w:pos="1340" w:val="left"/>
        </w:tabs>
        <w:numPr>
          <w:ilvl w:val="0"/>
          <w:numId w:val="20"/>
        </w:numPr>
        <w:rPr>
          <w:rFonts w:ascii="Arial" w:cs="Arial" w:eastAsia="Arial" w:hAnsi="Arial"/>
          <w:sz w:val="18"/>
          <w:szCs w:val="18"/>
          <w:color w:val="53C072"/>
        </w:rPr>
      </w:pPr>
      <w:r>
        <w:rPr>
          <w:rFonts w:ascii="Arial" w:cs="Arial" w:eastAsia="Arial" w:hAnsi="Arial"/>
          <w:sz w:val="14"/>
          <w:szCs w:val="14"/>
          <w:color w:val="auto"/>
        </w:rPr>
        <w:t>Executive</w:t>
      </w:r>
    </w:p>
    <w:p>
      <w:pPr>
        <w:spacing w:after="0" w:line="25" w:lineRule="exact"/>
        <w:rPr>
          <w:rFonts w:ascii="Arial" w:cs="Arial" w:eastAsia="Arial" w:hAnsi="Arial"/>
          <w:sz w:val="18"/>
          <w:szCs w:val="18"/>
          <w:color w:val="53C072"/>
        </w:rPr>
      </w:pPr>
    </w:p>
    <w:p>
      <w:pPr>
        <w:ind w:left="1340" w:hanging="269"/>
        <w:spacing w:after="0" w:line="220" w:lineRule="auto"/>
        <w:tabs>
          <w:tab w:leader="none" w:pos="1340" w:val="left"/>
        </w:tabs>
        <w:numPr>
          <w:ilvl w:val="0"/>
          <w:numId w:val="20"/>
        </w:numPr>
        <w:rPr>
          <w:rFonts w:ascii="Arial" w:cs="Arial" w:eastAsia="Arial" w:hAnsi="Arial"/>
          <w:sz w:val="18"/>
          <w:szCs w:val="18"/>
          <w:color w:val="53C072"/>
        </w:rPr>
      </w:pPr>
      <w:r>
        <w:rPr>
          <w:rFonts w:ascii="Arial" w:cs="Arial" w:eastAsia="Arial" w:hAnsi="Arial"/>
          <w:sz w:val="14"/>
          <w:szCs w:val="14"/>
          <w:color w:val="auto"/>
        </w:rPr>
        <w:t>Finance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sz w:val="1"/>
          <w:szCs w:val="1"/>
          <w:color w:val="auto"/>
        </w:rPr>
        <w:drawing>
          <wp:inline distT="0" distB="0" distL="0" distR="0">
            <wp:extent cx="60325" cy="29146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291465"/>
                    </a:xfrm>
                    <a:prstGeom prst="rect">
                      <a:avLst/>
                    </a:prstGeom>
                    <a:noFill/>
                    <a:ln>
                      <a:noFill/>
                    </a:ln>
                  </pic:spPr>
                </pic:pic>
              </a:graphicData>
            </a:graphic>
          </wp:inline>
        </w:drawing>
      </w:r>
      <w:r>
        <w:rPr>
          <w:rFonts w:ascii="Arial" w:cs="Arial" w:eastAsia="Arial" w:hAnsi="Arial"/>
          <w:sz w:val="22"/>
          <w:szCs w:val="22"/>
          <w:b w:val="1"/>
          <w:bCs w:val="1"/>
          <w:color w:val="FEFEFE"/>
        </w:rPr>
        <w:t>OLEG KHAYKIN</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00" w:right="299"/>
        <w:spacing w:after="0" w:line="257" w:lineRule="auto"/>
        <w:rPr>
          <w:sz w:val="20"/>
          <w:szCs w:val="20"/>
          <w:color w:val="auto"/>
        </w:rPr>
      </w:pPr>
      <w:r>
        <w:rPr>
          <w:rFonts w:ascii="Arial" w:cs="Arial" w:eastAsia="Arial" w:hAnsi="Arial"/>
          <w:sz w:val="17"/>
          <w:szCs w:val="17"/>
          <w:color w:val="auto"/>
        </w:rPr>
        <w:t>Mr. Khaykin has served as the President and Chief Executive Officer and member of the board of directors of Viavi Solutions Inc. (Nasdaq: VIAV), a provider of network and service enablement solutions, since February 2016. From 2015 to 2016, he served as a Senior Advisor at Silver Lake Partners. Prior to that, Mr. Khaykin served as President and Chief Executive Officer and a member of the board of directors of International Rectifier, a maker of power semiconductors, from 2008 until its acquisition by Infineon AG in 2015. From 2003 to 2008, he served as Executive Vice President and Chief Operating Officer of Amkor Technology, Inc. (Nasdaq: AMKR), and from 1999 to 2003 as Vice President of Strategy &amp; Business Development at Conexant Systems, Inc. (Nasdaq: CNXT) and Mindspeed Technologies, Inc. (Nasdaq: MSPD). Mr. Khaykin had previously served on the boards of directors of Marvell Technology Group (Nasdaq: MRVL) from 2016 to July 2020 and Newport Corporation from 2010 until its acquisition by MKS Instruments in 2016.​</w:t>
      </w:r>
    </w:p>
    <w:p>
      <w:pPr>
        <w:spacing w:after="0" w:line="94" w:lineRule="exact"/>
        <w:rPr>
          <w:sz w:val="20"/>
          <w:szCs w:val="20"/>
          <w:color w:val="auto"/>
        </w:rPr>
      </w:pPr>
    </w:p>
    <w:tbl>
      <w:tblPr>
        <w:tblLayout w:type="fixed"/>
        <w:tblInd w:w="100" w:type="dxa"/>
        <w:tblCellMar>
          <w:top w:w="0" w:type="dxa"/>
          <w:left w:w="0" w:type="dxa"/>
          <w:bottom w:w="0" w:type="dxa"/>
          <w:right w:w="0" w:type="dxa"/>
        </w:tblCellMar>
      </w:tblPr>
      <w:tr>
        <w:trPr>
          <w:trHeight w:val="247"/>
        </w:trPr>
        <w:tc>
          <w:tcPr>
            <w:tcW w:w="3420" w:type="dxa"/>
            <w:vAlign w:val="bottom"/>
            <w:gridSpan w:val="3"/>
          </w:tcPr>
          <w:p>
            <w:pPr>
              <w:spacing w:after="0"/>
              <w:rPr>
                <w:sz w:val="20"/>
                <w:szCs w:val="20"/>
                <w:color w:val="auto"/>
              </w:rPr>
            </w:pPr>
            <w:r>
              <w:rPr>
                <w:rFonts w:ascii="Arial" w:cs="Arial" w:eastAsia="Arial" w:hAnsi="Arial"/>
                <w:sz w:val="18"/>
                <w:szCs w:val="18"/>
                <w:b w:val="1"/>
                <w:bCs w:val="1"/>
                <w:color w:val="53C072"/>
              </w:rPr>
              <w:t>Primary Qualifications and Experience:</w:t>
            </w:r>
          </w:p>
        </w:tc>
        <w:tc>
          <w:tcPr>
            <w:tcW w:w="2100" w:type="dxa"/>
            <w:vAlign w:val="bottom"/>
          </w:tcPr>
          <w:p>
            <w:pPr>
              <w:spacing w:after="0"/>
              <w:rPr>
                <w:sz w:val="21"/>
                <w:szCs w:val="21"/>
                <w:color w:val="auto"/>
              </w:rPr>
            </w:pPr>
          </w:p>
        </w:tc>
      </w:tr>
      <w:tr>
        <w:trPr>
          <w:trHeight w:val="249"/>
        </w:trPr>
        <w:tc>
          <w:tcPr>
            <w:tcW w:w="180" w:type="dxa"/>
            <w:vAlign w:val="bottom"/>
          </w:tcPr>
          <w:p>
            <w:pPr>
              <w:spacing w:after="0"/>
              <w:rPr>
                <w:sz w:val="20"/>
                <w:szCs w:val="20"/>
                <w:color w:val="auto"/>
              </w:rPr>
            </w:pPr>
            <w:r>
              <w:rPr>
                <w:rFonts w:ascii="Arial" w:cs="Arial" w:eastAsia="Arial" w:hAnsi="Arial"/>
                <w:sz w:val="18"/>
                <w:szCs w:val="18"/>
                <w:color w:val="53C072"/>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CEO</w:t>
            </w:r>
          </w:p>
        </w:tc>
        <w:tc>
          <w:tcPr>
            <w:tcW w:w="800" w:type="dxa"/>
            <w:vAlign w:val="bottom"/>
          </w:tcPr>
          <w:p>
            <w:pPr>
              <w:ind w:left="560"/>
              <w:spacing w:after="0"/>
              <w:rPr>
                <w:sz w:val="20"/>
                <w:szCs w:val="20"/>
                <w:color w:val="auto"/>
              </w:rPr>
            </w:pPr>
            <w:r>
              <w:rPr>
                <w:rFonts w:ascii="Arial" w:cs="Arial" w:eastAsia="Arial" w:hAnsi="Arial"/>
                <w:sz w:val="18"/>
                <w:szCs w:val="18"/>
                <w:color w:val="53C072"/>
              </w:rPr>
              <w:t>•</w:t>
            </w:r>
          </w:p>
        </w:tc>
        <w:tc>
          <w:tcPr>
            <w:tcW w:w="2100" w:type="dxa"/>
            <w:vAlign w:val="bottom"/>
          </w:tcPr>
          <w:p>
            <w:pPr>
              <w:ind w:left="80"/>
              <w:spacing w:after="0"/>
              <w:rPr>
                <w:sz w:val="20"/>
                <w:szCs w:val="20"/>
                <w:color w:val="auto"/>
              </w:rPr>
            </w:pPr>
            <w:r>
              <w:rPr>
                <w:rFonts w:ascii="Arial" w:cs="Arial" w:eastAsia="Arial" w:hAnsi="Arial"/>
                <w:sz w:val="18"/>
                <w:szCs w:val="18"/>
                <w:color w:val="auto"/>
                <w:w w:val="96"/>
              </w:rPr>
              <w:t>Technology/ Digital Media</w:t>
            </w:r>
          </w:p>
        </w:tc>
      </w:tr>
      <w:tr>
        <w:trPr>
          <w:trHeight w:val="257"/>
        </w:trPr>
        <w:tc>
          <w:tcPr>
            <w:tcW w:w="180" w:type="dxa"/>
            <w:vAlign w:val="bottom"/>
          </w:tcPr>
          <w:p>
            <w:pPr>
              <w:spacing w:after="0"/>
              <w:rPr>
                <w:sz w:val="20"/>
                <w:szCs w:val="20"/>
                <w:color w:val="auto"/>
              </w:rPr>
            </w:pPr>
            <w:r>
              <w:rPr>
                <w:rFonts w:ascii="Arial" w:cs="Arial" w:eastAsia="Arial" w:hAnsi="Arial"/>
                <w:sz w:val="18"/>
                <w:szCs w:val="18"/>
                <w:color w:val="53C072"/>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International Business</w:t>
            </w:r>
          </w:p>
        </w:tc>
        <w:tc>
          <w:tcPr>
            <w:tcW w:w="800" w:type="dxa"/>
            <w:vAlign w:val="bottom"/>
          </w:tcPr>
          <w:p>
            <w:pPr>
              <w:ind w:left="560"/>
              <w:spacing w:after="0"/>
              <w:rPr>
                <w:sz w:val="20"/>
                <w:szCs w:val="20"/>
                <w:color w:val="auto"/>
              </w:rPr>
            </w:pPr>
            <w:r>
              <w:rPr>
                <w:rFonts w:ascii="Arial" w:cs="Arial" w:eastAsia="Arial" w:hAnsi="Arial"/>
                <w:sz w:val="18"/>
                <w:szCs w:val="18"/>
                <w:color w:val="53C072"/>
              </w:rPr>
              <w:t>•</w:t>
            </w:r>
          </w:p>
        </w:tc>
        <w:tc>
          <w:tcPr>
            <w:tcW w:w="2100" w:type="dxa"/>
            <w:vAlign w:val="bottom"/>
          </w:tcPr>
          <w:p>
            <w:pPr>
              <w:ind w:left="80"/>
              <w:spacing w:after="0"/>
              <w:rPr>
                <w:sz w:val="20"/>
                <w:szCs w:val="20"/>
                <w:color w:val="auto"/>
              </w:rPr>
            </w:pPr>
            <w:r>
              <w:rPr>
                <w:rFonts w:ascii="Arial" w:cs="Arial" w:eastAsia="Arial" w:hAnsi="Arial"/>
                <w:sz w:val="18"/>
                <w:szCs w:val="18"/>
                <w:color w:val="auto"/>
              </w:rPr>
              <w:t>Risk Management</w:t>
            </w:r>
          </w:p>
        </w:tc>
      </w:tr>
      <w:tr>
        <w:trPr>
          <w:trHeight w:val="257"/>
        </w:trPr>
        <w:tc>
          <w:tcPr>
            <w:tcW w:w="180" w:type="dxa"/>
            <w:vAlign w:val="bottom"/>
          </w:tcPr>
          <w:p>
            <w:pPr>
              <w:spacing w:after="0"/>
              <w:rPr>
                <w:sz w:val="20"/>
                <w:szCs w:val="20"/>
                <w:color w:val="auto"/>
              </w:rPr>
            </w:pPr>
            <w:r>
              <w:rPr>
                <w:rFonts w:ascii="Arial" w:cs="Arial" w:eastAsia="Arial" w:hAnsi="Arial"/>
                <w:sz w:val="18"/>
                <w:szCs w:val="18"/>
                <w:color w:val="53C072"/>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Finance</w:t>
            </w:r>
          </w:p>
        </w:tc>
        <w:tc>
          <w:tcPr>
            <w:tcW w:w="800" w:type="dxa"/>
            <w:vAlign w:val="bottom"/>
          </w:tcPr>
          <w:p>
            <w:pPr>
              <w:ind w:left="560"/>
              <w:spacing w:after="0"/>
              <w:rPr>
                <w:sz w:val="20"/>
                <w:szCs w:val="20"/>
                <w:color w:val="auto"/>
              </w:rPr>
            </w:pPr>
            <w:r>
              <w:rPr>
                <w:rFonts w:ascii="Arial" w:cs="Arial" w:eastAsia="Arial" w:hAnsi="Arial"/>
                <w:sz w:val="18"/>
                <w:szCs w:val="18"/>
                <w:color w:val="53C072"/>
              </w:rPr>
              <w:t>•</w:t>
            </w:r>
          </w:p>
        </w:tc>
        <w:tc>
          <w:tcPr>
            <w:tcW w:w="2100" w:type="dxa"/>
            <w:vAlign w:val="bottom"/>
          </w:tcPr>
          <w:p>
            <w:pPr>
              <w:ind w:left="80"/>
              <w:spacing w:after="0"/>
              <w:rPr>
                <w:sz w:val="20"/>
                <w:szCs w:val="20"/>
                <w:color w:val="auto"/>
              </w:rPr>
            </w:pPr>
            <w:r>
              <w:rPr>
                <w:rFonts w:ascii="Arial" w:cs="Arial" w:eastAsia="Arial" w:hAnsi="Arial"/>
                <w:sz w:val="18"/>
                <w:szCs w:val="18"/>
                <w:color w:val="auto"/>
              </w:rPr>
              <w:t>Marketing</w:t>
            </w:r>
          </w:p>
        </w:tc>
      </w:tr>
      <w:tr>
        <w:trPr>
          <w:trHeight w:val="257"/>
        </w:trPr>
        <w:tc>
          <w:tcPr>
            <w:tcW w:w="180" w:type="dxa"/>
            <w:vAlign w:val="bottom"/>
          </w:tcPr>
          <w:p>
            <w:pPr>
              <w:spacing w:after="0"/>
              <w:rPr>
                <w:sz w:val="20"/>
                <w:szCs w:val="20"/>
                <w:color w:val="auto"/>
              </w:rPr>
            </w:pPr>
            <w:r>
              <w:rPr>
                <w:rFonts w:ascii="Arial" w:cs="Arial" w:eastAsia="Arial" w:hAnsi="Arial"/>
                <w:sz w:val="18"/>
                <w:szCs w:val="18"/>
                <w:color w:val="53C072"/>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800" w:type="dxa"/>
            <w:vAlign w:val="bottom"/>
          </w:tcPr>
          <w:p>
            <w:pPr>
              <w:ind w:left="560"/>
              <w:spacing w:after="0"/>
              <w:rPr>
                <w:sz w:val="20"/>
                <w:szCs w:val="20"/>
                <w:color w:val="auto"/>
              </w:rPr>
            </w:pPr>
            <w:r>
              <w:rPr>
                <w:rFonts w:ascii="Arial" w:cs="Arial" w:eastAsia="Arial" w:hAnsi="Arial"/>
                <w:sz w:val="18"/>
                <w:szCs w:val="18"/>
                <w:color w:val="53C072"/>
              </w:rPr>
              <w:t>•</w:t>
            </w:r>
          </w:p>
        </w:tc>
        <w:tc>
          <w:tcPr>
            <w:tcW w:w="2100" w:type="dxa"/>
            <w:vAlign w:val="bottom"/>
          </w:tcPr>
          <w:p>
            <w:pPr>
              <w:ind w:left="80"/>
              <w:spacing w:after="0"/>
              <w:rPr>
                <w:sz w:val="20"/>
                <w:szCs w:val="20"/>
                <w:color w:val="auto"/>
              </w:rPr>
            </w:pPr>
            <w:r>
              <w:rPr>
                <w:rFonts w:ascii="Arial" w:cs="Arial" w:eastAsia="Arial" w:hAnsi="Arial"/>
                <w:sz w:val="18"/>
                <w:szCs w:val="18"/>
                <w:color w:val="auto"/>
              </w:rPr>
              <w:t>Industry</w:t>
            </w:r>
          </w:p>
        </w:tc>
      </w:tr>
    </w:tbl>
    <w:p>
      <w:pPr>
        <w:spacing w:after="0" w:line="4" w:lineRule="exact"/>
        <w:rPr>
          <w:sz w:val="20"/>
          <w:szCs w:val="20"/>
          <w:color w:val="auto"/>
        </w:rPr>
      </w:pPr>
    </w:p>
    <w:p>
      <w:pPr>
        <w:ind w:left="100" w:right="379"/>
        <w:spacing w:after="0" w:line="271" w:lineRule="auto"/>
        <w:rPr>
          <w:sz w:val="20"/>
          <w:szCs w:val="20"/>
          <w:color w:val="auto"/>
        </w:rPr>
      </w:pPr>
      <w:r>
        <w:rPr>
          <w:rFonts w:ascii="Arial" w:cs="Arial" w:eastAsia="Arial" w:hAnsi="Arial"/>
          <w:sz w:val="17"/>
          <w:szCs w:val="17"/>
          <w:color w:val="auto"/>
        </w:rPr>
        <w:t>The Board benefits from Mr. Khaykin’s significant corporate leadership and management experience and extensive experience in the semiconductor industry. His experience with technology companies, and as both a prior customer and supplier to the Company, brings valuable insights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213995</wp:posOffset>
            </wp:positionV>
            <wp:extent cx="5554980" cy="32918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54980" cy="32918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720"/>
            <w:col w:w="64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2021</w:t>
      </w:r>
      <w:r>
        <w:rPr>
          <w:rFonts w:ascii="Arial" w:cs="Arial" w:eastAsia="Arial" w:hAnsi="Arial"/>
          <w:sz w:val="17"/>
          <w:szCs w:val="17"/>
          <w:color w:val="auto"/>
        </w:rPr>
        <w: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66</w:t>
      </w:r>
      <w:r>
        <w:rPr>
          <w:rFonts w:ascii="Arial" w:cs="Arial" w:eastAsia="Arial" w:hAnsi="Arial"/>
          <w:sz w:val="17"/>
          <w:szCs w:val="17"/>
          <w:color w:val="auto"/>
        </w:rPr>
        <w:t>​</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116" w:lineRule="exact"/>
        <w:rPr>
          <w:sz w:val="20"/>
          <w:szCs w:val="20"/>
          <w:color w:val="auto"/>
        </w:rPr>
      </w:pPr>
    </w:p>
    <w:p>
      <w:pPr>
        <w:ind w:left="1340" w:hanging="269"/>
        <w:spacing w:after="0"/>
        <w:tabs>
          <w:tab w:leader="none" w:pos="1340" w:val="left"/>
        </w:tabs>
        <w:numPr>
          <w:ilvl w:val="0"/>
          <w:numId w:val="21"/>
        </w:numPr>
        <w:rPr>
          <w:rFonts w:ascii="Arial" w:cs="Arial" w:eastAsia="Arial" w:hAnsi="Arial"/>
          <w:sz w:val="18"/>
          <w:szCs w:val="18"/>
          <w:color w:val="53C072"/>
        </w:rPr>
      </w:pPr>
      <w:r>
        <w:rPr>
          <w:rFonts w:ascii="Arial" w:cs="Arial" w:eastAsia="Arial" w:hAnsi="Arial"/>
          <w:sz w:val="14"/>
          <w:szCs w:val="14"/>
          <w:color w:val="auto"/>
        </w:rPr>
        <w:t>Audit</w:t>
      </w:r>
    </w:p>
    <w:p>
      <w:pPr>
        <w:spacing w:after="0" w:line="25" w:lineRule="exact"/>
        <w:rPr>
          <w:rFonts w:ascii="Arial" w:cs="Arial" w:eastAsia="Arial" w:hAnsi="Arial"/>
          <w:sz w:val="18"/>
          <w:szCs w:val="18"/>
          <w:color w:val="53C072"/>
        </w:rPr>
      </w:pPr>
    </w:p>
    <w:p>
      <w:pPr>
        <w:ind w:left="1340" w:hanging="269"/>
        <w:spacing w:after="0" w:line="205" w:lineRule="auto"/>
        <w:tabs>
          <w:tab w:leader="none" w:pos="1340" w:val="left"/>
        </w:tabs>
        <w:numPr>
          <w:ilvl w:val="0"/>
          <w:numId w:val="21"/>
        </w:numPr>
        <w:rPr>
          <w:rFonts w:ascii="Arial" w:cs="Arial" w:eastAsia="Arial" w:hAnsi="Arial"/>
          <w:sz w:val="18"/>
          <w:szCs w:val="18"/>
          <w:color w:val="53C072"/>
        </w:rPr>
      </w:pPr>
      <w:r>
        <w:rPr>
          <w:rFonts w:ascii="Arial" w:cs="Arial" w:eastAsia="Arial" w:hAnsi="Arial"/>
          <w:sz w:val="14"/>
          <w:szCs w:val="14"/>
          <w:color w:val="auto"/>
        </w:rPr>
        <w:t>Finance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tabs>
          <w:tab w:leader="none" w:pos="636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ERNEST E. MADDOCK</w:t>
      </w:r>
      <w:r>
        <w:rPr>
          <w:sz w:val="20"/>
          <w:szCs w:val="20"/>
          <w:color w:val="auto"/>
        </w:rPr>
        <w:tab/>
      </w:r>
      <w:r>
        <w:rPr>
          <w:rFonts w:ascii="Arial" w:cs="Arial" w:eastAsia="Arial" w:hAnsi="Arial"/>
          <w:sz w:val="29"/>
          <w:szCs w:val="29"/>
          <w:color w:val="auto"/>
          <w:vertAlign w:val="superscript"/>
        </w:rPr>
        <w: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80" w:right="239"/>
        <w:spacing w:after="0" w:line="260" w:lineRule="auto"/>
        <w:rPr>
          <w:sz w:val="20"/>
          <w:szCs w:val="20"/>
          <w:color w:val="auto"/>
        </w:rPr>
      </w:pPr>
      <w:r>
        <w:rPr>
          <w:rFonts w:ascii="Arial" w:cs="Arial" w:eastAsia="Arial" w:hAnsi="Arial"/>
          <w:sz w:val="17"/>
          <w:szCs w:val="17"/>
          <w:color w:val="auto"/>
        </w:rPr>
        <w:t>Mr. Maddock served as Chief Financial Officer and Senior Vice President of Micron Technology, Inc. (Nasdaq: MU) from 2015 until his retirement in 2018. Prior to that, he served as Chief Financial Officer of Riverbed Technology, Inc. from 2013 to 2015. From 1997 to 2013, Mr. Maddock served in various roles at Lam Research Corporation (Nasdaq: LRCX), last as Chief Financial Officer from 2008 to 2013. He has served on the board of directors of Ultra Clean Holdings Inc. (Nasdaq: UCTT) since June 2018; Velodyne Lidar (NASDAQ: VLDR), now Ouster, Inc. (NYSE: OUST), since January 2022; and Teradyne, Inc. (NASDAQ: TER) since November 2022. Mr. Maddock previously served on the board of Intersil Corporation (Nasdaq: ISIL) from 2015 to 2017.</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74"/>
        </w:trPr>
        <w:tc>
          <w:tcPr>
            <w:tcW w:w="3540" w:type="dxa"/>
            <w:vAlign w:val="bottom"/>
            <w:tcBorders>
              <w:top w:val="single" w:sz="8" w:color="53C072"/>
            </w:tcBorders>
            <w:gridSpan w:val="3"/>
          </w:tcPr>
          <w:p>
            <w:pPr>
              <w:ind w:left="120"/>
              <w:spacing w:after="0"/>
              <w:rPr>
                <w:sz w:val="20"/>
                <w:szCs w:val="20"/>
                <w:color w:val="auto"/>
              </w:rPr>
            </w:pPr>
            <w:r>
              <w:rPr>
                <w:rFonts w:ascii="Arial" w:cs="Arial" w:eastAsia="Arial" w:hAnsi="Arial"/>
                <w:sz w:val="18"/>
                <w:szCs w:val="18"/>
                <w:b w:val="1"/>
                <w:bCs w:val="1"/>
                <w:color w:val="53C072"/>
              </w:rPr>
              <w:t>Primary Qualifications and Experience:</w:t>
            </w:r>
          </w:p>
        </w:tc>
        <w:tc>
          <w:tcPr>
            <w:tcW w:w="2840" w:type="dxa"/>
            <w:vAlign w:val="bottom"/>
            <w:tcBorders>
              <w:top w:val="single" w:sz="8" w:color="53C072"/>
            </w:tcBorders>
          </w:tcPr>
          <w:p>
            <w:pPr>
              <w:spacing w:after="0"/>
              <w:rPr>
                <w:sz w:val="23"/>
                <w:szCs w:val="23"/>
                <w:color w:val="auto"/>
              </w:rPr>
            </w:pPr>
          </w:p>
        </w:tc>
      </w:tr>
      <w:tr>
        <w:trPr>
          <w:trHeight w:val="257"/>
        </w:trPr>
        <w:tc>
          <w:tcPr>
            <w:tcW w:w="300" w:type="dxa"/>
            <w:vAlign w:val="bottom"/>
          </w:tcPr>
          <w:p>
            <w:pPr>
              <w:ind w:left="120"/>
              <w:spacing w:after="0"/>
              <w:rPr>
                <w:sz w:val="20"/>
                <w:szCs w:val="20"/>
                <w:color w:val="auto"/>
              </w:rPr>
            </w:pPr>
            <w:r>
              <w:rPr>
                <w:rFonts w:ascii="Arial" w:cs="Arial" w:eastAsia="Arial" w:hAnsi="Arial"/>
                <w:sz w:val="18"/>
                <w:szCs w:val="18"/>
                <w:color w:val="53C072"/>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International Business</w:t>
            </w:r>
          </w:p>
        </w:tc>
        <w:tc>
          <w:tcPr>
            <w:tcW w:w="800" w:type="dxa"/>
            <w:vAlign w:val="bottom"/>
          </w:tcPr>
          <w:p>
            <w:pPr>
              <w:ind w:left="560"/>
              <w:spacing w:after="0"/>
              <w:rPr>
                <w:sz w:val="20"/>
                <w:szCs w:val="20"/>
                <w:color w:val="auto"/>
              </w:rPr>
            </w:pPr>
            <w:r>
              <w:rPr>
                <w:rFonts w:ascii="Arial" w:cs="Arial" w:eastAsia="Arial" w:hAnsi="Arial"/>
                <w:sz w:val="18"/>
                <w:szCs w:val="18"/>
                <w:color w:val="53C072"/>
              </w:rPr>
              <w:t>•</w:t>
            </w:r>
          </w:p>
        </w:tc>
        <w:tc>
          <w:tcPr>
            <w:tcW w:w="2840" w:type="dxa"/>
            <w:vAlign w:val="bottom"/>
          </w:tcPr>
          <w:p>
            <w:pPr>
              <w:ind w:left="80"/>
              <w:spacing w:after="0"/>
              <w:rPr>
                <w:sz w:val="20"/>
                <w:szCs w:val="20"/>
                <w:color w:val="auto"/>
              </w:rPr>
            </w:pPr>
            <w:r>
              <w:rPr>
                <w:rFonts w:ascii="Arial" w:cs="Arial" w:eastAsia="Arial" w:hAnsi="Arial"/>
                <w:sz w:val="18"/>
                <w:szCs w:val="18"/>
                <w:color w:val="auto"/>
              </w:rPr>
              <w:t>Risk Management</w:t>
            </w:r>
          </w:p>
        </w:tc>
      </w:tr>
      <w:tr>
        <w:trPr>
          <w:trHeight w:val="257"/>
        </w:trPr>
        <w:tc>
          <w:tcPr>
            <w:tcW w:w="300" w:type="dxa"/>
            <w:vAlign w:val="bottom"/>
          </w:tcPr>
          <w:p>
            <w:pPr>
              <w:ind w:left="120"/>
              <w:spacing w:after="0"/>
              <w:rPr>
                <w:sz w:val="20"/>
                <w:szCs w:val="20"/>
                <w:color w:val="auto"/>
              </w:rPr>
            </w:pPr>
            <w:r>
              <w:rPr>
                <w:rFonts w:ascii="Arial" w:cs="Arial" w:eastAsia="Arial" w:hAnsi="Arial"/>
                <w:sz w:val="18"/>
                <w:szCs w:val="18"/>
                <w:color w:val="53C072"/>
              </w:rPr>
              <w:t>•</w:t>
            </w:r>
          </w:p>
        </w:tc>
        <w:tc>
          <w:tcPr>
            <w:tcW w:w="2440" w:type="dxa"/>
            <w:vAlign w:val="bottom"/>
          </w:tcPr>
          <w:p>
            <w:pPr>
              <w:ind w:left="140"/>
              <w:spacing w:after="0"/>
              <w:rPr>
                <w:sz w:val="20"/>
                <w:szCs w:val="20"/>
                <w:color w:val="auto"/>
              </w:rPr>
            </w:pPr>
            <w:r>
              <w:rPr>
                <w:rFonts w:ascii="Arial" w:cs="Arial" w:eastAsia="Arial" w:hAnsi="Arial"/>
                <w:sz w:val="18"/>
                <w:szCs w:val="18"/>
                <w:color w:val="auto"/>
              </w:rPr>
              <w:t>Finance</w:t>
            </w:r>
          </w:p>
        </w:tc>
        <w:tc>
          <w:tcPr>
            <w:tcW w:w="800" w:type="dxa"/>
            <w:vAlign w:val="bottom"/>
          </w:tcPr>
          <w:p>
            <w:pPr>
              <w:ind w:left="560"/>
              <w:spacing w:after="0"/>
              <w:rPr>
                <w:sz w:val="20"/>
                <w:szCs w:val="20"/>
                <w:color w:val="auto"/>
              </w:rPr>
            </w:pPr>
            <w:r>
              <w:rPr>
                <w:rFonts w:ascii="Arial" w:cs="Arial" w:eastAsia="Arial" w:hAnsi="Arial"/>
                <w:sz w:val="18"/>
                <w:szCs w:val="18"/>
                <w:color w:val="53C072"/>
              </w:rPr>
              <w:t>•</w:t>
            </w:r>
          </w:p>
        </w:tc>
        <w:tc>
          <w:tcPr>
            <w:tcW w:w="2840" w:type="dxa"/>
            <w:vAlign w:val="bottom"/>
          </w:tcPr>
          <w:p>
            <w:pPr>
              <w:ind w:left="80"/>
              <w:spacing w:after="0"/>
              <w:rPr>
                <w:sz w:val="20"/>
                <w:szCs w:val="20"/>
                <w:color w:val="auto"/>
              </w:rPr>
            </w:pPr>
            <w:r>
              <w:rPr>
                <w:rFonts w:ascii="Arial" w:cs="Arial" w:eastAsia="Arial" w:hAnsi="Arial"/>
                <w:sz w:val="18"/>
                <w:szCs w:val="18"/>
                <w:color w:val="auto"/>
              </w:rPr>
              <w:t>Operations</w:t>
            </w:r>
          </w:p>
        </w:tc>
      </w:tr>
    </w:tbl>
    <w:p>
      <w:pPr>
        <w:spacing w:after="0" w:line="4" w:lineRule="exact"/>
        <w:rPr>
          <w:sz w:val="20"/>
          <w:szCs w:val="20"/>
          <w:color w:val="auto"/>
        </w:rPr>
      </w:pPr>
    </w:p>
    <w:p>
      <w:pPr>
        <w:ind w:left="180" w:right="239"/>
        <w:spacing w:after="0" w:line="251" w:lineRule="auto"/>
        <w:rPr>
          <w:sz w:val="20"/>
          <w:szCs w:val="20"/>
          <w:color w:val="auto"/>
        </w:rPr>
      </w:pPr>
      <w:r>
        <w:rPr>
          <w:rFonts w:ascii="Arial" w:cs="Arial" w:eastAsia="Arial" w:hAnsi="Arial"/>
          <w:sz w:val="18"/>
          <w:szCs w:val="18"/>
          <w:color w:val="auto"/>
        </w:rPr>
        <w:t>The Board benefits from Mr. Maddock’s breadth of global business experience, including risk management and operations, and experience in the semiconductor industry. Additionally, as a former Chief Financial Officer for multiple public companies, Mr. Maddock has extensive experience in finance and accounting, particularly as it applies to public companies.</w:t>
      </w:r>
    </w:p>
    <w:p>
      <w:pPr>
        <w:spacing w:after="0" w:line="200" w:lineRule="exact"/>
        <w:rPr>
          <w:sz w:val="20"/>
          <w:szCs w:val="20"/>
          <w:color w:val="auto"/>
        </w:rPr>
      </w:pPr>
    </w:p>
    <w:p>
      <w:pPr>
        <w:sectPr>
          <w:pgSz w:w="11900" w:h="16838" w:orient="portrait"/>
          <w:cols w:equalWidth="0" w:num="2">
            <w:col w:w="2580" w:space="720"/>
            <w:col w:w="6579"/>
          </w:cols>
          <w:pgMar w:left="580" w:top="97" w:right="1440" w:bottom="1440" w:gutter="0" w:footer="0" w:header="0"/>
          <w:type w:val="continuous"/>
        </w:sectPr>
      </w:pPr>
    </w:p>
    <w:p>
      <w:pPr>
        <w:spacing w:after="0" w:line="304"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700" w:type="dxa"/>
            <w:vAlign w:val="bottom"/>
            <w:vMerge w:val="restart"/>
          </w:tcPr>
          <w:p>
            <w:pPr>
              <w:ind w:left="2680"/>
              <w:spacing w:after="0"/>
              <w:rPr>
                <w:sz w:val="20"/>
                <w:szCs w:val="20"/>
                <w:color w:val="auto"/>
              </w:rPr>
            </w:pPr>
            <w:r>
              <w:rPr>
                <w:rFonts w:ascii="Arial" w:cs="Arial" w:eastAsia="Arial" w:hAnsi="Arial"/>
                <w:sz w:val="14"/>
                <w:szCs w:val="14"/>
                <w:color w:val="auto"/>
                <w:w w:val="99"/>
              </w:rPr>
              <w:t>Proposal 1: Election of Directors</w:t>
            </w:r>
          </w:p>
        </w:tc>
        <w:tc>
          <w:tcPr>
            <w:tcW w:w="0" w:type="dxa"/>
            <w:vAlign w:val="bottom"/>
          </w:tcPr>
          <w:p>
            <w:pPr>
              <w:spacing w:after="0"/>
              <w:rPr>
                <w:sz w:val="1"/>
                <w:szCs w:val="1"/>
                <w:color w:val="auto"/>
              </w:rPr>
            </w:pPr>
          </w:p>
        </w:tc>
      </w:tr>
      <w:tr>
        <w:trPr>
          <w:trHeight w:val="88"/>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37115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54980" cy="37115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2014</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82" w:lineRule="exact"/>
        <w:rPr>
          <w:sz w:val="20"/>
          <w:szCs w:val="20"/>
          <w:color w:val="auto"/>
        </w:rPr>
      </w:pPr>
    </w:p>
    <w:p>
      <w:pPr>
        <w:ind w:left="1340" w:hanging="269"/>
        <w:spacing w:after="0" w:line="183" w:lineRule="auto"/>
        <w:tabs>
          <w:tab w:leader="none" w:pos="1340" w:val="left"/>
        </w:tabs>
        <w:numPr>
          <w:ilvl w:val="0"/>
          <w:numId w:val="22"/>
        </w:numPr>
        <w:rPr>
          <w:rFonts w:ascii="Arial" w:cs="Arial" w:eastAsia="Arial" w:hAnsi="Arial"/>
          <w:sz w:val="31"/>
          <w:szCs w:val="31"/>
          <w:color w:val="53C072"/>
          <w:vertAlign w:val="subscript"/>
        </w:rPr>
      </w:pPr>
      <w:r>
        <w:rPr>
          <w:rFonts w:ascii="Arial" w:cs="Arial" w:eastAsia="Arial" w:hAnsi="Arial"/>
          <w:sz w:val="13"/>
          <w:szCs w:val="13"/>
          <w:color w:val="auto"/>
        </w:rPr>
        <w:t>Compensation and Leadership Development</w:t>
      </w:r>
      <w:r>
        <w:rPr>
          <w:rFonts w:ascii="Arial" w:cs="Arial" w:eastAsia="Arial" w:hAnsi="Arial"/>
          <w:sz w:val="15"/>
          <w:szCs w:val="15"/>
          <w:color w:val="auto"/>
        </w:rPr>
        <w:t>​</w:t>
      </w:r>
    </w:p>
    <w:p>
      <w:pPr>
        <w:spacing w:after="0" w:line="1" w:lineRule="exact"/>
        <w:rPr>
          <w:rFonts w:ascii="Arial" w:cs="Arial" w:eastAsia="Arial" w:hAnsi="Arial"/>
          <w:sz w:val="31"/>
          <w:szCs w:val="31"/>
          <w:color w:val="53C072"/>
          <w:vertAlign w:val="subscript"/>
        </w:rPr>
      </w:pPr>
    </w:p>
    <w:p>
      <w:pPr>
        <w:ind w:left="1340" w:hanging="269"/>
        <w:spacing w:after="0" w:line="181" w:lineRule="auto"/>
        <w:tabs>
          <w:tab w:leader="none" w:pos="1340" w:val="left"/>
        </w:tabs>
        <w:numPr>
          <w:ilvl w:val="0"/>
          <w:numId w:val="22"/>
        </w:numPr>
        <w:rPr>
          <w:rFonts w:ascii="Arial" w:cs="Arial" w:eastAsia="Arial" w:hAnsi="Arial"/>
          <w:sz w:val="25"/>
          <w:szCs w:val="25"/>
          <w:color w:val="53C072"/>
          <w:vertAlign w:val="subscript"/>
        </w:rPr>
      </w:pPr>
      <w:r>
        <w:rPr>
          <w:rFonts w:ascii="Arial" w:cs="Arial" w:eastAsia="Arial" w:hAnsi="Arial"/>
          <w:sz w:val="12"/>
          <w:szCs w:val="12"/>
          <w:color w:val="auto"/>
        </w:rPr>
        <w:t>Corporate Governance (Chair)</w:t>
      </w:r>
    </w:p>
    <w:p>
      <w:pPr>
        <w:spacing w:after="0" w:line="13" w:lineRule="exact"/>
        <w:rPr>
          <w:rFonts w:ascii="Arial" w:cs="Arial" w:eastAsia="Arial" w:hAnsi="Arial"/>
          <w:sz w:val="25"/>
          <w:szCs w:val="25"/>
          <w:color w:val="53C072"/>
          <w:vertAlign w:val="subscript"/>
        </w:rPr>
      </w:pPr>
    </w:p>
    <w:p>
      <w:pPr>
        <w:spacing w:after="0"/>
        <w:tabs>
          <w:tab w:leader="none" w:pos="0" w:val="left"/>
        </w:tabs>
        <w:numPr>
          <w:ilvl w:val="0"/>
          <w:numId w:val="22"/>
        </w:numPr>
        <w:rPr>
          <w:rFonts w:ascii="Arial" w:cs="Arial" w:eastAsia="Arial" w:hAnsi="Arial"/>
          <w:sz w:val="14"/>
          <w:szCs w:val="14"/>
          <w:color w:val="53C072"/>
        </w:rPr>
      </w:pPr>
    </w:p>
    <w:p>
      <w:pPr>
        <w:spacing w:after="0" w:line="1" w:lineRule="exact"/>
        <w:rPr>
          <w:rFonts w:ascii="Arial" w:cs="Arial" w:eastAsia="Arial" w:hAnsi="Arial"/>
          <w:sz w:val="14"/>
          <w:szCs w:val="14"/>
          <w:color w:val="53C072"/>
        </w:rPr>
      </w:pPr>
    </w:p>
    <w:p>
      <w:pPr>
        <w:ind w:left="1340"/>
        <w:spacing w:after="0"/>
        <w:rPr>
          <w:rFonts w:ascii="Arial" w:cs="Arial" w:eastAsia="Arial" w:hAnsi="Arial"/>
          <w:sz w:val="14"/>
          <w:szCs w:val="14"/>
          <w:color w:val="53C072"/>
        </w:rPr>
      </w:pPr>
      <w:r>
        <w:rPr>
          <w:rFonts w:ascii="Arial" w:cs="Arial" w:eastAsia="Arial" w:hAnsi="Arial"/>
          <w:sz w:val="14"/>
          <w:szCs w:val="14"/>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tabs>
          <w:tab w:leader="none" w:pos="634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AVID MODJTABAI</w:t>
      </w:r>
      <w:r>
        <w:rPr>
          <w:sz w:val="20"/>
          <w:szCs w:val="20"/>
          <w:color w:val="auto"/>
        </w:rPr>
        <w:tab/>
      </w:r>
      <w:r>
        <w:rPr>
          <w:rFonts w:ascii="Arial" w:cs="Arial" w:eastAsia="Arial" w:hAnsi="Arial"/>
          <w:sz w:val="29"/>
          <w:szCs w:val="29"/>
          <w:color w:val="auto"/>
          <w:vertAlign w:val="superscript"/>
        </w:rPr>
        <w: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60" w:right="339"/>
        <w:spacing w:after="0" w:line="269" w:lineRule="auto"/>
        <w:rPr>
          <w:sz w:val="20"/>
          <w:szCs w:val="20"/>
          <w:color w:val="auto"/>
        </w:rPr>
      </w:pPr>
      <w:r>
        <w:rPr>
          <w:rFonts w:ascii="Arial" w:cs="Arial" w:eastAsia="Arial" w:hAnsi="Arial"/>
          <w:sz w:val="17"/>
          <w:szCs w:val="17"/>
          <w:color w:val="auto"/>
        </w:rPr>
        <w:t>Ms. Modjtabai served as the Senior Executive Vice President and head of the Payments, Virtual Solutions and Innovation Group at Wells Fargo (NYSE: WFC) until March 2020, when she retired from Wells Fargo after 27 years. Prior to that, she served in various leadership roles at Wells Fargo, including Group head for Wells Fargo Consumer Lending from 2011 to 2016; Chief Information Officer and head of Technology and Operations Group from 2008 to 2011; Chief Information Officer and head of technology from 2007 to 2008; Director of Human Resources from 2005 to 2007; Executive Vice President, Head, of the Internet Services Group from 2001 to 2005; Senior Vice President of Consumer Internet Services from 1999 to 2001; and held leadership roles in the enterprise internet services group, consumer deposits, and corporate strategy from 1993 to 2001. Ms. Modjtabai has served on the board of directors of Prologis, Inc. (NYSE: PLD) since February 2020.</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Finance</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Technology/ Digital Media</w:t>
      </w:r>
    </w:p>
    <w:p>
      <w:pPr>
        <w:spacing w:after="0" w:line="63"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Marketing</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Operations</w:t>
      </w:r>
    </w:p>
    <w:p>
      <w:pPr>
        <w:spacing w:after="0" w:line="63" w:lineRule="exact"/>
        <w:rPr>
          <w:sz w:val="20"/>
          <w:szCs w:val="20"/>
          <w:color w:val="auto"/>
        </w:rPr>
      </w:pPr>
    </w:p>
    <w:p>
      <w:pPr>
        <w:ind w:left="500" w:hanging="333"/>
        <w:spacing w:after="0"/>
        <w:tabs>
          <w:tab w:leader="none" w:pos="500" w:val="left"/>
        </w:tabs>
        <w:numPr>
          <w:ilvl w:val="0"/>
          <w:numId w:val="23"/>
        </w:numPr>
        <w:rPr>
          <w:rFonts w:ascii="Arial" w:cs="Arial" w:eastAsia="Arial" w:hAnsi="Arial"/>
          <w:sz w:val="18"/>
          <w:szCs w:val="18"/>
          <w:color w:val="53C072"/>
        </w:rPr>
      </w:pPr>
      <w:r>
        <w:rPr>
          <w:rFonts w:ascii="Arial" w:cs="Arial" w:eastAsia="Arial" w:hAnsi="Arial"/>
          <w:sz w:val="18"/>
          <w:szCs w:val="18"/>
          <w:color w:val="auto"/>
        </w:rPr>
        <w:t>Risk Management</w:t>
      </w:r>
    </w:p>
    <w:p>
      <w:pPr>
        <w:spacing w:after="0" w:line="77" w:lineRule="exact"/>
        <w:rPr>
          <w:sz w:val="20"/>
          <w:szCs w:val="20"/>
          <w:color w:val="auto"/>
        </w:rPr>
      </w:pPr>
    </w:p>
    <w:p>
      <w:pPr>
        <w:ind w:left="160" w:right="279"/>
        <w:spacing w:after="0" w:line="268" w:lineRule="auto"/>
        <w:rPr>
          <w:sz w:val="20"/>
          <w:szCs w:val="20"/>
          <w:color w:val="auto"/>
        </w:rPr>
      </w:pPr>
      <w:r>
        <w:rPr>
          <w:rFonts w:ascii="Arial" w:cs="Arial" w:eastAsia="Arial" w:hAnsi="Arial"/>
          <w:sz w:val="18"/>
          <w:szCs w:val="18"/>
          <w:color w:val="auto"/>
        </w:rPr>
        <w:t>The Board benefits from Ms. Modjtabai’s extensive experience in operations and strategy development. The Board also benefits from her experience in the areas of financial services and change management.</w:t>
      </w:r>
    </w:p>
    <w:p>
      <w:pPr>
        <w:spacing w:after="0" w:line="200" w:lineRule="exact"/>
        <w:rPr>
          <w:sz w:val="20"/>
          <w:szCs w:val="20"/>
          <w:color w:val="auto"/>
        </w:rPr>
      </w:pPr>
    </w:p>
    <w:p>
      <w:pPr>
        <w:sectPr>
          <w:pgSz w:w="11900" w:h="16838" w:orient="portrait"/>
          <w:cols w:equalWidth="0" w:num="2">
            <w:col w:w="3280" w:space="40"/>
            <w:col w:w="65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14     </w:t>
      </w:r>
      <w:r>
        <w:rPr>
          <w:sz w:val="1"/>
          <w:szCs w:val="1"/>
          <w:color w:val="auto"/>
        </w:rPr>
        <w:drawing>
          <wp:inline distT="0" distB="0" distL="0" distR="0">
            <wp:extent cx="1242695" cy="24003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700" w:type="dxa"/>
            <w:vAlign w:val="bottom"/>
            <w:vMerge w:val="restart"/>
          </w:tcPr>
          <w:p>
            <w:pPr>
              <w:ind w:left="2680"/>
              <w:spacing w:after="0"/>
              <w:rPr>
                <w:sz w:val="20"/>
                <w:szCs w:val="20"/>
                <w:color w:val="auto"/>
              </w:rPr>
            </w:pPr>
            <w:r>
              <w:rPr>
                <w:rFonts w:ascii="Arial" w:cs="Arial" w:eastAsia="Arial" w:hAnsi="Arial"/>
                <w:sz w:val="14"/>
                <w:szCs w:val="14"/>
                <w:color w:val="auto"/>
                <w:w w:val="99"/>
              </w:rPr>
              <w:t>Proposal 1: Election of Directors</w:t>
            </w:r>
          </w:p>
        </w:tc>
        <w:tc>
          <w:tcPr>
            <w:tcW w:w="0" w:type="dxa"/>
            <w:vAlign w:val="bottom"/>
          </w:tcPr>
          <w:p>
            <w:pPr>
              <w:spacing w:after="0"/>
              <w:rPr>
                <w:sz w:val="1"/>
                <w:szCs w:val="1"/>
                <w:color w:val="auto"/>
              </w:rPr>
            </w:pPr>
          </w:p>
        </w:tc>
      </w:tr>
      <w:tr>
        <w:trPr>
          <w:trHeight w:val="88"/>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404495</wp:posOffset>
            </wp:positionV>
            <wp:extent cx="5554980" cy="4577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54980" cy="45777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2019</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65</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134" w:lineRule="exact"/>
        <w:rPr>
          <w:sz w:val="20"/>
          <w:szCs w:val="20"/>
          <w:color w:val="auto"/>
        </w:rPr>
      </w:pPr>
    </w:p>
    <w:p>
      <w:pPr>
        <w:ind w:left="1340" w:hanging="269"/>
        <w:spacing w:after="0" w:line="181" w:lineRule="auto"/>
        <w:tabs>
          <w:tab w:leader="none" w:pos="1340" w:val="left"/>
        </w:tabs>
        <w:numPr>
          <w:ilvl w:val="0"/>
          <w:numId w:val="24"/>
        </w:numPr>
        <w:rPr>
          <w:rFonts w:ascii="Arial" w:cs="Arial" w:eastAsia="Arial" w:hAnsi="Arial"/>
          <w:sz w:val="30"/>
          <w:szCs w:val="30"/>
          <w:color w:val="53C072"/>
          <w:vertAlign w:val="subscript"/>
        </w:rPr>
      </w:pPr>
      <w:r>
        <w:rPr>
          <w:rFonts w:ascii="Arial" w:cs="Arial" w:eastAsia="Arial" w:hAnsi="Arial"/>
          <w:sz w:val="13"/>
          <w:szCs w:val="13"/>
          <w:color w:val="auto"/>
        </w:rPr>
        <w:t>Compensation and Leadership Development</w:t>
      </w:r>
      <w:r>
        <w:rPr>
          <w:rFonts w:ascii="Arial" w:cs="Arial" w:eastAsia="Arial" w:hAnsi="Arial"/>
          <w:sz w:val="15"/>
          <w:szCs w:val="15"/>
          <w:color w:val="auto"/>
        </w:rPr>
        <w:t>​</w:t>
      </w:r>
    </w:p>
    <w:p>
      <w:pPr>
        <w:spacing w:after="0" w:line="65" w:lineRule="exact"/>
        <w:rPr>
          <w:rFonts w:ascii="Arial" w:cs="Arial" w:eastAsia="Arial" w:hAnsi="Arial"/>
          <w:sz w:val="30"/>
          <w:szCs w:val="30"/>
          <w:color w:val="53C072"/>
          <w:vertAlign w:val="subscript"/>
        </w:rPr>
      </w:pPr>
    </w:p>
    <w:p>
      <w:pPr>
        <w:ind w:left="1340" w:hanging="269"/>
        <w:spacing w:after="0"/>
        <w:tabs>
          <w:tab w:leader="none" w:pos="1340" w:val="left"/>
        </w:tabs>
        <w:numPr>
          <w:ilvl w:val="0"/>
          <w:numId w:val="24"/>
        </w:numPr>
        <w:rPr>
          <w:rFonts w:ascii="Arial" w:cs="Arial" w:eastAsia="Arial" w:hAnsi="Arial"/>
          <w:sz w:val="18"/>
          <w:szCs w:val="18"/>
          <w:color w:val="53C072"/>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6340" w:val="left"/>
        </w:tabs>
        <w:rPr>
          <w:sz w:val="20"/>
          <w:szCs w:val="20"/>
          <w:color w:val="auto"/>
        </w:rPr>
      </w:pPr>
      <w:r>
        <w:rPr>
          <w:rFonts w:ascii="Arial" w:cs="Arial" w:eastAsia="Arial" w:hAnsi="Arial"/>
          <w:sz w:val="28"/>
          <w:szCs w:val="28"/>
          <w:color w:val="000000"/>
          <w:vertAlign w:val="superscript"/>
        </w:rPr>
        <w:t>​ ​</w:t>
      </w:r>
      <w:r>
        <w:rPr>
          <w:rFonts w:ascii="Arial" w:cs="Arial" w:eastAsia="Arial" w:hAnsi="Arial"/>
          <w:sz w:val="22"/>
          <w:szCs w:val="22"/>
          <w:b w:val="1"/>
          <w:bCs w:val="1"/>
          <w:color w:val="FEFEFE"/>
        </w:rPr>
        <w:t>ADALIO T. SANCHEZ</w:t>
      </w:r>
      <w:r>
        <w:rPr>
          <w:sz w:val="20"/>
          <w:szCs w:val="20"/>
          <w:color w:val="auto"/>
        </w:rPr>
        <w:tab/>
      </w:r>
      <w:r>
        <w:rPr>
          <w:rFonts w:ascii="Arial" w:cs="Arial" w:eastAsia="Arial" w:hAnsi="Arial"/>
          <w:sz w:val="29"/>
          <w:szCs w:val="29"/>
          <w:color w:val="auto"/>
          <w:vertAlign w:val="superscript"/>
        </w:rPr>
        <w: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Recent Business Experience:</w:t>
      </w:r>
    </w:p>
    <w:p>
      <w:pPr>
        <w:spacing w:after="0" w:line="117" w:lineRule="exact"/>
        <w:rPr>
          <w:sz w:val="20"/>
          <w:szCs w:val="20"/>
          <w:color w:val="auto"/>
        </w:rPr>
      </w:pPr>
    </w:p>
    <w:p>
      <w:pPr>
        <w:ind w:left="160" w:right="259"/>
        <w:spacing w:after="0" w:line="268" w:lineRule="auto"/>
        <w:rPr>
          <w:sz w:val="20"/>
          <w:szCs w:val="20"/>
          <w:color w:val="auto"/>
        </w:rPr>
      </w:pPr>
      <w:r>
        <w:rPr>
          <w:rFonts w:ascii="Arial" w:cs="Arial" w:eastAsia="Arial" w:hAnsi="Arial"/>
          <w:sz w:val="17"/>
          <w:szCs w:val="17"/>
          <w:color w:val="auto"/>
        </w:rPr>
        <w:t>Mr. Sanchez is President of S Group Advisory LLC, a management consulting firm providing advisory services on business strategy, technology, and operational excellence. He also serves on the board of directors of ACI Worldwide Inc. (NASDAQ: ACIW), a software company serving the electronics payments market, since 2015 and has been board Chairman since 2022; and on the supervisory board of ASM International NV (NL: ASM), a Netherlands-based semiconductor wafer fabrication equipment company, since September 2021. Mr. Sanchez previously served on the board of directors of Snap One Holdings Corp (NASDAQ: SNPO), a smart home technology solutions and distribution company, from June 2021 to June 2024; and on the board of directors of Quantum Corporation (NASDAQ: QMCO), a computer storage solutions company, from May 2017 to April 2019, and served as interim CEO from November 2017 to January 2018. From 2014 to 2015, Mr. Sanchez served as Senior Vice President of the Lenovo Group Limited (HK: 0992), an international technology company. Prior to that, he spent 32 years at IBM Corporation (NYSE: IBM), a global technology and innovation company, from 1982 to 2014, where he served in various capacities including sixteen years in senior executive and global general management roles.</w:t>
      </w:r>
    </w:p>
    <w:p>
      <w:pPr>
        <w:spacing w:after="0" w:line="3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3C072"/>
        </w:rPr>
        <w:t>Primary Qualifications and Experience:</w:t>
      </w:r>
    </w:p>
    <w:p>
      <w:pPr>
        <w:spacing w:after="0" w:line="104"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Industry</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International Business</w:t>
      </w:r>
    </w:p>
    <w:p>
      <w:pPr>
        <w:spacing w:after="0" w:line="77" w:lineRule="exact"/>
        <w:rPr>
          <w:sz w:val="20"/>
          <w:szCs w:val="20"/>
          <w:color w:val="auto"/>
        </w:rPr>
      </w:pPr>
    </w:p>
    <w:p>
      <w:pPr>
        <w:ind w:left="160"/>
        <w:spacing w:after="0"/>
        <w:tabs>
          <w:tab w:leader="none" w:pos="480" w:val="left"/>
          <w:tab w:leader="none" w:pos="3320" w:val="left"/>
          <w:tab w:leader="none" w:pos="3640" w:val="left"/>
        </w:tabs>
        <w:rPr>
          <w:sz w:val="20"/>
          <w:szCs w:val="20"/>
          <w:color w:val="auto"/>
        </w:rPr>
      </w:pPr>
      <w:r>
        <w:rPr>
          <w:rFonts w:ascii="Arial" w:cs="Arial" w:eastAsia="Arial" w:hAnsi="Arial"/>
          <w:sz w:val="18"/>
          <w:szCs w:val="18"/>
          <w:color w:val="53C072"/>
        </w:rPr>
        <w:t>•</w:t>
      </w:r>
      <w:r>
        <w:rPr>
          <w:rFonts w:ascii="Arial" w:cs="Arial" w:eastAsia="Arial" w:hAnsi="Arial"/>
          <w:sz w:val="18"/>
          <w:szCs w:val="18"/>
          <w:color w:val="auto"/>
        </w:rPr>
        <w:tab/>
        <w:t>Operations</w:t>
      </w:r>
      <w:r>
        <w:rPr>
          <w:sz w:val="20"/>
          <w:szCs w:val="20"/>
          <w:color w:val="auto"/>
        </w:rPr>
        <w:tab/>
      </w:r>
      <w:r>
        <w:rPr>
          <w:rFonts w:ascii="Arial" w:cs="Arial" w:eastAsia="Arial" w:hAnsi="Arial"/>
          <w:sz w:val="18"/>
          <w:szCs w:val="18"/>
          <w:color w:val="53C072"/>
        </w:rPr>
        <w:t>•</w:t>
      </w:r>
      <w:r>
        <w:rPr>
          <w:sz w:val="20"/>
          <w:szCs w:val="20"/>
          <w:color w:val="auto"/>
        </w:rPr>
        <w:tab/>
      </w:r>
      <w:r>
        <w:rPr>
          <w:rFonts w:ascii="Arial" w:cs="Arial" w:eastAsia="Arial" w:hAnsi="Arial"/>
          <w:sz w:val="17"/>
          <w:szCs w:val="17"/>
          <w:color w:val="auto"/>
        </w:rPr>
        <w:t>Technology/ Digital Media</w:t>
      </w:r>
    </w:p>
    <w:p>
      <w:pPr>
        <w:spacing w:after="0" w:line="77" w:lineRule="exact"/>
        <w:rPr>
          <w:sz w:val="20"/>
          <w:szCs w:val="20"/>
          <w:color w:val="auto"/>
        </w:rPr>
      </w:pPr>
    </w:p>
    <w:p>
      <w:pPr>
        <w:ind w:left="500" w:hanging="333"/>
        <w:spacing w:after="0"/>
        <w:tabs>
          <w:tab w:leader="none" w:pos="500" w:val="left"/>
        </w:tabs>
        <w:numPr>
          <w:ilvl w:val="0"/>
          <w:numId w:val="25"/>
        </w:numPr>
        <w:rPr>
          <w:rFonts w:ascii="Arial" w:cs="Arial" w:eastAsia="Arial" w:hAnsi="Arial"/>
          <w:sz w:val="18"/>
          <w:szCs w:val="18"/>
          <w:color w:val="53C072"/>
        </w:rPr>
      </w:pPr>
      <w:r>
        <w:rPr>
          <w:rFonts w:ascii="Arial" w:cs="Arial" w:eastAsia="Arial" w:hAnsi="Arial"/>
          <w:sz w:val="18"/>
          <w:szCs w:val="18"/>
          <w:color w:val="auto"/>
        </w:rPr>
        <w:t>ESG</w:t>
      </w:r>
    </w:p>
    <w:p>
      <w:pPr>
        <w:spacing w:after="0" w:line="158" w:lineRule="exact"/>
        <w:rPr>
          <w:sz w:val="20"/>
          <w:szCs w:val="20"/>
          <w:color w:val="auto"/>
        </w:rPr>
      </w:pPr>
    </w:p>
    <w:p>
      <w:pPr>
        <w:ind w:left="160" w:right="599"/>
        <w:spacing w:after="0" w:line="268" w:lineRule="auto"/>
        <w:rPr>
          <w:sz w:val="20"/>
          <w:szCs w:val="20"/>
          <w:color w:val="auto"/>
        </w:rPr>
      </w:pPr>
      <w:r>
        <w:rPr>
          <w:rFonts w:ascii="Arial" w:cs="Arial" w:eastAsia="Arial" w:hAnsi="Arial"/>
          <w:sz w:val="18"/>
          <w:szCs w:val="18"/>
          <w:color w:val="auto"/>
        </w:rPr>
        <w:t>The Board benefits from Mr. Sanchez’s significant experience in corporate leadership and management, international business, technology and innovation, and his extensive semiconductor expertise.</w:t>
      </w:r>
    </w:p>
    <w:p>
      <w:pPr>
        <w:spacing w:after="0" w:line="200" w:lineRule="exact"/>
        <w:rPr>
          <w:sz w:val="20"/>
          <w:szCs w:val="20"/>
          <w:color w:val="auto"/>
        </w:rPr>
      </w:pPr>
    </w:p>
    <w:p>
      <w:pPr>
        <w:sectPr>
          <w:pgSz w:w="11900" w:h="16838" w:orient="portrait"/>
          <w:cols w:equalWidth="0" w:num="2">
            <w:col w:w="3280" w:space="40"/>
            <w:col w:w="65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0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700" w:type="dxa"/>
            <w:vAlign w:val="bottom"/>
            <w:vMerge w:val="restart"/>
          </w:tcPr>
          <w:p>
            <w:pPr>
              <w:ind w:left="2680"/>
              <w:spacing w:after="0"/>
              <w:rPr>
                <w:sz w:val="20"/>
                <w:szCs w:val="20"/>
                <w:color w:val="auto"/>
              </w:rPr>
            </w:pPr>
            <w:r>
              <w:rPr>
                <w:rFonts w:ascii="Arial" w:cs="Arial" w:eastAsia="Arial" w:hAnsi="Arial"/>
                <w:sz w:val="14"/>
                <w:szCs w:val="14"/>
                <w:color w:val="auto"/>
                <w:w w:val="99"/>
              </w:rPr>
              <w:t>Proposal 1: Election of Directors</w:t>
            </w:r>
          </w:p>
        </w:tc>
        <w:tc>
          <w:tcPr>
            <w:tcW w:w="0" w:type="dxa"/>
            <w:vAlign w:val="bottom"/>
          </w:tcPr>
          <w:p>
            <w:pPr>
              <w:spacing w:after="0"/>
              <w:rPr>
                <w:sz w:val="1"/>
                <w:szCs w:val="1"/>
                <w:color w:val="auto"/>
              </w:rPr>
            </w:pPr>
          </w:p>
        </w:tc>
      </w:tr>
      <w:tr>
        <w:trPr>
          <w:trHeight w:val="88"/>
        </w:trPr>
        <w:tc>
          <w:tcPr>
            <w:tcW w:w="50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040" w:type="dxa"/>
            <w:vAlign w:val="bottom"/>
            <w:vMerge w:val="continue"/>
          </w:tcPr>
          <w:p>
            <w:pPr>
              <w:spacing w:after="0"/>
              <w:rPr>
                <w:sz w:val="11"/>
                <w:szCs w:val="11"/>
                <w:color w:val="auto"/>
              </w:rPr>
            </w:pP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These charts show the Director nominees average tenure and age, as of September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137795</wp:posOffset>
            </wp:positionV>
            <wp:extent cx="3257550" cy="19888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755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16     </w:t>
      </w:r>
      <w:r>
        <w:rPr>
          <w:sz w:val="1"/>
          <w:szCs w:val="1"/>
          <w:color w:val="auto"/>
        </w:rPr>
        <w:drawing>
          <wp:inline distT="0" distB="0" distL="0" distR="0">
            <wp:extent cx="1242695" cy="24003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80"/>
        <w:spacing w:after="0"/>
        <w:rPr>
          <w:sz w:val="20"/>
          <w:szCs w:val="20"/>
          <w:color w:val="auto"/>
        </w:rPr>
      </w:pPr>
      <w:r>
        <w:rPr>
          <w:rFonts w:ascii="Arial" w:cs="Arial" w:eastAsia="Arial" w:hAnsi="Arial"/>
          <w:sz w:val="40"/>
          <w:szCs w:val="40"/>
          <w:b w:val="1"/>
          <w:bCs w:val="1"/>
          <w:color w:val="FEFEFE"/>
        </w:rPr>
        <w:t>CORPORATE GOVERNANCE</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219"/>
        <w:spacing w:after="0" w:line="268" w:lineRule="auto"/>
        <w:rPr>
          <w:sz w:val="20"/>
          <w:szCs w:val="20"/>
          <w:color w:val="auto"/>
        </w:rPr>
      </w:pPr>
      <w:r>
        <w:rPr>
          <w:rFonts w:ascii="Arial" w:cs="Arial" w:eastAsia="Arial" w:hAnsi="Arial"/>
          <w:sz w:val="18"/>
          <w:szCs w:val="18"/>
          <w:color w:val="auto"/>
        </w:rPr>
        <w:t>The Board of Directors believes that good corporate governance practices provide an important framework that promotes long-term value, strength, and stability for shareholders. The Company’s governance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94615</wp:posOffset>
            </wp:positionV>
            <wp:extent cx="5212080" cy="1945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208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CORPORATE GOVERNANCE GUIDELINES</w:t>
      </w:r>
    </w:p>
    <w:p>
      <w:pPr>
        <w:spacing w:after="0" w:line="148" w:lineRule="exact"/>
        <w:rPr>
          <w:sz w:val="20"/>
          <w:szCs w:val="20"/>
          <w:color w:val="auto"/>
        </w:rPr>
      </w:pPr>
    </w:p>
    <w:p>
      <w:pPr>
        <w:ind w:left="1000" w:right="279"/>
        <w:spacing w:after="0" w:line="256" w:lineRule="auto"/>
        <w:rPr>
          <w:sz w:val="20"/>
          <w:szCs w:val="20"/>
          <w:color w:val="auto"/>
        </w:rPr>
      </w:pPr>
      <w:r>
        <w:rPr>
          <w:rFonts w:ascii="Arial" w:cs="Arial" w:eastAsia="Arial" w:hAnsi="Arial"/>
          <w:sz w:val="18"/>
          <w:szCs w:val="18"/>
          <w:color w:val="auto"/>
        </w:rPr>
        <w:t xml:space="preserve">The Corporate Governance Guidelines (the “Guidelines”) collect in one document many of the Company’s corporate governance practices and procedures.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8"/>
          <w:szCs w:val="18"/>
          <w:u w:val="single" w:color="auto"/>
          <w:color w:val="auto"/>
        </w:rPr>
        <w:t>https://www.ir.avnet.com/corporate-governance/governance-documents</w:t>
      </w:r>
      <w:r>
        <w:rPr>
          <w:rFonts w:ascii="Arial" w:cs="Arial" w:eastAsia="Arial" w:hAnsi="Arial"/>
          <w:sz w:val="18"/>
          <w:szCs w:val="18"/>
          <w:color w:val="auto"/>
        </w:rPr>
        <w:t>.</w:t>
      </w:r>
    </w:p>
    <w:p>
      <w:pPr>
        <w:spacing w:after="0" w:line="115" w:lineRule="exact"/>
        <w:rPr>
          <w:sz w:val="20"/>
          <w:szCs w:val="20"/>
          <w:color w:val="auto"/>
        </w:rPr>
      </w:pPr>
    </w:p>
    <w:p>
      <w:pPr>
        <w:ind w:left="1000" w:right="139"/>
        <w:spacing w:after="0" w:line="259" w:lineRule="auto"/>
        <w:rPr>
          <w:sz w:val="20"/>
          <w:szCs w:val="20"/>
          <w:color w:val="auto"/>
        </w:rPr>
      </w:pPr>
      <w:r>
        <w:rPr>
          <w:rFonts w:ascii="Arial" w:cs="Arial" w:eastAsia="Arial" w:hAnsi="Arial"/>
          <w:sz w:val="18"/>
          <w:szCs w:val="18"/>
          <w:color w:val="auto"/>
        </w:rPr>
        <w:t>As a general policy, as set forth in the Guidelines, the Board recommends the following limits as to the service of Directors on other boards of public companies: (1) Directors who are actively employed on a full-time basis may serve on up to two additional public boards; (2) an independent Chair of the Board, if not actively employed on a full-time basis, may serve on up to three additional public boards; and (3) Directors who are retired from active full-time employment may serve on up to four additional public boards.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DIRECTOR INDEPENDENCE</w:t>
      </w:r>
    </w:p>
    <w:p>
      <w:pPr>
        <w:spacing w:after="0" w:line="148" w:lineRule="exact"/>
        <w:rPr>
          <w:sz w:val="20"/>
          <w:szCs w:val="20"/>
          <w:color w:val="auto"/>
        </w:rPr>
      </w:pPr>
    </w:p>
    <w:p>
      <w:pPr>
        <w:ind w:left="1000" w:right="179"/>
        <w:spacing w:after="0" w:line="257" w:lineRule="auto"/>
        <w:rPr>
          <w:sz w:val="20"/>
          <w:szCs w:val="20"/>
          <w:color w:val="auto"/>
        </w:rPr>
      </w:pPr>
      <w:r>
        <w:rPr>
          <w:rFonts w:ascii="Arial" w:cs="Arial" w:eastAsia="Arial" w:hAnsi="Arial"/>
          <w:sz w:val="18"/>
          <w:szCs w:val="18"/>
          <w:color w:val="auto"/>
        </w:rPr>
        <w:t>The Board of Directors believes that a substantial majority of its members should be independent directors. The Board has determined that nine out of the ten Director nominees are independent under the independence standards adopted by the Board (provided in Appendix A to the Guidelines), and under the independence requirements of the Nasdaq listing standards: Rodney C. Adkins, Brenda L. Freeman, Helmut Gassel, Virginia L. Henkels, Jo Ann Jenkins, Oleg Khaykin, Ernest E. Maddock, Avid Modjtabai, and Adalio T. Sanchez (collectively, the “Independent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BOARD DIVERSITY MATRIX</w:t>
      </w:r>
    </w:p>
    <w:p>
      <w:pPr>
        <w:spacing w:after="0" w:line="162" w:lineRule="exact"/>
        <w:rPr>
          <w:sz w:val="20"/>
          <w:szCs w:val="20"/>
          <w:color w:val="auto"/>
        </w:rPr>
      </w:pPr>
    </w:p>
    <w:p>
      <w:pPr>
        <w:ind w:left="1000" w:right="199"/>
        <w:spacing w:after="0" w:line="268" w:lineRule="auto"/>
        <w:rPr>
          <w:sz w:val="20"/>
          <w:szCs w:val="20"/>
          <w:color w:val="auto"/>
        </w:rPr>
      </w:pPr>
      <w:r>
        <w:rPr>
          <w:rFonts w:ascii="Arial" w:cs="Arial" w:eastAsia="Arial" w:hAnsi="Arial"/>
          <w:sz w:val="18"/>
          <w:szCs w:val="18"/>
          <w:color w:val="auto"/>
        </w:rPr>
        <w:t>The matrix below provides certain demographic information regarding the Company’s Board of Directors as of September 23, 2024. The information is based on Directors’ self-identification and the definitions under Nasdaq Rule 5605(f).</w:t>
      </w:r>
    </w:p>
    <w:p>
      <w:pPr>
        <w:spacing w:after="0" w:line="129" w:lineRule="exact"/>
        <w:rPr>
          <w:sz w:val="20"/>
          <w:szCs w:val="20"/>
          <w:color w:val="auto"/>
        </w:rPr>
      </w:pPr>
    </w:p>
    <w:tbl>
      <w:tblPr>
        <w:tblLayout w:type="fixed"/>
        <w:tblInd w:w="2990" w:type="dxa"/>
        <w:tblCellMar>
          <w:top w:w="0" w:type="dxa"/>
          <w:left w:w="0" w:type="dxa"/>
          <w:bottom w:w="0" w:type="dxa"/>
          <w:right w:w="0" w:type="dxa"/>
        </w:tblCellMar>
      </w:tblPr>
      <w:tr>
        <w:trPr>
          <w:trHeight w:val="330"/>
        </w:trPr>
        <w:tc>
          <w:tcPr>
            <w:tcW w:w="180" w:type="dxa"/>
            <w:vAlign w:val="bottom"/>
            <w:tcBorders>
              <w:top w:val="single" w:sz="8" w:color="auto"/>
              <w:left w:val="single" w:sz="8" w:color="auto"/>
            </w:tcBorders>
            <w:shd w:val="clear" w:color="auto" w:fill="53C072"/>
          </w:tcPr>
          <w:p>
            <w:pPr>
              <w:ind w:left="100"/>
              <w:spacing w:after="0"/>
              <w:rPr>
                <w:sz w:val="20"/>
                <w:szCs w:val="20"/>
                <w:color w:val="auto"/>
              </w:rPr>
            </w:pPr>
            <w:r>
              <w:rPr>
                <w:rFonts w:ascii="Arial" w:cs="Arial" w:eastAsia="Arial" w:hAnsi="Arial"/>
                <w:sz w:val="16"/>
                <w:szCs w:val="16"/>
                <w:b w:val="1"/>
                <w:bCs w:val="1"/>
                <w:color w:val="FEFEFE"/>
              </w:rPr>
              <w:t>​</w:t>
            </w:r>
          </w:p>
        </w:tc>
        <w:tc>
          <w:tcPr>
            <w:tcW w:w="4340" w:type="dxa"/>
            <w:vAlign w:val="bottom"/>
            <w:tcBorders>
              <w:top w:val="single" w:sz="8" w:color="auto"/>
            </w:tcBorders>
            <w:gridSpan w:val="8"/>
            <w:shd w:val="clear" w:color="auto" w:fill="53C072"/>
          </w:tcPr>
          <w:p>
            <w:pPr>
              <w:ind w:left="300"/>
              <w:spacing w:after="0"/>
              <w:rPr>
                <w:sz w:val="20"/>
                <w:szCs w:val="20"/>
                <w:color w:val="auto"/>
              </w:rPr>
            </w:pPr>
            <w:r>
              <w:rPr>
                <w:rFonts w:ascii="Arial" w:cs="Arial" w:eastAsia="Arial" w:hAnsi="Arial"/>
                <w:sz w:val="16"/>
                <w:szCs w:val="16"/>
                <w:b w:val="1"/>
                <w:bCs w:val="1"/>
                <w:color w:val="FEFEFE"/>
              </w:rPr>
              <w:t>Board Diversity Matrix (As of September 23, 2024)</w:t>
            </w:r>
          </w:p>
        </w:tc>
        <w:tc>
          <w:tcPr>
            <w:tcW w:w="260" w:type="dxa"/>
            <w:vAlign w:val="bottom"/>
            <w:tcBorders>
              <w:top w:val="single" w:sz="8" w:color="auto"/>
              <w:right w:val="single" w:sz="8" w:color="auto"/>
            </w:tcBorders>
            <w:shd w:val="clear" w:color="auto" w:fill="53C072"/>
          </w:tcPr>
          <w:p>
            <w:pPr>
              <w:ind w:left="120"/>
              <w:spacing w:after="0"/>
              <w:rPr>
                <w:sz w:val="20"/>
                <w:szCs w:val="20"/>
                <w:color w:val="auto"/>
              </w:rPr>
            </w:pPr>
            <w:r>
              <w:rPr>
                <w:rFonts w:ascii="Arial" w:cs="Arial" w:eastAsia="Arial" w:hAnsi="Arial"/>
                <w:sz w:val="16"/>
                <w:szCs w:val="16"/>
                <w:b w:val="1"/>
                <w:bCs w:val="1"/>
                <w:color w:val="FEFEFE"/>
              </w:rPr>
              <w:t>​</w:t>
            </w:r>
          </w:p>
        </w:tc>
      </w:tr>
      <w:tr>
        <w:trPr>
          <w:trHeight w:val="102"/>
        </w:trPr>
        <w:tc>
          <w:tcPr>
            <w:tcW w:w="180" w:type="dxa"/>
            <w:vAlign w:val="bottom"/>
            <w:tcBorders>
              <w:left w:val="single" w:sz="8" w:color="auto"/>
              <w:bottom w:val="single" w:sz="8" w:color="auto"/>
            </w:tcBorders>
            <w:shd w:val="clear" w:color="auto" w:fill="53C072"/>
          </w:tcPr>
          <w:p>
            <w:pPr>
              <w:spacing w:after="0"/>
              <w:rPr>
                <w:sz w:val="8"/>
                <w:szCs w:val="8"/>
                <w:color w:val="auto"/>
              </w:rPr>
            </w:pPr>
          </w:p>
        </w:tc>
        <w:tc>
          <w:tcPr>
            <w:tcW w:w="2420" w:type="dxa"/>
            <w:vAlign w:val="bottom"/>
            <w:tcBorders>
              <w:bottom w:val="single" w:sz="8" w:color="auto"/>
            </w:tcBorders>
            <w:shd w:val="clear" w:color="auto" w:fill="53C072"/>
          </w:tcPr>
          <w:p>
            <w:pPr>
              <w:spacing w:after="0"/>
              <w:rPr>
                <w:sz w:val="8"/>
                <w:szCs w:val="8"/>
                <w:color w:val="auto"/>
              </w:rPr>
            </w:pPr>
          </w:p>
        </w:tc>
        <w:tc>
          <w:tcPr>
            <w:tcW w:w="480" w:type="dxa"/>
            <w:vAlign w:val="bottom"/>
            <w:tcBorders>
              <w:bottom w:val="single" w:sz="8" w:color="auto"/>
              <w:right w:val="single" w:sz="8" w:color="53C072"/>
            </w:tcBorders>
            <w:shd w:val="clear" w:color="auto" w:fill="53C072"/>
          </w:tcPr>
          <w:p>
            <w:pPr>
              <w:spacing w:after="0"/>
              <w:rPr>
                <w:sz w:val="8"/>
                <w:szCs w:val="8"/>
                <w:color w:val="auto"/>
              </w:rPr>
            </w:pPr>
          </w:p>
        </w:tc>
        <w:tc>
          <w:tcPr>
            <w:tcW w:w="200" w:type="dxa"/>
            <w:vAlign w:val="bottom"/>
            <w:tcBorders>
              <w:bottom w:val="single" w:sz="8" w:color="auto"/>
            </w:tcBorders>
            <w:shd w:val="clear" w:color="auto" w:fill="53C072"/>
          </w:tcPr>
          <w:p>
            <w:pPr>
              <w:spacing w:after="0"/>
              <w:rPr>
                <w:sz w:val="8"/>
                <w:szCs w:val="8"/>
                <w:color w:val="auto"/>
              </w:rPr>
            </w:pPr>
          </w:p>
        </w:tc>
        <w:tc>
          <w:tcPr>
            <w:tcW w:w="380" w:type="dxa"/>
            <w:vAlign w:val="bottom"/>
            <w:tcBorders>
              <w:bottom w:val="single" w:sz="8" w:color="auto"/>
            </w:tcBorders>
            <w:shd w:val="clear" w:color="auto" w:fill="53C072"/>
          </w:tcPr>
          <w:p>
            <w:pPr>
              <w:spacing w:after="0"/>
              <w:rPr>
                <w:sz w:val="8"/>
                <w:szCs w:val="8"/>
                <w:color w:val="auto"/>
              </w:rPr>
            </w:pPr>
          </w:p>
        </w:tc>
        <w:tc>
          <w:tcPr>
            <w:tcW w:w="260" w:type="dxa"/>
            <w:vAlign w:val="bottom"/>
            <w:tcBorders>
              <w:bottom w:val="single" w:sz="8" w:color="auto"/>
              <w:right w:val="single" w:sz="8" w:color="53C072"/>
            </w:tcBorders>
            <w:shd w:val="clear" w:color="auto" w:fill="53C072"/>
          </w:tcPr>
          <w:p>
            <w:pPr>
              <w:spacing w:after="0"/>
              <w:rPr>
                <w:sz w:val="8"/>
                <w:szCs w:val="8"/>
                <w:color w:val="auto"/>
              </w:rPr>
            </w:pPr>
          </w:p>
        </w:tc>
        <w:tc>
          <w:tcPr>
            <w:tcW w:w="40" w:type="dxa"/>
            <w:vAlign w:val="bottom"/>
            <w:tcBorders>
              <w:bottom w:val="single" w:sz="8" w:color="auto"/>
            </w:tcBorders>
            <w:shd w:val="clear" w:color="auto" w:fill="53C072"/>
          </w:tcPr>
          <w:p>
            <w:pPr>
              <w:spacing w:after="0"/>
              <w:rPr>
                <w:sz w:val="8"/>
                <w:szCs w:val="8"/>
                <w:color w:val="auto"/>
              </w:rPr>
            </w:pPr>
          </w:p>
        </w:tc>
        <w:tc>
          <w:tcPr>
            <w:tcW w:w="160" w:type="dxa"/>
            <w:vAlign w:val="bottom"/>
            <w:tcBorders>
              <w:bottom w:val="single" w:sz="8" w:color="auto"/>
            </w:tcBorders>
            <w:shd w:val="clear" w:color="auto" w:fill="53C072"/>
          </w:tcPr>
          <w:p>
            <w:pPr>
              <w:spacing w:after="0"/>
              <w:rPr>
                <w:sz w:val="8"/>
                <w:szCs w:val="8"/>
                <w:color w:val="auto"/>
              </w:rPr>
            </w:pPr>
          </w:p>
        </w:tc>
        <w:tc>
          <w:tcPr>
            <w:tcW w:w="400" w:type="dxa"/>
            <w:vAlign w:val="bottom"/>
            <w:tcBorders>
              <w:bottom w:val="single" w:sz="8" w:color="auto"/>
            </w:tcBorders>
            <w:shd w:val="clear" w:color="auto" w:fill="53C072"/>
          </w:tcPr>
          <w:p>
            <w:pPr>
              <w:spacing w:after="0"/>
              <w:rPr>
                <w:sz w:val="8"/>
                <w:szCs w:val="8"/>
                <w:color w:val="auto"/>
              </w:rPr>
            </w:pPr>
          </w:p>
        </w:tc>
        <w:tc>
          <w:tcPr>
            <w:tcW w:w="260" w:type="dxa"/>
            <w:vAlign w:val="bottom"/>
            <w:tcBorders>
              <w:bottom w:val="single" w:sz="8" w:color="auto"/>
              <w:right w:val="single" w:sz="8" w:color="auto"/>
            </w:tcBorders>
            <w:shd w:val="clear" w:color="auto" w:fill="53C072"/>
          </w:tcPr>
          <w:p>
            <w:pPr>
              <w:spacing w:after="0"/>
              <w:rPr>
                <w:sz w:val="8"/>
                <w:szCs w:val="8"/>
                <w:color w:val="auto"/>
              </w:rPr>
            </w:pPr>
          </w:p>
        </w:tc>
      </w:tr>
      <w:tr>
        <w:trPr>
          <w:trHeight w:val="283"/>
        </w:trPr>
        <w:tc>
          <w:tcPr>
            <w:tcW w:w="180" w:type="dxa"/>
            <w:vAlign w:val="bottom"/>
            <w:tcBorders>
              <w:left w:val="single" w:sz="8" w:color="auto"/>
            </w:tcBorders>
            <w:shd w:val="clear" w:color="auto" w:fill="B2B2B2"/>
          </w:tcPr>
          <w:p>
            <w:pPr>
              <w:spacing w:after="0"/>
              <w:rPr>
                <w:sz w:val="20"/>
                <w:szCs w:val="20"/>
                <w:color w:val="auto"/>
              </w:rPr>
            </w:pPr>
            <w:r>
              <w:rPr>
                <w:rFonts w:ascii="Arial" w:cs="Arial" w:eastAsia="Arial" w:hAnsi="Arial"/>
                <w:sz w:val="16"/>
                <w:szCs w:val="16"/>
                <w:b w:val="1"/>
                <w:bCs w:val="1"/>
                <w:color w:val="auto"/>
              </w:rPr>
              <w:t>​</w:t>
            </w:r>
          </w:p>
        </w:tc>
        <w:tc>
          <w:tcPr>
            <w:tcW w:w="2420" w:type="dxa"/>
            <w:vAlign w:val="bottom"/>
            <w:shd w:val="clear" w:color="auto" w:fill="B2B2B2"/>
          </w:tcPr>
          <w:p>
            <w:pPr>
              <w:ind w:left="40"/>
              <w:spacing w:after="0"/>
              <w:rPr>
                <w:sz w:val="20"/>
                <w:szCs w:val="20"/>
                <w:color w:val="auto"/>
              </w:rPr>
            </w:pPr>
            <w:r>
              <w:rPr>
                <w:rFonts w:ascii="Arial" w:cs="Arial" w:eastAsia="Arial" w:hAnsi="Arial"/>
                <w:sz w:val="16"/>
                <w:szCs w:val="16"/>
                <w:b w:val="1"/>
                <w:bCs w:val="1"/>
                <w:color w:val="auto"/>
              </w:rPr>
              <w:t>Board Size:</w:t>
            </w:r>
          </w:p>
        </w:tc>
        <w:tc>
          <w:tcPr>
            <w:tcW w:w="480" w:type="dxa"/>
            <w:vAlign w:val="bottom"/>
            <w:tcBorders>
              <w:right w:val="single" w:sz="8" w:color="B2B2B2"/>
            </w:tcBorders>
            <w:shd w:val="clear" w:color="auto" w:fill="B2B2B2"/>
          </w:tcPr>
          <w:p>
            <w:pPr>
              <w:spacing w:after="0"/>
              <w:rPr>
                <w:sz w:val="24"/>
                <w:szCs w:val="24"/>
                <w:color w:val="auto"/>
              </w:rPr>
            </w:pPr>
          </w:p>
        </w:tc>
        <w:tc>
          <w:tcPr>
            <w:tcW w:w="200" w:type="dxa"/>
            <w:vAlign w:val="bottom"/>
            <w:shd w:val="clear" w:color="auto" w:fill="B2B2B2"/>
          </w:tcPr>
          <w:p>
            <w:pPr>
              <w:spacing w:after="0"/>
              <w:rPr>
                <w:sz w:val="24"/>
                <w:szCs w:val="24"/>
                <w:color w:val="auto"/>
              </w:rPr>
            </w:pPr>
          </w:p>
        </w:tc>
        <w:tc>
          <w:tcPr>
            <w:tcW w:w="380" w:type="dxa"/>
            <w:vAlign w:val="bottom"/>
            <w:shd w:val="clear" w:color="auto" w:fill="B2B2B2"/>
          </w:tcPr>
          <w:p>
            <w:pPr>
              <w:spacing w:after="0"/>
              <w:rPr>
                <w:sz w:val="24"/>
                <w:szCs w:val="24"/>
                <w:color w:val="auto"/>
              </w:rPr>
            </w:pPr>
          </w:p>
        </w:tc>
        <w:tc>
          <w:tcPr>
            <w:tcW w:w="260" w:type="dxa"/>
            <w:vAlign w:val="bottom"/>
            <w:tcBorders>
              <w:right w:val="single" w:sz="8" w:color="B2B2B2"/>
            </w:tcBorders>
            <w:shd w:val="clear" w:color="auto" w:fill="B2B2B2"/>
          </w:tcPr>
          <w:p>
            <w:pPr>
              <w:spacing w:after="0"/>
              <w:rPr>
                <w:sz w:val="24"/>
                <w:szCs w:val="24"/>
                <w:color w:val="auto"/>
              </w:rPr>
            </w:pPr>
          </w:p>
        </w:tc>
        <w:tc>
          <w:tcPr>
            <w:tcW w:w="40" w:type="dxa"/>
            <w:vAlign w:val="bottom"/>
            <w:shd w:val="clear" w:color="auto" w:fill="B2B2B2"/>
          </w:tcPr>
          <w:p>
            <w:pPr>
              <w:spacing w:after="0"/>
              <w:rPr>
                <w:sz w:val="24"/>
                <w:szCs w:val="24"/>
                <w:color w:val="auto"/>
              </w:rPr>
            </w:pPr>
          </w:p>
        </w:tc>
        <w:tc>
          <w:tcPr>
            <w:tcW w:w="160" w:type="dxa"/>
            <w:vAlign w:val="bottom"/>
            <w:shd w:val="clear" w:color="auto" w:fill="B2B2B2"/>
          </w:tcPr>
          <w:p>
            <w:pPr>
              <w:spacing w:after="0"/>
              <w:rPr>
                <w:sz w:val="24"/>
                <w:szCs w:val="24"/>
                <w:color w:val="auto"/>
              </w:rPr>
            </w:pPr>
          </w:p>
        </w:tc>
        <w:tc>
          <w:tcPr>
            <w:tcW w:w="400" w:type="dxa"/>
            <w:vAlign w:val="bottom"/>
            <w:shd w:val="clear" w:color="auto" w:fill="B2B2B2"/>
          </w:tcPr>
          <w:p>
            <w:pPr>
              <w:spacing w:after="0"/>
              <w:rPr>
                <w:sz w:val="24"/>
                <w:szCs w:val="24"/>
                <w:color w:val="auto"/>
              </w:rPr>
            </w:pPr>
          </w:p>
        </w:tc>
        <w:tc>
          <w:tcPr>
            <w:tcW w:w="2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6"/>
                <w:szCs w:val="16"/>
                <w:b w:val="1"/>
                <w:bCs w:val="1"/>
                <w:color w:val="auto"/>
              </w:rPr>
              <w:t>​</w:t>
            </w:r>
          </w:p>
        </w:tc>
      </w:tr>
      <w:tr>
        <w:trPr>
          <w:trHeight w:val="75"/>
        </w:trPr>
        <w:tc>
          <w:tcPr>
            <w:tcW w:w="2600" w:type="dxa"/>
            <w:vAlign w:val="bottom"/>
            <w:tcBorders>
              <w:left w:val="single" w:sz="8" w:color="auto"/>
              <w:bottom w:val="single" w:sz="8" w:color="auto"/>
            </w:tcBorders>
            <w:gridSpan w:val="2"/>
            <w:shd w:val="clear" w:color="auto" w:fill="B2B2B2"/>
          </w:tcPr>
          <w:p>
            <w:pPr>
              <w:spacing w:after="0"/>
              <w:rPr>
                <w:sz w:val="6"/>
                <w:szCs w:val="6"/>
                <w:color w:val="auto"/>
              </w:rPr>
            </w:pPr>
          </w:p>
        </w:tc>
        <w:tc>
          <w:tcPr>
            <w:tcW w:w="480" w:type="dxa"/>
            <w:vAlign w:val="bottom"/>
            <w:tcBorders>
              <w:bottom w:val="single" w:sz="8" w:color="auto"/>
              <w:right w:val="single" w:sz="8" w:color="B2B2B2"/>
            </w:tcBorders>
            <w:shd w:val="clear" w:color="auto" w:fill="B2B2B2"/>
          </w:tcPr>
          <w:p>
            <w:pPr>
              <w:spacing w:after="0"/>
              <w:rPr>
                <w:sz w:val="6"/>
                <w:szCs w:val="6"/>
                <w:color w:val="auto"/>
              </w:rPr>
            </w:pPr>
          </w:p>
        </w:tc>
        <w:tc>
          <w:tcPr>
            <w:tcW w:w="200" w:type="dxa"/>
            <w:vAlign w:val="bottom"/>
            <w:tcBorders>
              <w:bottom w:val="single" w:sz="8" w:color="auto"/>
            </w:tcBorders>
            <w:shd w:val="clear" w:color="auto" w:fill="B2B2B2"/>
          </w:tcPr>
          <w:p>
            <w:pPr>
              <w:spacing w:after="0"/>
              <w:rPr>
                <w:sz w:val="6"/>
                <w:szCs w:val="6"/>
                <w:color w:val="auto"/>
              </w:rPr>
            </w:pPr>
          </w:p>
        </w:tc>
        <w:tc>
          <w:tcPr>
            <w:tcW w:w="380" w:type="dxa"/>
            <w:vAlign w:val="bottom"/>
            <w:tcBorders>
              <w:bottom w:val="single" w:sz="8" w:color="auto"/>
            </w:tcBorders>
            <w:shd w:val="clear" w:color="auto" w:fill="B2B2B2"/>
          </w:tcPr>
          <w:p>
            <w:pPr>
              <w:spacing w:after="0"/>
              <w:rPr>
                <w:sz w:val="6"/>
                <w:szCs w:val="6"/>
                <w:color w:val="auto"/>
              </w:rPr>
            </w:pPr>
          </w:p>
        </w:tc>
        <w:tc>
          <w:tcPr>
            <w:tcW w:w="260" w:type="dxa"/>
            <w:vAlign w:val="bottom"/>
            <w:tcBorders>
              <w:bottom w:val="single" w:sz="8" w:color="auto"/>
              <w:right w:val="single" w:sz="8" w:color="B2B2B2"/>
            </w:tcBorders>
            <w:shd w:val="clear" w:color="auto" w:fill="B2B2B2"/>
          </w:tcPr>
          <w:p>
            <w:pPr>
              <w:spacing w:after="0"/>
              <w:rPr>
                <w:sz w:val="6"/>
                <w:szCs w:val="6"/>
                <w:color w:val="auto"/>
              </w:rPr>
            </w:pPr>
          </w:p>
        </w:tc>
        <w:tc>
          <w:tcPr>
            <w:tcW w:w="40" w:type="dxa"/>
            <w:vAlign w:val="bottom"/>
            <w:tcBorders>
              <w:bottom w:val="single" w:sz="8" w:color="auto"/>
            </w:tcBorders>
            <w:shd w:val="clear" w:color="auto" w:fill="B2B2B2"/>
          </w:tcPr>
          <w:p>
            <w:pPr>
              <w:spacing w:after="0"/>
              <w:rPr>
                <w:sz w:val="6"/>
                <w:szCs w:val="6"/>
                <w:color w:val="auto"/>
              </w:rPr>
            </w:pPr>
          </w:p>
        </w:tc>
        <w:tc>
          <w:tcPr>
            <w:tcW w:w="160" w:type="dxa"/>
            <w:vAlign w:val="bottom"/>
            <w:tcBorders>
              <w:bottom w:val="single" w:sz="8" w:color="auto"/>
            </w:tcBorders>
            <w:shd w:val="clear" w:color="auto" w:fill="B2B2B2"/>
          </w:tcPr>
          <w:p>
            <w:pPr>
              <w:spacing w:after="0"/>
              <w:rPr>
                <w:sz w:val="6"/>
                <w:szCs w:val="6"/>
                <w:color w:val="auto"/>
              </w:rPr>
            </w:pPr>
          </w:p>
        </w:tc>
        <w:tc>
          <w:tcPr>
            <w:tcW w:w="400" w:type="dxa"/>
            <w:vAlign w:val="bottom"/>
            <w:tcBorders>
              <w:bottom w:val="single" w:sz="8" w:color="auto"/>
            </w:tcBorders>
            <w:shd w:val="clear" w:color="auto" w:fill="B2B2B2"/>
          </w:tcPr>
          <w:p>
            <w:pPr>
              <w:spacing w:after="0"/>
              <w:rPr>
                <w:sz w:val="6"/>
                <w:szCs w:val="6"/>
                <w:color w:val="auto"/>
              </w:rPr>
            </w:pPr>
          </w:p>
        </w:tc>
        <w:tc>
          <w:tcPr>
            <w:tcW w:w="260" w:type="dxa"/>
            <w:vAlign w:val="bottom"/>
            <w:tcBorders>
              <w:bottom w:val="single" w:sz="8" w:color="auto"/>
              <w:right w:val="single" w:sz="8" w:color="auto"/>
            </w:tcBorders>
            <w:shd w:val="clear" w:color="auto" w:fill="B2B2B2"/>
          </w:tcPr>
          <w:p>
            <w:pPr>
              <w:spacing w:after="0"/>
              <w:rPr>
                <w:sz w:val="6"/>
                <w:szCs w:val="6"/>
                <w:color w:val="auto"/>
              </w:rPr>
            </w:pPr>
          </w:p>
        </w:tc>
      </w:tr>
      <w:tr>
        <w:trPr>
          <w:trHeight w:val="283"/>
        </w:trPr>
        <w:tc>
          <w:tcPr>
            <w:tcW w:w="2600" w:type="dxa"/>
            <w:vAlign w:val="bottom"/>
            <w:tcBorders>
              <w:left w:val="single" w:sz="8" w:color="auto"/>
            </w:tcBorders>
            <w:gridSpan w:val="2"/>
          </w:tcPr>
          <w:p>
            <w:pP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Total Number of Directors</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 12</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r>
      <w:tr>
        <w:trPr>
          <w:trHeight w:val="34"/>
        </w:trPr>
        <w:tc>
          <w:tcPr>
            <w:tcW w:w="180" w:type="dxa"/>
            <w:vAlign w:val="bottom"/>
            <w:tcBorders>
              <w:left w:val="single" w:sz="8" w:color="auto"/>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23"/>
        </w:trPr>
        <w:tc>
          <w:tcPr>
            <w:tcW w:w="180" w:type="dxa"/>
            <w:vAlign w:val="bottom"/>
            <w:tcBorders>
              <w:left w:val="single" w:sz="8" w:color="auto"/>
              <w:bottom w:val="single" w:sz="8" w:color="B2B2B2"/>
            </w:tcBorders>
            <w:shd w:val="clear" w:color="auto" w:fill="B2B2B2"/>
          </w:tcPr>
          <w:p>
            <w:pPr>
              <w:ind w:left="100"/>
              <w:spacing w:after="0"/>
              <w:rPr>
                <w:sz w:val="20"/>
                <w:szCs w:val="20"/>
                <w:color w:val="auto"/>
              </w:rPr>
            </w:pPr>
            <w:r>
              <w:rPr>
                <w:rFonts w:ascii="Arial" w:cs="Arial" w:eastAsia="Arial" w:hAnsi="Arial"/>
                <w:sz w:val="16"/>
                <w:szCs w:val="16"/>
                <w:color w:val="auto"/>
              </w:rPr>
              <w:t>​</w:t>
            </w:r>
          </w:p>
        </w:tc>
        <w:tc>
          <w:tcPr>
            <w:tcW w:w="2420" w:type="dxa"/>
            <w:vAlign w:val="bottom"/>
            <w:tcBorders>
              <w:bottom w:val="single" w:sz="8" w:color="B2B2B2"/>
            </w:tcBorders>
            <w:shd w:val="clear" w:color="auto" w:fill="B2B2B2"/>
          </w:tcPr>
          <w:p>
            <w:pPr>
              <w:ind w:lef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Gender Identity:</w:t>
            </w:r>
          </w:p>
        </w:tc>
        <w:tc>
          <w:tcPr>
            <w:tcW w:w="480" w:type="dxa"/>
            <w:vAlign w:val="bottom"/>
            <w:tcBorders>
              <w:bottom w:val="single" w:sz="8" w:color="B2B2B2"/>
              <w:right w:val="single" w:sz="8" w:color="auto"/>
            </w:tcBorders>
            <w:shd w:val="clear" w:color="auto" w:fill="B2B2B2"/>
          </w:tcPr>
          <w:p>
            <w:pPr>
              <w:ind w:left="4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right w:val="single" w:sz="8" w:color="auto"/>
            </w:tcBorders>
            <w:gridSpan w:val="3"/>
            <w:shd w:val="clear" w:color="auto" w:fill="B2B2B2"/>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Female</w:t>
            </w:r>
            <w:r>
              <w:rPr>
                <w:rFonts w:ascii="Arial" w:cs="Arial" w:eastAsia="Arial" w:hAnsi="Arial"/>
                <w:sz w:val="16"/>
                <w:szCs w:val="16"/>
                <w:color w:val="auto"/>
              </w:rPr>
              <w:t xml:space="preserve"> ​</w:t>
            </w:r>
          </w:p>
        </w:tc>
        <w:tc>
          <w:tcPr>
            <w:tcW w:w="40" w:type="dxa"/>
            <w:vAlign w:val="bottom"/>
            <w:tcBorders>
              <w:bottom w:val="single" w:sz="8" w:color="B2B2B2"/>
            </w:tcBorders>
            <w:shd w:val="clear" w:color="auto" w:fill="B2B2B2"/>
          </w:tcPr>
          <w:p>
            <w:pPr>
              <w:spacing w:after="0"/>
              <w:rPr>
                <w:sz w:val="24"/>
                <w:szCs w:val="24"/>
                <w:color w:val="auto"/>
              </w:rPr>
            </w:pPr>
          </w:p>
        </w:tc>
        <w:tc>
          <w:tcPr>
            <w:tcW w:w="560" w:type="dxa"/>
            <w:vAlign w:val="bottom"/>
            <w:tcBorders>
              <w:bottom w:val="single" w:sz="8" w:color="B2B2B2"/>
            </w:tcBorders>
            <w:gridSpan w:val="2"/>
            <w:shd w:val="clear" w:color="auto" w:fill="B2B2B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Male</w:t>
            </w:r>
          </w:p>
        </w:tc>
        <w:tc>
          <w:tcPr>
            <w:tcW w:w="260" w:type="dxa"/>
            <w:vAlign w:val="bottom"/>
            <w:tcBorders>
              <w:bottom w:val="single" w:sz="8" w:color="B2B2B2"/>
              <w:right w:val="single" w:sz="8" w:color="auto"/>
            </w:tcBorders>
            <w:shd w:val="clear" w:color="auto" w:fill="B2B2B2"/>
          </w:tcPr>
          <w:p>
            <w:pPr>
              <w:ind w:left="120"/>
              <w:spacing w:after="0"/>
              <w:rPr>
                <w:sz w:val="20"/>
                <w:szCs w:val="20"/>
                <w:color w:val="auto"/>
              </w:rPr>
            </w:pPr>
            <w:r>
              <w:rPr>
                <w:rFonts w:ascii="Arial" w:cs="Arial" w:eastAsia="Arial" w:hAnsi="Arial"/>
                <w:sz w:val="16"/>
                <w:szCs w:val="16"/>
                <w:color w:val="auto"/>
              </w:rPr>
              <w:t>​</w:t>
            </w:r>
          </w:p>
        </w:tc>
      </w:tr>
      <w:tr>
        <w:trPr>
          <w:trHeight w:val="283"/>
        </w:trPr>
        <w:tc>
          <w:tcPr>
            <w:tcW w:w="260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6"/>
                <w:szCs w:val="16"/>
                <w:color w:val="auto"/>
              </w:rPr>
              <w:t>​ Directors</w:t>
            </w:r>
          </w:p>
        </w:tc>
        <w:tc>
          <w:tcPr>
            <w:tcW w:w="48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4</w:t>
            </w:r>
          </w:p>
        </w:tc>
        <w:tc>
          <w:tcPr>
            <w:tcW w:w="2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8</w:t>
            </w:r>
          </w:p>
        </w:tc>
        <w:tc>
          <w:tcPr>
            <w:tcW w:w="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34"/>
        </w:trPr>
        <w:tc>
          <w:tcPr>
            <w:tcW w:w="180" w:type="dxa"/>
            <w:vAlign w:val="bottom"/>
            <w:tcBorders>
              <w:left w:val="single" w:sz="8" w:color="auto"/>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23"/>
        </w:trPr>
        <w:tc>
          <w:tcPr>
            <w:tcW w:w="180" w:type="dxa"/>
            <w:vAlign w:val="bottom"/>
            <w:tcBorders>
              <w:left w:val="single" w:sz="8" w:color="auto"/>
              <w:bottom w:val="single" w:sz="8" w:color="B2B2B2"/>
            </w:tcBorders>
            <w:shd w:val="clear" w:color="auto" w:fill="B2B2B2"/>
          </w:tcPr>
          <w:p>
            <w:pPr>
              <w:spacing w:after="0"/>
              <w:rPr>
                <w:sz w:val="20"/>
                <w:szCs w:val="20"/>
                <w:color w:val="auto"/>
              </w:rPr>
            </w:pPr>
            <w:r>
              <w:rPr>
                <w:rFonts w:ascii="Arial" w:cs="Arial" w:eastAsia="Arial" w:hAnsi="Arial"/>
                <w:sz w:val="16"/>
                <w:szCs w:val="16"/>
                <w:b w:val="1"/>
                <w:bCs w:val="1"/>
                <w:color w:val="auto"/>
              </w:rPr>
              <w:t>​</w:t>
            </w:r>
          </w:p>
        </w:tc>
        <w:tc>
          <w:tcPr>
            <w:tcW w:w="2420" w:type="dxa"/>
            <w:vAlign w:val="bottom"/>
            <w:tcBorders>
              <w:bottom w:val="single" w:sz="8" w:color="B2B2B2"/>
            </w:tcBorders>
            <w:shd w:val="clear" w:color="auto" w:fill="B2B2B2"/>
          </w:tcPr>
          <w:p>
            <w:pPr>
              <w:ind w:left="20"/>
              <w:spacing w:after="0"/>
              <w:rPr>
                <w:sz w:val="20"/>
                <w:szCs w:val="20"/>
                <w:color w:val="auto"/>
              </w:rPr>
            </w:pPr>
            <w:r>
              <w:rPr>
                <w:rFonts w:ascii="Arial" w:cs="Arial" w:eastAsia="Arial" w:hAnsi="Arial"/>
                <w:sz w:val="16"/>
                <w:szCs w:val="16"/>
                <w:b w:val="1"/>
                <w:bCs w:val="1"/>
                <w:color w:val="auto"/>
              </w:rPr>
              <w:t>Demographic Background</w:t>
            </w:r>
          </w:p>
        </w:tc>
        <w:tc>
          <w:tcPr>
            <w:tcW w:w="480" w:type="dxa"/>
            <w:vAlign w:val="bottom"/>
            <w:tcBorders>
              <w:bottom w:val="single" w:sz="8" w:color="B2B2B2"/>
              <w:right w:val="single" w:sz="8" w:color="B2B2B2"/>
            </w:tcBorders>
            <w:shd w:val="clear" w:color="auto" w:fill="B2B2B2"/>
          </w:tcPr>
          <w:p>
            <w:pPr>
              <w:spacing w:after="0"/>
              <w:rPr>
                <w:sz w:val="24"/>
                <w:szCs w:val="24"/>
                <w:color w:val="auto"/>
              </w:rPr>
            </w:pPr>
          </w:p>
        </w:tc>
        <w:tc>
          <w:tcPr>
            <w:tcW w:w="200" w:type="dxa"/>
            <w:vAlign w:val="bottom"/>
            <w:tcBorders>
              <w:bottom w:val="single" w:sz="8" w:color="B2B2B2"/>
            </w:tcBorders>
            <w:shd w:val="clear" w:color="auto" w:fill="B2B2B2"/>
          </w:tcPr>
          <w:p>
            <w:pPr>
              <w:spacing w:after="0"/>
              <w:rPr>
                <w:sz w:val="24"/>
                <w:szCs w:val="24"/>
                <w:color w:val="auto"/>
              </w:rPr>
            </w:pPr>
          </w:p>
        </w:tc>
        <w:tc>
          <w:tcPr>
            <w:tcW w:w="380" w:type="dxa"/>
            <w:vAlign w:val="bottom"/>
            <w:tcBorders>
              <w:bottom w:val="single" w:sz="8" w:color="B2B2B2"/>
            </w:tcBorders>
            <w:shd w:val="clear" w:color="auto" w:fill="B2B2B2"/>
          </w:tcPr>
          <w:p>
            <w:pPr>
              <w:spacing w:after="0"/>
              <w:rPr>
                <w:sz w:val="24"/>
                <w:szCs w:val="24"/>
                <w:color w:val="auto"/>
              </w:rPr>
            </w:pPr>
          </w:p>
        </w:tc>
        <w:tc>
          <w:tcPr>
            <w:tcW w:w="260" w:type="dxa"/>
            <w:vAlign w:val="bottom"/>
            <w:tcBorders>
              <w:bottom w:val="single" w:sz="8" w:color="B2B2B2"/>
              <w:right w:val="single" w:sz="8" w:color="B2B2B2"/>
            </w:tcBorders>
            <w:shd w:val="clear" w:color="auto" w:fill="B2B2B2"/>
          </w:tcPr>
          <w:p>
            <w:pPr>
              <w:spacing w:after="0"/>
              <w:rPr>
                <w:sz w:val="24"/>
                <w:szCs w:val="24"/>
                <w:color w:val="auto"/>
              </w:rPr>
            </w:pPr>
          </w:p>
        </w:tc>
        <w:tc>
          <w:tcPr>
            <w:tcW w:w="40" w:type="dxa"/>
            <w:vAlign w:val="bottom"/>
            <w:tcBorders>
              <w:bottom w:val="single" w:sz="8" w:color="B2B2B2"/>
            </w:tcBorders>
            <w:shd w:val="clear" w:color="auto" w:fill="B2B2B2"/>
          </w:tcPr>
          <w:p>
            <w:pPr>
              <w:spacing w:after="0"/>
              <w:rPr>
                <w:sz w:val="24"/>
                <w:szCs w:val="24"/>
                <w:color w:val="auto"/>
              </w:rPr>
            </w:pPr>
          </w:p>
        </w:tc>
        <w:tc>
          <w:tcPr>
            <w:tcW w:w="160" w:type="dxa"/>
            <w:vAlign w:val="bottom"/>
            <w:tcBorders>
              <w:bottom w:val="single" w:sz="8" w:color="B2B2B2"/>
            </w:tcBorders>
            <w:shd w:val="clear" w:color="auto" w:fill="B2B2B2"/>
          </w:tcPr>
          <w:p>
            <w:pPr>
              <w:spacing w:after="0"/>
              <w:rPr>
                <w:sz w:val="24"/>
                <w:szCs w:val="24"/>
                <w:color w:val="auto"/>
              </w:rPr>
            </w:pPr>
          </w:p>
        </w:tc>
        <w:tc>
          <w:tcPr>
            <w:tcW w:w="400" w:type="dxa"/>
            <w:vAlign w:val="bottom"/>
            <w:tcBorders>
              <w:bottom w:val="single" w:sz="8" w:color="B2B2B2"/>
            </w:tcBorders>
            <w:shd w:val="clear" w:color="auto" w:fill="B2B2B2"/>
          </w:tcPr>
          <w:p>
            <w:pPr>
              <w:spacing w:after="0"/>
              <w:rPr>
                <w:sz w:val="24"/>
                <w:szCs w:val="24"/>
                <w:color w:val="auto"/>
              </w:rPr>
            </w:pPr>
          </w:p>
        </w:tc>
        <w:tc>
          <w:tcPr>
            <w:tcW w:w="260" w:type="dxa"/>
            <w:vAlign w:val="bottom"/>
            <w:tcBorders>
              <w:bottom w:val="single" w:sz="8" w:color="B2B2B2"/>
              <w:right w:val="single" w:sz="8" w:color="auto"/>
            </w:tcBorders>
            <w:shd w:val="clear" w:color="auto" w:fill="B2B2B2"/>
          </w:tcPr>
          <w:p>
            <w:pPr>
              <w:ind w:left="20"/>
              <w:spacing w:after="0"/>
              <w:rPr>
                <w:sz w:val="20"/>
                <w:szCs w:val="20"/>
                <w:color w:val="auto"/>
              </w:rPr>
            </w:pPr>
            <w:r>
              <w:rPr>
                <w:rFonts w:ascii="Arial" w:cs="Arial" w:eastAsia="Arial" w:hAnsi="Arial"/>
                <w:sz w:val="16"/>
                <w:szCs w:val="16"/>
                <w:b w:val="1"/>
                <w:bCs w:val="1"/>
                <w:color w:val="auto"/>
              </w:rPr>
              <w:t>​</w:t>
            </w:r>
          </w:p>
        </w:tc>
      </w:tr>
      <w:tr>
        <w:trPr>
          <w:trHeight w:val="283"/>
        </w:trPr>
        <w:tc>
          <w:tcPr>
            <w:tcW w:w="260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6"/>
                <w:szCs w:val="16"/>
                <w:color w:val="auto"/>
              </w:rPr>
              <w:t>​   African American or Black</w:t>
            </w:r>
          </w:p>
        </w:tc>
        <w:tc>
          <w:tcPr>
            <w:tcW w:w="48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2</w:t>
            </w:r>
          </w:p>
        </w:tc>
        <w:tc>
          <w:tcPr>
            <w:tcW w:w="2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34"/>
        </w:trPr>
        <w:tc>
          <w:tcPr>
            <w:tcW w:w="2600" w:type="dxa"/>
            <w:vAlign w:val="bottom"/>
            <w:tcBorders>
              <w:left w:val="single" w:sz="8" w:color="auto"/>
              <w:bottom w:val="single" w:sz="8" w:color="auto"/>
            </w:tcBorders>
            <w:gridSpan w:val="2"/>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283"/>
        </w:trPr>
        <w:tc>
          <w:tcPr>
            <w:tcW w:w="2600" w:type="dxa"/>
            <w:vAlign w:val="bottom"/>
            <w:tcBorders>
              <w:left w:val="single" w:sz="8" w:color="auto"/>
            </w:tcBorders>
            <w:gridSpan w:val="2"/>
          </w:tcPr>
          <w:p>
            <w:pPr>
              <w:ind w:left="100"/>
              <w:spacing w:after="0"/>
              <w:rPr>
                <w:sz w:val="20"/>
                <w:szCs w:val="20"/>
                <w:color w:val="auto"/>
              </w:rPr>
            </w:pPr>
            <w:r>
              <w:rPr>
                <w:rFonts w:ascii="Arial" w:cs="Arial" w:eastAsia="Arial" w:hAnsi="Arial"/>
                <w:sz w:val="16"/>
                <w:szCs w:val="16"/>
                <w:color w:val="auto"/>
              </w:rPr>
              <w:t>​   Hispanic or Latinx</w:t>
            </w:r>
          </w:p>
        </w:tc>
        <w:tc>
          <w:tcPr>
            <w:tcW w:w="48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jc w:val="center"/>
              <w:spacing w:after="0"/>
              <w:rPr>
                <w:sz w:val="20"/>
                <w:szCs w:val="20"/>
                <w:color w:val="auto"/>
              </w:rPr>
            </w:pPr>
            <w:r>
              <w:rPr>
                <w:rFonts w:ascii="Arial" w:cs="Arial" w:eastAsia="Arial" w:hAnsi="Arial"/>
                <w:sz w:val="16"/>
                <w:szCs w:val="16"/>
                <w:b w:val="1"/>
                <w:bCs w:val="1"/>
                <w:color w:val="auto"/>
              </w:rPr>
              <w:t>0</w:t>
            </w:r>
          </w:p>
        </w:tc>
        <w:tc>
          <w:tcPr>
            <w:tcW w:w="2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2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34"/>
        </w:trPr>
        <w:tc>
          <w:tcPr>
            <w:tcW w:w="2600" w:type="dxa"/>
            <w:vAlign w:val="bottom"/>
            <w:tcBorders>
              <w:left w:val="single" w:sz="8" w:color="auto"/>
              <w:bottom w:val="single" w:sz="8" w:color="auto"/>
            </w:tcBorders>
            <w:gridSpan w:val="2"/>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283"/>
        </w:trPr>
        <w:tc>
          <w:tcPr>
            <w:tcW w:w="2600" w:type="dxa"/>
            <w:vAlign w:val="bottom"/>
            <w:tcBorders>
              <w:left w:val="single" w:sz="8" w:color="auto"/>
            </w:tcBorders>
            <w:gridSpan w:val="2"/>
          </w:tcPr>
          <w:p>
            <w:pPr>
              <w:ind w:left="100"/>
              <w:spacing w:after="0"/>
              <w:rPr>
                <w:sz w:val="20"/>
                <w:szCs w:val="20"/>
                <w:color w:val="auto"/>
              </w:rPr>
            </w:pPr>
            <w:r>
              <w:rPr>
                <w:rFonts w:ascii="Arial" w:cs="Arial" w:eastAsia="Arial" w:hAnsi="Arial"/>
                <w:sz w:val="16"/>
                <w:szCs w:val="16"/>
                <w:color w:val="auto"/>
              </w:rPr>
              <w:t>​   White</w:t>
            </w:r>
          </w:p>
        </w:tc>
        <w:tc>
          <w:tcPr>
            <w:tcW w:w="48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jc w:val="center"/>
              <w:spacing w:after="0"/>
              <w:rPr>
                <w:sz w:val="20"/>
                <w:szCs w:val="20"/>
                <w:color w:val="auto"/>
              </w:rPr>
            </w:pPr>
            <w:r>
              <w:rPr>
                <w:rFonts w:ascii="Arial" w:cs="Arial" w:eastAsia="Arial" w:hAnsi="Arial"/>
                <w:sz w:val="16"/>
                <w:szCs w:val="16"/>
                <w:b w:val="1"/>
                <w:bCs w:val="1"/>
                <w:color w:val="auto"/>
                <w:w w:val="92"/>
              </w:rPr>
              <w:t>2*</w:t>
            </w:r>
          </w:p>
        </w:tc>
        <w:tc>
          <w:tcPr>
            <w:tcW w:w="26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6</w:t>
            </w:r>
          </w:p>
        </w:tc>
        <w:tc>
          <w:tcPr>
            <w:tcW w:w="2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34"/>
        </w:trPr>
        <w:tc>
          <w:tcPr>
            <w:tcW w:w="180" w:type="dxa"/>
            <w:vAlign w:val="bottom"/>
            <w:tcBorders>
              <w:left w:val="single" w:sz="8" w:color="auto"/>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r>
      <w:tr>
        <w:trPr>
          <w:trHeight w:val="310"/>
        </w:trPr>
        <w:tc>
          <w:tcPr>
            <w:tcW w:w="180" w:type="dxa"/>
            <w:vAlign w:val="bottom"/>
            <w:tcBorders>
              <w:left w:val="single" w:sz="8" w:color="auto"/>
            </w:tcBorders>
          </w:tcPr>
          <w:p>
            <w:pPr>
              <w:spacing w:after="0"/>
              <w:rPr>
                <w:sz w:val="20"/>
                <w:szCs w:val="20"/>
                <w:color w:val="auto"/>
              </w:rPr>
            </w:pPr>
            <w:r>
              <w:rPr>
                <w:rFonts w:ascii="Arial" w:cs="Arial" w:eastAsia="Arial" w:hAnsi="Arial"/>
                <w:sz w:val="16"/>
                <w:szCs w:val="16"/>
                <w:color w:val="auto"/>
              </w:rPr>
              <w:t>​</w:t>
            </w:r>
          </w:p>
        </w:tc>
        <w:tc>
          <w:tcPr>
            <w:tcW w:w="2420" w:type="dxa"/>
            <w:vAlign w:val="bottom"/>
          </w:tcPr>
          <w:p>
            <w:pPr>
              <w:ind w:left="40"/>
              <w:spacing w:after="0"/>
              <w:rPr>
                <w:sz w:val="20"/>
                <w:szCs w:val="20"/>
                <w:color w:val="auto"/>
              </w:rPr>
            </w:pPr>
            <w:r>
              <w:rPr>
                <w:rFonts w:ascii="Arial" w:cs="Arial" w:eastAsia="Arial" w:hAnsi="Arial"/>
                <w:sz w:val="16"/>
                <w:szCs w:val="16"/>
                <w:color w:val="auto"/>
              </w:rPr>
              <w:t>  LGBTQ+</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0"/>
              </w:rPr>
              <w:t>  1</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102"/>
        </w:trPr>
        <w:tc>
          <w:tcPr>
            <w:tcW w:w="180" w:type="dxa"/>
            <w:vAlign w:val="bottom"/>
            <w:tcBorders>
              <w:left w:val="single" w:sz="8" w:color="auto"/>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r>
    </w:tbl>
    <w:p>
      <w:pPr>
        <w:spacing w:after="0" w:line="13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One identifies as Middle Eastern</w:t>
      </w:r>
    </w:p>
    <w:p>
      <w:pPr>
        <w:spacing w:after="0" w:line="21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BOARD LEADERSHIP STRUCTURE</w:t>
      </w:r>
    </w:p>
    <w:p>
      <w:pPr>
        <w:spacing w:after="0" w:line="148" w:lineRule="exact"/>
        <w:rPr>
          <w:sz w:val="20"/>
          <w:szCs w:val="20"/>
          <w:color w:val="auto"/>
        </w:rPr>
      </w:pPr>
    </w:p>
    <w:p>
      <w:pPr>
        <w:ind w:left="1000" w:right="159"/>
        <w:spacing w:after="0" w:line="255" w:lineRule="auto"/>
        <w:rPr>
          <w:sz w:val="20"/>
          <w:szCs w:val="20"/>
          <w:color w:val="auto"/>
        </w:rPr>
      </w:pPr>
      <w:r>
        <w:rPr>
          <w:rFonts w:ascii="Arial" w:cs="Arial" w:eastAsia="Arial" w:hAnsi="Arial"/>
          <w:sz w:val="18"/>
          <w:szCs w:val="18"/>
          <w:color w:val="auto"/>
        </w:rPr>
        <w:t>Pursuant to the Guidelines, the Board has the flexibility to decide whether it is best for the Company at a given point in time for the roles of the Chief Executive Officer (“CEO”) and Chair of the Board (the “Chair”) to be separated or combined and, if separated, whether the Chair should be selected from the Independent Directors or be an employee of the Company. The Board believes that the Company and its shareholders are best served by maintaining this flexibility rather than mandating a particular leadership structure, and the Board has experience functioning effectively either way. The Board also believes its programs for overseeing risk would be effective under a variety of leadership frameworks and therefore do not materially affect how it structures its leadership. If the Chair is an employee of the Company, the Guidelines provide that the independent Directors will elect an active lead independent director.</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Currently the roles are separated, with Mr. Adkins, an Independent Director, serving as the Chair and</w:t>
      </w:r>
    </w:p>
    <w:p>
      <w:pPr>
        <w:spacing w:after="0" w:line="27"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color w:val="auto"/>
        </w:rPr>
        <w:t>Mr. Gallagher serving as the CEO. The Board has concluded that the current leadership structure is appropriate because it allows Directors to provide independent, objective, and effective oversight of management. Under this structure, the independent Chair focuses on Board performance and facilitating information flow between the Board and CEO. The independent Chair works closely with the CEO and Chief Legal Officer to set Board meeting agendas and meeting schedules, and chairs executive sessions at Board meetings. In addition, the Board believes that Mr. Adkin’s global business experience in the technology industry, international markets, and supply chain management, as well as his strong public board experience with outside companies, enables him to provide effective leadership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18     </w:t>
      </w:r>
      <w:r>
        <w:rPr>
          <w:sz w:val="1"/>
          <w:szCs w:val="1"/>
          <w:color w:val="auto"/>
        </w:rPr>
        <w:drawing>
          <wp:inline distT="0" distB="0" distL="0" distR="0">
            <wp:extent cx="1242695" cy="2400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EXECUTIVE SESSIONS</w:t>
      </w:r>
    </w:p>
    <w:p>
      <w:pPr>
        <w:spacing w:after="0" w:line="162" w:lineRule="exact"/>
        <w:rPr>
          <w:sz w:val="20"/>
          <w:szCs w:val="20"/>
          <w:color w:val="auto"/>
        </w:rPr>
      </w:pPr>
    </w:p>
    <w:p>
      <w:pPr>
        <w:ind w:left="1000" w:right="279"/>
        <w:spacing w:after="0" w:line="271"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at regularly scheduled Board meetings with neither non-Independent Directors nor management present.</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DIRECTOR NOMINATIONS</w:t>
      </w:r>
    </w:p>
    <w:p>
      <w:pPr>
        <w:spacing w:after="0" w:line="162" w:lineRule="exact"/>
        <w:rPr>
          <w:sz w:val="20"/>
          <w:szCs w:val="20"/>
          <w:color w:val="auto"/>
        </w:rPr>
      </w:pPr>
    </w:p>
    <w:p>
      <w:pPr>
        <w:ind w:left="1000" w:right="159"/>
        <w:spacing w:after="0" w:line="243" w:lineRule="auto"/>
        <w:rPr>
          <w:sz w:val="20"/>
          <w:szCs w:val="20"/>
          <w:color w:val="auto"/>
        </w:rPr>
      </w:pPr>
      <w:r>
        <w:rPr>
          <w:rFonts w:ascii="Arial" w:cs="Arial" w:eastAsia="Arial" w:hAnsi="Arial"/>
          <w:sz w:val="18"/>
          <w:szCs w:val="18"/>
          <w:color w:val="auto"/>
        </w:rPr>
        <w:t>The Corporate Governance Committee is responsible for identifying, screening, and recommending candidates for election to the Company’s Board of Directors. Pursuant to the Guidelines, the committee reviews a potential candidate’s business experience; education; skill set; personal character and judgment; and diversity in factors such as age, gender, race, nationality, and culture. In addition, the Committee’s charter provides that the committee will consider criteria including knowledge, experience, skills, expertise, and diversity to enhance the Board’s ability to oversee the Company’s affairs and business. Although the Corporate Governance Committee does not have a formal policy concerning diversity, the Company believes that valuing diversity makes good business sense. Consequently, the Corporate Governance Committee includes women and minority candidates in the pool from which it seeks future Directors.</w:t>
      </w:r>
    </w:p>
    <w:p>
      <w:pPr>
        <w:spacing w:after="0" w:line="112" w:lineRule="exact"/>
        <w:rPr>
          <w:sz w:val="20"/>
          <w:szCs w:val="20"/>
          <w:color w:val="auto"/>
        </w:rPr>
      </w:pPr>
    </w:p>
    <w:p>
      <w:pPr>
        <w:ind w:left="1000" w:right="339"/>
        <w:spacing w:after="0" w:line="265" w:lineRule="auto"/>
        <w:rPr>
          <w:sz w:val="20"/>
          <w:szCs w:val="20"/>
          <w:color w:val="auto"/>
        </w:rPr>
      </w:pPr>
      <w:r>
        <w:rPr>
          <w:rFonts w:ascii="Arial" w:cs="Arial" w:eastAsia="Arial" w:hAnsi="Arial"/>
          <w:sz w:val="17"/>
          <w:szCs w:val="17"/>
          <w:color w:val="auto"/>
        </w:rPr>
        <w:t>These above factors, and others considered useful by the Board, are reviewed in the context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p>
    <w:p>
      <w:pPr>
        <w:spacing w:after="0" w:line="95" w:lineRule="exact"/>
        <w:rPr>
          <w:sz w:val="20"/>
          <w:szCs w:val="20"/>
          <w:color w:val="auto"/>
        </w:rPr>
      </w:pPr>
    </w:p>
    <w:p>
      <w:pPr>
        <w:ind w:left="1000" w:right="659"/>
        <w:spacing w:after="0" w:line="261" w:lineRule="auto"/>
        <w:rPr>
          <w:sz w:val="20"/>
          <w:szCs w:val="20"/>
          <w:color w:val="auto"/>
        </w:rPr>
      </w:pPr>
      <w:r>
        <w:rPr>
          <w:rFonts w:ascii="Arial" w:cs="Arial" w:eastAsia="Arial" w:hAnsi="Arial"/>
          <w:sz w:val="18"/>
          <w:szCs w:val="18"/>
          <w:color w:val="auto"/>
        </w:rPr>
        <w:t>The Corporate Governance Committee also reviews whether a potential candidate will meet the Board’s independence standards and any other Director or committee membership requirements imposed by law, regulation, or stock exchange rules.</w:t>
      </w:r>
    </w:p>
    <w:p>
      <w:pPr>
        <w:spacing w:after="0" w:line="94" w:lineRule="exact"/>
        <w:rPr>
          <w:sz w:val="20"/>
          <w:szCs w:val="20"/>
          <w:color w:val="auto"/>
        </w:rPr>
      </w:pPr>
    </w:p>
    <w:p>
      <w:pPr>
        <w:ind w:left="1000" w:right="259"/>
        <w:spacing w:after="0" w:line="262" w:lineRule="auto"/>
        <w:rPr>
          <w:sz w:val="20"/>
          <w:szCs w:val="20"/>
          <w:color w:val="auto"/>
        </w:rPr>
      </w:pPr>
      <w:r>
        <w:rPr>
          <w:rFonts w:ascii="Arial" w:cs="Arial" w:eastAsia="Arial" w:hAnsi="Arial"/>
          <w:sz w:val="17"/>
          <w:szCs w:val="17"/>
          <w:color w:val="auto"/>
        </w:rPr>
        <w:t>Director candidates recommended by the Corporate Governance Committee are subject to full Board approval and subsequent annual election by the shareholders. The Board of Directors is also responsible for electing Directors to fill vacancies on the Board occurring between the shareholders’ annual meetings, due to retirement, resignation, expansion of the Board, or other events. The committee may retain a search firm to assist in identifying and evaluating candidates. When a search firm is used, the committee provides criteria for candidates, tailored to the needs of the Board at that time, and pays the firm a fee for these services.</w:t>
      </w:r>
    </w:p>
    <w:p>
      <w:pPr>
        <w:spacing w:after="0" w:line="97" w:lineRule="exact"/>
        <w:rPr>
          <w:sz w:val="20"/>
          <w:szCs w:val="20"/>
          <w:color w:val="auto"/>
        </w:rPr>
      </w:pPr>
    </w:p>
    <w:p>
      <w:pPr>
        <w:ind w:left="1000" w:right="619"/>
        <w:spacing w:after="0" w:line="287" w:lineRule="auto"/>
        <w:rPr>
          <w:sz w:val="20"/>
          <w:szCs w:val="20"/>
          <w:color w:val="auto"/>
        </w:rPr>
      </w:pPr>
      <w:r>
        <w:rPr>
          <w:rFonts w:ascii="Arial" w:cs="Arial" w:eastAsia="Arial" w:hAnsi="Arial"/>
          <w:sz w:val="18"/>
          <w:szCs w:val="18"/>
          <w:color w:val="auto"/>
        </w:rPr>
        <w:t>Recommendations for Director candidates may also be received from Board members, management, and shareholders, and may be solicited from professional associations as well.</w:t>
      </w:r>
    </w:p>
    <w:p>
      <w:pPr>
        <w:spacing w:after="0" w:line="72" w:lineRule="exact"/>
        <w:rPr>
          <w:sz w:val="20"/>
          <w:szCs w:val="20"/>
          <w:color w:val="auto"/>
        </w:rPr>
      </w:pPr>
    </w:p>
    <w:p>
      <w:pPr>
        <w:ind w:left="1000" w:right="359"/>
        <w:spacing w:after="0" w:line="246" w:lineRule="auto"/>
        <w:rPr>
          <w:sz w:val="20"/>
          <w:szCs w:val="20"/>
          <w:color w:val="auto"/>
        </w:rPr>
      </w:pPr>
      <w:r>
        <w:rPr>
          <w:rFonts w:ascii="Arial" w:cs="Arial" w:eastAsia="Arial" w:hAnsi="Arial"/>
          <w:sz w:val="18"/>
          <w:szCs w:val="18"/>
          <w:color w:val="auto"/>
        </w:rPr>
        <w:t>The Corporate Governance Committee considers recommendations of Director candidates received from shareholders on the same basis as recommendations received from other sources. The director selection criteria discussed above is used to evaluate all recommended Director candidates. Shareholders who wish to suggest an individual for consideration for election to the Company’s Board of Directors may submit a written recommendation to the Corporate Governance Committee by sending it to: Corporate Secretary, Avnet, Inc., 2211 South 47th Street, Phoenix, Arizona 85034. Shareholder recommendations must contain the following information:</w:t>
      </w:r>
    </w:p>
    <w:p>
      <w:pPr>
        <w:spacing w:after="0" w:line="67" w:lineRule="exact"/>
        <w:rPr>
          <w:sz w:val="20"/>
          <w:szCs w:val="20"/>
          <w:color w:val="auto"/>
        </w:rPr>
      </w:pPr>
    </w:p>
    <w:p>
      <w:pPr>
        <w:ind w:left="1620" w:right="539" w:hanging="270"/>
        <w:spacing w:after="0" w:line="318" w:lineRule="auto"/>
        <w:tabs>
          <w:tab w:leader="none" w:pos="1620" w:val="left"/>
        </w:tabs>
        <w:numPr>
          <w:ilvl w:val="0"/>
          <w:numId w:val="26"/>
        </w:numPr>
        <w:rPr>
          <w:rFonts w:ascii="Arial" w:cs="Arial" w:eastAsia="Arial" w:hAnsi="Arial"/>
          <w:sz w:val="17"/>
          <w:szCs w:val="17"/>
          <w:color w:val="53C072"/>
        </w:rPr>
      </w:pPr>
      <w:r>
        <w:rPr>
          <w:rFonts w:ascii="Arial" w:cs="Arial" w:eastAsia="Arial" w:hAnsi="Arial"/>
          <w:sz w:val="17"/>
          <w:szCs w:val="17"/>
          <w:color w:val="auto"/>
        </w:rPr>
        <w:t>The shareholder’s name, address, number of shares of the Company’s Common Stock beneficially owned, and, if the shareholder is not a record shareholder, evidence of beneficial ownership;</w:t>
      </w:r>
    </w:p>
    <w:p>
      <w:pPr>
        <w:spacing w:after="0" w:line="8" w:lineRule="exact"/>
        <w:rPr>
          <w:rFonts w:ascii="Arial" w:cs="Arial" w:eastAsia="Arial" w:hAnsi="Arial"/>
          <w:sz w:val="17"/>
          <w:szCs w:val="17"/>
          <w:color w:val="53C072"/>
        </w:rPr>
      </w:pPr>
    </w:p>
    <w:p>
      <w:pPr>
        <w:ind w:left="1620" w:hanging="270"/>
        <w:spacing w:after="0"/>
        <w:tabs>
          <w:tab w:leader="none" w:pos="1620" w:val="left"/>
        </w:tabs>
        <w:numPr>
          <w:ilvl w:val="0"/>
          <w:numId w:val="26"/>
        </w:numPr>
        <w:rPr>
          <w:rFonts w:ascii="Arial" w:cs="Arial" w:eastAsia="Arial" w:hAnsi="Arial"/>
          <w:sz w:val="18"/>
          <w:szCs w:val="18"/>
          <w:color w:val="53C072"/>
        </w:rPr>
      </w:pPr>
      <w:r>
        <w:rPr>
          <w:rFonts w:ascii="Arial" w:cs="Arial" w:eastAsia="Arial" w:hAnsi="Arial"/>
          <w:sz w:val="18"/>
          <w:szCs w:val="18"/>
          <w:color w:val="auto"/>
        </w:rPr>
        <w:t>A statement in support of the candidate’s recommendation;</w:t>
      </w:r>
    </w:p>
    <w:p>
      <w:pPr>
        <w:spacing w:after="0" w:line="117" w:lineRule="exact"/>
        <w:rPr>
          <w:rFonts w:ascii="Arial" w:cs="Arial" w:eastAsia="Arial" w:hAnsi="Arial"/>
          <w:sz w:val="18"/>
          <w:szCs w:val="18"/>
          <w:color w:val="53C072"/>
        </w:rPr>
      </w:pPr>
    </w:p>
    <w:p>
      <w:pPr>
        <w:ind w:left="1620" w:right="439" w:hanging="270"/>
        <w:spacing w:after="0" w:line="318" w:lineRule="auto"/>
        <w:tabs>
          <w:tab w:leader="none" w:pos="1620" w:val="left"/>
        </w:tabs>
        <w:numPr>
          <w:ilvl w:val="0"/>
          <w:numId w:val="26"/>
        </w:numPr>
        <w:rPr>
          <w:rFonts w:ascii="Arial" w:cs="Arial" w:eastAsia="Arial" w:hAnsi="Arial"/>
          <w:sz w:val="17"/>
          <w:szCs w:val="17"/>
          <w:color w:val="53C072"/>
        </w:rPr>
      </w:pPr>
      <w:r>
        <w:rPr>
          <w:rFonts w:ascii="Arial" w:cs="Arial" w:eastAsia="Arial" w:hAnsi="Arial"/>
          <w:sz w:val="17"/>
          <w:szCs w:val="17"/>
          <w:color w:val="auto"/>
        </w:rPr>
        <w:t>The candidate’s detailed biographical information describing experience and qualifications, including current employment and a list of any other boards of directors on which the candidate serves;</w:t>
      </w:r>
    </w:p>
    <w:p>
      <w:pPr>
        <w:spacing w:after="0" w:line="21" w:lineRule="exact"/>
        <w:rPr>
          <w:rFonts w:ascii="Arial" w:cs="Arial" w:eastAsia="Arial" w:hAnsi="Arial"/>
          <w:sz w:val="17"/>
          <w:szCs w:val="17"/>
          <w:color w:val="53C072"/>
        </w:rPr>
      </w:pPr>
    </w:p>
    <w:p>
      <w:pPr>
        <w:ind w:left="1620" w:right="479" w:hanging="270"/>
        <w:spacing w:after="0" w:line="287" w:lineRule="auto"/>
        <w:tabs>
          <w:tab w:leader="none" w:pos="1620" w:val="left"/>
        </w:tabs>
        <w:numPr>
          <w:ilvl w:val="0"/>
          <w:numId w:val="26"/>
        </w:numPr>
        <w:rPr>
          <w:rFonts w:ascii="Arial" w:cs="Arial" w:eastAsia="Arial" w:hAnsi="Arial"/>
          <w:sz w:val="18"/>
          <w:szCs w:val="18"/>
          <w:color w:val="53C072"/>
        </w:rPr>
      </w:pPr>
      <w:r>
        <w:rPr>
          <w:rFonts w:ascii="Arial" w:cs="Arial" w:eastAsia="Arial" w:hAnsi="Arial"/>
          <w:sz w:val="18"/>
          <w:szCs w:val="18"/>
          <w:color w:val="auto"/>
        </w:rPr>
        <w:t>A description of all agreements, arrangements, or understandings between the shareholder and the Director candidate;</w:t>
      </w:r>
    </w:p>
    <w:p>
      <w:pPr>
        <w:spacing w:after="0" w:line="31" w:lineRule="exact"/>
        <w:rPr>
          <w:rFonts w:ascii="Arial" w:cs="Arial" w:eastAsia="Arial" w:hAnsi="Arial"/>
          <w:sz w:val="18"/>
          <w:szCs w:val="18"/>
          <w:color w:val="53C072"/>
        </w:rPr>
      </w:pPr>
    </w:p>
    <w:p>
      <w:pPr>
        <w:ind w:left="1620" w:right="279" w:hanging="270"/>
        <w:spacing w:after="0" w:line="287" w:lineRule="auto"/>
        <w:tabs>
          <w:tab w:leader="none" w:pos="1620" w:val="left"/>
        </w:tabs>
        <w:numPr>
          <w:ilvl w:val="0"/>
          <w:numId w:val="26"/>
        </w:numPr>
        <w:rPr>
          <w:rFonts w:ascii="Arial" w:cs="Arial" w:eastAsia="Arial" w:hAnsi="Arial"/>
          <w:sz w:val="18"/>
          <w:szCs w:val="18"/>
          <w:color w:val="53C072"/>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107"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620" w:hanging="270"/>
        <w:spacing w:after="0"/>
        <w:tabs>
          <w:tab w:leader="none" w:pos="1620" w:val="left"/>
        </w:tabs>
        <w:numPr>
          <w:ilvl w:val="0"/>
          <w:numId w:val="27"/>
        </w:numPr>
        <w:rPr>
          <w:rFonts w:ascii="Arial" w:cs="Arial" w:eastAsia="Arial" w:hAnsi="Arial"/>
          <w:sz w:val="18"/>
          <w:szCs w:val="18"/>
          <w:color w:val="53C072"/>
        </w:rPr>
      </w:pPr>
      <w:r>
        <w:rPr>
          <w:rFonts w:ascii="Arial" w:cs="Arial" w:eastAsia="Arial" w:hAnsi="Arial"/>
          <w:sz w:val="18"/>
          <w:szCs w:val="18"/>
          <w:color w:val="auto"/>
        </w:rPr>
        <w:t>The candidate’s consent for a background check; and</w:t>
      </w:r>
    </w:p>
    <w:p>
      <w:pPr>
        <w:spacing w:after="0" w:line="117" w:lineRule="exact"/>
        <w:rPr>
          <w:rFonts w:ascii="Arial" w:cs="Arial" w:eastAsia="Arial" w:hAnsi="Arial"/>
          <w:sz w:val="18"/>
          <w:szCs w:val="18"/>
          <w:color w:val="53C072"/>
        </w:rPr>
      </w:pPr>
    </w:p>
    <w:p>
      <w:pPr>
        <w:ind w:left="1620" w:hanging="270"/>
        <w:spacing w:after="0"/>
        <w:tabs>
          <w:tab w:leader="none" w:pos="1620" w:val="left"/>
        </w:tabs>
        <w:numPr>
          <w:ilvl w:val="0"/>
          <w:numId w:val="27"/>
        </w:numPr>
        <w:rPr>
          <w:rFonts w:ascii="Arial" w:cs="Arial" w:eastAsia="Arial" w:hAnsi="Arial"/>
          <w:sz w:val="18"/>
          <w:szCs w:val="18"/>
          <w:color w:val="53C072"/>
        </w:rPr>
      </w:pPr>
      <w:r>
        <w:rPr>
          <w:rFonts w:ascii="Arial" w:cs="Arial" w:eastAsia="Arial" w:hAnsi="Arial"/>
          <w:sz w:val="18"/>
          <w:szCs w:val="18"/>
          <w:color w:val="auto"/>
        </w:rPr>
        <w:t>The candidate’s consent to serve as a Director, if nominated and elected.</w:t>
      </w:r>
    </w:p>
    <w:p>
      <w:pPr>
        <w:spacing w:after="0" w:line="158" w:lineRule="exact"/>
        <w:rPr>
          <w:sz w:val="20"/>
          <w:szCs w:val="20"/>
          <w:color w:val="auto"/>
        </w:rPr>
      </w:pPr>
    </w:p>
    <w:p>
      <w:pPr>
        <w:ind w:left="1000" w:right="279"/>
        <w:spacing w:after="0" w:line="260" w:lineRule="auto"/>
        <w:rPr>
          <w:sz w:val="20"/>
          <w:szCs w:val="20"/>
          <w:color w:val="auto"/>
        </w:rPr>
      </w:pPr>
      <w:r>
        <w:rPr>
          <w:rFonts w:ascii="Arial" w:cs="Arial" w:eastAsia="Arial" w:hAnsi="Arial"/>
          <w:sz w:val="18"/>
          <w:szCs w:val="18"/>
          <w:color w:val="auto"/>
        </w:rPr>
        <w:t>Shareholders may also nominate a candidate for election at an annual meeting of shareholders and may have the candidate included on the Company’s proxy card if additional requirements under the By-laws and</w:t>
      </w:r>
    </w:p>
    <w:p>
      <w:pPr>
        <w:spacing w:after="0" w:line="2" w:lineRule="exact"/>
        <w:rPr>
          <w:sz w:val="20"/>
          <w:szCs w:val="20"/>
          <w:color w:val="auto"/>
        </w:rPr>
      </w:pPr>
    </w:p>
    <w:p>
      <w:pPr>
        <w:ind w:left="1000" w:right="319"/>
        <w:spacing w:after="0" w:line="258" w:lineRule="auto"/>
        <w:rPr>
          <w:sz w:val="20"/>
          <w:szCs w:val="20"/>
          <w:color w:val="auto"/>
        </w:rPr>
      </w:pPr>
      <w:r>
        <w:rPr>
          <w:rFonts w:ascii="Arial" w:cs="Arial" w:eastAsia="Arial" w:hAnsi="Arial"/>
          <w:sz w:val="18"/>
          <w:szCs w:val="18"/>
          <w:color w:val="auto"/>
        </w:rPr>
        <w:t>Rule 14a-19 of the Securities Exchange Act of 1934, as amended (the “Exchange Act”) are met. Details regarding these nomination procedures and the required notice and information are set forth elsewhere in this Proxy Statement under the heading “Shareholder Proposals and Nominations.”</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BOARD AND COMMITTEE EVALUATION</w:t>
      </w:r>
    </w:p>
    <w:p>
      <w:pPr>
        <w:spacing w:after="0" w:line="148" w:lineRule="exact"/>
        <w:rPr>
          <w:sz w:val="20"/>
          <w:szCs w:val="20"/>
          <w:color w:val="auto"/>
        </w:rPr>
      </w:pPr>
    </w:p>
    <w:p>
      <w:pPr>
        <w:ind w:left="1000" w:right="159"/>
        <w:spacing w:after="0" w:line="257" w:lineRule="auto"/>
        <w:rPr>
          <w:sz w:val="20"/>
          <w:szCs w:val="20"/>
          <w:color w:val="auto"/>
        </w:rPr>
      </w:pPr>
      <w:r>
        <w:rPr>
          <w:rFonts w:ascii="Arial" w:cs="Arial" w:eastAsia="Arial" w:hAnsi="Arial"/>
          <w:sz w:val="18"/>
          <w:szCs w:val="18"/>
          <w:color w:val="auto"/>
        </w:rPr>
        <w:t>The Board recognizes that a thorough, constructive evaluation process enhances the Board’s effectiveness and is an important element of good corporate governance. The evaluations are conducted through individual interviews with each Director, assessing both the Board and each standing committee on which that Director serves, utilizing a prepared questionnaire as a guide. On alternating years, the interviews are conducted either by the Board Chair or outside counsel engaged by the Board. Interviews solicit feedback on a range of topics, including:</w:t>
      </w:r>
    </w:p>
    <w:p>
      <w:pPr>
        <w:spacing w:after="0" w:line="74" w:lineRule="exact"/>
        <w:rPr>
          <w:sz w:val="20"/>
          <w:szCs w:val="20"/>
          <w:color w:val="auto"/>
        </w:rPr>
      </w:pPr>
    </w:p>
    <w:p>
      <w:pPr>
        <w:ind w:left="1620" w:hanging="270"/>
        <w:spacing w:after="0"/>
        <w:tabs>
          <w:tab w:leader="none" w:pos="1620" w:val="left"/>
        </w:tabs>
        <w:numPr>
          <w:ilvl w:val="0"/>
          <w:numId w:val="28"/>
        </w:numPr>
        <w:rPr>
          <w:rFonts w:ascii="Arial" w:cs="Arial" w:eastAsia="Arial" w:hAnsi="Arial"/>
          <w:sz w:val="18"/>
          <w:szCs w:val="18"/>
          <w:color w:val="53C072"/>
        </w:rPr>
      </w:pPr>
      <w:r>
        <w:rPr>
          <w:rFonts w:ascii="Arial" w:cs="Arial" w:eastAsia="Arial" w:hAnsi="Arial"/>
          <w:sz w:val="18"/>
          <w:szCs w:val="18"/>
          <w:color w:val="auto"/>
        </w:rPr>
        <w:t>Board and committee structure, effectiveness, composition, leadership, and skillsets;</w:t>
      </w:r>
    </w:p>
    <w:p>
      <w:pPr>
        <w:spacing w:after="0" w:line="117" w:lineRule="exact"/>
        <w:rPr>
          <w:rFonts w:ascii="Arial" w:cs="Arial" w:eastAsia="Arial" w:hAnsi="Arial"/>
          <w:sz w:val="18"/>
          <w:szCs w:val="18"/>
          <w:color w:val="53C072"/>
        </w:rPr>
      </w:pPr>
    </w:p>
    <w:p>
      <w:pPr>
        <w:ind w:left="1620" w:hanging="270"/>
        <w:spacing w:after="0"/>
        <w:tabs>
          <w:tab w:leader="none" w:pos="1620" w:val="left"/>
        </w:tabs>
        <w:numPr>
          <w:ilvl w:val="0"/>
          <w:numId w:val="28"/>
        </w:numPr>
        <w:rPr>
          <w:rFonts w:ascii="Arial" w:cs="Arial" w:eastAsia="Arial" w:hAnsi="Arial"/>
          <w:sz w:val="18"/>
          <w:szCs w:val="18"/>
          <w:color w:val="53C072"/>
        </w:rPr>
      </w:pPr>
      <w:r>
        <w:rPr>
          <w:rFonts w:ascii="Arial" w:cs="Arial" w:eastAsia="Arial" w:hAnsi="Arial"/>
          <w:sz w:val="18"/>
          <w:szCs w:val="18"/>
          <w:color w:val="auto"/>
        </w:rPr>
        <w:t>meeting structure, dynamics, and materials;</w:t>
      </w:r>
    </w:p>
    <w:p>
      <w:pPr>
        <w:spacing w:after="0" w:line="117" w:lineRule="exact"/>
        <w:rPr>
          <w:rFonts w:ascii="Arial" w:cs="Arial" w:eastAsia="Arial" w:hAnsi="Arial"/>
          <w:sz w:val="18"/>
          <w:szCs w:val="18"/>
          <w:color w:val="53C072"/>
        </w:rPr>
      </w:pPr>
    </w:p>
    <w:p>
      <w:pPr>
        <w:ind w:left="1620" w:right="319" w:hanging="270"/>
        <w:spacing w:after="0" w:line="268" w:lineRule="auto"/>
        <w:tabs>
          <w:tab w:leader="none" w:pos="1620" w:val="left"/>
        </w:tabs>
        <w:numPr>
          <w:ilvl w:val="0"/>
          <w:numId w:val="28"/>
        </w:numPr>
        <w:rPr>
          <w:rFonts w:ascii="Arial" w:cs="Arial" w:eastAsia="Arial" w:hAnsi="Arial"/>
          <w:sz w:val="18"/>
          <w:szCs w:val="18"/>
          <w:color w:val="53C072"/>
        </w:rPr>
      </w:pPr>
      <w:r>
        <w:rPr>
          <w:rFonts w:ascii="Arial" w:cs="Arial" w:eastAsia="Arial" w:hAnsi="Arial"/>
          <w:sz w:val="18"/>
          <w:szCs w:val="18"/>
          <w:color w:val="auto"/>
        </w:rPr>
        <w:t>execution of key responsibilities, including oversight of corporate strategy, CEO and senior leadership succession, enterprise risk management, cybersecurity, and environmental, social and governance matters;</w:t>
      </w:r>
    </w:p>
    <w:p>
      <w:pPr>
        <w:spacing w:after="0" w:line="62" w:lineRule="exact"/>
        <w:rPr>
          <w:rFonts w:ascii="Arial" w:cs="Arial" w:eastAsia="Arial" w:hAnsi="Arial"/>
          <w:sz w:val="18"/>
          <w:szCs w:val="18"/>
          <w:color w:val="53C072"/>
        </w:rPr>
      </w:pPr>
    </w:p>
    <w:p>
      <w:pPr>
        <w:ind w:left="1620" w:hanging="270"/>
        <w:spacing w:after="0"/>
        <w:tabs>
          <w:tab w:leader="none" w:pos="1620" w:val="left"/>
        </w:tabs>
        <w:numPr>
          <w:ilvl w:val="0"/>
          <w:numId w:val="28"/>
        </w:numPr>
        <w:rPr>
          <w:rFonts w:ascii="Arial" w:cs="Arial" w:eastAsia="Arial" w:hAnsi="Arial"/>
          <w:sz w:val="18"/>
          <w:szCs w:val="18"/>
          <w:color w:val="53C072"/>
        </w:rPr>
      </w:pPr>
      <w:r>
        <w:rPr>
          <w:rFonts w:ascii="Arial" w:cs="Arial" w:eastAsia="Arial" w:hAnsi="Arial"/>
          <w:sz w:val="18"/>
          <w:szCs w:val="18"/>
          <w:color w:val="auto"/>
        </w:rPr>
        <w:t>interaction with management;</w:t>
      </w:r>
    </w:p>
    <w:p>
      <w:pPr>
        <w:spacing w:after="0" w:line="117" w:lineRule="exact"/>
        <w:rPr>
          <w:rFonts w:ascii="Arial" w:cs="Arial" w:eastAsia="Arial" w:hAnsi="Arial"/>
          <w:sz w:val="18"/>
          <w:szCs w:val="18"/>
          <w:color w:val="53C072"/>
        </w:rPr>
      </w:pPr>
    </w:p>
    <w:p>
      <w:pPr>
        <w:ind w:left="1620" w:hanging="270"/>
        <w:spacing w:after="0"/>
        <w:tabs>
          <w:tab w:leader="none" w:pos="1620" w:val="left"/>
        </w:tabs>
        <w:numPr>
          <w:ilvl w:val="0"/>
          <w:numId w:val="28"/>
        </w:numPr>
        <w:rPr>
          <w:rFonts w:ascii="Arial" w:cs="Arial" w:eastAsia="Arial" w:hAnsi="Arial"/>
          <w:sz w:val="18"/>
          <w:szCs w:val="18"/>
          <w:color w:val="53C072"/>
        </w:rPr>
      </w:pPr>
      <w:r>
        <w:rPr>
          <w:rFonts w:ascii="Arial" w:cs="Arial" w:eastAsia="Arial" w:hAnsi="Arial"/>
          <w:sz w:val="18"/>
          <w:szCs w:val="18"/>
          <w:color w:val="auto"/>
        </w:rPr>
        <w:t>information and resources made available; and</w:t>
      </w:r>
    </w:p>
    <w:p>
      <w:pPr>
        <w:spacing w:after="0" w:line="117" w:lineRule="exact"/>
        <w:rPr>
          <w:rFonts w:ascii="Arial" w:cs="Arial" w:eastAsia="Arial" w:hAnsi="Arial"/>
          <w:sz w:val="18"/>
          <w:szCs w:val="18"/>
          <w:color w:val="53C072"/>
        </w:rPr>
      </w:pPr>
    </w:p>
    <w:p>
      <w:pPr>
        <w:ind w:left="1620" w:hanging="270"/>
        <w:spacing w:after="0"/>
        <w:tabs>
          <w:tab w:leader="none" w:pos="1620" w:val="left"/>
        </w:tabs>
        <w:numPr>
          <w:ilvl w:val="0"/>
          <w:numId w:val="28"/>
        </w:numPr>
        <w:rPr>
          <w:rFonts w:ascii="Arial" w:cs="Arial" w:eastAsia="Arial" w:hAnsi="Arial"/>
          <w:sz w:val="18"/>
          <w:szCs w:val="18"/>
          <w:color w:val="53C072"/>
        </w:rPr>
      </w:pPr>
      <w:r>
        <w:rPr>
          <w:rFonts w:ascii="Arial" w:cs="Arial" w:eastAsia="Arial" w:hAnsi="Arial"/>
          <w:sz w:val="18"/>
          <w:szCs w:val="18"/>
          <w:color w:val="auto"/>
        </w:rPr>
        <w:t>for newer Directors, onboarding practices.</w:t>
      </w:r>
    </w:p>
    <w:p>
      <w:pPr>
        <w:spacing w:after="0" w:line="215"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2024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132080</wp:posOffset>
            </wp:positionV>
            <wp:extent cx="5391785" cy="26142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9178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20     </w:t>
      </w:r>
      <w:r>
        <w:rPr>
          <w:sz w:val="1"/>
          <w:szCs w:val="1"/>
          <w:color w:val="auto"/>
        </w:rPr>
        <w:drawing>
          <wp:inline distT="0" distB="0" distL="0" distR="0">
            <wp:extent cx="1242695" cy="24003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THE BOARD’S ROLE IN MANAGEMENT SUCCESSION</w:t>
      </w:r>
    </w:p>
    <w:p>
      <w:pPr>
        <w:spacing w:after="0" w:line="162" w:lineRule="exact"/>
        <w:rPr>
          <w:sz w:val="20"/>
          <w:szCs w:val="20"/>
          <w:color w:val="auto"/>
        </w:rPr>
      </w:pPr>
    </w:p>
    <w:p>
      <w:pPr>
        <w:ind w:left="1000" w:right="159"/>
        <w:spacing w:after="0" w:line="257" w:lineRule="auto"/>
        <w:rPr>
          <w:sz w:val="20"/>
          <w:szCs w:val="20"/>
          <w:color w:val="auto"/>
        </w:rPr>
      </w:pPr>
      <w:r>
        <w:rPr>
          <w:rFonts w:ascii="Arial" w:cs="Arial" w:eastAsia="Arial" w:hAnsi="Arial"/>
          <w:sz w:val="18"/>
          <w:szCs w:val="18"/>
          <w:color w:val="auto"/>
        </w:rPr>
        <w:t>The Board of Directors is actively engaged in talent management, with support from the Corporate Governance Committee and the Compensation and Leadership Development Committee. The committees regularly review and discuss a management succession plans to provide for continuity in and development of senior management, which includes emergency CEO succession, CEO succession in the ordinary course of business, and succession for other members of senior management. The Board receives updates on the succession plan from the Company’s CEO and chief human resources officer at least semi-annually.</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THE BOARD’S ROLE IN RISK OVERSIGHT</w:t>
      </w:r>
    </w:p>
    <w:p>
      <w:pPr>
        <w:spacing w:after="0" w:line="148" w:lineRule="exact"/>
        <w:rPr>
          <w:sz w:val="20"/>
          <w:szCs w:val="20"/>
          <w:color w:val="auto"/>
        </w:rPr>
      </w:pPr>
    </w:p>
    <w:p>
      <w:pPr>
        <w:ind w:left="1000" w:right="179"/>
        <w:spacing w:after="0" w:line="271" w:lineRule="auto"/>
        <w:rPr>
          <w:sz w:val="20"/>
          <w:szCs w:val="20"/>
          <w:color w:val="auto"/>
        </w:rPr>
      </w:pPr>
      <w:r>
        <w:rPr>
          <w:rFonts w:ascii="Arial" w:cs="Arial" w:eastAsia="Arial" w:hAnsi="Arial"/>
          <w:sz w:val="17"/>
          <w:szCs w:val="17"/>
          <w:color w:val="auto"/>
        </w:rPr>
        <w:t>The Board oversees the Company’s risk management program. The Company’s management has developed an enterprise risk management and resiliency program, whereby management identifies the top individual risks they believe the Company faces with respect to its business, operations, strategy, and other factors based on input from key business and functional leaders in the Company. Management evaluates those key risks and identifies ways to mitigate and manage such risks. At least annually, management discusses the identified risks and risk mitigation efforts with the Board. The Board allocates responsibility to examine a particular risk in detail to the committee that is in the best position to review and assess the risk. For example, the Audit Committee oversees risks related to accounting/financial reporting, cybersecurity and ethics and compliance programs and the Compensation and Leadership Development Committee oversees risks related to compensation programs.</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ENVIRONMENTAL, SOCIAL AND GOVERNANCE</w:t>
      </w:r>
    </w:p>
    <w:p>
      <w:pPr>
        <w:spacing w:after="0" w:line="148" w:lineRule="exact"/>
        <w:rPr>
          <w:sz w:val="20"/>
          <w:szCs w:val="20"/>
          <w:color w:val="auto"/>
        </w:rPr>
      </w:pPr>
    </w:p>
    <w:p>
      <w:pPr>
        <w:ind w:left="1000" w:right="159"/>
        <w:spacing w:after="0" w:line="257" w:lineRule="auto"/>
        <w:rPr>
          <w:sz w:val="20"/>
          <w:szCs w:val="20"/>
          <w:color w:val="auto"/>
        </w:rPr>
      </w:pPr>
      <w:r>
        <w:rPr>
          <w:rFonts w:ascii="Arial" w:cs="Arial" w:eastAsia="Arial" w:hAnsi="Arial"/>
          <w:sz w:val="18"/>
          <w:szCs w:val="18"/>
          <w:color w:val="auto"/>
        </w:rPr>
        <w:t>The Company is committed to sustainability through its Environmental, Social, and Governance (“ESG”) strategy, and to positively impact its global communities by creating sustainable operations and enabling technology solutions that improve lives. The Company strives to do the right thing and remain accountable to its key stakeholders by protecting the environment, embracing social responsibility and inclusiveness, and ensuring good corporate governance. Based on the Company’s ESG Materiality study, the ESG strategy currently focuses on one ESG topic within each pillar: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118745</wp:posOffset>
            </wp:positionV>
            <wp:extent cx="4903470" cy="1499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0347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00" w:right="299"/>
        <w:spacing w:after="0" w:line="268" w:lineRule="auto"/>
        <w:rPr>
          <w:sz w:val="20"/>
          <w:szCs w:val="20"/>
          <w:color w:val="auto"/>
        </w:rPr>
      </w:pPr>
      <w:r>
        <w:rPr>
          <w:rFonts w:ascii="Arial" w:cs="Arial" w:eastAsia="Arial" w:hAnsi="Arial"/>
          <w:sz w:val="18"/>
          <w:szCs w:val="18"/>
          <w:color w:val="auto"/>
        </w:rPr>
        <w:t>The Company utilizes the Sustainability Accounting Standards Board (SASB) standards, the Global Reporting Initiative (GRI) standards, the Task Force on Climate-related Disclosures (TCFD) framework, and the United Nation’s Sustainable Development Goals to assist in forming the basis for its ESG reporting.</w:t>
      </w:r>
    </w:p>
    <w:p>
      <w:pPr>
        <w:spacing w:after="0" w:line="103" w:lineRule="exact"/>
        <w:rPr>
          <w:sz w:val="20"/>
          <w:szCs w:val="20"/>
          <w:color w:val="auto"/>
        </w:rPr>
      </w:pPr>
    </w:p>
    <w:p>
      <w:pPr>
        <w:ind w:left="1000" w:right="179"/>
        <w:spacing w:after="0" w:line="256" w:lineRule="auto"/>
        <w:rPr>
          <w:sz w:val="20"/>
          <w:szCs w:val="20"/>
          <w:color w:val="auto"/>
        </w:rPr>
      </w:pPr>
      <w:r>
        <w:rPr>
          <w:rFonts w:ascii="Arial" w:cs="Arial" w:eastAsia="Arial" w:hAnsi="Arial"/>
          <w:sz w:val="18"/>
          <w:szCs w:val="18"/>
          <w:color w:val="auto"/>
        </w:rPr>
        <w:t xml:space="preserve">The Company’s annual sustainability reports and additional information about the Company’s ESG strategy, initiatives, and goals (including its commitment to human rights, philanthropy and community engagement, talent management, supply chain management, and data security and privacy, as well as progress on initiatives and goals) and ESG-relevant policies, are located at: </w:t>
      </w:r>
      <w:r>
        <w:rPr>
          <w:rFonts w:ascii="Arial" w:cs="Arial" w:eastAsia="Arial" w:hAnsi="Arial"/>
          <w:sz w:val="18"/>
          <w:szCs w:val="18"/>
          <w:u w:val="single" w:color="auto"/>
          <w:color w:val="auto"/>
        </w:rPr>
        <w:t>https://www.avnet.com/wps/portal/us/about-avnet/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corporate-social-responsibility/</w:t>
      </w:r>
      <w:r>
        <w:rPr>
          <w:rFonts w:ascii="Arial" w:cs="Arial" w:eastAsia="Arial" w:hAnsi="Arial"/>
          <w:sz w:val="18"/>
          <w:szCs w:val="18"/>
          <w:color w:val="auto"/>
        </w:rPr>
        <w:t>​. The content of the sustainability reports and the Company’s website are not incorporated by reference in this Proxy Statement or otherwise filed with the U.S. Securities and Exchange Commission (the “SEC”).</w:t>
      </w:r>
    </w:p>
    <w:p>
      <w:pPr>
        <w:spacing w:after="0" w:line="136"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ESG GOVERNANCE AND BOARD OVERSIGHT</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Board of Directors oversees the Company’s ESG program and conducts a review of the program annually.</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Board further allocates oversight of certain ESG-related issues to appropriate Board committees.</w:t>
      </w:r>
    </w:p>
    <w:p>
      <w:pPr>
        <w:spacing w:after="0" w:line="126" w:lineRule="exact"/>
        <w:rPr>
          <w:sz w:val="20"/>
          <w:szCs w:val="20"/>
          <w:color w:val="auto"/>
        </w:rPr>
      </w:pPr>
    </w:p>
    <w:p>
      <w:pPr>
        <w:ind w:left="1000" w:right="159"/>
        <w:spacing w:after="0" w:line="245" w:lineRule="auto"/>
        <w:rPr>
          <w:sz w:val="20"/>
          <w:szCs w:val="20"/>
          <w:color w:val="auto"/>
        </w:rPr>
      </w:pPr>
      <w:r>
        <w:rPr>
          <w:rFonts w:ascii="Arial" w:cs="Arial" w:eastAsia="Arial" w:hAnsi="Arial"/>
          <w:sz w:val="18"/>
          <w:szCs w:val="18"/>
          <w:color w:val="auto"/>
        </w:rPr>
        <w:t>The Board’s Corporate Governance Committee provides primary oversight of the Company’s ESG initiatives and reporting. At least bi-annually, management reports on the ESG program during committee meetings. With guidance from the Board and the Corporate Governance Committee, the Avnet Leadership Team (“ALT”), which is made up of Avnet’s executive officers, provides resources to support the Company’s ESG strategies and goals. The ESG Governance Council, which is made up of Avnet executive leaders, meets quarterly and recommends ESG and sustainability strategies and policies to the ALT and oversees the implementation of approved measures. The ESG Working Team is made up of global representatives from different levels of management and generally meets monthly. It implements approved measures and integrates sustainability into the business strategy across the Company.</w:t>
      </w:r>
    </w:p>
    <w:p>
      <w:pPr>
        <w:spacing w:after="0" w:line="110" w:lineRule="exact"/>
        <w:rPr>
          <w:sz w:val="20"/>
          <w:szCs w:val="20"/>
          <w:color w:val="auto"/>
        </w:rPr>
      </w:pPr>
    </w:p>
    <w:p>
      <w:pPr>
        <w:ind w:left="1000" w:right="339"/>
        <w:spacing w:after="0" w:line="246" w:lineRule="auto"/>
        <w:rPr>
          <w:sz w:val="20"/>
          <w:szCs w:val="20"/>
          <w:color w:val="auto"/>
        </w:rPr>
      </w:pPr>
      <w:r>
        <w:rPr>
          <w:rFonts w:ascii="Arial" w:cs="Arial" w:eastAsia="Arial" w:hAnsi="Arial"/>
          <w:sz w:val="18"/>
          <w:szCs w:val="18"/>
          <w:color w:val="auto"/>
        </w:rPr>
        <w:t>The Board’s Audit Committee provides oversight of the Company’s ethics and compliance program. Management reports on the program, including any allegations and related investigations, during quarterly committee meetings. The Corporate Ethics and Compliance Committee, which is made up of Avnet executive officers and leaders, provides oversight and guidance to the program at the corporate level. Regional Ethics and Compliance Committees provide oversight at regional levels. The Ethics and Compliance Office (“ECO”), led by the Chief Ethics and Compliance Officer, manages the day-to-day program with support from representations in each region.</w:t>
      </w:r>
    </w:p>
    <w:p>
      <w:pPr>
        <w:spacing w:after="0" w:line="108" w:lineRule="exact"/>
        <w:rPr>
          <w:sz w:val="20"/>
          <w:szCs w:val="20"/>
          <w:color w:val="auto"/>
        </w:rPr>
      </w:pPr>
    </w:p>
    <w:p>
      <w:pPr>
        <w:ind w:left="1000" w:right="159"/>
        <w:spacing w:after="0" w:line="246" w:lineRule="auto"/>
        <w:rPr>
          <w:sz w:val="20"/>
          <w:szCs w:val="20"/>
          <w:color w:val="auto"/>
        </w:rPr>
      </w:pPr>
      <w:r>
        <w:rPr>
          <w:rFonts w:ascii="Arial" w:cs="Arial" w:eastAsia="Arial" w:hAnsi="Arial"/>
          <w:sz w:val="18"/>
          <w:szCs w:val="18"/>
          <w:color w:val="auto"/>
        </w:rPr>
        <w:t>The Board’s Audit Committee also provides oversight of the Company’s data security and privacy program. Management reports on the program and cybersecurity incidents during each quarterly committee meeting. The program is managed by the Chief Information Officer. Measures taken to protect and secure the Company’s systems and information include implementing and enhancing information security controls, such as enterprise-wide firewalls, intrusion detection, email security, disaster recovery, and vulnerability management, as well as cybersecurity training for employees to enhance awareness of general security best practices, financial fraud, and phishing.</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COMPENSATION COMMITTEE INTERLOCKS AND INSIDER PARTICIPATION</w:t>
      </w:r>
    </w:p>
    <w:p>
      <w:pPr>
        <w:spacing w:after="0" w:line="148" w:lineRule="exact"/>
        <w:rPr>
          <w:sz w:val="20"/>
          <w:szCs w:val="20"/>
          <w:color w:val="auto"/>
        </w:rPr>
      </w:pPr>
    </w:p>
    <w:p>
      <w:pPr>
        <w:ind w:left="1000" w:right="179"/>
        <w:spacing w:after="0" w:line="271" w:lineRule="auto"/>
        <w:rPr>
          <w:sz w:val="20"/>
          <w:szCs w:val="20"/>
          <w:color w:val="auto"/>
        </w:rPr>
      </w:pPr>
      <w:r>
        <w:rPr>
          <w:rFonts w:ascii="Arial" w:cs="Arial" w:eastAsia="Arial" w:hAnsi="Arial"/>
          <w:sz w:val="17"/>
          <w:szCs w:val="17"/>
          <w:color w:val="auto"/>
        </w:rPr>
        <w:t>No member of the Compensation and Leadership Development Committee is a present or former officer or employee of the Company. During fiscal year 2024, no executive officer of the Company served on the compensation committee or any similar committee of any other entity or served as a director for any other entity whose executive officers served on the Company’s Compensation and Leadership Development Committee.</w:t>
      </w:r>
    </w:p>
    <w:p>
      <w:pPr>
        <w:spacing w:after="0" w:line="1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CODE OF CONDUCT</w:t>
      </w:r>
    </w:p>
    <w:p>
      <w:pPr>
        <w:spacing w:after="0" w:line="148" w:lineRule="exact"/>
        <w:rPr>
          <w:sz w:val="20"/>
          <w:szCs w:val="20"/>
          <w:color w:val="auto"/>
        </w:rPr>
      </w:pPr>
    </w:p>
    <w:p>
      <w:pPr>
        <w:ind w:left="1000" w:right="219"/>
        <w:spacing w:after="0" w:line="247" w:lineRule="auto"/>
        <w:rPr>
          <w:sz w:val="20"/>
          <w:szCs w:val="20"/>
          <w:color w:val="auto"/>
        </w:rPr>
      </w:pPr>
      <w:r>
        <w:rPr>
          <w:rFonts w:ascii="Arial" w:cs="Arial" w:eastAsia="Arial" w:hAnsi="Arial"/>
          <w:sz w:val="18"/>
          <w:szCs w:val="18"/>
          <w:color w:val="auto"/>
        </w:rPr>
        <w:t xml:space="preserve">The Company’s Code of Conduct applies to Directors, officers, and employees, including the CEO and all financial and accounting personnel. The Code of Conduct can be reviewed at </w:t>
      </w:r>
      <w:r>
        <w:rPr>
          <w:rFonts w:ascii="Arial" w:cs="Arial" w:eastAsia="Arial" w:hAnsi="Arial"/>
          <w:sz w:val="18"/>
          <w:szCs w:val="18"/>
          <w:u w:val="single" w:color="auto"/>
          <w:color w:val="auto"/>
        </w:rPr>
        <w:t>https://www.ir.avnet.com/corporate-governance/governance-documents</w:t>
      </w:r>
      <w:r>
        <w:rPr>
          <w:rFonts w:ascii="Arial" w:cs="Arial" w:eastAsia="Arial" w:hAnsi="Arial"/>
          <w:sz w:val="18"/>
          <w:szCs w:val="18"/>
          <w:color w:val="auto"/>
        </w:rPr>
        <w:t>. Any future amendments to, or waivers for executive officers and Directors from certain provisions of, the Code of Conduct will be posted on the Company’s website.</w:t>
      </w:r>
    </w:p>
    <w:p>
      <w:pPr>
        <w:spacing w:after="0" w:line="181" w:lineRule="exact"/>
        <w:rPr>
          <w:sz w:val="20"/>
          <w:szCs w:val="20"/>
          <w:color w:val="auto"/>
        </w:rPr>
      </w:pPr>
    </w:p>
    <w:p>
      <w:pPr>
        <w:ind w:left="1000" w:right="779"/>
        <w:spacing w:after="0" w:line="272" w:lineRule="auto"/>
        <w:rPr>
          <w:sz w:val="20"/>
          <w:szCs w:val="20"/>
          <w:color w:val="auto"/>
        </w:rPr>
      </w:pPr>
      <w:r>
        <w:rPr>
          <w:rFonts w:ascii="Arial" w:cs="Arial" w:eastAsia="Arial" w:hAnsi="Arial"/>
          <w:sz w:val="22"/>
          <w:szCs w:val="22"/>
          <w:b w:val="1"/>
          <w:bCs w:val="1"/>
          <w:color w:val="53C072"/>
        </w:rPr>
        <w:t>POLICY AGAINST PLEDGING AND HEDGING ECONOMIC RISK OF OWNING THE COMPANY’S SECURITIES</w:t>
      </w:r>
    </w:p>
    <w:p>
      <w:pPr>
        <w:spacing w:after="0" w:line="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Insider Trading Policy expressly prohibits Directors, executive officers, and other employees</w:t>
      </w:r>
    </w:p>
    <w:p>
      <w:pPr>
        <w:spacing w:after="0" w:line="27" w:lineRule="exact"/>
        <w:rPr>
          <w:sz w:val="20"/>
          <w:szCs w:val="20"/>
          <w:color w:val="auto"/>
        </w:rPr>
      </w:pPr>
    </w:p>
    <w:p>
      <w:pPr>
        <w:ind w:left="1000" w:right="239"/>
        <w:spacing w:after="0" w:line="260" w:lineRule="auto"/>
        <w:rPr>
          <w:sz w:val="20"/>
          <w:szCs w:val="20"/>
          <w:color w:val="auto"/>
        </w:rPr>
      </w:pPr>
      <w:r>
        <w:rPr>
          <w:rFonts w:ascii="Arial" w:cs="Arial" w:eastAsia="Arial" w:hAnsi="Arial"/>
          <w:sz w:val="17"/>
          <w:szCs w:val="17"/>
          <w:color w:val="auto"/>
        </w:rPr>
        <w:t>determined by the Company as “Insiders” (including​ their family members, persons living in their household, and entities over which they exercise control) from entering into any financial transactions that are designed to hedge or offset any decrease in market value of the Company’s equity securities, including hedging or monetization transactions. The policy similarly prohibits such individuals from holding the Company’s securities in a margin account and pledging the Company’s securities as collateral for loans without advance approval.</w:t>
      </w:r>
    </w:p>
    <w:p>
      <w:pPr>
        <w:spacing w:after="0" w:line="10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22     </w:t>
      </w:r>
      <w:r>
        <w:rPr>
          <w:sz w:val="1"/>
          <w:szCs w:val="1"/>
          <w:color w:val="auto"/>
        </w:rPr>
        <w:drawing>
          <wp:inline distT="0" distB="0" distL="0" distR="0">
            <wp:extent cx="1242695" cy="24003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jc w:val="both"/>
        <w:ind w:left="1000" w:right="239"/>
        <w:spacing w:after="0" w:line="261" w:lineRule="auto"/>
        <w:rPr>
          <w:sz w:val="20"/>
          <w:szCs w:val="20"/>
          <w:color w:val="auto"/>
        </w:rPr>
      </w:pPr>
      <w:r>
        <w:rPr>
          <w:rFonts w:ascii="Arial" w:cs="Arial" w:eastAsia="Arial" w:hAnsi="Arial"/>
          <w:sz w:val="18"/>
          <w:szCs w:val="18"/>
          <w:color w:val="auto"/>
        </w:rPr>
        <w:t>The policy applies to all Company’s securities, including options and any other derivative securities, as well as securities granted by the Company as compensation. There were no exceptions approved during the last fiscal year.</w:t>
      </w:r>
    </w:p>
    <w:p>
      <w:pPr>
        <w:spacing w:after="0" w:line="94" w:lineRule="exact"/>
        <w:rPr>
          <w:sz w:val="20"/>
          <w:szCs w:val="20"/>
          <w:color w:val="auto"/>
        </w:rPr>
      </w:pPr>
    </w:p>
    <w:p>
      <w:pPr>
        <w:ind w:left="1000" w:right="139"/>
        <w:spacing w:after="0" w:line="247" w:lineRule="auto"/>
        <w:rPr>
          <w:sz w:val="20"/>
          <w:szCs w:val="20"/>
          <w:color w:val="auto"/>
        </w:rPr>
      </w:pPr>
      <w:r>
        <w:rPr>
          <w:rFonts w:ascii="Arial" w:cs="Arial" w:eastAsia="Arial" w:hAnsi="Arial"/>
          <w:sz w:val="18"/>
          <w:szCs w:val="18"/>
          <w:color w:val="auto"/>
        </w:rPr>
        <w:t>The Company has focused its anti-hedging and anti-pledging policy primarily on Directors and executive officers because, as stewards and leaders of the Company, their interests should remain aligned with shareholder interests. The Company believes that Directors and executive officers should bear the same economic risks associated with holding the Company’s securities as do its shareholders and believes its policy helps to ensure this alignment.</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REPORTING ETHICAL CONCERNS</w:t>
      </w:r>
    </w:p>
    <w:p>
      <w:pPr>
        <w:spacing w:after="0" w:line="148" w:lineRule="exact"/>
        <w:rPr>
          <w:sz w:val="20"/>
          <w:szCs w:val="20"/>
          <w:color w:val="auto"/>
        </w:rPr>
      </w:pPr>
    </w:p>
    <w:p>
      <w:pPr>
        <w:ind w:left="1000" w:right="439"/>
        <w:spacing w:after="0" w:line="252"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103" w:lineRule="exact"/>
        <w:rPr>
          <w:sz w:val="20"/>
          <w:szCs w:val="20"/>
          <w:color w:val="auto"/>
        </w:rPr>
      </w:pPr>
    </w:p>
    <w:p>
      <w:pPr>
        <w:ind w:left="1340" w:right="179"/>
        <w:spacing w:after="0" w:line="271" w:lineRule="auto"/>
        <w:rPr>
          <w:sz w:val="20"/>
          <w:szCs w:val="20"/>
          <w:color w:val="auto"/>
        </w:rPr>
      </w:pPr>
      <w:r>
        <w:rPr>
          <w:rFonts w:ascii="Arial" w:cs="Arial" w:eastAsia="Arial" w:hAnsi="Arial"/>
          <w:sz w:val="18"/>
          <w:szCs w:val="18"/>
          <w:color w:val="auto"/>
        </w:rPr>
        <w:t>Employees of the Company are encouraged to contact their manager, a Human Resources representative, or a Code of Conduct Advisor to discuss matters of concern.</w:t>
      </w:r>
    </w:p>
    <w:p>
      <w:pPr>
        <w:spacing w:after="0" w:line="8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All persons, including employees, may contact:</w:t>
      </w:r>
    </w:p>
    <w:p>
      <w:pPr>
        <w:spacing w:after="0" w:line="117" w:lineRule="exact"/>
        <w:rPr>
          <w:sz w:val="20"/>
          <w:szCs w:val="20"/>
          <w:color w:val="auto"/>
        </w:rPr>
      </w:pPr>
    </w:p>
    <w:p>
      <w:pPr>
        <w:ind w:left="1980" w:right="599" w:hanging="270"/>
        <w:spacing w:after="0" w:line="287" w:lineRule="auto"/>
        <w:tabs>
          <w:tab w:leader="none" w:pos="1980" w:val="left"/>
        </w:tabs>
        <w:numPr>
          <w:ilvl w:val="0"/>
          <w:numId w:val="29"/>
        </w:numPr>
        <w:rPr>
          <w:rFonts w:ascii="Arial" w:cs="Arial" w:eastAsia="Arial" w:hAnsi="Arial"/>
          <w:sz w:val="18"/>
          <w:szCs w:val="18"/>
          <w:color w:val="53C072"/>
        </w:rPr>
      </w:pPr>
      <w:r>
        <w:rPr>
          <w:rFonts w:ascii="Arial" w:cs="Arial" w:eastAsia="Arial" w:hAnsi="Arial"/>
          <w:sz w:val="18"/>
          <w:szCs w:val="18"/>
          <w:color w:val="auto"/>
        </w:rPr>
        <w:t>The Legal Department, by telephone at (480) 643-7267, or by mail at 2211 South 47th Street, Phoenix, Arizona 85034; or</w:t>
      </w:r>
    </w:p>
    <w:p>
      <w:pPr>
        <w:spacing w:after="0" w:line="44" w:lineRule="exact"/>
        <w:rPr>
          <w:rFonts w:ascii="Arial" w:cs="Arial" w:eastAsia="Arial" w:hAnsi="Arial"/>
          <w:sz w:val="18"/>
          <w:szCs w:val="18"/>
          <w:color w:val="53C072"/>
        </w:rPr>
      </w:pPr>
    </w:p>
    <w:p>
      <w:pPr>
        <w:ind w:left="1980" w:right="219" w:hanging="270"/>
        <w:spacing w:after="0" w:line="268" w:lineRule="auto"/>
        <w:tabs>
          <w:tab w:leader="none" w:pos="1980" w:val="left"/>
        </w:tabs>
        <w:numPr>
          <w:ilvl w:val="0"/>
          <w:numId w:val="29"/>
        </w:numPr>
        <w:rPr>
          <w:rFonts w:ascii="Arial" w:cs="Arial" w:eastAsia="Arial" w:hAnsi="Arial"/>
          <w:sz w:val="18"/>
          <w:szCs w:val="18"/>
          <w:color w:val="53C072"/>
        </w:rPr>
      </w:pPr>
      <w:r>
        <w:rPr>
          <w:rFonts w:ascii="Arial" w:cs="Arial" w:eastAsia="Arial" w:hAnsi="Arial"/>
          <w:sz w:val="18"/>
          <w:szCs w:val="18"/>
          <w:color w:val="auto"/>
        </w:rPr>
        <w:t xml:space="preserve">The Ethics Alertline at 1-800-861-2899 (within the United States and Canada) or via the Internet at </w:t>
      </w:r>
      <w:r>
        <w:rPr>
          <w:rFonts w:ascii="Arial" w:cs="Arial" w:eastAsia="Arial" w:hAnsi="Arial"/>
          <w:sz w:val="18"/>
          <w:szCs w:val="18"/>
          <w:u w:val="single" w:color="auto"/>
          <w:color w:val="auto"/>
        </w:rPr>
        <w:t>avnet.alertline.com</w:t>
      </w:r>
      <w:r>
        <w:rPr>
          <w:rFonts w:ascii="Arial" w:cs="Arial" w:eastAsia="Arial" w:hAnsi="Arial"/>
          <w:sz w:val="18"/>
          <w:szCs w:val="18"/>
          <w:color w:val="auto"/>
        </w:rPr>
        <w:t>. Reports via the Ethics Alertline will be treated with appropriate confidentially and may be made on an anonymous basis where permitted by law.</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STOCK OWNERSHIP GUIDELINES</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Board has adopted the following stock ownership guidelines for both the Directors and executive officers.</w:t>
      </w:r>
    </w:p>
    <w:p>
      <w:pPr>
        <w:spacing w:after="0" w:line="158" w:lineRule="exact"/>
        <w:rPr>
          <w:sz w:val="20"/>
          <w:szCs w:val="20"/>
          <w:color w:val="auto"/>
        </w:rPr>
      </w:pPr>
    </w:p>
    <w:p>
      <w:pPr>
        <w:ind w:left="1000" w:right="139"/>
        <w:spacing w:after="0" w:line="248" w:lineRule="auto"/>
        <w:rPr>
          <w:sz w:val="20"/>
          <w:szCs w:val="20"/>
          <w:color w:val="auto"/>
        </w:rPr>
      </w:pPr>
      <w:r>
        <w:rPr>
          <w:rFonts w:ascii="Arial" w:cs="Arial" w:eastAsia="Arial" w:hAnsi="Arial"/>
          <w:sz w:val="18"/>
          <w:szCs w:val="18"/>
          <w:color w:val="auto"/>
        </w:rPr>
        <w:t>Directors should own, within five years of joining the Board, shares of the Company’s Common Stock worth at least five times the Director’s annual cash retainer. Shares that are awarded to Directors as part of director compensation, as well as phantom stock units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Each Director nominee is following these guidelines.</w:t>
      </w:r>
    </w:p>
    <w:p>
      <w:pPr>
        <w:spacing w:after="0" w:line="107" w:lineRule="exact"/>
        <w:rPr>
          <w:sz w:val="20"/>
          <w:szCs w:val="20"/>
          <w:color w:val="auto"/>
        </w:rPr>
      </w:pPr>
    </w:p>
    <w:p>
      <w:pPr>
        <w:ind w:left="1000" w:right="239"/>
        <w:spacing w:after="0" w:line="271" w:lineRule="auto"/>
        <w:rPr>
          <w:sz w:val="20"/>
          <w:szCs w:val="20"/>
          <w:color w:val="auto"/>
        </w:rPr>
      </w:pPr>
      <w:r>
        <w:rPr>
          <w:rFonts w:ascii="Arial" w:cs="Arial" w:eastAsia="Arial" w:hAnsi="Arial"/>
          <w:sz w:val="18"/>
          <w:szCs w:val="18"/>
          <w:color w:val="auto"/>
        </w:rPr>
        <w:t>Executive officers should own shares of the Company’s Common Stock with a market value equal to a multiple of their base salary:</w:t>
      </w:r>
    </w:p>
    <w:p>
      <w:pPr>
        <w:spacing w:after="0" w:line="46" w:lineRule="exact"/>
        <w:rPr>
          <w:sz w:val="20"/>
          <w:szCs w:val="20"/>
          <w:color w:val="auto"/>
        </w:rPr>
      </w:pPr>
    </w:p>
    <w:p>
      <w:pPr>
        <w:ind w:left="1620" w:hanging="270"/>
        <w:spacing w:after="0"/>
        <w:tabs>
          <w:tab w:leader="none" w:pos="1620" w:val="left"/>
        </w:tabs>
        <w:numPr>
          <w:ilvl w:val="0"/>
          <w:numId w:val="30"/>
        </w:numPr>
        <w:rPr>
          <w:rFonts w:ascii="Arial" w:cs="Arial" w:eastAsia="Arial" w:hAnsi="Arial"/>
          <w:sz w:val="18"/>
          <w:szCs w:val="18"/>
          <w:color w:val="53C072"/>
        </w:rPr>
      </w:pPr>
      <w:r>
        <w:rPr>
          <w:rFonts w:ascii="Arial" w:cs="Arial" w:eastAsia="Arial" w:hAnsi="Arial"/>
          <w:sz w:val="18"/>
          <w:szCs w:val="18"/>
          <w:b w:val="1"/>
          <w:bCs w:val="1"/>
          <w:color w:val="53C072"/>
        </w:rPr>
        <w:t xml:space="preserve">5x </w:t>
      </w:r>
      <w:r>
        <w:rPr>
          <w:rFonts w:ascii="Arial" w:cs="Arial" w:eastAsia="Arial" w:hAnsi="Arial"/>
          <w:sz w:val="18"/>
          <w:szCs w:val="18"/>
          <w:color w:val="000000"/>
        </w:rPr>
        <w:t>for the Chief Executive Officer;</w:t>
      </w:r>
    </w:p>
    <w:p>
      <w:pPr>
        <w:spacing w:after="0" w:line="117" w:lineRule="exact"/>
        <w:rPr>
          <w:rFonts w:ascii="Arial" w:cs="Arial" w:eastAsia="Arial" w:hAnsi="Arial"/>
          <w:sz w:val="18"/>
          <w:szCs w:val="18"/>
          <w:color w:val="53C072"/>
        </w:rPr>
      </w:pPr>
    </w:p>
    <w:p>
      <w:pPr>
        <w:ind w:left="1620" w:hanging="270"/>
        <w:spacing w:after="0"/>
        <w:tabs>
          <w:tab w:leader="none" w:pos="1620" w:val="left"/>
        </w:tabs>
        <w:numPr>
          <w:ilvl w:val="0"/>
          <w:numId w:val="30"/>
        </w:numPr>
        <w:rPr>
          <w:rFonts w:ascii="Arial" w:cs="Arial" w:eastAsia="Arial" w:hAnsi="Arial"/>
          <w:sz w:val="18"/>
          <w:szCs w:val="18"/>
          <w:color w:val="53C072"/>
        </w:rPr>
      </w:pPr>
      <w:r>
        <w:rPr>
          <w:rFonts w:ascii="Arial" w:cs="Arial" w:eastAsia="Arial" w:hAnsi="Arial"/>
          <w:sz w:val="18"/>
          <w:szCs w:val="18"/>
          <w:b w:val="1"/>
          <w:bCs w:val="1"/>
          <w:color w:val="53C072"/>
        </w:rPr>
        <w:t xml:space="preserve">3x </w:t>
      </w:r>
      <w:r>
        <w:rPr>
          <w:rFonts w:ascii="Arial" w:cs="Arial" w:eastAsia="Arial" w:hAnsi="Arial"/>
          <w:sz w:val="18"/>
          <w:szCs w:val="18"/>
          <w:color w:val="000000"/>
        </w:rPr>
        <w:t>for the Chief Financial Officer and General Counsel; and</w:t>
      </w:r>
    </w:p>
    <w:p>
      <w:pPr>
        <w:spacing w:after="0" w:line="117" w:lineRule="exact"/>
        <w:rPr>
          <w:rFonts w:ascii="Arial" w:cs="Arial" w:eastAsia="Arial" w:hAnsi="Arial"/>
          <w:sz w:val="18"/>
          <w:szCs w:val="18"/>
          <w:color w:val="53C072"/>
        </w:rPr>
      </w:pPr>
    </w:p>
    <w:p>
      <w:pPr>
        <w:ind w:left="1620" w:hanging="270"/>
        <w:spacing w:after="0"/>
        <w:tabs>
          <w:tab w:leader="none" w:pos="1620" w:val="left"/>
        </w:tabs>
        <w:numPr>
          <w:ilvl w:val="0"/>
          <w:numId w:val="30"/>
        </w:numPr>
        <w:rPr>
          <w:rFonts w:ascii="Arial" w:cs="Arial" w:eastAsia="Arial" w:hAnsi="Arial"/>
          <w:sz w:val="18"/>
          <w:szCs w:val="18"/>
          <w:color w:val="53C072"/>
        </w:rPr>
      </w:pPr>
      <w:r>
        <w:rPr>
          <w:rFonts w:ascii="Arial" w:cs="Arial" w:eastAsia="Arial" w:hAnsi="Arial"/>
          <w:sz w:val="18"/>
          <w:szCs w:val="18"/>
          <w:b w:val="1"/>
          <w:bCs w:val="1"/>
          <w:color w:val="53C072"/>
        </w:rPr>
        <w:t xml:space="preserve">1x </w:t>
      </w:r>
      <w:r>
        <w:rPr>
          <w:rFonts w:ascii="Arial" w:cs="Arial" w:eastAsia="Arial" w:hAnsi="Arial"/>
          <w:sz w:val="18"/>
          <w:szCs w:val="18"/>
          <w:color w:val="000000"/>
        </w:rPr>
        <w:t>for other Executive Officers.</w:t>
      </w:r>
    </w:p>
    <w:p>
      <w:pPr>
        <w:spacing w:after="0" w:line="158" w:lineRule="exact"/>
        <w:rPr>
          <w:sz w:val="20"/>
          <w:szCs w:val="20"/>
          <w:color w:val="auto"/>
        </w:rPr>
      </w:pPr>
    </w:p>
    <w:p>
      <w:pPr>
        <w:ind w:left="1000" w:right="159"/>
        <w:spacing w:after="0" w:line="259" w:lineRule="auto"/>
        <w:rPr>
          <w:sz w:val="20"/>
          <w:szCs w:val="20"/>
          <w:color w:val="auto"/>
        </w:rPr>
      </w:pPr>
      <w:r>
        <w:rPr>
          <w:rFonts w:ascii="Arial" w:cs="Arial" w:eastAsia="Arial" w:hAnsi="Arial"/>
          <w:sz w:val="18"/>
          <w:szCs w:val="18"/>
          <w:color w:val="auto"/>
        </w:rPr>
        <w:t>Restricted stock units, vested performance share units, and shares acquired from the exercise of stock options count towards the guideline. Until the ownership level is met, executive officers must hold at least 50% of any net shares he or she receives upon the exercise of options or upon the delivery of any restricted stock units or performance share unit awards. As of June 29, 2024, executive officers subject to these guidelines satisfy these requirements.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THE COMPANY’S WEBSITE</w:t>
      </w:r>
    </w:p>
    <w:p>
      <w:pPr>
        <w:spacing w:after="0" w:line="148" w:lineRule="exact"/>
        <w:rPr>
          <w:sz w:val="20"/>
          <w:szCs w:val="20"/>
          <w:color w:val="auto"/>
        </w:rPr>
      </w:pPr>
    </w:p>
    <w:p>
      <w:pPr>
        <w:ind w:left="1000" w:right="519"/>
        <w:spacing w:after="0" w:line="318" w:lineRule="auto"/>
        <w:rPr>
          <w:sz w:val="20"/>
          <w:szCs w:val="20"/>
          <w:color w:val="auto"/>
        </w:rPr>
      </w:pPr>
      <w:r>
        <w:rPr>
          <w:rFonts w:ascii="Arial" w:cs="Arial" w:eastAsia="Arial" w:hAnsi="Arial"/>
          <w:sz w:val="17"/>
          <w:szCs w:val="17"/>
          <w:color w:val="auto"/>
        </w:rPr>
        <w:t xml:space="preserve">In addition to the information about the Company and its subsidiaries contained in this Proxy Statement, extensive information about the Company can be found on its website located at </w:t>
      </w:r>
      <w:r>
        <w:rPr>
          <w:rFonts w:ascii="Arial" w:cs="Arial" w:eastAsia="Arial" w:hAnsi="Arial"/>
          <w:sz w:val="17"/>
          <w:szCs w:val="17"/>
          <w:u w:val="single" w:color="auto"/>
          <w:color w:val="auto"/>
        </w:rPr>
        <w:t>www.avnet.com</w:t>
      </w:r>
      <w:r>
        <w:rPr>
          <w:rFonts w:ascii="Arial" w:cs="Arial" w:eastAsia="Arial" w:hAnsi="Arial"/>
          <w:sz w:val="17"/>
          <w:szCs w:val="17"/>
          <w:color w:val="auto"/>
        </w:rPr>
        <w:t>, including</w:t>
      </w:r>
    </w:p>
    <w:p>
      <w:pPr>
        <w:spacing w:after="0" w:line="70"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4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400" w:type="dxa"/>
            <w:vAlign w:val="bottom"/>
            <w:vMerge w:val="restart"/>
          </w:tcPr>
          <w:p>
            <w:pPr>
              <w:ind w:left="2960"/>
              <w:spacing w:after="0"/>
              <w:rPr>
                <w:sz w:val="20"/>
                <w:szCs w:val="20"/>
                <w:color w:val="auto"/>
              </w:rPr>
            </w:pPr>
            <w:r>
              <w:rPr>
                <w:rFonts w:ascii="Arial" w:cs="Arial" w:eastAsia="Arial" w:hAnsi="Arial"/>
                <w:sz w:val="14"/>
                <w:szCs w:val="14"/>
                <w:color w:val="auto"/>
                <w:w w:val="99"/>
              </w:rPr>
              <w:t>Corporate Governance</w:t>
            </w:r>
          </w:p>
        </w:tc>
        <w:tc>
          <w:tcPr>
            <w:tcW w:w="0" w:type="dxa"/>
            <w:vAlign w:val="bottom"/>
          </w:tcPr>
          <w:p>
            <w:pPr>
              <w:spacing w:after="0"/>
              <w:rPr>
                <w:sz w:val="1"/>
                <w:szCs w:val="1"/>
                <w:color w:val="auto"/>
              </w:rPr>
            </w:pPr>
          </w:p>
        </w:tc>
      </w:tr>
      <w:tr>
        <w:trPr>
          <w:trHeight w:val="88"/>
        </w:trPr>
        <w:tc>
          <w:tcPr>
            <w:tcW w:w="53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40" w:type="dxa"/>
            <w:vAlign w:val="bottom"/>
            <w:vMerge w:val="continue"/>
          </w:tcPr>
          <w:p>
            <w:pPr>
              <w:spacing w:after="0"/>
              <w:rPr>
                <w:sz w:val="11"/>
                <w:szCs w:val="11"/>
                <w:color w:val="auto"/>
              </w:rPr>
            </w:pPr>
          </w:p>
        </w:tc>
        <w:tc>
          <w:tcPr>
            <w:tcW w:w="4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239"/>
        <w:spacing w:after="0" w:line="255" w:lineRule="auto"/>
        <w:rPr>
          <w:sz w:val="20"/>
          <w:szCs w:val="20"/>
          <w:color w:val="auto"/>
        </w:rPr>
      </w:pPr>
      <w:r>
        <w:rPr>
          <w:rFonts w:ascii="Arial" w:cs="Arial" w:eastAsia="Arial" w:hAnsi="Arial"/>
          <w:sz w:val="18"/>
          <w:szCs w:val="18"/>
          <w:color w:val="auto"/>
        </w:rPr>
        <w:t xml:space="preserve">information about the Company’s management team, products and services, and its corporate governance practices. The corporate governance information on the Company’s website, located at </w:t>
      </w:r>
      <w:r>
        <w:rPr>
          <w:rFonts w:ascii="Arial" w:cs="Arial" w:eastAsia="Arial" w:hAnsi="Arial"/>
          <w:sz w:val="18"/>
          <w:szCs w:val="18"/>
          <w:u w:val="single" w:color="auto"/>
          <w:color w:val="auto"/>
        </w:rPr>
        <w:t>www.ir.avnet.com/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corporate-governance</w:t>
      </w:r>
      <w:r>
        <w:rPr>
          <w:rFonts w:ascii="Arial" w:cs="Arial" w:eastAsia="Arial" w:hAnsi="Arial"/>
          <w:sz w:val="18"/>
          <w:szCs w:val="18"/>
          <w:color w:val="auto"/>
        </w:rPr>
        <w:t>, includes the Guidelines, the Code of Conduct, the charters for each of the standing committees of the Board of Directors, and how a shareholder and other interested parties can communicate with the Board of Directors. In addition, amendments to the Code of Conduct and waivers granted to the Company’s Directors and executive officers under the Code of Conduct, if any, will be posted in this area of the website. Printed versions of the Guidelines, the Code of Conduct and the charters for the Board committees can be obtained, free of charge, by writing to the Company, Attention: Corporate Secretary, Avnet, Inc., 2211 South 47th Street, Phoenix, AZ 85034.</w:t>
      </w:r>
    </w:p>
    <w:p>
      <w:pPr>
        <w:spacing w:after="0" w:line="113" w:lineRule="exact"/>
        <w:rPr>
          <w:sz w:val="20"/>
          <w:szCs w:val="20"/>
          <w:color w:val="auto"/>
        </w:rPr>
      </w:pPr>
    </w:p>
    <w:p>
      <w:pPr>
        <w:ind w:left="1000" w:right="219"/>
        <w:spacing w:after="0" w:line="257" w:lineRule="auto"/>
        <w:rPr>
          <w:sz w:val="20"/>
          <w:szCs w:val="20"/>
          <w:color w:val="auto"/>
        </w:rPr>
      </w:pPr>
      <w:r>
        <w:rPr>
          <w:rFonts w:ascii="Arial" w:cs="Arial" w:eastAsia="Arial" w:hAnsi="Arial"/>
          <w:sz w:val="18"/>
          <w:szCs w:val="18"/>
          <w:color w:val="auto"/>
        </w:rPr>
        <w:t xml:space="preserve">In addition, the Company’s filings with the SEC under the Exchange Act or the Securities Act of 1933, as amended, are available on the Company’s website located at </w:t>
      </w:r>
      <w:r>
        <w:rPr>
          <w:rFonts w:ascii="Arial" w:cs="Arial" w:eastAsia="Arial" w:hAnsi="Arial"/>
          <w:sz w:val="18"/>
          <w:szCs w:val="18"/>
          <w:u w:val="single" w:color="auto"/>
          <w:color w:val="auto"/>
        </w:rPr>
        <w:t>www.ir.avnet.com/financial-information/sec-filings</w:t>
      </w:r>
      <w:r>
        <w:rPr>
          <w:rFonts w:ascii="Arial" w:cs="Arial" w:eastAsia="Arial" w:hAnsi="Arial"/>
          <w:sz w:val="18"/>
          <w:szCs w:val="18"/>
          <w:color w:val="auto"/>
        </w:rPr>
        <w:t xml:space="preserve"> as soon as reasonably practicable after the report or form is electronically filed with, or furnished to, the SEC. Such filings include Annual Reports on Form 10-K, Quarterly Reports on Form 10-Q, Current Reports on Form 8-K, Proxy Statements, registration statements, and Section 16 filings made by the Company’s executive officers and Directors with respect to the Company’s securities.</w:t>
      </w:r>
    </w:p>
    <w:p>
      <w:pPr>
        <w:spacing w:after="0" w:line="115" w:lineRule="exact"/>
        <w:rPr>
          <w:sz w:val="20"/>
          <w:szCs w:val="20"/>
          <w:color w:val="auto"/>
        </w:rPr>
      </w:pPr>
    </w:p>
    <w:p>
      <w:pPr>
        <w:ind w:left="1000" w:right="679"/>
        <w:spacing w:after="0" w:line="287" w:lineRule="auto"/>
        <w:rPr>
          <w:sz w:val="20"/>
          <w:szCs w:val="20"/>
          <w:color w:val="auto"/>
        </w:rPr>
      </w:pPr>
      <w:r>
        <w:rPr>
          <w:rFonts w:ascii="Arial" w:cs="Arial" w:eastAsia="Arial" w:hAnsi="Arial"/>
          <w:sz w:val="18"/>
          <w:szCs w:val="18"/>
          <w:color w:val="auto"/>
        </w:rPr>
        <w:t>Further, information about the Company’s Environmental, Social and Governance programs, policies and reports can be found on its website.</w:t>
      </w:r>
    </w:p>
    <w:p>
      <w:pPr>
        <w:spacing w:after="0" w:line="72" w:lineRule="exact"/>
        <w:rPr>
          <w:sz w:val="20"/>
          <w:szCs w:val="20"/>
          <w:color w:val="auto"/>
        </w:rPr>
      </w:pPr>
    </w:p>
    <w:p>
      <w:pPr>
        <w:ind w:left="1000" w:right="199"/>
        <w:spacing w:after="0" w:line="268" w:lineRule="auto"/>
        <w:rPr>
          <w:sz w:val="20"/>
          <w:szCs w:val="20"/>
          <w:color w:val="auto"/>
        </w:rPr>
      </w:pPr>
      <w:r>
        <w:rPr>
          <w:rFonts w:ascii="Arial" w:cs="Arial" w:eastAsia="Arial" w:hAnsi="Arial"/>
          <w:sz w:val="18"/>
          <w:szCs w:val="18"/>
          <w:color w:val="auto"/>
        </w:rPr>
        <w:t>This information about the Company’s website and its content, together with other references to the website made in this Proxy Statement, is for information only. The content of the Company’s website is not incorporated by reference in this Proxy Statement or otherwise filed with the SEC.</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DIRECTOR COMMUNICATIONS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Shareholders and other interested parties may contact the Company’s Board of Directors by writing to the</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Board of Directors, Attention: Corporate Secretary, Avnet, Inc., 2211 South 47th Street, Phoenix,</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Arizona 85034. They may also submit an email to the Board by filling out the email form on the Company’s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website at </w:t>
      </w:r>
      <w:r>
        <w:rPr>
          <w:rFonts w:ascii="Arial" w:cs="Arial" w:eastAsia="Arial" w:hAnsi="Arial"/>
          <w:sz w:val="18"/>
          <w:szCs w:val="18"/>
          <w:u w:val="single" w:color="auto"/>
          <w:color w:val="auto"/>
        </w:rPr>
        <w:t>www.ir.avnet.com/corporate-governance/contact-the-board</w:t>
      </w:r>
      <w:r>
        <w:rPr>
          <w:rFonts w:ascii="Arial" w:cs="Arial" w:eastAsia="Arial" w:hAnsi="Arial"/>
          <w:sz w:val="18"/>
          <w:szCs w:val="18"/>
          <w:color w:val="auto"/>
        </w:rPr>
        <w:t>.</w:t>
      </w:r>
    </w:p>
    <w:p>
      <w:pPr>
        <w:spacing w:after="0" w:line="99" w:lineRule="exact"/>
        <w:rPr>
          <w:sz w:val="20"/>
          <w:szCs w:val="20"/>
          <w:color w:val="auto"/>
        </w:rPr>
      </w:pPr>
    </w:p>
    <w:p>
      <w:pPr>
        <w:ind w:left="1000" w:right="139"/>
        <w:spacing w:after="0" w:line="255" w:lineRule="auto"/>
        <w:rPr>
          <w:sz w:val="20"/>
          <w:szCs w:val="20"/>
          <w:color w:val="auto"/>
        </w:rPr>
      </w:pPr>
      <w:r>
        <w:rPr>
          <w:rFonts w:ascii="Arial" w:cs="Arial" w:eastAsia="Arial" w:hAnsi="Arial"/>
          <w:sz w:val="18"/>
          <w:szCs w:val="18"/>
          <w:color w:val="auto"/>
        </w:rPr>
        <w:t>Communications received are distributed to the Board, or to any individual Director or group of Directors as appropriate, depending on the facts and circumstances outlined in the communication. The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24     </w:t>
      </w:r>
      <w:r>
        <w:rPr>
          <w:sz w:val="1"/>
          <w:szCs w:val="1"/>
          <w:color w:val="auto"/>
        </w:rPr>
        <w:drawing>
          <wp:inline distT="0" distB="0" distL="0" distR="0">
            <wp:extent cx="1242695" cy="24003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685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FEFEFE"/>
        </w:rPr>
        <w:t>THE BOARD OF DIRECTORS AND ITS</w:t>
      </w:r>
    </w:p>
    <w:p>
      <w:pPr>
        <w:spacing w:after="0" w:line="53" w:lineRule="exact"/>
        <w:rPr>
          <w:sz w:val="20"/>
          <w:szCs w:val="20"/>
          <w:color w:val="auto"/>
        </w:rPr>
      </w:pPr>
    </w:p>
    <w:p>
      <w:pPr>
        <w:jc w:val="center"/>
        <w:ind w:right="-900"/>
        <w:spacing w:after="0"/>
        <w:rPr>
          <w:sz w:val="20"/>
          <w:szCs w:val="20"/>
          <w:color w:val="auto"/>
        </w:rPr>
      </w:pPr>
      <w:r>
        <w:rPr>
          <w:rFonts w:ascii="Arial" w:cs="Arial" w:eastAsia="Arial" w:hAnsi="Arial"/>
          <w:sz w:val="40"/>
          <w:szCs w:val="40"/>
          <w:b w:val="1"/>
          <w:bCs w:val="1"/>
          <w:color w:val="FEFEFE"/>
        </w:rPr>
        <w:t>COMMITTEES</w:t>
      </w:r>
      <w:r>
        <w:rPr>
          <w:rFonts w:ascii="Times New Roman" w:cs="Times New Roman" w:eastAsia="Times New Roman" w:hAnsi="Times New Roman"/>
          <w:sz w:val="17"/>
          <w:szCs w:val="17"/>
          <w:color w:val="FEFEFE"/>
        </w:rPr>
        <w:t>​</w:t>
      </w:r>
    </w:p>
    <w:p>
      <w:pPr>
        <w:spacing w:after="0" w:line="379" w:lineRule="exact"/>
        <w:rPr>
          <w:sz w:val="20"/>
          <w:szCs w:val="20"/>
          <w:color w:val="auto"/>
        </w:rPr>
      </w:pPr>
    </w:p>
    <w:p>
      <w:pPr>
        <w:ind w:left="1000" w:right="439"/>
        <w:spacing w:after="0" w:line="268" w:lineRule="auto"/>
        <w:rPr>
          <w:sz w:val="20"/>
          <w:szCs w:val="20"/>
          <w:color w:val="auto"/>
        </w:rPr>
      </w:pPr>
      <w:r>
        <w:rPr>
          <w:rFonts w:ascii="Arial" w:cs="Arial" w:eastAsia="Arial" w:hAnsi="Arial"/>
          <w:sz w:val="18"/>
          <w:szCs w:val="18"/>
          <w:color w:val="auto"/>
        </w:rPr>
        <w:t>The Board of Directors held four regular quarterly meetings during the fiscal year ended June 29, 2024 (“fiscal 2024”). During each of these regular quarterly meetings, the Independent Directors met separately in executive session, presided over by the Chair of the Board.</w:t>
      </w:r>
    </w:p>
    <w:p>
      <w:pPr>
        <w:spacing w:after="0" w:line="103" w:lineRule="exact"/>
        <w:rPr>
          <w:sz w:val="20"/>
          <w:szCs w:val="20"/>
          <w:color w:val="auto"/>
        </w:rPr>
      </w:pPr>
    </w:p>
    <w:p>
      <w:pPr>
        <w:ind w:left="1000" w:right="179"/>
        <w:spacing w:after="0" w:line="287" w:lineRule="auto"/>
        <w:rPr>
          <w:sz w:val="20"/>
          <w:szCs w:val="20"/>
          <w:color w:val="auto"/>
        </w:rPr>
      </w:pPr>
      <w:r>
        <w:rPr>
          <w:rFonts w:ascii="Arial" w:cs="Arial" w:eastAsia="Arial" w:hAnsi="Arial"/>
          <w:sz w:val="18"/>
          <w:szCs w:val="18"/>
          <w:color w:val="auto"/>
        </w:rPr>
        <w:t>During fiscal 2024, each Director standing for reelection attended at least 93% of Board meetings and assigned committee meetings.</w:t>
      </w:r>
    </w:p>
    <w:p>
      <w:pPr>
        <w:spacing w:after="0" w:line="72" w:lineRule="exact"/>
        <w:rPr>
          <w:sz w:val="20"/>
          <w:szCs w:val="20"/>
          <w:color w:val="auto"/>
        </w:rPr>
      </w:pPr>
    </w:p>
    <w:p>
      <w:pPr>
        <w:ind w:left="1000" w:right="479"/>
        <w:spacing w:after="0" w:line="291" w:lineRule="auto"/>
        <w:rPr>
          <w:sz w:val="20"/>
          <w:szCs w:val="20"/>
          <w:color w:val="auto"/>
        </w:rPr>
      </w:pPr>
      <w:r>
        <w:rPr>
          <w:rFonts w:ascii="Arial" w:cs="Arial" w:eastAsia="Arial" w:hAnsi="Arial"/>
          <w:sz w:val="17"/>
          <w:szCs w:val="17"/>
          <w:color w:val="auto"/>
        </w:rPr>
        <w:t>Directors are expected to attend the annual meeting of shareholders unless unusual circumstances prevent such attendance. Board and committee meetings are scheduled in conjunction with the annual meeting of shareholders. All Directors attended the 2023 Annual Meeting of Shareholders held on November 16, 2023.</w:t>
      </w:r>
    </w:p>
    <w:p>
      <w:pPr>
        <w:spacing w:after="0" w:line="85" w:lineRule="exact"/>
        <w:rPr>
          <w:sz w:val="20"/>
          <w:szCs w:val="20"/>
          <w:color w:val="auto"/>
        </w:rPr>
      </w:pPr>
    </w:p>
    <w:p>
      <w:pPr>
        <w:ind w:left="1000" w:right="239"/>
        <w:spacing w:after="0" w:line="256" w:lineRule="auto"/>
        <w:rPr>
          <w:sz w:val="20"/>
          <w:szCs w:val="20"/>
          <w:color w:val="auto"/>
        </w:rPr>
      </w:pPr>
      <w:r>
        <w:rPr>
          <w:rFonts w:ascii="Arial" w:cs="Arial" w:eastAsia="Arial" w:hAnsi="Arial"/>
          <w:sz w:val="18"/>
          <w:szCs w:val="18"/>
          <w:color w:val="auto"/>
        </w:rPr>
        <w:t xml:space="preserve">The Board currently has, and appoints the members of, a standing Audit Committee, Compensation and Leadership Development Committee, Corporate Governance Committee, and Finance Committee. Each of these committees is comprised solely of non-employee Directors, reports regularly to the full Board, and annually evaluates its performance. Each committee operates under a written charter that outlines the committee’s purpose, member qualifications, authority, and responsibilities. Each committee reviews its charter and conducts an evaluation of its own effectiveness annually. The charters are available at </w:t>
      </w:r>
      <w:r>
        <w:rPr>
          <w:rFonts w:ascii="Arial" w:cs="Arial" w:eastAsia="Arial" w:hAnsi="Arial"/>
          <w:sz w:val="18"/>
          <w:szCs w:val="18"/>
          <w:u w:val="single" w:color="auto"/>
          <w:color w:val="auto"/>
        </w:rPr>
        <w:t>https://www.ir.avnet.com/corporate-governance/governance- documents</w:t>
      </w:r>
      <w:r>
        <w:rPr>
          <w:rFonts w:ascii="Arial" w:cs="Arial" w:eastAsia="Arial" w:hAnsi="Arial"/>
          <w:sz w:val="18"/>
          <w:szCs w:val="18"/>
          <w:color w:val="auto"/>
        </w:rPr>
        <w:t>.</w:t>
      </w:r>
    </w:p>
    <w:p>
      <w:pPr>
        <w:spacing w:after="0" w:line="115" w:lineRule="exact"/>
        <w:rPr>
          <w:sz w:val="20"/>
          <w:szCs w:val="20"/>
          <w:color w:val="auto"/>
        </w:rPr>
      </w:pPr>
    </w:p>
    <w:p>
      <w:pPr>
        <w:jc w:val="both"/>
        <w:ind w:left="1000" w:right="239"/>
        <w:spacing w:after="0" w:line="268" w:lineRule="auto"/>
        <w:rPr>
          <w:sz w:val="20"/>
          <w:szCs w:val="20"/>
          <w:color w:val="auto"/>
        </w:rPr>
      </w:pPr>
      <w:r>
        <w:rPr>
          <w:rFonts w:ascii="Arial" w:cs="Arial" w:eastAsia="Arial" w:hAnsi="Arial"/>
          <w:sz w:val="18"/>
          <w:szCs w:val="18"/>
          <w:color w:val="auto"/>
        </w:rPr>
        <w:t>In addition, the Board has established the Executive Committee to exercise certain powers and authority of the Board between Board meetings. The Board appoints the members of the Executive Committee, which consist of the Chair of the Board and the Chairs of each committee.</w:t>
      </w:r>
    </w:p>
    <w:p>
      <w:pPr>
        <w:spacing w:after="0" w:line="90" w:lineRule="exact"/>
        <w:rPr>
          <w:sz w:val="20"/>
          <w:szCs w:val="20"/>
          <w:color w:val="auto"/>
        </w:rPr>
      </w:pPr>
    </w:p>
    <w:p>
      <w:pPr>
        <w:ind w:left="1000" w:right="299"/>
        <w:spacing w:after="0" w:line="287" w:lineRule="auto"/>
        <w:rPr>
          <w:sz w:val="20"/>
          <w:szCs w:val="20"/>
          <w:color w:val="auto"/>
        </w:rPr>
      </w:pPr>
      <w:r>
        <w:rPr>
          <w:rFonts w:ascii="Arial" w:cs="Arial" w:eastAsia="Arial" w:hAnsi="Arial"/>
          <w:sz w:val="18"/>
          <w:szCs w:val="18"/>
          <w:color w:val="auto"/>
        </w:rPr>
        <w:t>The members of the committees as of the date of this Proxy Statement are identified in the following table and committee summaries.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92075</wp:posOffset>
            </wp:positionV>
            <wp:extent cx="463740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37405" cy="146050"/>
                    </a:xfrm>
                    <a:prstGeom prst="rect">
                      <a:avLst/>
                    </a:prstGeom>
                    <a:noFill/>
                  </pic:spPr>
                </pic:pic>
              </a:graphicData>
            </a:graphic>
          </wp:anchor>
        </w:drawing>
      </w:r>
    </w:p>
    <w:p>
      <w:pPr>
        <w:spacing w:after="0" w:line="125" w:lineRule="exact"/>
        <w:rPr>
          <w:sz w:val="20"/>
          <w:szCs w:val="20"/>
          <w:color w:val="auto"/>
        </w:rPr>
      </w:pPr>
    </w:p>
    <w:tbl>
      <w:tblPr>
        <w:tblLayout w:type="fixed"/>
        <w:tblInd w:w="1710" w:type="dxa"/>
        <w:tblCellMar>
          <w:top w:w="0" w:type="dxa"/>
          <w:left w:w="0" w:type="dxa"/>
          <w:bottom w:w="0" w:type="dxa"/>
          <w:right w:w="0" w:type="dxa"/>
        </w:tblCellMar>
      </w:tblPr>
      <w:tr>
        <w:trPr>
          <w:trHeight w:val="230"/>
        </w:trPr>
        <w:tc>
          <w:tcPr>
            <w:tcW w:w="2780" w:type="dxa"/>
            <w:vAlign w:val="bottom"/>
            <w:tcBorders>
              <w:left w:val="single" w:sz="8" w:color="53C072"/>
            </w:tcBorders>
          </w:tcPr>
          <w:p>
            <w:pPr>
              <w:jc w:val="right"/>
              <w:ind w:right="2608"/>
              <w:spacing w:after="0"/>
              <w:rPr>
                <w:sz w:val="20"/>
                <w:szCs w:val="20"/>
                <w:color w:val="auto"/>
              </w:rPr>
            </w:pPr>
            <w:r>
              <w:rPr>
                <w:rFonts w:ascii="Arial" w:cs="Arial" w:eastAsia="Arial" w:hAnsi="Arial"/>
                <w:sz w:val="16"/>
                <w:szCs w:val="16"/>
                <w:b w:val="1"/>
                <w:bCs w:val="1"/>
                <w:color w:val="FEFEFE"/>
              </w:rPr>
              <w:t>​​</w:t>
            </w:r>
          </w:p>
        </w:tc>
        <w:tc>
          <w:tcPr>
            <w:tcW w:w="320" w:type="dxa"/>
            <w:vAlign w:val="bottom"/>
            <w:gridSpan w:val="3"/>
          </w:tcPr>
          <w:p>
            <w:pPr>
              <w:ind w:left="60"/>
              <w:spacing w:after="0"/>
              <w:rPr>
                <w:sz w:val="20"/>
                <w:szCs w:val="20"/>
                <w:color w:val="auto"/>
              </w:rPr>
            </w:pPr>
            <w:r>
              <w:rPr>
                <w:rFonts w:ascii="Arial" w:cs="Arial" w:eastAsia="Arial" w:hAnsi="Arial"/>
                <w:sz w:val="16"/>
                <w:szCs w:val="16"/>
                <w:b w:val="1"/>
                <w:bCs w:val="1"/>
                <w:color w:val="FEFEFE"/>
              </w:rPr>
              <w:t>​ ​</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7"/>
          </w:tcPr>
          <w:p>
            <w:pPr>
              <w:jc w:val="center"/>
              <w:spacing w:after="0"/>
              <w:rPr>
                <w:sz w:val="20"/>
                <w:szCs w:val="20"/>
                <w:color w:val="auto"/>
              </w:rPr>
            </w:pPr>
            <w:r>
              <w:rPr>
                <w:rFonts w:ascii="Arial" w:cs="Arial" w:eastAsia="Arial" w:hAnsi="Arial"/>
                <w:sz w:val="16"/>
                <w:szCs w:val="16"/>
                <w:b w:val="1"/>
                <w:bCs w:val="1"/>
                <w:color w:val="FEFEFE"/>
              </w:rPr>
              <w:t>Committees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3"/>
          </w:tcPr>
          <w:p>
            <w:pPr>
              <w:ind w:left="40"/>
              <w:spacing w:after="0"/>
              <w:rPr>
                <w:sz w:val="20"/>
                <w:szCs w:val="20"/>
                <w:color w:val="auto"/>
              </w:rPr>
            </w:pPr>
            <w:r>
              <w:rPr>
                <w:rFonts w:ascii="Arial" w:cs="Arial" w:eastAsia="Arial" w:hAnsi="Arial"/>
                <w:sz w:val="16"/>
                <w:szCs w:val="16"/>
                <w:b w:val="1"/>
                <w:bCs w:val="1"/>
                <w:color w:val="FEFEFE"/>
              </w:rPr>
              <w:t>​ ​</w:t>
            </w:r>
          </w:p>
        </w:tc>
        <w:tc>
          <w:tcPr>
            <w:tcW w:w="760" w:type="dxa"/>
            <w:vAlign w:val="bottom"/>
          </w:tcPr>
          <w:p>
            <w:pPr>
              <w:jc w:val="center"/>
              <w:ind w:right="179"/>
              <w:spacing w:after="0"/>
              <w:rPr>
                <w:sz w:val="20"/>
                <w:szCs w:val="20"/>
                <w:color w:val="auto"/>
              </w:rPr>
            </w:pPr>
            <w:r>
              <w:rPr>
                <w:rFonts w:ascii="Arial" w:cs="Arial" w:eastAsia="Arial" w:hAnsi="Arial"/>
                <w:sz w:val="16"/>
                <w:szCs w:val="16"/>
                <w:b w:val="1"/>
                <w:bCs w:val="1"/>
                <w:color w:val="FEFEFE"/>
              </w:rPr>
              <w:t>​</w:t>
            </w:r>
          </w:p>
        </w:tc>
        <w:tc>
          <w:tcPr>
            <w:tcW w:w="440" w:type="dxa"/>
            <w:vAlign w:val="bottom"/>
          </w:tcPr>
          <w:p>
            <w:pPr>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0"/>
        </w:trPr>
        <w:tc>
          <w:tcPr>
            <w:tcW w:w="2780" w:type="dxa"/>
            <w:vAlign w:val="bottom"/>
            <w:tcBorders>
              <w:left w:val="single" w:sz="8" w:color="53C072"/>
            </w:tcBorders>
            <w:vMerge w:val="restart"/>
          </w:tcPr>
          <w:p>
            <w:pPr>
              <w:jc w:val="right"/>
              <w:ind w:right="2608"/>
              <w:spacing w:after="0"/>
              <w:rPr>
                <w:sz w:val="20"/>
                <w:szCs w:val="20"/>
                <w:color w:val="auto"/>
              </w:rPr>
            </w:pPr>
            <w:r>
              <w:rPr>
                <w:rFonts w:ascii="Arial" w:cs="Arial" w:eastAsia="Arial" w:hAnsi="Arial"/>
                <w:sz w:val="16"/>
                <w:szCs w:val="16"/>
                <w:b w:val="1"/>
                <w:bCs w:val="1"/>
                <w:color w:val="FEFEFE"/>
              </w:rPr>
              <w:t>​​</w:t>
            </w:r>
          </w:p>
        </w:tc>
        <w:tc>
          <w:tcPr>
            <w:tcW w:w="80" w:type="dxa"/>
            <w:vAlign w:val="bottom"/>
            <w:shd w:val="clear" w:color="auto" w:fill="53C07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20" w:type="dxa"/>
            <w:vAlign w:val="bottom"/>
            <w:tcBorders>
              <w:right w:val="single" w:sz="8" w:color="53C072"/>
            </w:tcBorders>
            <w:gridSpan w:val="2"/>
            <w:shd w:val="clear" w:color="auto" w:fill="53C07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tcBorders>
              <w:left w:val="single" w:sz="8" w:color="53C072"/>
            </w:tcBorders>
            <w:vMerge w:val="continue"/>
          </w:tcPr>
          <w:p>
            <w:pPr>
              <w:spacing w:after="0"/>
              <w:rPr>
                <w:sz w:val="18"/>
                <w:szCs w:val="18"/>
                <w:color w:val="auto"/>
              </w:rPr>
            </w:pPr>
          </w:p>
        </w:tc>
        <w:tc>
          <w:tcPr>
            <w:tcW w:w="320" w:type="dxa"/>
            <w:vAlign w:val="bottom"/>
            <w:gridSpan w:val="3"/>
          </w:tcPr>
          <w:p>
            <w:pPr>
              <w:ind w:left="60"/>
              <w:spacing w:after="0"/>
              <w:rPr>
                <w:sz w:val="20"/>
                <w:szCs w:val="20"/>
                <w:color w:val="auto"/>
              </w:rPr>
            </w:pPr>
            <w:r>
              <w:rPr>
                <w:rFonts w:ascii="Arial" w:cs="Arial" w:eastAsia="Arial" w:hAnsi="Arial"/>
                <w:sz w:val="16"/>
                <w:szCs w:val="16"/>
                <w:b w:val="1"/>
                <w:bCs w:val="1"/>
                <w:color w:val="FEFEFE"/>
              </w:rPr>
              <w:t>​ ​</w:t>
            </w:r>
          </w:p>
        </w:tc>
        <w:tc>
          <w:tcPr>
            <w:tcW w:w="300" w:type="dxa"/>
            <w:vAlign w:val="bottom"/>
          </w:tcPr>
          <w:p>
            <w:pPr>
              <w:jc w:val="center"/>
              <w:ind w:right="50"/>
              <w:spacing w:after="0"/>
              <w:rPr>
                <w:sz w:val="20"/>
                <w:szCs w:val="20"/>
                <w:color w:val="auto"/>
              </w:rPr>
            </w:pPr>
            <w:r>
              <w:rPr>
                <w:rFonts w:ascii="Arial" w:cs="Arial" w:eastAsia="Arial" w:hAnsi="Arial"/>
                <w:sz w:val="16"/>
                <w:szCs w:val="16"/>
                <w:b w:val="1"/>
                <w:bCs w:val="1"/>
                <w:color w:val="FEFEFE"/>
              </w:rPr>
              <w:t>A</w:t>
            </w:r>
          </w:p>
        </w:tc>
        <w:tc>
          <w:tcPr>
            <w:tcW w:w="300" w:type="dxa"/>
            <w:vAlign w:val="bottom"/>
            <w:gridSpan w:val="3"/>
          </w:tcPr>
          <w:p>
            <w:pPr>
              <w:ind w:left="60"/>
              <w:spacing w:after="0"/>
              <w:rPr>
                <w:sz w:val="20"/>
                <w:szCs w:val="20"/>
                <w:color w:val="auto"/>
              </w:rPr>
            </w:pPr>
            <w:r>
              <w:rPr>
                <w:rFonts w:ascii="Arial" w:cs="Arial" w:eastAsia="Arial" w:hAnsi="Arial"/>
                <w:sz w:val="16"/>
                <w:szCs w:val="16"/>
                <w:b w:val="1"/>
                <w:bCs w:val="1"/>
                <w:color w:val="FEFEFE"/>
              </w:rPr>
              <w:t>​ ​</w:t>
            </w:r>
          </w:p>
        </w:tc>
        <w:tc>
          <w:tcPr>
            <w:tcW w:w="280" w:type="dxa"/>
            <w:vAlign w:val="bottom"/>
          </w:tcPr>
          <w:p>
            <w:pPr>
              <w:ind w:left="80"/>
              <w:spacing w:after="0"/>
              <w:rPr>
                <w:sz w:val="20"/>
                <w:szCs w:val="20"/>
                <w:color w:val="auto"/>
              </w:rPr>
            </w:pPr>
            <w:r>
              <w:rPr>
                <w:rFonts w:ascii="Arial" w:cs="Arial" w:eastAsia="Arial" w:hAnsi="Arial"/>
                <w:sz w:val="16"/>
                <w:szCs w:val="16"/>
                <w:b w:val="1"/>
                <w:bCs w:val="1"/>
                <w:color w:val="FEFEFE"/>
              </w:rPr>
              <w:t>C</w:t>
            </w:r>
          </w:p>
        </w:tc>
        <w:tc>
          <w:tcPr>
            <w:tcW w:w="360" w:type="dxa"/>
            <w:vAlign w:val="bottom"/>
            <w:gridSpan w:val="3"/>
          </w:tcPr>
          <w:p>
            <w:pPr>
              <w:ind w:left="140"/>
              <w:spacing w:after="0"/>
              <w:rPr>
                <w:sz w:val="20"/>
                <w:szCs w:val="20"/>
                <w:color w:val="auto"/>
              </w:rPr>
            </w:pPr>
            <w:r>
              <w:rPr>
                <w:rFonts w:ascii="Arial" w:cs="Arial" w:eastAsia="Arial" w:hAnsi="Arial"/>
                <w:sz w:val="16"/>
                <w:szCs w:val="16"/>
                <w:b w:val="1"/>
                <w:bCs w:val="1"/>
                <w:color w:val="FEFEFE"/>
              </w:rPr>
              <w:t>​ ​</w:t>
            </w:r>
          </w:p>
        </w:tc>
        <w:tc>
          <w:tcPr>
            <w:tcW w:w="400" w:type="dxa"/>
            <w:vAlign w:val="bottom"/>
          </w:tcPr>
          <w:p>
            <w:pPr>
              <w:jc w:val="center"/>
              <w:ind w:right="1"/>
              <w:spacing w:after="0"/>
              <w:rPr>
                <w:sz w:val="20"/>
                <w:szCs w:val="20"/>
                <w:color w:val="auto"/>
              </w:rPr>
            </w:pPr>
            <w:r>
              <w:rPr>
                <w:rFonts w:ascii="Arial" w:cs="Arial" w:eastAsia="Arial" w:hAnsi="Arial"/>
                <w:sz w:val="16"/>
                <w:szCs w:val="16"/>
                <w:b w:val="1"/>
                <w:bCs w:val="1"/>
                <w:color w:val="FEFEFE"/>
                <w:w w:val="99"/>
              </w:rPr>
              <w:t>CG</w:t>
            </w:r>
          </w:p>
        </w:tc>
        <w:tc>
          <w:tcPr>
            <w:tcW w:w="300" w:type="dxa"/>
            <w:vAlign w:val="bottom"/>
            <w:gridSpan w:val="3"/>
          </w:tcPr>
          <w:p>
            <w:pPr>
              <w:ind w:left="40"/>
              <w:spacing w:after="0"/>
              <w:rPr>
                <w:sz w:val="20"/>
                <w:szCs w:val="20"/>
                <w:color w:val="auto"/>
              </w:rPr>
            </w:pPr>
            <w:r>
              <w:rPr>
                <w:rFonts w:ascii="Arial" w:cs="Arial" w:eastAsia="Arial" w:hAnsi="Arial"/>
                <w:sz w:val="16"/>
                <w:szCs w:val="16"/>
                <w:b w:val="1"/>
                <w:bCs w:val="1"/>
                <w:color w:val="FEFEFE"/>
              </w:rPr>
              <w:t>​ ​</w:t>
            </w:r>
          </w:p>
        </w:tc>
        <w:tc>
          <w:tcPr>
            <w:tcW w:w="220" w:type="dxa"/>
            <w:vAlign w:val="bottom"/>
          </w:tcPr>
          <w:p>
            <w:pPr>
              <w:ind w:left="80"/>
              <w:spacing w:after="0"/>
              <w:rPr>
                <w:sz w:val="20"/>
                <w:szCs w:val="20"/>
                <w:color w:val="auto"/>
              </w:rPr>
            </w:pPr>
            <w:r>
              <w:rPr>
                <w:rFonts w:ascii="Arial" w:cs="Arial" w:eastAsia="Arial" w:hAnsi="Arial"/>
                <w:sz w:val="16"/>
                <w:szCs w:val="16"/>
                <w:b w:val="1"/>
                <w:bCs w:val="1"/>
                <w:color w:val="FEFEFE"/>
              </w:rPr>
              <w:t>F</w:t>
            </w:r>
          </w:p>
        </w:tc>
        <w:tc>
          <w:tcPr>
            <w:tcW w:w="440" w:type="dxa"/>
            <w:vAlign w:val="bottom"/>
            <w:gridSpan w:val="3"/>
          </w:tcPr>
          <w:p>
            <w:pPr>
              <w:ind w:left="180"/>
              <w:spacing w:after="0"/>
              <w:rPr>
                <w:sz w:val="20"/>
                <w:szCs w:val="20"/>
                <w:color w:val="auto"/>
              </w:rPr>
            </w:pPr>
            <w:r>
              <w:rPr>
                <w:rFonts w:ascii="Arial" w:cs="Arial" w:eastAsia="Arial" w:hAnsi="Arial"/>
                <w:sz w:val="16"/>
                <w:szCs w:val="16"/>
                <w:b w:val="1"/>
                <w:bCs w:val="1"/>
                <w:color w:val="FEFEFE"/>
              </w:rPr>
              <w:t>​ ​</w:t>
            </w:r>
          </w:p>
        </w:tc>
        <w:tc>
          <w:tcPr>
            <w:tcW w:w="360" w:type="dxa"/>
            <w:vAlign w:val="bottom"/>
          </w:tcPr>
          <w:p>
            <w:pPr>
              <w:jc w:val="right"/>
              <w:ind w:right="113"/>
              <w:spacing w:after="0"/>
              <w:rPr>
                <w:sz w:val="20"/>
                <w:szCs w:val="20"/>
                <w:color w:val="auto"/>
              </w:rPr>
            </w:pPr>
            <w:r>
              <w:rPr>
                <w:rFonts w:ascii="Arial" w:cs="Arial" w:eastAsia="Arial" w:hAnsi="Arial"/>
                <w:sz w:val="16"/>
                <w:szCs w:val="16"/>
                <w:b w:val="1"/>
                <w:bCs w:val="1"/>
                <w:color w:val="FEFEFE"/>
              </w:rPr>
              <w:t>E</w:t>
            </w:r>
          </w:p>
        </w:tc>
        <w:tc>
          <w:tcPr>
            <w:tcW w:w="120" w:type="dxa"/>
            <w:vAlign w:val="bottom"/>
            <w:gridSpan w:val="2"/>
          </w:tcPr>
          <w:p>
            <w:pPr>
              <w:ind w:left="40"/>
              <w:spacing w:after="0"/>
              <w:rPr>
                <w:sz w:val="20"/>
                <w:szCs w:val="20"/>
                <w:color w:val="auto"/>
              </w:rPr>
            </w:pPr>
            <w:r>
              <w:rPr>
                <w:rFonts w:ascii="Arial" w:cs="Arial" w:eastAsia="Arial" w:hAnsi="Arial"/>
                <w:sz w:val="16"/>
                <w:szCs w:val="16"/>
                <w:b w:val="1"/>
                <w:bCs w:val="1"/>
                <w:color w:val="FEFEFE"/>
              </w:rPr>
              <w:t>​</w:t>
            </w:r>
          </w:p>
        </w:tc>
        <w:tc>
          <w:tcPr>
            <w:tcW w:w="1560" w:type="dxa"/>
            <w:vAlign w:val="bottom"/>
            <w:gridSpan w:val="3"/>
          </w:tcPr>
          <w:p>
            <w:pPr>
              <w:jc w:val="center"/>
              <w:ind w:right="292"/>
              <w:spacing w:after="0"/>
              <w:rPr>
                <w:sz w:val="20"/>
                <w:szCs w:val="20"/>
                <w:color w:val="auto"/>
              </w:rPr>
            </w:pPr>
            <w:r>
              <w:rPr>
                <w:rFonts w:ascii="Arial" w:cs="Arial" w:eastAsia="Arial" w:hAnsi="Arial"/>
                <w:sz w:val="16"/>
                <w:szCs w:val="16"/>
                <w:b w:val="1"/>
                <w:bCs w:val="1"/>
                <w:color w:val="FEFEFE"/>
              </w:rPr>
              <w:t>​Independent ​</w:t>
            </w:r>
          </w:p>
        </w:tc>
        <w:tc>
          <w:tcPr>
            <w:tcW w:w="0" w:type="dxa"/>
            <w:vAlign w:val="bottom"/>
          </w:tcPr>
          <w:p>
            <w:pPr>
              <w:spacing w:after="0"/>
              <w:rPr>
                <w:sz w:val="1"/>
                <w:szCs w:val="1"/>
                <w:color w:val="auto"/>
              </w:rPr>
            </w:pPr>
          </w:p>
        </w:tc>
      </w:tr>
      <w:tr>
        <w:trPr>
          <w:trHeight w:val="324"/>
        </w:trPr>
        <w:tc>
          <w:tcPr>
            <w:tcW w:w="2780" w:type="dxa"/>
            <w:vAlign w:val="bottom"/>
          </w:tcPr>
          <w:p>
            <w:pPr>
              <w:ind w:left="40"/>
              <w:spacing w:after="0"/>
              <w:rPr>
                <w:sz w:val="20"/>
                <w:szCs w:val="20"/>
                <w:color w:val="auto"/>
              </w:rPr>
            </w:pPr>
            <w:r>
              <w:rPr>
                <w:rFonts w:ascii="Arial" w:cs="Arial" w:eastAsia="Arial" w:hAnsi="Arial"/>
                <w:sz w:val="25"/>
                <w:szCs w:val="25"/>
                <w:color w:val="auto"/>
              </w:rPr>
              <w:t>​</w:t>
            </w:r>
            <w:r>
              <w:rPr>
                <w:rFonts w:ascii="Arial" w:cs="Arial" w:eastAsia="Arial" w:hAnsi="Arial"/>
                <w:sz w:val="16"/>
                <w:szCs w:val="16"/>
                <w:b w:val="1"/>
                <w:bCs w:val="1"/>
                <w:color w:val="auto"/>
              </w:rPr>
              <w:t>Rodney C. Adkins (Board Chair)</w:t>
            </w:r>
          </w:p>
        </w:tc>
        <w:tc>
          <w:tcPr>
            <w:tcW w:w="80" w:type="dxa"/>
            <w:vAlign w:val="bottom"/>
          </w:tcPr>
          <w:p>
            <w:pPr>
              <w:spacing w:after="0"/>
              <w:rPr>
                <w:sz w:val="24"/>
                <w:szCs w:val="24"/>
                <w:color w:val="auto"/>
              </w:rPr>
            </w:pPr>
          </w:p>
        </w:tc>
        <w:tc>
          <w:tcPr>
            <w:tcW w:w="80" w:type="dxa"/>
            <w:vAlign w:val="bottom"/>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1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25"/>
                <w:szCs w:val="25"/>
                <w:color w:val="auto"/>
                <w:highlight w:val="darkGray"/>
              </w:rPr>
              <w:t>​</w:t>
            </w:r>
          </w:p>
        </w:tc>
        <w:tc>
          <w:tcPr>
            <w:tcW w:w="120" w:type="dxa"/>
            <w:vAlign w:val="bottom"/>
            <w:gridSpan w:val="2"/>
          </w:tcPr>
          <w:p>
            <w:pPr>
              <w:ind w:left="60"/>
              <w:spacing w:after="0"/>
              <w:rPr>
                <w:sz w:val="20"/>
                <w:szCs w:val="20"/>
                <w:color w:val="auto"/>
              </w:rPr>
            </w:pPr>
            <w:r>
              <w:rPr>
                <w:rFonts w:ascii="Arial" w:cs="Arial" w:eastAsia="Arial" w:hAnsi="Arial"/>
                <w:sz w:val="25"/>
                <w:szCs w:val="25"/>
                <w:color w:val="auto"/>
                <w:highlight w:val="darkGray"/>
              </w:rPr>
              <w:t>​</w:t>
            </w:r>
          </w:p>
        </w:tc>
        <w:tc>
          <w:tcPr>
            <w:tcW w:w="180" w:type="dxa"/>
            <w:vAlign w:val="bottom"/>
          </w:tcPr>
          <w:p>
            <w:pPr>
              <w:ind w:left="40"/>
              <w:spacing w:after="0"/>
              <w:rPr>
                <w:sz w:val="20"/>
                <w:szCs w:val="20"/>
                <w:color w:val="auto"/>
              </w:rPr>
            </w:pPr>
            <w:r>
              <w:rPr>
                <w:rFonts w:ascii="Arial" w:cs="Arial" w:eastAsia="Arial" w:hAnsi="Arial"/>
                <w:sz w:val="25"/>
                <w:szCs w:val="25"/>
                <w:color w:val="auto"/>
              </w:rPr>
              <w:t>​</w:t>
            </w:r>
          </w:p>
        </w:tc>
        <w:tc>
          <w:tcPr>
            <w:tcW w:w="280" w:type="dxa"/>
            <w:vAlign w:val="bottom"/>
          </w:tcPr>
          <w:p>
            <w:pPr>
              <w:ind w:left="140"/>
              <w:spacing w:after="0"/>
              <w:rPr>
                <w:sz w:val="20"/>
                <w:szCs w:val="20"/>
                <w:color w:val="auto"/>
              </w:rPr>
            </w:pPr>
            <w:r>
              <w:rPr>
                <w:rFonts w:ascii="Arial" w:cs="Arial" w:eastAsia="Arial" w:hAnsi="Arial"/>
                <w:sz w:val="25"/>
                <w:szCs w:val="25"/>
                <w:color w:val="auto"/>
              </w:rPr>
              <w:t>​</w:t>
            </w:r>
          </w:p>
        </w:tc>
        <w:tc>
          <w:tcPr>
            <w:tcW w:w="200" w:type="dxa"/>
            <w:vAlign w:val="bottom"/>
            <w:gridSpan w:val="2"/>
          </w:tcPr>
          <w:p>
            <w:pPr>
              <w:ind w:left="140"/>
              <w:spacing w:after="0"/>
              <w:rPr>
                <w:sz w:val="20"/>
                <w:szCs w:val="20"/>
                <w:color w:val="auto"/>
              </w:rPr>
            </w:pPr>
            <w:r>
              <w:rPr>
                <w:rFonts w:ascii="Arial" w:cs="Arial" w:eastAsia="Arial" w:hAnsi="Arial"/>
                <w:sz w:val="25"/>
                <w:szCs w:val="25"/>
                <w:color w:val="auto"/>
              </w:rPr>
              <w:t>​</w:t>
            </w:r>
          </w:p>
        </w:tc>
        <w:tc>
          <w:tcPr>
            <w:tcW w:w="160" w:type="dxa"/>
            <w:vAlign w:val="bottom"/>
          </w:tcPr>
          <w:p>
            <w:pPr>
              <w:ind w:left="40"/>
              <w:spacing w:after="0"/>
              <w:rPr>
                <w:sz w:val="20"/>
                <w:szCs w:val="20"/>
                <w:color w:val="auto"/>
              </w:rPr>
            </w:pPr>
            <w:r>
              <w:rPr>
                <w:rFonts w:ascii="Arial" w:cs="Arial" w:eastAsia="Arial" w:hAnsi="Arial"/>
                <w:sz w:val="25"/>
                <w:szCs w:val="25"/>
                <w:color w:val="auto"/>
              </w:rPr>
              <w:t>​</w:t>
            </w:r>
          </w:p>
        </w:tc>
        <w:tc>
          <w:tcPr>
            <w:tcW w:w="400" w:type="dxa"/>
            <w:vAlign w:val="bottom"/>
          </w:tcPr>
          <w:p>
            <w:pPr>
              <w:jc w:val="center"/>
              <w:ind w:right="1"/>
              <w:spacing w:after="0"/>
              <w:rPr>
                <w:sz w:val="20"/>
                <w:szCs w:val="20"/>
                <w:color w:val="auto"/>
              </w:rPr>
            </w:pPr>
            <w:r>
              <w:rPr>
                <w:rFonts w:ascii="Arial" w:cs="Arial" w:eastAsia="Arial" w:hAnsi="Arial"/>
                <w:sz w:val="25"/>
                <w:szCs w:val="25"/>
                <w:color w:val="53C072"/>
                <w:w w:val="90"/>
              </w:rPr>
              <w:t>•</w:t>
            </w:r>
          </w:p>
        </w:tc>
        <w:tc>
          <w:tcPr>
            <w:tcW w:w="100" w:type="dxa"/>
            <w:vAlign w:val="bottom"/>
            <w:gridSpan w:val="2"/>
          </w:tcPr>
          <w:p>
            <w:pPr>
              <w:ind w:left="40"/>
              <w:spacing w:after="0"/>
              <w:rPr>
                <w:sz w:val="20"/>
                <w:szCs w:val="20"/>
                <w:color w:val="auto"/>
              </w:rPr>
            </w:pPr>
            <w:r>
              <w:rPr>
                <w:rFonts w:ascii="Arial" w:cs="Arial" w:eastAsia="Arial" w:hAnsi="Arial"/>
                <w:sz w:val="25"/>
                <w:szCs w:val="25"/>
                <w:color w:val="auto"/>
              </w:rPr>
              <w:t>​</w:t>
            </w:r>
          </w:p>
        </w:tc>
        <w:tc>
          <w:tcPr>
            <w:tcW w:w="200" w:type="dxa"/>
            <w:vAlign w:val="bottom"/>
          </w:tcPr>
          <w:p>
            <w:pPr>
              <w:ind w:left="40"/>
              <w:spacing w:after="0"/>
              <w:rPr>
                <w:sz w:val="20"/>
                <w:szCs w:val="20"/>
                <w:color w:val="auto"/>
              </w:rPr>
            </w:pPr>
            <w:r>
              <w:rPr>
                <w:rFonts w:ascii="Arial" w:cs="Arial" w:eastAsia="Arial" w:hAnsi="Arial"/>
                <w:sz w:val="25"/>
                <w:szCs w:val="25"/>
                <w:color w:val="auto"/>
              </w:rPr>
              <w:t>​</w:t>
            </w:r>
          </w:p>
        </w:tc>
        <w:tc>
          <w:tcPr>
            <w:tcW w:w="220" w:type="dxa"/>
            <w:vAlign w:val="bottom"/>
          </w:tcPr>
          <w:p>
            <w:pPr>
              <w:ind w:left="120"/>
              <w:spacing w:after="0"/>
              <w:rPr>
                <w:sz w:val="20"/>
                <w:szCs w:val="20"/>
                <w:color w:val="auto"/>
              </w:rPr>
            </w:pPr>
            <w:r>
              <w:rPr>
                <w:rFonts w:ascii="Arial" w:cs="Arial" w:eastAsia="Arial" w:hAnsi="Arial"/>
                <w:sz w:val="25"/>
                <w:szCs w:val="25"/>
                <w:color w:val="auto"/>
              </w:rPr>
              <w:t>​</w:t>
            </w:r>
          </w:p>
        </w:tc>
        <w:tc>
          <w:tcPr>
            <w:tcW w:w="240" w:type="dxa"/>
            <w:vAlign w:val="bottom"/>
            <w:gridSpan w:val="2"/>
          </w:tcPr>
          <w:p>
            <w:pPr>
              <w:ind w:left="180"/>
              <w:spacing w:after="0"/>
              <w:rPr>
                <w:sz w:val="20"/>
                <w:szCs w:val="20"/>
                <w:color w:val="auto"/>
              </w:rPr>
            </w:pPr>
            <w:r>
              <w:rPr>
                <w:rFonts w:ascii="Arial" w:cs="Arial" w:eastAsia="Arial" w:hAnsi="Arial"/>
                <w:sz w:val="25"/>
                <w:szCs w:val="25"/>
                <w:color w:val="auto"/>
              </w:rPr>
              <w:t>​</w:t>
            </w:r>
          </w:p>
        </w:tc>
        <w:tc>
          <w:tcPr>
            <w:tcW w:w="680" w:type="dxa"/>
            <w:vAlign w:val="bottom"/>
            <w:gridSpan w:val="4"/>
          </w:tcPr>
          <w:p>
            <w:pPr>
              <w:ind w:left="40"/>
              <w:spacing w:after="0"/>
              <w:rPr>
                <w:sz w:val="20"/>
                <w:szCs w:val="20"/>
                <w:color w:val="auto"/>
              </w:rPr>
            </w:pPr>
            <w:r>
              <w:rPr>
                <w:rFonts w:ascii="Arial" w:cs="Arial" w:eastAsia="Arial" w:hAnsi="Arial"/>
                <w:sz w:val="25"/>
                <w:szCs w:val="25"/>
                <w:color w:val="auto"/>
              </w:rPr>
              <w:t>​</w:t>
            </w:r>
            <w:r>
              <w:rPr>
                <w:rFonts w:ascii="Arial" w:cs="Arial" w:eastAsia="Arial" w:hAnsi="Arial"/>
                <w:sz w:val="17"/>
                <w:szCs w:val="17"/>
                <w:color w:val="auto"/>
              </w:rPr>
              <w:t>Chair</w:t>
            </w:r>
            <w:r>
              <w:rPr>
                <w:rFonts w:ascii="Arial" w:cs="Arial" w:eastAsia="Arial" w:hAnsi="Arial"/>
                <w:sz w:val="25"/>
                <w:szCs w:val="25"/>
                <w:color w:val="auto"/>
              </w:rPr>
              <w:t>​​</w:t>
            </w:r>
          </w:p>
        </w:tc>
        <w:tc>
          <w:tcPr>
            <w:tcW w:w="360" w:type="dxa"/>
            <w:vAlign w:val="bottom"/>
          </w:tcPr>
          <w:p>
            <w:pPr>
              <w:ind w:left="40"/>
              <w:spacing w:after="0"/>
              <w:rPr>
                <w:sz w:val="20"/>
                <w:szCs w:val="20"/>
                <w:color w:val="auto"/>
              </w:rPr>
            </w:pPr>
            <w:r>
              <w:rPr>
                <w:rFonts w:ascii="Arial" w:cs="Arial" w:eastAsia="Arial" w:hAnsi="Arial"/>
                <w:sz w:val="25"/>
                <w:szCs w:val="25"/>
                <w:color w:val="auto"/>
              </w:rPr>
              <w:t>​</w:t>
            </w:r>
          </w:p>
        </w:tc>
        <w:tc>
          <w:tcPr>
            <w:tcW w:w="7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20"/>
        </w:trPr>
        <w:tc>
          <w:tcPr>
            <w:tcW w:w="27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780" w:type="dxa"/>
            <w:vAlign w:val="bottom"/>
          </w:tcPr>
          <w:p>
            <w:pPr>
              <w:jc w:val="right"/>
              <w:ind w:right="2608"/>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80" w:type="dxa"/>
            <w:vAlign w:val="bottom"/>
            <w:shd w:val="clear" w:color="auto" w:fill="B2B2B2"/>
          </w:tcPr>
          <w:p>
            <w:pPr>
              <w:jc w:val="right"/>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B2B2B2"/>
          </w:tcPr>
          <w:p>
            <w:pPr>
              <w:jc w:val="center"/>
              <w:spacing w:after="0" w:line="77" w:lineRule="exact"/>
              <w:rPr>
                <w:sz w:val="20"/>
                <w:szCs w:val="20"/>
                <w:color w:val="auto"/>
              </w:rPr>
            </w:pPr>
            <w:r>
              <w:rPr>
                <w:rFonts w:ascii="Arial" w:cs="Arial" w:eastAsia="Arial" w:hAnsi="Arial"/>
                <w:sz w:val="8"/>
                <w:szCs w:val="8"/>
                <w:color w:val="53C072"/>
              </w:rPr>
              <w:t>•</w:t>
            </w:r>
          </w:p>
        </w:tc>
        <w:tc>
          <w:tcPr>
            <w:tcW w:w="120" w:type="dxa"/>
            <w:vAlign w:val="bottom"/>
            <w:gridSpan w:val="2"/>
          </w:tcPr>
          <w:p>
            <w:pPr>
              <w:ind w:left="60"/>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200" w:type="dxa"/>
            <w:vAlign w:val="bottom"/>
            <w:gridSpan w:val="2"/>
          </w:tcPr>
          <w:p>
            <w:pPr>
              <w:ind w:left="140"/>
              <w:spacing w:after="0" w:line="77" w:lineRule="exact"/>
              <w:rPr>
                <w:sz w:val="20"/>
                <w:szCs w:val="20"/>
                <w:color w:val="auto"/>
              </w:rPr>
            </w:pPr>
            <w:r>
              <w:rPr>
                <w:rFonts w:ascii="Arial" w:cs="Arial" w:eastAsia="Arial" w:hAnsi="Arial"/>
                <w:sz w:val="8"/>
                <w:szCs w:val="8"/>
                <w:color w:val="auto"/>
              </w:rPr>
              <w:t>​</w:t>
            </w:r>
          </w:p>
        </w:tc>
        <w:tc>
          <w:tcPr>
            <w:tcW w:w="56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1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420" w:type="dxa"/>
            <w:vAlign w:val="bottom"/>
            <w:gridSpan w:val="2"/>
          </w:tcPr>
          <w:p>
            <w:pPr>
              <w:ind w:left="40"/>
              <w:spacing w:after="0" w:line="77" w:lineRule="exact"/>
              <w:rPr>
                <w:sz w:val="20"/>
                <w:szCs w:val="20"/>
                <w:color w:val="auto"/>
              </w:rPr>
            </w:pPr>
            <w:r>
              <w:rPr>
                <w:rFonts w:ascii="Arial" w:cs="Arial" w:eastAsia="Arial" w:hAnsi="Arial"/>
                <w:sz w:val="8"/>
                <w:szCs w:val="8"/>
                <w:color w:val="auto"/>
              </w:rPr>
              <w:t xml:space="preserve">​ </w:t>
            </w:r>
            <w:r>
              <w:rPr>
                <w:rFonts w:ascii="Arial" w:cs="Arial" w:eastAsia="Arial" w:hAnsi="Arial"/>
                <w:sz w:val="8"/>
                <w:szCs w:val="8"/>
                <w:color w:val="53C072"/>
              </w:rPr>
              <w:t>•</w:t>
            </w:r>
          </w:p>
        </w:tc>
        <w:tc>
          <w:tcPr>
            <w:tcW w:w="240" w:type="dxa"/>
            <w:vAlign w:val="bottom"/>
            <w:gridSpan w:val="2"/>
          </w:tcPr>
          <w:p>
            <w:pPr>
              <w:ind w:left="180"/>
              <w:spacing w:after="0" w:line="77" w:lineRule="exact"/>
              <w:rPr>
                <w:sz w:val="20"/>
                <w:szCs w:val="20"/>
                <w:color w:val="auto"/>
              </w:rPr>
            </w:pPr>
            <w:r>
              <w:rPr>
                <w:rFonts w:ascii="Arial" w:cs="Arial" w:eastAsia="Arial" w:hAnsi="Arial"/>
                <w:sz w:val="8"/>
                <w:szCs w:val="8"/>
                <w:color w:val="auto"/>
              </w:rPr>
              <w:t>​</w:t>
            </w:r>
          </w:p>
        </w:tc>
        <w:tc>
          <w:tcPr>
            <w:tcW w:w="56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12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760" w:type="dxa"/>
            <w:vAlign w:val="bottom"/>
          </w:tcPr>
          <w:p>
            <w:pPr>
              <w:spacing w:after="0"/>
              <w:rPr>
                <w:sz w:val="6"/>
                <w:szCs w:val="6"/>
                <w:color w:val="auto"/>
              </w:rPr>
            </w:pPr>
          </w:p>
        </w:tc>
        <w:tc>
          <w:tcPr>
            <w:tcW w:w="440" w:type="dxa"/>
            <w:vAlign w:val="bottom"/>
          </w:tcPr>
          <w:p>
            <w:pPr>
              <w:spacing w:after="0" w:line="77"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Carlo Bozotti</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60" w:type="dxa"/>
            <w:vAlign w:val="bottom"/>
            <w:tcBorders>
              <w:bottom w:val="single" w:sz="8" w:color="auto"/>
            </w:tcBorders>
            <w:shd w:val="clear" w:color="auto" w:fill="B2B2B2"/>
          </w:tcPr>
          <w:p>
            <w:pPr>
              <w:spacing w:after="0"/>
              <w:rPr>
                <w:sz w:val="20"/>
                <w:szCs w:val="20"/>
                <w:color w:val="auto"/>
              </w:rPr>
            </w:pPr>
          </w:p>
        </w:tc>
        <w:tc>
          <w:tcPr>
            <w:tcW w:w="30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jc w:val="right"/>
              <w:ind w:right="2608"/>
              <w:spacing w:after="0" w:line="83" w:lineRule="exact"/>
              <w:rPr>
                <w:sz w:val="20"/>
                <w:szCs w:val="20"/>
                <w:color w:val="auto"/>
              </w:rPr>
            </w:pPr>
            <w:r>
              <w:rPr>
                <w:rFonts w:ascii="Arial" w:cs="Arial" w:eastAsia="Arial" w:hAnsi="Arial"/>
                <w:sz w:val="9"/>
                <w:szCs w:val="9"/>
                <w:color w:val="53C072"/>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53C072"/>
              </w:rPr>
              <w:t>​​</w:t>
            </w:r>
          </w:p>
        </w:tc>
        <w:tc>
          <w:tcPr>
            <w:tcW w:w="460" w:type="dxa"/>
            <w:vAlign w:val="bottom"/>
            <w:gridSpan w:val="2"/>
            <w:shd w:val="clear" w:color="auto" w:fill="B2B2B2"/>
          </w:tcPr>
          <w:p>
            <w:pPr>
              <w:jc w:val="center"/>
              <w:spacing w:after="0" w:line="83" w:lineRule="exact"/>
              <w:rPr>
                <w:sz w:val="20"/>
                <w:szCs w:val="20"/>
                <w:color w:val="auto"/>
              </w:rPr>
            </w:pPr>
            <w:r>
              <w:rPr>
                <w:rFonts w:ascii="Arial" w:cs="Arial" w:eastAsia="Arial" w:hAnsi="Arial"/>
                <w:sz w:val="9"/>
                <w:szCs w:val="9"/>
                <w:color w:val="53C072"/>
              </w:rPr>
              <w:t>•</w:t>
            </w:r>
          </w:p>
        </w:tc>
        <w:tc>
          <w:tcPr>
            <w:tcW w:w="120" w:type="dxa"/>
            <w:vAlign w:val="bottom"/>
            <w:gridSpan w:val="2"/>
          </w:tcPr>
          <w:p>
            <w:pPr>
              <w:ind w:left="60"/>
              <w:spacing w:after="0" w:line="83" w:lineRule="exact"/>
              <w:rPr>
                <w:sz w:val="20"/>
                <w:szCs w:val="20"/>
                <w:color w:val="auto"/>
              </w:rPr>
            </w:pPr>
            <w:r>
              <w:rPr>
                <w:rFonts w:ascii="Arial" w:cs="Arial" w:eastAsia="Arial" w:hAnsi="Arial"/>
                <w:sz w:val="9"/>
                <w:szCs w:val="9"/>
                <w:color w:val="53C072"/>
              </w:rPr>
              <w:t>​</w:t>
            </w:r>
          </w:p>
        </w:tc>
        <w:tc>
          <w:tcPr>
            <w:tcW w:w="180" w:type="dxa"/>
            <w:vAlign w:val="bottom"/>
          </w:tcPr>
          <w:p>
            <w:pPr>
              <w:ind w:left="40"/>
              <w:spacing w:after="0" w:line="83" w:lineRule="exact"/>
              <w:rPr>
                <w:sz w:val="20"/>
                <w:szCs w:val="20"/>
                <w:color w:val="auto"/>
              </w:rPr>
            </w:pPr>
            <w:r>
              <w:rPr>
                <w:rFonts w:ascii="Arial" w:cs="Arial" w:eastAsia="Arial" w:hAnsi="Arial"/>
                <w:sz w:val="9"/>
                <w:szCs w:val="9"/>
                <w:color w:val="53C072"/>
              </w:rPr>
              <w:t>​</w:t>
            </w:r>
          </w:p>
        </w:tc>
        <w:tc>
          <w:tcPr>
            <w:tcW w:w="280" w:type="dxa"/>
            <w:vAlign w:val="bottom"/>
          </w:tcPr>
          <w:p>
            <w:pPr>
              <w:ind w:left="140"/>
              <w:spacing w:after="0" w:line="83" w:lineRule="exact"/>
              <w:rPr>
                <w:sz w:val="20"/>
                <w:szCs w:val="20"/>
                <w:color w:val="auto"/>
              </w:rPr>
            </w:pPr>
            <w:r>
              <w:rPr>
                <w:rFonts w:ascii="Arial" w:cs="Arial" w:eastAsia="Arial" w:hAnsi="Arial"/>
                <w:sz w:val="9"/>
                <w:szCs w:val="9"/>
                <w:color w:val="53C072"/>
              </w:rPr>
              <w:t>​</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53C072"/>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53C072"/>
              </w:rPr>
              <w:t>​ •</w:t>
            </w:r>
          </w:p>
        </w:tc>
        <w:tc>
          <w:tcPr>
            <w:tcW w:w="100" w:type="dxa"/>
            <w:vAlign w:val="bottom"/>
            <w:gridSpan w:val="2"/>
          </w:tcPr>
          <w:p>
            <w:pPr>
              <w:ind w:left="40"/>
              <w:spacing w:after="0" w:line="83" w:lineRule="exact"/>
              <w:rPr>
                <w:sz w:val="20"/>
                <w:szCs w:val="20"/>
                <w:color w:val="auto"/>
              </w:rPr>
            </w:pPr>
            <w:r>
              <w:rPr>
                <w:rFonts w:ascii="Arial" w:cs="Arial" w:eastAsia="Arial" w:hAnsi="Arial"/>
                <w:sz w:val="9"/>
                <w:szCs w:val="9"/>
                <w:color w:val="53C072"/>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53C072"/>
              </w:rPr>
              <w:t>​</w:t>
            </w:r>
          </w:p>
        </w:tc>
        <w:tc>
          <w:tcPr>
            <w:tcW w:w="220" w:type="dxa"/>
            <w:vAlign w:val="bottom"/>
          </w:tcPr>
          <w:p>
            <w:pPr>
              <w:ind w:left="120"/>
              <w:spacing w:after="0" w:line="83" w:lineRule="exact"/>
              <w:rPr>
                <w:sz w:val="20"/>
                <w:szCs w:val="20"/>
                <w:color w:val="auto"/>
              </w:rPr>
            </w:pPr>
            <w:r>
              <w:rPr>
                <w:rFonts w:ascii="Arial" w:cs="Arial" w:eastAsia="Arial" w:hAnsi="Arial"/>
                <w:sz w:val="9"/>
                <w:szCs w:val="9"/>
                <w:color w:val="53C072"/>
              </w:rPr>
              <w:t>​</w:t>
            </w:r>
          </w:p>
        </w:tc>
        <w:tc>
          <w:tcPr>
            <w:tcW w:w="240" w:type="dxa"/>
            <w:vAlign w:val="bottom"/>
            <w:gridSpan w:val="2"/>
          </w:tcPr>
          <w:p>
            <w:pPr>
              <w:ind w:left="180"/>
              <w:spacing w:after="0" w:line="83" w:lineRule="exact"/>
              <w:rPr>
                <w:sz w:val="20"/>
                <w:szCs w:val="20"/>
                <w:color w:val="auto"/>
              </w:rPr>
            </w:pPr>
            <w:r>
              <w:rPr>
                <w:rFonts w:ascii="Arial" w:cs="Arial" w:eastAsia="Arial" w:hAnsi="Arial"/>
                <w:sz w:val="9"/>
                <w:szCs w:val="9"/>
                <w:color w:val="53C072"/>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53C072"/>
              </w:rPr>
              <w:t>​</w:t>
            </w:r>
          </w:p>
        </w:tc>
        <w:tc>
          <w:tcPr>
            <w:tcW w:w="360" w:type="dxa"/>
            <w:vAlign w:val="bottom"/>
          </w:tcPr>
          <w:p>
            <w:pPr>
              <w:jc w:val="right"/>
              <w:ind w:right="93"/>
              <w:spacing w:after="0" w:line="83" w:lineRule="exact"/>
              <w:rPr>
                <w:sz w:val="20"/>
                <w:szCs w:val="20"/>
                <w:color w:val="auto"/>
              </w:rPr>
            </w:pPr>
            <w:r>
              <w:rPr>
                <w:rFonts w:ascii="Arial" w:cs="Arial" w:eastAsia="Arial" w:hAnsi="Arial"/>
                <w:sz w:val="9"/>
                <w:szCs w:val="9"/>
                <w:color w:val="53C072"/>
              </w:rPr>
              <w:t>​</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53C072"/>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53C072"/>
              </w:rPr>
              <w:t>​</w:t>
            </w:r>
          </w:p>
        </w:tc>
        <w:tc>
          <w:tcPr>
            <w:tcW w:w="760" w:type="dxa"/>
            <w:vAlign w:val="bottom"/>
          </w:tcPr>
          <w:p>
            <w:pPr>
              <w:spacing w:after="0"/>
              <w:rPr>
                <w:sz w:val="7"/>
                <w:szCs w:val="7"/>
                <w:color w:val="auto"/>
              </w:rPr>
            </w:pPr>
          </w:p>
        </w:tc>
        <w:tc>
          <w:tcPr>
            <w:tcW w:w="440" w:type="dxa"/>
            <w:vAlign w:val="bottom"/>
          </w:tcPr>
          <w:p>
            <w:pPr>
              <w:spacing w:after="0" w:line="83" w:lineRule="exact"/>
              <w:rPr>
                <w:sz w:val="20"/>
                <w:szCs w:val="20"/>
                <w:color w:val="auto"/>
              </w:rPr>
            </w:pPr>
            <w:r>
              <w:rPr>
                <w:rFonts w:ascii="Arial" w:cs="Arial" w:eastAsia="Arial" w:hAnsi="Arial"/>
                <w:sz w:val="9"/>
                <w:szCs w:val="9"/>
                <w:color w:val="53C072"/>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Brenda L. Freeman</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60" w:type="dxa"/>
            <w:vAlign w:val="bottom"/>
            <w:tcBorders>
              <w:bottom w:val="single" w:sz="8" w:color="auto"/>
            </w:tcBorders>
            <w:shd w:val="clear" w:color="auto" w:fill="B2B2B2"/>
          </w:tcPr>
          <w:p>
            <w:pPr>
              <w:spacing w:after="0"/>
              <w:rPr>
                <w:sz w:val="20"/>
                <w:szCs w:val="20"/>
                <w:color w:val="auto"/>
              </w:rPr>
            </w:pPr>
          </w:p>
        </w:tc>
        <w:tc>
          <w:tcPr>
            <w:tcW w:w="30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B2B2B2"/>
          </w:tcPr>
          <w:p>
            <w:pPr>
              <w:spacing w:after="0"/>
              <w:rPr>
                <w:sz w:val="18"/>
                <w:szCs w:val="18"/>
                <w:color w:val="auto"/>
              </w:rPr>
            </w:pPr>
          </w:p>
        </w:tc>
        <w:tc>
          <w:tcPr>
            <w:tcW w:w="300" w:type="dxa"/>
            <w:vAlign w:val="bottom"/>
            <w:vMerge w:val="restart"/>
            <w:shd w:val="clear" w:color="auto" w:fill="B2B2B2"/>
          </w:tcPr>
          <w:p>
            <w:pPr>
              <w:jc w:val="center"/>
              <w:ind w:right="50"/>
              <w:spacing w:after="0"/>
              <w:rPr>
                <w:sz w:val="20"/>
                <w:szCs w:val="20"/>
                <w:color w:val="auto"/>
              </w:rPr>
            </w:pPr>
            <w:r>
              <w:rPr>
                <w:rFonts w:ascii="Arial" w:cs="Arial" w:eastAsia="Arial" w:hAnsi="Arial"/>
                <w:sz w:val="25"/>
                <w:szCs w:val="25"/>
                <w:color w:val="53C072"/>
                <w:w w:val="90"/>
              </w:rPr>
              <w:t>•</w:t>
            </w:r>
          </w:p>
        </w:tc>
        <w:tc>
          <w:tcPr>
            <w:tcW w:w="1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33"/>
              <w:spacing w:after="0"/>
              <w:rPr>
                <w:sz w:val="20"/>
                <w:szCs w:val="20"/>
                <w:color w:val="auto"/>
              </w:rPr>
            </w:pPr>
            <w:r>
              <w:rPr>
                <w:rFonts w:ascii="Arial" w:cs="Arial" w:eastAsia="Arial" w:hAnsi="Arial"/>
                <w:sz w:val="16"/>
                <w:szCs w:val="16"/>
                <w:color w:val="auto"/>
              </w:rPr>
              <w:t>​</w:t>
            </w:r>
          </w:p>
        </w:tc>
        <w:tc>
          <w:tcPr>
            <w:tcW w:w="1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2780" w:type="dxa"/>
            <w:vAlign w:val="bottom"/>
            <w:tcBorders>
              <w:bottom w:val="single" w:sz="8" w:color="auto"/>
            </w:tcBorders>
          </w:tcPr>
          <w:p>
            <w:pPr>
              <w:ind w:left="60"/>
              <w:spacing w:after="0" w:line="108" w:lineRule="exact"/>
              <w:rPr>
                <w:sz w:val="20"/>
                <w:szCs w:val="20"/>
                <w:color w:val="auto"/>
              </w:rPr>
            </w:pPr>
            <w:r>
              <w:rPr>
                <w:rFonts w:ascii="Arial" w:cs="Arial" w:eastAsia="Arial" w:hAnsi="Arial"/>
                <w:sz w:val="12"/>
                <w:szCs w:val="12"/>
                <w:b w:val="1"/>
                <w:bCs w:val="1"/>
                <w:color w:val="auto"/>
              </w:rPr>
              <w:t>Helmut Gassel</w:t>
            </w: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shd w:val="clear" w:color="auto" w:fill="B2B2B2"/>
          </w:tcPr>
          <w:p>
            <w:pPr>
              <w:spacing w:after="0"/>
              <w:rPr>
                <w:sz w:val="9"/>
                <w:szCs w:val="9"/>
                <w:color w:val="auto"/>
              </w:rPr>
            </w:pPr>
          </w:p>
        </w:tc>
        <w:tc>
          <w:tcPr>
            <w:tcW w:w="160" w:type="dxa"/>
            <w:vAlign w:val="bottom"/>
            <w:tcBorders>
              <w:bottom w:val="single" w:sz="8" w:color="auto"/>
            </w:tcBorders>
            <w:shd w:val="clear" w:color="auto" w:fill="B2B2B2"/>
          </w:tcPr>
          <w:p>
            <w:pPr>
              <w:spacing w:after="0"/>
              <w:rPr>
                <w:sz w:val="9"/>
                <w:szCs w:val="9"/>
                <w:color w:val="auto"/>
              </w:rPr>
            </w:pPr>
          </w:p>
        </w:tc>
        <w:tc>
          <w:tcPr>
            <w:tcW w:w="300" w:type="dxa"/>
            <w:vAlign w:val="bottom"/>
            <w:tcBorders>
              <w:bottom w:val="single" w:sz="8" w:color="auto"/>
            </w:tcBorders>
            <w:vMerge w:val="continue"/>
            <w:shd w:val="clear" w:color="auto" w:fill="B2B2B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78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B2B2B2"/>
          </w:tcPr>
          <w:p>
            <w:pPr>
              <w:spacing w:after="0"/>
              <w:rPr>
                <w:sz w:val="18"/>
                <w:szCs w:val="18"/>
                <w:color w:val="auto"/>
              </w:rPr>
            </w:pPr>
          </w:p>
        </w:tc>
        <w:tc>
          <w:tcPr>
            <w:tcW w:w="300" w:type="dxa"/>
            <w:vAlign w:val="bottom"/>
            <w:vMerge w:val="restart"/>
            <w:shd w:val="clear" w:color="auto" w:fill="B2B2B2"/>
          </w:tcPr>
          <w:p>
            <w:pPr>
              <w:jc w:val="center"/>
              <w:ind w:right="50"/>
              <w:spacing w:after="0"/>
              <w:rPr>
                <w:sz w:val="20"/>
                <w:szCs w:val="20"/>
                <w:color w:val="auto"/>
              </w:rPr>
            </w:pPr>
            <w:r>
              <w:rPr>
                <w:rFonts w:ascii="Arial" w:cs="Arial" w:eastAsia="Arial" w:hAnsi="Arial"/>
                <w:sz w:val="25"/>
                <w:szCs w:val="25"/>
                <w:color w:val="53C072"/>
                <w:w w:val="90"/>
              </w:rPr>
              <w:t>•</w:t>
            </w:r>
          </w:p>
        </w:tc>
        <w:tc>
          <w:tcPr>
            <w:tcW w:w="1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33"/>
              <w:spacing w:after="0"/>
              <w:rPr>
                <w:sz w:val="20"/>
                <w:szCs w:val="20"/>
                <w:color w:val="auto"/>
              </w:rPr>
            </w:pPr>
            <w:r>
              <w:rPr>
                <w:rFonts w:ascii="Arial" w:cs="Arial" w:eastAsia="Arial" w:hAnsi="Arial"/>
                <w:sz w:val="16"/>
                <w:szCs w:val="16"/>
                <w:color w:val="auto"/>
              </w:rPr>
              <w:t>​</w:t>
            </w:r>
          </w:p>
        </w:tc>
        <w:tc>
          <w:tcPr>
            <w:tcW w:w="1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2780" w:type="dxa"/>
            <w:vAlign w:val="bottom"/>
            <w:tcBorders>
              <w:bottom w:val="single" w:sz="8" w:color="auto"/>
            </w:tcBorders>
          </w:tcPr>
          <w:p>
            <w:pPr>
              <w:ind w:left="60"/>
              <w:spacing w:after="0" w:line="108" w:lineRule="exact"/>
              <w:rPr>
                <w:sz w:val="20"/>
                <w:szCs w:val="20"/>
                <w:color w:val="auto"/>
              </w:rPr>
            </w:pPr>
            <w:r>
              <w:rPr>
                <w:rFonts w:ascii="Arial" w:cs="Arial" w:eastAsia="Arial" w:hAnsi="Arial"/>
                <w:sz w:val="12"/>
                <w:szCs w:val="12"/>
                <w:b w:val="1"/>
                <w:bCs w:val="1"/>
                <w:color w:val="auto"/>
              </w:rPr>
              <w:t>Virginia L. Henkels</w:t>
            </w: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shd w:val="clear" w:color="auto" w:fill="B2B2B2"/>
          </w:tcPr>
          <w:p>
            <w:pPr>
              <w:spacing w:after="0"/>
              <w:rPr>
                <w:sz w:val="9"/>
                <w:szCs w:val="9"/>
                <w:color w:val="auto"/>
              </w:rPr>
            </w:pPr>
          </w:p>
        </w:tc>
        <w:tc>
          <w:tcPr>
            <w:tcW w:w="160" w:type="dxa"/>
            <w:vAlign w:val="bottom"/>
            <w:tcBorders>
              <w:bottom w:val="single" w:sz="8" w:color="auto"/>
            </w:tcBorders>
            <w:shd w:val="clear" w:color="auto" w:fill="B2B2B2"/>
          </w:tcPr>
          <w:p>
            <w:pPr>
              <w:spacing w:after="0"/>
              <w:rPr>
                <w:sz w:val="9"/>
                <w:szCs w:val="9"/>
                <w:color w:val="auto"/>
              </w:rPr>
            </w:pPr>
          </w:p>
        </w:tc>
        <w:tc>
          <w:tcPr>
            <w:tcW w:w="300" w:type="dxa"/>
            <w:vAlign w:val="bottom"/>
            <w:tcBorders>
              <w:bottom w:val="single" w:sz="8" w:color="auto"/>
            </w:tcBorders>
            <w:vMerge w:val="continue"/>
            <w:shd w:val="clear" w:color="auto" w:fill="B2B2B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780" w:type="dxa"/>
            <w:vAlign w:val="bottom"/>
          </w:tcPr>
          <w:p>
            <w:pPr>
              <w:jc w:val="right"/>
              <w:ind w:right="2608"/>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80" w:type="dxa"/>
            <w:vAlign w:val="bottom"/>
            <w:shd w:val="clear" w:color="auto" w:fill="B2B2B2"/>
          </w:tcPr>
          <w:p>
            <w:pPr>
              <w:jc w:val="right"/>
              <w:spacing w:after="0" w:line="77" w:lineRule="exact"/>
              <w:rPr>
                <w:sz w:val="20"/>
                <w:szCs w:val="20"/>
                <w:color w:val="auto"/>
              </w:rPr>
            </w:pPr>
            <w:r>
              <w:rPr>
                <w:rFonts w:ascii="Arial" w:cs="Arial" w:eastAsia="Arial" w:hAnsi="Arial"/>
                <w:sz w:val="8"/>
                <w:szCs w:val="8"/>
                <w:color w:val="auto"/>
              </w:rPr>
              <w:t>​​</w:t>
            </w:r>
          </w:p>
        </w:tc>
        <w:tc>
          <w:tcPr>
            <w:tcW w:w="160" w:type="dxa"/>
            <w:vAlign w:val="bottom"/>
            <w:shd w:val="clear" w:color="auto" w:fill="B2B2B2"/>
          </w:tcPr>
          <w:p>
            <w:pPr>
              <w:spacing w:after="0"/>
              <w:rPr>
                <w:sz w:val="6"/>
                <w:szCs w:val="6"/>
                <w:color w:val="auto"/>
              </w:rPr>
            </w:pPr>
          </w:p>
        </w:tc>
        <w:tc>
          <w:tcPr>
            <w:tcW w:w="300" w:type="dxa"/>
            <w:vAlign w:val="bottom"/>
            <w:shd w:val="clear" w:color="auto" w:fill="B2B2B2"/>
          </w:tcPr>
          <w:p>
            <w:pPr>
              <w:ind w:left="80"/>
              <w:spacing w:after="0" w:line="77" w:lineRule="exact"/>
              <w:rPr>
                <w:sz w:val="20"/>
                <w:szCs w:val="20"/>
                <w:color w:val="auto"/>
              </w:rPr>
            </w:pPr>
            <w:r>
              <w:rPr>
                <w:rFonts w:ascii="Arial" w:cs="Arial" w:eastAsia="Arial" w:hAnsi="Arial"/>
                <w:sz w:val="8"/>
                <w:szCs w:val="8"/>
                <w:color w:val="auto"/>
              </w:rPr>
              <w:t>​</w:t>
            </w:r>
          </w:p>
        </w:tc>
        <w:tc>
          <w:tcPr>
            <w:tcW w:w="120" w:type="dxa"/>
            <w:vAlign w:val="bottom"/>
            <w:gridSpan w:val="2"/>
          </w:tcPr>
          <w:p>
            <w:pPr>
              <w:ind w:left="60"/>
              <w:spacing w:after="0" w:line="77" w:lineRule="exact"/>
              <w:rPr>
                <w:sz w:val="20"/>
                <w:szCs w:val="20"/>
                <w:color w:val="auto"/>
              </w:rPr>
            </w:pPr>
            <w:r>
              <w:rPr>
                <w:rFonts w:ascii="Arial" w:cs="Arial" w:eastAsia="Arial" w:hAnsi="Arial"/>
                <w:sz w:val="8"/>
                <w:szCs w:val="8"/>
                <w:color w:val="auto"/>
              </w:rPr>
              <w:t>​</w:t>
            </w:r>
          </w:p>
        </w:tc>
        <w:tc>
          <w:tcPr>
            <w:tcW w:w="660" w:type="dxa"/>
            <w:vAlign w:val="bottom"/>
            <w:gridSpan w:val="4"/>
          </w:tcPr>
          <w:p>
            <w:pPr>
              <w:ind w:left="40"/>
              <w:spacing w:after="0" w:line="77" w:lineRule="exact"/>
              <w:rPr>
                <w:sz w:val="20"/>
                <w:szCs w:val="20"/>
                <w:color w:val="auto"/>
              </w:rPr>
            </w:pPr>
            <w:r>
              <w:rPr>
                <w:rFonts w:ascii="Arial" w:cs="Arial" w:eastAsia="Arial" w:hAnsi="Arial"/>
                <w:sz w:val="8"/>
                <w:szCs w:val="8"/>
                <w:color w:val="auto"/>
              </w:rPr>
              <w:t>​</w:t>
            </w:r>
            <w:r>
              <w:rPr>
                <w:rFonts w:ascii="Arial" w:cs="Arial" w:eastAsia="Arial" w:hAnsi="Arial"/>
                <w:sz w:val="7"/>
                <w:szCs w:val="7"/>
                <w:color w:val="auto"/>
              </w:rPr>
              <w:t>Chair</w:t>
            </w:r>
            <w:r>
              <w:rPr>
                <w:rFonts w:ascii="Arial" w:cs="Arial" w:eastAsia="Arial" w:hAnsi="Arial"/>
                <w:sz w:val="8"/>
                <w:szCs w:val="8"/>
                <w:color w:val="auto"/>
              </w:rPr>
              <w:t>​​</w:t>
            </w:r>
          </w:p>
        </w:tc>
        <w:tc>
          <w:tcPr>
            <w:tcW w:w="1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400" w:type="dxa"/>
            <w:vAlign w:val="bottom"/>
          </w:tcPr>
          <w:p>
            <w:pPr>
              <w:ind w:left="160"/>
              <w:spacing w:after="0" w:line="77" w:lineRule="exact"/>
              <w:rPr>
                <w:sz w:val="20"/>
                <w:szCs w:val="20"/>
                <w:color w:val="auto"/>
              </w:rPr>
            </w:pPr>
            <w:r>
              <w:rPr>
                <w:rFonts w:ascii="Arial" w:cs="Arial" w:eastAsia="Arial" w:hAnsi="Arial"/>
                <w:sz w:val="8"/>
                <w:szCs w:val="8"/>
                <w:color w:val="auto"/>
              </w:rPr>
              <w:t>​</w:t>
            </w:r>
          </w:p>
        </w:tc>
        <w:tc>
          <w:tcPr>
            <w:tcW w:w="1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20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220" w:type="dxa"/>
            <w:vAlign w:val="bottom"/>
          </w:tcPr>
          <w:p>
            <w:pPr>
              <w:ind w:left="80"/>
              <w:spacing w:after="0" w:line="77" w:lineRule="exact"/>
              <w:rPr>
                <w:sz w:val="20"/>
                <w:szCs w:val="20"/>
                <w:color w:val="auto"/>
              </w:rPr>
            </w:pPr>
            <w:r>
              <w:rPr>
                <w:rFonts w:ascii="Arial" w:cs="Arial" w:eastAsia="Arial" w:hAnsi="Arial"/>
                <w:sz w:val="8"/>
                <w:szCs w:val="8"/>
                <w:color w:val="53C072"/>
              </w:rPr>
              <w:t>•</w:t>
            </w:r>
          </w:p>
        </w:tc>
        <w:tc>
          <w:tcPr>
            <w:tcW w:w="240" w:type="dxa"/>
            <w:vAlign w:val="bottom"/>
            <w:gridSpan w:val="2"/>
          </w:tcPr>
          <w:p>
            <w:pPr>
              <w:ind w:left="180"/>
              <w:spacing w:after="0" w:line="77" w:lineRule="exact"/>
              <w:rPr>
                <w:sz w:val="20"/>
                <w:szCs w:val="20"/>
                <w:color w:val="auto"/>
              </w:rPr>
            </w:pPr>
            <w:r>
              <w:rPr>
                <w:rFonts w:ascii="Arial" w:cs="Arial" w:eastAsia="Arial" w:hAnsi="Arial"/>
                <w:sz w:val="8"/>
                <w:szCs w:val="8"/>
                <w:color w:val="auto"/>
              </w:rPr>
              <w:t>​</w:t>
            </w:r>
          </w:p>
        </w:tc>
        <w:tc>
          <w:tcPr>
            <w:tcW w:w="20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jc w:val="right"/>
              <w:ind w:right="133"/>
              <w:spacing w:after="0" w:line="77" w:lineRule="exact"/>
              <w:rPr>
                <w:sz w:val="20"/>
                <w:szCs w:val="20"/>
                <w:color w:val="auto"/>
              </w:rPr>
            </w:pPr>
            <w:r>
              <w:rPr>
                <w:rFonts w:ascii="Arial" w:cs="Arial" w:eastAsia="Arial" w:hAnsi="Arial"/>
                <w:sz w:val="8"/>
                <w:szCs w:val="8"/>
                <w:color w:val="53C072"/>
              </w:rPr>
              <w:t>•</w:t>
            </w:r>
          </w:p>
        </w:tc>
        <w:tc>
          <w:tcPr>
            <w:tcW w:w="12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760" w:type="dxa"/>
            <w:vAlign w:val="bottom"/>
          </w:tcPr>
          <w:p>
            <w:pPr>
              <w:spacing w:after="0"/>
              <w:rPr>
                <w:sz w:val="6"/>
                <w:szCs w:val="6"/>
                <w:color w:val="auto"/>
              </w:rPr>
            </w:pPr>
          </w:p>
        </w:tc>
        <w:tc>
          <w:tcPr>
            <w:tcW w:w="440" w:type="dxa"/>
            <w:vAlign w:val="bottom"/>
          </w:tcPr>
          <w:p>
            <w:pPr>
              <w:spacing w:after="0" w:line="77"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Jo Ann Jenkins</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60" w:type="dxa"/>
            <w:vAlign w:val="bottom"/>
            <w:tcBorders>
              <w:bottom w:val="single" w:sz="8" w:color="auto"/>
            </w:tcBorders>
            <w:shd w:val="clear" w:color="auto" w:fill="B2B2B2"/>
          </w:tcPr>
          <w:p>
            <w:pPr>
              <w:spacing w:after="0"/>
              <w:rPr>
                <w:sz w:val="20"/>
                <w:szCs w:val="20"/>
                <w:color w:val="auto"/>
              </w:rPr>
            </w:pPr>
          </w:p>
        </w:tc>
        <w:tc>
          <w:tcPr>
            <w:tcW w:w="30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jc w:val="right"/>
              <w:ind w:right="2608"/>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160" w:type="dxa"/>
            <w:vAlign w:val="bottom"/>
            <w:shd w:val="clear" w:color="auto" w:fill="B2B2B2"/>
          </w:tcPr>
          <w:p>
            <w:pPr>
              <w:spacing w:after="0"/>
              <w:rPr>
                <w:sz w:val="7"/>
                <w:szCs w:val="7"/>
                <w:color w:val="auto"/>
              </w:rPr>
            </w:pPr>
          </w:p>
        </w:tc>
        <w:tc>
          <w:tcPr>
            <w:tcW w:w="300" w:type="dxa"/>
            <w:vAlign w:val="bottom"/>
            <w:shd w:val="clear" w:color="auto" w:fill="B2B2B2"/>
          </w:tcPr>
          <w:p>
            <w:pPr>
              <w:jc w:val="center"/>
              <w:ind w:right="50"/>
              <w:spacing w:after="0" w:line="83" w:lineRule="exact"/>
              <w:rPr>
                <w:sz w:val="20"/>
                <w:szCs w:val="20"/>
                <w:color w:val="auto"/>
              </w:rPr>
            </w:pPr>
            <w:r>
              <w:rPr>
                <w:rFonts w:ascii="Arial" w:cs="Arial" w:eastAsia="Arial" w:hAnsi="Arial"/>
                <w:sz w:val="9"/>
                <w:szCs w:val="9"/>
                <w:color w:val="53C072"/>
              </w:rPr>
              <w:t>•</w:t>
            </w:r>
          </w:p>
        </w:tc>
        <w:tc>
          <w:tcPr>
            <w:tcW w:w="120" w:type="dxa"/>
            <w:vAlign w:val="bottom"/>
            <w:gridSpan w:val="2"/>
          </w:tcPr>
          <w:p>
            <w:pPr>
              <w:ind w:left="60"/>
              <w:spacing w:after="0" w:line="83" w:lineRule="exact"/>
              <w:rPr>
                <w:sz w:val="20"/>
                <w:szCs w:val="20"/>
                <w:color w:val="auto"/>
              </w:rPr>
            </w:pPr>
            <w:r>
              <w:rPr>
                <w:rFonts w:ascii="Arial" w:cs="Arial" w:eastAsia="Arial" w:hAnsi="Arial"/>
                <w:sz w:val="9"/>
                <w:szCs w:val="9"/>
                <w:color w:val="auto"/>
              </w:rPr>
              <w:t>​</w:t>
            </w:r>
          </w:p>
        </w:tc>
        <w:tc>
          <w:tcPr>
            <w:tcW w:w="1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83" w:lineRule="exact"/>
              <w:rPr>
                <w:sz w:val="20"/>
                <w:szCs w:val="20"/>
                <w:color w:val="auto"/>
              </w:rPr>
            </w:pPr>
            <w:r>
              <w:rPr>
                <w:rFonts w:ascii="Arial" w:cs="Arial" w:eastAsia="Arial" w:hAnsi="Arial"/>
                <w:sz w:val="9"/>
                <w:szCs w:val="9"/>
                <w:color w:val="auto"/>
              </w:rPr>
              <w:t>​</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1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400" w:type="dxa"/>
            <w:vAlign w:val="bottom"/>
          </w:tcPr>
          <w:p>
            <w:pPr>
              <w:ind w:left="160"/>
              <w:spacing w:after="0" w:line="83" w:lineRule="exact"/>
              <w:rPr>
                <w:sz w:val="20"/>
                <w:szCs w:val="20"/>
                <w:color w:val="auto"/>
              </w:rPr>
            </w:pPr>
            <w:r>
              <w:rPr>
                <w:rFonts w:ascii="Arial" w:cs="Arial" w:eastAsia="Arial" w:hAnsi="Arial"/>
                <w:sz w:val="9"/>
                <w:szCs w:val="9"/>
                <w:color w:val="auto"/>
              </w:rPr>
              <w:t>​</w:t>
            </w:r>
          </w:p>
        </w:tc>
        <w:tc>
          <w:tcPr>
            <w:tcW w:w="10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660" w:type="dxa"/>
            <w:vAlign w:val="bottom"/>
            <w:gridSpan w:val="4"/>
          </w:tcPr>
          <w:p>
            <w:pPr>
              <w:ind w:left="40"/>
              <w:spacing w:after="0" w:line="83" w:lineRule="exact"/>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Chair</w:t>
            </w: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jc w:val="right"/>
              <w:ind w:right="133"/>
              <w:spacing w:after="0" w:line="83" w:lineRule="exact"/>
              <w:rPr>
                <w:sz w:val="20"/>
                <w:szCs w:val="20"/>
                <w:color w:val="auto"/>
              </w:rPr>
            </w:pPr>
            <w:r>
              <w:rPr>
                <w:rFonts w:ascii="Arial" w:cs="Arial" w:eastAsia="Arial" w:hAnsi="Arial"/>
                <w:sz w:val="9"/>
                <w:szCs w:val="9"/>
                <w:color w:val="53C072"/>
              </w:rPr>
              <w:t>•</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44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Oleg Khaykin</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60" w:type="dxa"/>
            <w:vAlign w:val="bottom"/>
            <w:tcBorders>
              <w:bottom w:val="single" w:sz="8" w:color="auto"/>
            </w:tcBorders>
            <w:shd w:val="clear" w:color="auto" w:fill="B2B2B2"/>
          </w:tcPr>
          <w:p>
            <w:pPr>
              <w:spacing w:after="0"/>
              <w:rPr>
                <w:sz w:val="20"/>
                <w:szCs w:val="20"/>
                <w:color w:val="auto"/>
              </w:rPr>
            </w:pPr>
          </w:p>
        </w:tc>
        <w:tc>
          <w:tcPr>
            <w:tcW w:w="30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jc w:val="right"/>
              <w:ind w:right="2608"/>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B2B2B2"/>
          </w:tcPr>
          <w:p>
            <w:pPr>
              <w:ind w:left="240"/>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ind w:left="60"/>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tcPr>
          <w:p>
            <w:pPr>
              <w:ind w:left="40"/>
              <w:spacing w:after="0" w:line="83" w:lineRule="exact"/>
              <w:rPr>
                <w:sz w:val="20"/>
                <w:szCs w:val="20"/>
                <w:color w:val="auto"/>
              </w:rPr>
            </w:pPr>
            <w:r>
              <w:rPr>
                <w:rFonts w:ascii="Arial" w:cs="Arial" w:eastAsia="Arial" w:hAnsi="Arial"/>
                <w:sz w:val="9"/>
                <w:szCs w:val="9"/>
                <w:color w:val="auto"/>
              </w:rPr>
              <w:t xml:space="preserve">​ </w:t>
            </w:r>
            <w:r>
              <w:rPr>
                <w:rFonts w:ascii="Arial" w:cs="Arial" w:eastAsia="Arial" w:hAnsi="Arial"/>
                <w:sz w:val="9"/>
                <w:szCs w:val="9"/>
                <w:color w:val="53C072"/>
              </w:rPr>
              <w:t>•</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0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420" w:type="dxa"/>
            <w:vAlign w:val="bottom"/>
            <w:gridSpan w:val="2"/>
          </w:tcPr>
          <w:p>
            <w:pPr>
              <w:ind w:left="40"/>
              <w:spacing w:after="0" w:line="83" w:lineRule="exact"/>
              <w:rPr>
                <w:sz w:val="20"/>
                <w:szCs w:val="20"/>
                <w:color w:val="auto"/>
              </w:rPr>
            </w:pPr>
            <w:r>
              <w:rPr>
                <w:rFonts w:ascii="Arial" w:cs="Arial" w:eastAsia="Arial" w:hAnsi="Arial"/>
                <w:sz w:val="9"/>
                <w:szCs w:val="9"/>
                <w:color w:val="auto"/>
              </w:rPr>
              <w:t xml:space="preserve">​ </w:t>
            </w:r>
            <w:r>
              <w:rPr>
                <w:rFonts w:ascii="Arial" w:cs="Arial" w:eastAsia="Arial" w:hAnsi="Arial"/>
                <w:sz w:val="9"/>
                <w:szCs w:val="9"/>
                <w:color w:val="53C072"/>
              </w:rPr>
              <w:t>•</w:t>
            </w:r>
          </w:p>
        </w:tc>
        <w:tc>
          <w:tcPr>
            <w:tcW w:w="240" w:type="dxa"/>
            <w:vAlign w:val="bottom"/>
            <w:gridSpan w:val="2"/>
          </w:tcPr>
          <w:p>
            <w:pPr>
              <w:ind w:left="180"/>
              <w:spacing w:after="0" w:line="83" w:lineRule="exact"/>
              <w:rPr>
                <w:sz w:val="20"/>
                <w:szCs w:val="20"/>
                <w:color w:val="auto"/>
              </w:rPr>
            </w:pPr>
            <w:r>
              <w:rPr>
                <w:rFonts w:ascii="Arial" w:cs="Arial" w:eastAsia="Arial" w:hAnsi="Arial"/>
                <w:sz w:val="9"/>
                <w:szCs w:val="9"/>
                <w:color w:val="auto"/>
              </w:rPr>
              <w:t>​</w:t>
            </w:r>
          </w:p>
        </w:tc>
        <w:tc>
          <w:tcPr>
            <w:tcW w:w="560" w:type="dxa"/>
            <w:vAlign w:val="bottom"/>
            <w:gridSpan w:val="2"/>
          </w:tcPr>
          <w:p>
            <w:pPr>
              <w:ind w:left="40"/>
              <w:spacing w:after="0" w:line="83" w:lineRule="exact"/>
              <w:rPr>
                <w:sz w:val="20"/>
                <w:szCs w:val="20"/>
                <w:color w:val="auto"/>
              </w:rPr>
            </w:pPr>
            <w:r>
              <w:rPr>
                <w:rFonts w:ascii="Arial" w:cs="Arial" w:eastAsia="Arial" w:hAnsi="Arial"/>
                <w:sz w:val="9"/>
                <w:szCs w:val="9"/>
                <w:color w:val="auto"/>
              </w:rPr>
              <w:t>​  ​</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44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James A. Lawrence</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60" w:type="dxa"/>
            <w:vAlign w:val="bottom"/>
            <w:tcBorders>
              <w:bottom w:val="single" w:sz="8" w:color="auto"/>
            </w:tcBorders>
            <w:shd w:val="clear" w:color="auto" w:fill="B2B2B2"/>
          </w:tcPr>
          <w:p>
            <w:pPr>
              <w:spacing w:after="0"/>
              <w:rPr>
                <w:sz w:val="20"/>
                <w:szCs w:val="20"/>
                <w:color w:val="auto"/>
              </w:rPr>
            </w:pPr>
          </w:p>
        </w:tc>
        <w:tc>
          <w:tcPr>
            <w:tcW w:w="30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jc w:val="right"/>
              <w:ind w:right="2608"/>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B2B2B2"/>
          </w:tcPr>
          <w:p>
            <w:pPr>
              <w:jc w:val="center"/>
              <w:spacing w:after="0" w:line="83" w:lineRule="exact"/>
              <w:rPr>
                <w:sz w:val="20"/>
                <w:szCs w:val="20"/>
                <w:color w:val="auto"/>
              </w:rPr>
            </w:pPr>
            <w:r>
              <w:rPr>
                <w:rFonts w:ascii="Arial" w:cs="Arial" w:eastAsia="Arial" w:hAnsi="Arial"/>
                <w:sz w:val="9"/>
                <w:szCs w:val="9"/>
                <w:color w:val="auto"/>
              </w:rPr>
              <w:t>Chair</w:t>
            </w:r>
          </w:p>
        </w:tc>
        <w:tc>
          <w:tcPr>
            <w:tcW w:w="120" w:type="dxa"/>
            <w:vAlign w:val="bottom"/>
            <w:gridSpan w:val="2"/>
          </w:tcPr>
          <w:p>
            <w:pPr>
              <w:ind w:left="60"/>
              <w:spacing w:after="0" w:line="83" w:lineRule="exact"/>
              <w:rPr>
                <w:sz w:val="20"/>
                <w:szCs w:val="20"/>
                <w:color w:val="auto"/>
              </w:rPr>
            </w:pPr>
            <w:r>
              <w:rPr>
                <w:rFonts w:ascii="Arial" w:cs="Arial" w:eastAsia="Arial" w:hAnsi="Arial"/>
                <w:sz w:val="9"/>
                <w:szCs w:val="9"/>
                <w:color w:val="auto"/>
              </w:rPr>
              <w:t>​</w:t>
            </w:r>
          </w:p>
        </w:tc>
        <w:tc>
          <w:tcPr>
            <w:tcW w:w="1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80" w:type="dxa"/>
            <w:vAlign w:val="bottom"/>
          </w:tcPr>
          <w:p>
            <w:pPr>
              <w:ind w:left="140"/>
              <w:spacing w:after="0" w:line="83" w:lineRule="exact"/>
              <w:rPr>
                <w:sz w:val="20"/>
                <w:szCs w:val="20"/>
                <w:color w:val="auto"/>
              </w:rPr>
            </w:pPr>
            <w:r>
              <w:rPr>
                <w:rFonts w:ascii="Arial" w:cs="Arial" w:eastAsia="Arial" w:hAnsi="Arial"/>
                <w:sz w:val="9"/>
                <w:szCs w:val="9"/>
                <w:color w:val="auto"/>
              </w:rPr>
              <w:t>​</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1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400" w:type="dxa"/>
            <w:vAlign w:val="bottom"/>
          </w:tcPr>
          <w:p>
            <w:pPr>
              <w:ind w:left="160"/>
              <w:spacing w:after="0" w:line="83" w:lineRule="exact"/>
              <w:rPr>
                <w:sz w:val="20"/>
                <w:szCs w:val="20"/>
                <w:color w:val="auto"/>
              </w:rPr>
            </w:pPr>
            <w:r>
              <w:rPr>
                <w:rFonts w:ascii="Arial" w:cs="Arial" w:eastAsia="Arial" w:hAnsi="Arial"/>
                <w:sz w:val="9"/>
                <w:szCs w:val="9"/>
                <w:color w:val="auto"/>
              </w:rPr>
              <w:t>​</w:t>
            </w:r>
          </w:p>
        </w:tc>
        <w:tc>
          <w:tcPr>
            <w:tcW w:w="10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20" w:type="dxa"/>
            <w:vAlign w:val="bottom"/>
          </w:tcPr>
          <w:p>
            <w:pPr>
              <w:ind w:left="80"/>
              <w:spacing w:after="0" w:line="83" w:lineRule="exact"/>
              <w:rPr>
                <w:sz w:val="20"/>
                <w:szCs w:val="20"/>
                <w:color w:val="auto"/>
              </w:rPr>
            </w:pPr>
            <w:r>
              <w:rPr>
                <w:rFonts w:ascii="Arial" w:cs="Arial" w:eastAsia="Arial" w:hAnsi="Arial"/>
                <w:sz w:val="9"/>
                <w:szCs w:val="9"/>
                <w:color w:val="53C072"/>
              </w:rPr>
              <w:t>•</w:t>
            </w:r>
          </w:p>
        </w:tc>
        <w:tc>
          <w:tcPr>
            <w:tcW w:w="240" w:type="dxa"/>
            <w:vAlign w:val="bottom"/>
            <w:gridSpan w:val="2"/>
          </w:tcPr>
          <w:p>
            <w:pPr>
              <w:ind w:left="180"/>
              <w:spacing w:after="0" w:line="83" w:lineRule="exact"/>
              <w:rPr>
                <w:sz w:val="20"/>
                <w:szCs w:val="20"/>
                <w:color w:val="auto"/>
              </w:rPr>
            </w:pP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jc w:val="right"/>
              <w:ind w:right="133"/>
              <w:spacing w:after="0" w:line="83" w:lineRule="exact"/>
              <w:rPr>
                <w:sz w:val="20"/>
                <w:szCs w:val="20"/>
                <w:color w:val="auto"/>
              </w:rPr>
            </w:pPr>
            <w:r>
              <w:rPr>
                <w:rFonts w:ascii="Arial" w:cs="Arial" w:eastAsia="Arial" w:hAnsi="Arial"/>
                <w:sz w:val="9"/>
                <w:szCs w:val="9"/>
                <w:color w:val="53C072"/>
              </w:rPr>
              <w:t>•</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44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Ernest E. Maddock</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60" w:type="dxa"/>
            <w:vAlign w:val="bottom"/>
            <w:tcBorders>
              <w:bottom w:val="single" w:sz="8" w:color="auto"/>
            </w:tcBorders>
            <w:shd w:val="clear" w:color="auto" w:fill="B2B2B2"/>
          </w:tcPr>
          <w:p>
            <w:pPr>
              <w:spacing w:after="0"/>
              <w:rPr>
                <w:sz w:val="20"/>
                <w:szCs w:val="20"/>
                <w:color w:val="auto"/>
              </w:rPr>
            </w:pPr>
          </w:p>
        </w:tc>
        <w:tc>
          <w:tcPr>
            <w:tcW w:w="30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780" w:type="dxa"/>
            <w:vAlign w:val="bottom"/>
          </w:tcPr>
          <w:p>
            <w:pPr>
              <w:jc w:val="right"/>
              <w:ind w:right="2608"/>
              <w:spacing w:after="0" w:line="83"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0" w:type="dxa"/>
            <w:vAlign w:val="bottom"/>
            <w:shd w:val="clear" w:color="auto" w:fill="B2B2B2"/>
          </w:tcPr>
          <w:p>
            <w:pPr>
              <w:jc w:val="right"/>
              <w:spacing w:after="0" w:line="83" w:lineRule="exact"/>
              <w:rPr>
                <w:sz w:val="20"/>
                <w:szCs w:val="20"/>
                <w:color w:val="auto"/>
              </w:rPr>
            </w:pPr>
            <w:r>
              <w:rPr>
                <w:rFonts w:ascii="Arial" w:cs="Arial" w:eastAsia="Arial" w:hAnsi="Arial"/>
                <w:sz w:val="9"/>
                <w:szCs w:val="9"/>
                <w:color w:val="auto"/>
              </w:rPr>
              <w:t>​​</w:t>
            </w:r>
          </w:p>
        </w:tc>
        <w:tc>
          <w:tcPr>
            <w:tcW w:w="160" w:type="dxa"/>
            <w:vAlign w:val="bottom"/>
            <w:shd w:val="clear" w:color="auto" w:fill="B2B2B2"/>
          </w:tcPr>
          <w:p>
            <w:pPr>
              <w:spacing w:after="0"/>
              <w:rPr>
                <w:sz w:val="7"/>
                <w:szCs w:val="7"/>
                <w:color w:val="auto"/>
              </w:rPr>
            </w:pPr>
          </w:p>
        </w:tc>
        <w:tc>
          <w:tcPr>
            <w:tcW w:w="300" w:type="dxa"/>
            <w:vAlign w:val="bottom"/>
            <w:shd w:val="clear" w:color="auto" w:fill="B2B2B2"/>
          </w:tcPr>
          <w:p>
            <w:pPr>
              <w:ind w:left="80"/>
              <w:spacing w:after="0" w:line="83" w:lineRule="exact"/>
              <w:rPr>
                <w:sz w:val="20"/>
                <w:szCs w:val="20"/>
                <w:color w:val="auto"/>
              </w:rPr>
            </w:pPr>
            <w:r>
              <w:rPr>
                <w:rFonts w:ascii="Arial" w:cs="Arial" w:eastAsia="Arial" w:hAnsi="Arial"/>
                <w:sz w:val="9"/>
                <w:szCs w:val="9"/>
                <w:color w:val="auto"/>
              </w:rPr>
              <w:t>​</w:t>
            </w:r>
          </w:p>
        </w:tc>
        <w:tc>
          <w:tcPr>
            <w:tcW w:w="120" w:type="dxa"/>
            <w:vAlign w:val="bottom"/>
            <w:gridSpan w:val="2"/>
          </w:tcPr>
          <w:p>
            <w:pPr>
              <w:ind w:left="60"/>
              <w:spacing w:after="0" w:line="83" w:lineRule="exact"/>
              <w:rPr>
                <w:sz w:val="20"/>
                <w:szCs w:val="20"/>
                <w:color w:val="auto"/>
              </w:rPr>
            </w:pPr>
            <w:r>
              <w:rPr>
                <w:rFonts w:ascii="Arial" w:cs="Arial" w:eastAsia="Arial" w:hAnsi="Arial"/>
                <w:sz w:val="9"/>
                <w:szCs w:val="9"/>
                <w:color w:val="auto"/>
              </w:rPr>
              <w:t>​</w:t>
            </w:r>
          </w:p>
        </w:tc>
        <w:tc>
          <w:tcPr>
            <w:tcW w:w="18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80" w:type="dxa"/>
            <w:vAlign w:val="bottom"/>
          </w:tcPr>
          <w:p>
            <w:pPr>
              <w:ind w:left="100"/>
              <w:spacing w:after="0" w:line="83" w:lineRule="exact"/>
              <w:rPr>
                <w:sz w:val="20"/>
                <w:szCs w:val="20"/>
                <w:color w:val="auto"/>
              </w:rPr>
            </w:pPr>
            <w:r>
              <w:rPr>
                <w:rFonts w:ascii="Arial" w:cs="Arial" w:eastAsia="Arial" w:hAnsi="Arial"/>
                <w:sz w:val="9"/>
                <w:szCs w:val="9"/>
                <w:color w:val="53C072"/>
              </w:rPr>
              <w:t>•</w:t>
            </w:r>
          </w:p>
        </w:tc>
        <w:tc>
          <w:tcPr>
            <w:tcW w:w="200" w:type="dxa"/>
            <w:vAlign w:val="bottom"/>
            <w:gridSpan w:val="2"/>
          </w:tcPr>
          <w:p>
            <w:pPr>
              <w:ind w:left="140"/>
              <w:spacing w:after="0" w:line="83" w:lineRule="exact"/>
              <w:rPr>
                <w:sz w:val="20"/>
                <w:szCs w:val="20"/>
                <w:color w:val="auto"/>
              </w:rPr>
            </w:pPr>
            <w:r>
              <w:rPr>
                <w:rFonts w:ascii="Arial" w:cs="Arial" w:eastAsia="Arial" w:hAnsi="Arial"/>
                <w:sz w:val="9"/>
                <w:szCs w:val="9"/>
                <w:color w:val="auto"/>
              </w:rPr>
              <w:t>​</w:t>
            </w:r>
          </w:p>
        </w:tc>
        <w:tc>
          <w:tcPr>
            <w:tcW w:w="660" w:type="dxa"/>
            <w:vAlign w:val="bottom"/>
            <w:gridSpan w:val="4"/>
          </w:tcPr>
          <w:p>
            <w:pPr>
              <w:ind w:left="40"/>
              <w:spacing w:after="0" w:line="83" w:lineRule="exact"/>
              <w:rPr>
                <w:sz w:val="20"/>
                <w:szCs w:val="20"/>
                <w:color w:val="auto"/>
              </w:rPr>
            </w:pPr>
            <w:r>
              <w:rPr>
                <w:rFonts w:ascii="Arial" w:cs="Arial" w:eastAsia="Arial" w:hAnsi="Arial"/>
                <w:sz w:val="9"/>
                <w:szCs w:val="9"/>
                <w:color w:val="auto"/>
              </w:rPr>
              <w:t>​</w:t>
            </w:r>
            <w:r>
              <w:rPr>
                <w:rFonts w:ascii="Arial" w:cs="Arial" w:eastAsia="Arial" w:hAnsi="Arial"/>
                <w:sz w:val="7"/>
                <w:szCs w:val="7"/>
                <w:color w:val="auto"/>
              </w:rPr>
              <w:t>Chair</w:t>
            </w: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220" w:type="dxa"/>
            <w:vAlign w:val="bottom"/>
          </w:tcPr>
          <w:p>
            <w:pPr>
              <w:ind w:left="120"/>
              <w:spacing w:after="0" w:line="83" w:lineRule="exact"/>
              <w:rPr>
                <w:sz w:val="20"/>
                <w:szCs w:val="20"/>
                <w:color w:val="auto"/>
              </w:rPr>
            </w:pPr>
            <w:r>
              <w:rPr>
                <w:rFonts w:ascii="Arial" w:cs="Arial" w:eastAsia="Arial" w:hAnsi="Arial"/>
                <w:sz w:val="9"/>
                <w:szCs w:val="9"/>
                <w:color w:val="auto"/>
              </w:rPr>
              <w:t>​</w:t>
            </w:r>
          </w:p>
        </w:tc>
        <w:tc>
          <w:tcPr>
            <w:tcW w:w="240" w:type="dxa"/>
            <w:vAlign w:val="bottom"/>
            <w:gridSpan w:val="2"/>
          </w:tcPr>
          <w:p>
            <w:pPr>
              <w:ind w:left="180"/>
              <w:spacing w:after="0" w:line="83" w:lineRule="exact"/>
              <w:rPr>
                <w:sz w:val="20"/>
                <w:szCs w:val="20"/>
                <w:color w:val="auto"/>
              </w:rPr>
            </w:pPr>
            <w:r>
              <w:rPr>
                <w:rFonts w:ascii="Arial" w:cs="Arial" w:eastAsia="Arial" w:hAnsi="Arial"/>
                <w:sz w:val="9"/>
                <w:szCs w:val="9"/>
                <w:color w:val="auto"/>
              </w:rPr>
              <w:t>​</w:t>
            </w:r>
          </w:p>
        </w:tc>
        <w:tc>
          <w:tcPr>
            <w:tcW w:w="20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jc w:val="right"/>
              <w:ind w:right="133"/>
              <w:spacing w:after="0" w:line="83" w:lineRule="exact"/>
              <w:rPr>
                <w:sz w:val="20"/>
                <w:szCs w:val="20"/>
                <w:color w:val="auto"/>
              </w:rPr>
            </w:pPr>
            <w:r>
              <w:rPr>
                <w:rFonts w:ascii="Arial" w:cs="Arial" w:eastAsia="Arial" w:hAnsi="Arial"/>
                <w:sz w:val="9"/>
                <w:szCs w:val="9"/>
                <w:color w:val="53C072"/>
              </w:rPr>
              <w:t>•</w:t>
            </w:r>
          </w:p>
        </w:tc>
        <w:tc>
          <w:tcPr>
            <w:tcW w:w="120" w:type="dxa"/>
            <w:vAlign w:val="bottom"/>
            <w:gridSpan w:val="2"/>
          </w:tcPr>
          <w:p>
            <w:pPr>
              <w:ind w:left="40"/>
              <w:spacing w:after="0" w:line="83" w:lineRule="exact"/>
              <w:rPr>
                <w:sz w:val="20"/>
                <w:szCs w:val="20"/>
                <w:color w:val="auto"/>
              </w:rPr>
            </w:pPr>
            <w:r>
              <w:rPr>
                <w:rFonts w:ascii="Arial" w:cs="Arial" w:eastAsia="Arial" w:hAnsi="Arial"/>
                <w:sz w:val="9"/>
                <w:szCs w:val="9"/>
                <w:color w:val="auto"/>
              </w:rPr>
              <w:t>​</w:t>
            </w:r>
          </w:p>
        </w:tc>
        <w:tc>
          <w:tcPr>
            <w:tcW w:w="360" w:type="dxa"/>
            <w:vAlign w:val="bottom"/>
          </w:tcPr>
          <w:p>
            <w:pPr>
              <w:ind w:left="40"/>
              <w:spacing w:after="0" w:line="83"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440" w:type="dxa"/>
            <w:vAlign w:val="bottom"/>
          </w:tcPr>
          <w:p>
            <w:pPr>
              <w:spacing w:after="0" w:line="83"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35"/>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Avid Modjtabai</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shd w:val="clear" w:color="auto" w:fill="B2B2B2"/>
          </w:tcPr>
          <w:p>
            <w:pPr>
              <w:spacing w:after="0"/>
              <w:rPr>
                <w:sz w:val="20"/>
                <w:szCs w:val="20"/>
                <w:color w:val="auto"/>
              </w:rPr>
            </w:pPr>
          </w:p>
        </w:tc>
        <w:tc>
          <w:tcPr>
            <w:tcW w:w="160" w:type="dxa"/>
            <w:vAlign w:val="bottom"/>
            <w:tcBorders>
              <w:bottom w:val="single" w:sz="8" w:color="auto"/>
            </w:tcBorders>
            <w:shd w:val="clear" w:color="auto" w:fill="B2B2B2"/>
          </w:tcPr>
          <w:p>
            <w:pPr>
              <w:spacing w:after="0"/>
              <w:rPr>
                <w:sz w:val="20"/>
                <w:szCs w:val="20"/>
                <w:color w:val="auto"/>
              </w:rPr>
            </w:pPr>
          </w:p>
        </w:tc>
        <w:tc>
          <w:tcPr>
            <w:tcW w:w="300" w:type="dxa"/>
            <w:vAlign w:val="bottom"/>
            <w:tcBorders>
              <w:bottom w:val="single" w:sz="8" w:color="auto"/>
            </w:tcBorders>
            <w:shd w:val="clear" w:color="auto" w:fill="B2B2B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2780" w:type="dxa"/>
            <w:vAlign w:val="bottom"/>
          </w:tcPr>
          <w:p>
            <w:pPr>
              <w:ind w:left="40"/>
              <w:spacing w:after="0"/>
              <w:rPr>
                <w:sz w:val="20"/>
                <w:szCs w:val="20"/>
                <w:color w:val="auto"/>
              </w:rPr>
            </w:pPr>
            <w:r>
              <w:rPr>
                <w:rFonts w:ascii="Arial" w:cs="Arial" w:eastAsia="Arial" w:hAnsi="Arial"/>
                <w:sz w:val="25"/>
                <w:szCs w:val="25"/>
                <w:color w:val="auto"/>
              </w:rPr>
              <w:t>​</w:t>
            </w:r>
            <w:r>
              <w:rPr>
                <w:rFonts w:ascii="Arial" w:cs="Arial" w:eastAsia="Arial" w:hAnsi="Arial"/>
                <w:sz w:val="16"/>
                <w:szCs w:val="16"/>
                <w:b w:val="1"/>
                <w:bCs w:val="1"/>
                <w:color w:val="auto"/>
              </w:rPr>
              <w:t>Adalio T. Sanchez</w:t>
            </w:r>
          </w:p>
        </w:tc>
        <w:tc>
          <w:tcPr>
            <w:tcW w:w="80" w:type="dxa"/>
            <w:vAlign w:val="bottom"/>
          </w:tcPr>
          <w:p>
            <w:pPr>
              <w:spacing w:after="0"/>
              <w:rPr>
                <w:sz w:val="24"/>
                <w:szCs w:val="24"/>
                <w:color w:val="auto"/>
              </w:rPr>
            </w:pPr>
          </w:p>
        </w:tc>
        <w:tc>
          <w:tcPr>
            <w:tcW w:w="80" w:type="dxa"/>
            <w:vAlign w:val="bottom"/>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160" w:type="dxa"/>
            <w:vAlign w:val="bottom"/>
            <w:shd w:val="clear" w:color="auto" w:fill="B2B2B2"/>
          </w:tcPr>
          <w:p>
            <w:pPr>
              <w:spacing w:after="0"/>
              <w:rPr>
                <w:sz w:val="24"/>
                <w:szCs w:val="24"/>
                <w:color w:val="auto"/>
              </w:rPr>
            </w:pPr>
          </w:p>
        </w:tc>
        <w:tc>
          <w:tcPr>
            <w:tcW w:w="300" w:type="dxa"/>
            <w:vAlign w:val="bottom"/>
            <w:shd w:val="clear" w:color="auto" w:fill="B2B2B2"/>
          </w:tcPr>
          <w:p>
            <w:pPr>
              <w:ind w:left="80"/>
              <w:spacing w:after="0"/>
              <w:rPr>
                <w:sz w:val="20"/>
                <w:szCs w:val="20"/>
                <w:color w:val="auto"/>
              </w:rPr>
            </w:pPr>
            <w:r>
              <w:rPr>
                <w:rFonts w:ascii="Arial" w:cs="Arial" w:eastAsia="Arial" w:hAnsi="Arial"/>
                <w:sz w:val="25"/>
                <w:szCs w:val="25"/>
                <w:color w:val="auto"/>
              </w:rPr>
              <w:t>​</w:t>
            </w:r>
          </w:p>
        </w:tc>
        <w:tc>
          <w:tcPr>
            <w:tcW w:w="120" w:type="dxa"/>
            <w:vAlign w:val="bottom"/>
            <w:gridSpan w:val="2"/>
          </w:tcPr>
          <w:p>
            <w:pPr>
              <w:ind w:left="60"/>
              <w:spacing w:after="0"/>
              <w:rPr>
                <w:sz w:val="20"/>
                <w:szCs w:val="20"/>
                <w:color w:val="auto"/>
              </w:rPr>
            </w:pPr>
            <w:r>
              <w:rPr>
                <w:rFonts w:ascii="Arial" w:cs="Arial" w:eastAsia="Arial" w:hAnsi="Arial"/>
                <w:sz w:val="25"/>
                <w:szCs w:val="25"/>
                <w:color w:val="auto"/>
              </w:rPr>
              <w:t>​</w:t>
            </w:r>
          </w:p>
        </w:tc>
        <w:tc>
          <w:tcPr>
            <w:tcW w:w="180" w:type="dxa"/>
            <w:vAlign w:val="bottom"/>
          </w:tcPr>
          <w:p>
            <w:pPr>
              <w:ind w:left="40"/>
              <w:spacing w:after="0"/>
              <w:rPr>
                <w:sz w:val="20"/>
                <w:szCs w:val="20"/>
                <w:color w:val="auto"/>
              </w:rPr>
            </w:pPr>
            <w:r>
              <w:rPr>
                <w:rFonts w:ascii="Arial" w:cs="Arial" w:eastAsia="Arial" w:hAnsi="Arial"/>
                <w:sz w:val="25"/>
                <w:szCs w:val="25"/>
                <w:color w:val="auto"/>
              </w:rPr>
              <w:t>​</w:t>
            </w:r>
          </w:p>
        </w:tc>
        <w:tc>
          <w:tcPr>
            <w:tcW w:w="280" w:type="dxa"/>
            <w:vAlign w:val="bottom"/>
          </w:tcPr>
          <w:p>
            <w:pPr>
              <w:ind w:left="100"/>
              <w:spacing w:after="0"/>
              <w:rPr>
                <w:sz w:val="20"/>
                <w:szCs w:val="20"/>
                <w:color w:val="auto"/>
              </w:rPr>
            </w:pPr>
            <w:r>
              <w:rPr>
                <w:rFonts w:ascii="Arial" w:cs="Arial" w:eastAsia="Arial" w:hAnsi="Arial"/>
                <w:sz w:val="25"/>
                <w:szCs w:val="25"/>
                <w:color w:val="53C072"/>
              </w:rPr>
              <w:t>•</w:t>
            </w:r>
          </w:p>
        </w:tc>
        <w:tc>
          <w:tcPr>
            <w:tcW w:w="200" w:type="dxa"/>
            <w:vAlign w:val="bottom"/>
            <w:gridSpan w:val="2"/>
          </w:tcPr>
          <w:p>
            <w:pPr>
              <w:ind w:left="140"/>
              <w:spacing w:after="0"/>
              <w:rPr>
                <w:sz w:val="20"/>
                <w:szCs w:val="20"/>
                <w:color w:val="auto"/>
              </w:rPr>
            </w:pPr>
            <w:r>
              <w:rPr>
                <w:rFonts w:ascii="Arial" w:cs="Arial" w:eastAsia="Arial" w:hAnsi="Arial"/>
                <w:sz w:val="25"/>
                <w:szCs w:val="25"/>
                <w:color w:val="auto"/>
              </w:rPr>
              <w:t>​</w:t>
            </w:r>
          </w:p>
        </w:tc>
        <w:tc>
          <w:tcPr>
            <w:tcW w:w="160" w:type="dxa"/>
            <w:vAlign w:val="bottom"/>
          </w:tcPr>
          <w:p>
            <w:pPr>
              <w:ind w:left="40"/>
              <w:spacing w:after="0"/>
              <w:rPr>
                <w:sz w:val="20"/>
                <w:szCs w:val="20"/>
                <w:color w:val="auto"/>
              </w:rPr>
            </w:pPr>
            <w:r>
              <w:rPr>
                <w:rFonts w:ascii="Arial" w:cs="Arial" w:eastAsia="Arial" w:hAnsi="Arial"/>
                <w:sz w:val="25"/>
                <w:szCs w:val="25"/>
                <w:color w:val="auto"/>
              </w:rPr>
              <w:t>​</w:t>
            </w:r>
          </w:p>
        </w:tc>
        <w:tc>
          <w:tcPr>
            <w:tcW w:w="400" w:type="dxa"/>
            <w:vAlign w:val="bottom"/>
          </w:tcPr>
          <w:p>
            <w:pPr>
              <w:jc w:val="center"/>
              <w:ind w:right="1"/>
              <w:spacing w:after="0"/>
              <w:rPr>
                <w:sz w:val="20"/>
                <w:szCs w:val="20"/>
                <w:color w:val="auto"/>
              </w:rPr>
            </w:pPr>
            <w:r>
              <w:rPr>
                <w:rFonts w:ascii="Arial" w:cs="Arial" w:eastAsia="Arial" w:hAnsi="Arial"/>
                <w:sz w:val="25"/>
                <w:szCs w:val="25"/>
                <w:color w:val="53C072"/>
                <w:w w:val="90"/>
              </w:rPr>
              <w:t>•</w:t>
            </w:r>
          </w:p>
        </w:tc>
        <w:tc>
          <w:tcPr>
            <w:tcW w:w="100" w:type="dxa"/>
            <w:vAlign w:val="bottom"/>
            <w:gridSpan w:val="2"/>
          </w:tcPr>
          <w:p>
            <w:pPr>
              <w:ind w:left="40"/>
              <w:spacing w:after="0"/>
              <w:rPr>
                <w:sz w:val="20"/>
                <w:szCs w:val="20"/>
                <w:color w:val="auto"/>
              </w:rPr>
            </w:pPr>
            <w:r>
              <w:rPr>
                <w:rFonts w:ascii="Arial" w:cs="Arial" w:eastAsia="Arial" w:hAnsi="Arial"/>
                <w:sz w:val="25"/>
                <w:szCs w:val="25"/>
                <w:color w:val="auto"/>
              </w:rPr>
              <w:t>​</w:t>
            </w:r>
          </w:p>
        </w:tc>
        <w:tc>
          <w:tcPr>
            <w:tcW w:w="200" w:type="dxa"/>
            <w:vAlign w:val="bottom"/>
          </w:tcPr>
          <w:p>
            <w:pPr>
              <w:ind w:left="40"/>
              <w:spacing w:after="0"/>
              <w:rPr>
                <w:sz w:val="20"/>
                <w:szCs w:val="20"/>
                <w:color w:val="auto"/>
              </w:rPr>
            </w:pPr>
            <w:r>
              <w:rPr>
                <w:rFonts w:ascii="Arial" w:cs="Arial" w:eastAsia="Arial" w:hAnsi="Arial"/>
                <w:sz w:val="25"/>
                <w:szCs w:val="25"/>
                <w:color w:val="auto"/>
              </w:rPr>
              <w:t>​</w:t>
            </w:r>
          </w:p>
        </w:tc>
        <w:tc>
          <w:tcPr>
            <w:tcW w:w="220" w:type="dxa"/>
            <w:vAlign w:val="bottom"/>
          </w:tcPr>
          <w:p>
            <w:pPr>
              <w:ind w:left="120"/>
              <w:spacing w:after="0"/>
              <w:rPr>
                <w:sz w:val="20"/>
                <w:szCs w:val="20"/>
                <w:color w:val="auto"/>
              </w:rPr>
            </w:pPr>
            <w:r>
              <w:rPr>
                <w:rFonts w:ascii="Arial" w:cs="Arial" w:eastAsia="Arial" w:hAnsi="Arial"/>
                <w:sz w:val="25"/>
                <w:szCs w:val="25"/>
                <w:color w:val="auto"/>
              </w:rPr>
              <w:t>​</w:t>
            </w:r>
          </w:p>
        </w:tc>
        <w:tc>
          <w:tcPr>
            <w:tcW w:w="240" w:type="dxa"/>
            <w:vAlign w:val="bottom"/>
            <w:gridSpan w:val="2"/>
          </w:tcPr>
          <w:p>
            <w:pPr>
              <w:ind w:left="180"/>
              <w:spacing w:after="0"/>
              <w:rPr>
                <w:sz w:val="20"/>
                <w:szCs w:val="20"/>
                <w:color w:val="auto"/>
              </w:rPr>
            </w:pPr>
            <w:r>
              <w:rPr>
                <w:rFonts w:ascii="Arial" w:cs="Arial" w:eastAsia="Arial" w:hAnsi="Arial"/>
                <w:sz w:val="25"/>
                <w:szCs w:val="25"/>
                <w:color w:val="auto"/>
              </w:rPr>
              <w:t>​</w:t>
            </w:r>
          </w:p>
        </w:tc>
        <w:tc>
          <w:tcPr>
            <w:tcW w:w="200" w:type="dxa"/>
            <w:vAlign w:val="bottom"/>
          </w:tcPr>
          <w:p>
            <w:pPr>
              <w:ind w:left="40"/>
              <w:spacing w:after="0"/>
              <w:rPr>
                <w:sz w:val="20"/>
                <w:szCs w:val="20"/>
                <w:color w:val="auto"/>
              </w:rPr>
            </w:pPr>
            <w:r>
              <w:rPr>
                <w:rFonts w:ascii="Arial" w:cs="Arial" w:eastAsia="Arial" w:hAnsi="Arial"/>
                <w:sz w:val="25"/>
                <w:szCs w:val="25"/>
                <w:color w:val="auto"/>
              </w:rPr>
              <w:t>​</w:t>
            </w:r>
          </w:p>
        </w:tc>
        <w:tc>
          <w:tcPr>
            <w:tcW w:w="360" w:type="dxa"/>
            <w:vAlign w:val="bottom"/>
          </w:tcPr>
          <w:p>
            <w:pPr>
              <w:jc w:val="right"/>
              <w:ind w:right="93"/>
              <w:spacing w:after="0"/>
              <w:rPr>
                <w:sz w:val="20"/>
                <w:szCs w:val="20"/>
                <w:color w:val="auto"/>
              </w:rPr>
            </w:pPr>
            <w:r>
              <w:rPr>
                <w:rFonts w:ascii="Arial" w:cs="Arial" w:eastAsia="Arial" w:hAnsi="Arial"/>
                <w:sz w:val="25"/>
                <w:szCs w:val="25"/>
                <w:color w:val="auto"/>
              </w:rPr>
              <w:t>​</w:t>
            </w:r>
          </w:p>
        </w:tc>
        <w:tc>
          <w:tcPr>
            <w:tcW w:w="120" w:type="dxa"/>
            <w:vAlign w:val="bottom"/>
            <w:gridSpan w:val="2"/>
          </w:tcPr>
          <w:p>
            <w:pPr>
              <w:ind w:left="40"/>
              <w:spacing w:after="0"/>
              <w:rPr>
                <w:sz w:val="20"/>
                <w:szCs w:val="20"/>
                <w:color w:val="auto"/>
              </w:rPr>
            </w:pPr>
            <w:r>
              <w:rPr>
                <w:rFonts w:ascii="Arial" w:cs="Arial" w:eastAsia="Arial" w:hAnsi="Arial"/>
                <w:sz w:val="25"/>
                <w:szCs w:val="25"/>
                <w:color w:val="auto"/>
              </w:rPr>
              <w:t>​</w:t>
            </w:r>
          </w:p>
        </w:tc>
        <w:tc>
          <w:tcPr>
            <w:tcW w:w="360" w:type="dxa"/>
            <w:vAlign w:val="bottom"/>
          </w:tcPr>
          <w:p>
            <w:pPr>
              <w:ind w:left="40"/>
              <w:spacing w:after="0"/>
              <w:rPr>
                <w:sz w:val="20"/>
                <w:szCs w:val="20"/>
                <w:color w:val="auto"/>
              </w:rPr>
            </w:pPr>
            <w:r>
              <w:rPr>
                <w:rFonts w:ascii="Arial" w:cs="Arial" w:eastAsia="Arial" w:hAnsi="Arial"/>
                <w:sz w:val="25"/>
                <w:szCs w:val="25"/>
                <w:color w:val="auto"/>
              </w:rPr>
              <w:t>​</w:t>
            </w:r>
          </w:p>
        </w:tc>
        <w:tc>
          <w:tcPr>
            <w:tcW w:w="7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34"/>
        </w:trPr>
        <w:tc>
          <w:tcPr>
            <w:tcW w:w="5260" w:type="dxa"/>
            <w:vAlign w:val="bottom"/>
            <w:tcBorders>
              <w:left w:val="single" w:sz="8" w:color="53C072"/>
            </w:tcBorders>
            <w:gridSpan w:val="17"/>
            <w:shd w:val="clear" w:color="auto" w:fill="53C072"/>
          </w:tcPr>
          <w:p>
            <w:pPr>
              <w:spacing w:after="0"/>
              <w:rPr>
                <w:sz w:val="2"/>
                <w:szCs w:val="2"/>
                <w:color w:val="auto"/>
              </w:rPr>
            </w:pPr>
          </w:p>
        </w:tc>
        <w:tc>
          <w:tcPr>
            <w:tcW w:w="2040" w:type="dxa"/>
            <w:vAlign w:val="bottom"/>
            <w:tcBorders>
              <w:right w:val="single" w:sz="8" w:color="53C072"/>
            </w:tcBorders>
            <w:gridSpan w:val="8"/>
            <w:shd w:val="clear" w:color="auto" w:fill="53C072"/>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5260" w:type="dxa"/>
            <w:vAlign w:val="bottom"/>
            <w:gridSpan w:val="17"/>
          </w:tcPr>
          <w:p>
            <w:pPr>
              <w:ind w:left="20"/>
              <w:spacing w:after="0"/>
              <w:rPr>
                <w:sz w:val="20"/>
                <w:szCs w:val="20"/>
                <w:color w:val="auto"/>
              </w:rPr>
            </w:pPr>
            <w:r>
              <w:rPr>
                <w:rFonts w:ascii="Arial" w:cs="Arial" w:eastAsia="Arial" w:hAnsi="Arial"/>
                <w:sz w:val="14"/>
                <w:szCs w:val="14"/>
                <w:b w:val="1"/>
                <w:bCs w:val="1"/>
                <w:color w:val="auto"/>
              </w:rPr>
              <w:t xml:space="preserve">A: </w:t>
            </w:r>
            <w:r>
              <w:rPr>
                <w:rFonts w:ascii="Arial" w:cs="Arial" w:eastAsia="Arial" w:hAnsi="Arial"/>
                <w:sz w:val="14"/>
                <w:szCs w:val="14"/>
                <w:color w:val="auto"/>
              </w:rPr>
              <w:t>Audit Committee</w:t>
            </w:r>
            <w:r>
              <w:rPr>
                <w:rFonts w:ascii="Arial" w:cs="Arial" w:eastAsia="Arial" w:hAnsi="Arial"/>
                <w:sz w:val="14"/>
                <w:szCs w:val="14"/>
                <w:b w:val="1"/>
                <w:bCs w:val="1"/>
                <w:color w:val="auto"/>
              </w:rPr>
              <w:t xml:space="preserve">  C: </w:t>
            </w:r>
            <w:r>
              <w:rPr>
                <w:rFonts w:ascii="Arial" w:cs="Arial" w:eastAsia="Arial" w:hAnsi="Arial"/>
                <w:sz w:val="14"/>
                <w:szCs w:val="14"/>
                <w:color w:val="auto"/>
              </w:rPr>
              <w:t>Compensation and Leadership Development Committee</w:t>
            </w:r>
          </w:p>
        </w:tc>
        <w:tc>
          <w:tcPr>
            <w:tcW w:w="2480" w:type="dxa"/>
            <w:vAlign w:val="bottom"/>
            <w:gridSpan w:val="9"/>
          </w:tcPr>
          <w:p>
            <w:pPr>
              <w:ind w:left="20"/>
              <w:spacing w:after="0"/>
              <w:rPr>
                <w:sz w:val="20"/>
                <w:szCs w:val="20"/>
                <w:color w:val="auto"/>
              </w:rPr>
            </w:pPr>
            <w:r>
              <w:rPr>
                <w:rFonts w:ascii="Arial" w:cs="Arial" w:eastAsia="Arial" w:hAnsi="Arial"/>
                <w:sz w:val="14"/>
                <w:szCs w:val="14"/>
                <w:b w:val="1"/>
                <w:bCs w:val="1"/>
                <w:color w:val="auto"/>
              </w:rPr>
              <w:t xml:space="preserve">CG: </w:t>
            </w:r>
            <w:r>
              <w:rPr>
                <w:rFonts w:ascii="Arial" w:cs="Arial" w:eastAsia="Arial" w:hAnsi="Arial"/>
                <w:sz w:val="14"/>
                <w:szCs w:val="14"/>
                <w:color w:val="auto"/>
              </w:rPr>
              <w:t>Corporate Governance Committee</w:t>
            </w:r>
          </w:p>
        </w:tc>
        <w:tc>
          <w:tcPr>
            <w:tcW w:w="0" w:type="dxa"/>
            <w:vAlign w:val="bottom"/>
          </w:tcPr>
          <w:p>
            <w:pPr>
              <w:spacing w:after="0"/>
              <w:rPr>
                <w:sz w:val="1"/>
                <w:szCs w:val="1"/>
                <w:color w:val="auto"/>
              </w:rPr>
            </w:pPr>
          </w:p>
        </w:tc>
      </w:tr>
      <w:tr>
        <w:trPr>
          <w:trHeight w:val="196"/>
        </w:trPr>
        <w:tc>
          <w:tcPr>
            <w:tcW w:w="3100" w:type="dxa"/>
            <w:vAlign w:val="bottom"/>
            <w:gridSpan w:val="4"/>
          </w:tcPr>
          <w:p>
            <w:pPr>
              <w:ind w:left="20"/>
              <w:spacing w:after="0"/>
              <w:rPr>
                <w:sz w:val="20"/>
                <w:szCs w:val="20"/>
                <w:color w:val="auto"/>
              </w:rPr>
            </w:pPr>
            <w:r>
              <w:rPr>
                <w:rFonts w:ascii="Arial" w:cs="Arial" w:eastAsia="Arial" w:hAnsi="Arial"/>
                <w:sz w:val="14"/>
                <w:szCs w:val="14"/>
                <w:b w:val="1"/>
                <w:bCs w:val="1"/>
                <w:color w:val="auto"/>
              </w:rPr>
              <w:t xml:space="preserve">E: </w:t>
            </w:r>
            <w:r>
              <w:rPr>
                <w:rFonts w:ascii="Arial" w:cs="Arial" w:eastAsia="Arial" w:hAnsi="Arial"/>
                <w:sz w:val="14"/>
                <w:szCs w:val="14"/>
                <w:color w:val="auto"/>
              </w:rPr>
              <w:t>Executive Committee</w:t>
            </w:r>
            <w:r>
              <w:rPr>
                <w:rFonts w:ascii="Arial" w:cs="Arial" w:eastAsia="Arial" w:hAnsi="Arial"/>
                <w:sz w:val="14"/>
                <w:szCs w:val="14"/>
                <w:b w:val="1"/>
                <w:bCs w:val="1"/>
                <w:color w:val="auto"/>
              </w:rPr>
              <w:t xml:space="preserve">  F: </w:t>
            </w:r>
            <w:r>
              <w:rPr>
                <w:rFonts w:ascii="Arial" w:cs="Arial" w:eastAsia="Arial" w:hAnsi="Arial"/>
                <w:sz w:val="14"/>
                <w:szCs w:val="14"/>
                <w:color w:val="auto"/>
              </w:rPr>
              <w:t>Finance Committee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-2827020</wp:posOffset>
            </wp:positionV>
            <wp:extent cx="4612005" cy="25203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12005" cy="252031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53C072"/>
        </w:rPr>
        <w:t>•</w:t>
      </w:r>
      <w:r>
        <w:rPr>
          <w:rFonts w:ascii="Arial" w:cs="Arial" w:eastAsia="Arial" w:hAnsi="Arial"/>
          <w:sz w:val="14"/>
          <w:szCs w:val="14"/>
          <w:color w:val="000000"/>
        </w:rPr>
        <w:t> Member</w:t>
      </w:r>
    </w:p>
    <w:p>
      <w:pPr>
        <w:sectPr>
          <w:pgSz w:w="11900" w:h="16838" w:orient="portrait"/>
          <w:cols w:equalWidth="0" w:num="1">
            <w:col w:w="9879"/>
          </w:cols>
          <w:pgMar w:left="580" w:top="97" w:right="1440" w:bottom="1440" w:gutter="0" w:footer="0" w:header="0"/>
        </w:sectPr>
      </w:pPr>
    </w:p>
    <w:p>
      <w:pPr>
        <w:spacing w:after="0" w:line="336"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7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5020" w:type="dxa"/>
            <w:vAlign w:val="bottom"/>
            <w:vMerge w:val="restart"/>
          </w:tcPr>
          <w:p>
            <w:pPr>
              <w:ind w:left="2340"/>
              <w:spacing w:after="0"/>
              <w:rPr>
                <w:sz w:val="20"/>
                <w:szCs w:val="20"/>
                <w:color w:val="auto"/>
              </w:rPr>
            </w:pPr>
            <w:r>
              <w:rPr>
                <w:rFonts w:ascii="Arial" w:cs="Arial" w:eastAsia="Arial" w:hAnsi="Arial"/>
                <w:sz w:val="14"/>
                <w:szCs w:val="14"/>
                <w:color w:val="auto"/>
              </w:rPr>
              <w:t>The Board of Directors and its Committees</w:t>
            </w:r>
          </w:p>
        </w:tc>
        <w:tc>
          <w:tcPr>
            <w:tcW w:w="0" w:type="dxa"/>
            <w:vAlign w:val="bottom"/>
          </w:tcPr>
          <w:p>
            <w:pPr>
              <w:spacing w:after="0"/>
              <w:rPr>
                <w:sz w:val="1"/>
                <w:szCs w:val="1"/>
                <w:color w:val="auto"/>
              </w:rPr>
            </w:pPr>
          </w:p>
        </w:tc>
      </w:tr>
      <w:tr>
        <w:trPr>
          <w:trHeight w:val="89"/>
        </w:trPr>
        <w:tc>
          <w:tcPr>
            <w:tcW w:w="47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720" w:type="dxa"/>
            <w:vAlign w:val="bottom"/>
            <w:vMerge w:val="continue"/>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183515</wp:posOffset>
            </wp:positionV>
            <wp:extent cx="55549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AUDIT COMMITTEE</w:t>
      </w:r>
    </w:p>
    <w:p>
      <w:pPr>
        <w:spacing w:after="0" w:line="8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Current Members:</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Ernest E. Maddock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 Bozotti</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Brenda L. Freeman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Helmut Gassel</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Virginia L. Henkels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Oleg Khaykin</w:t>
      </w:r>
    </w:p>
    <w:p>
      <w:pPr>
        <w:spacing w:after="0" w:line="9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Meetings in fiscal 2024: 8</w:t>
      </w:r>
    </w:p>
    <w:p>
      <w:pPr>
        <w:spacing w:after="0" w:line="127" w:lineRule="exact"/>
        <w:rPr>
          <w:sz w:val="20"/>
          <w:szCs w:val="20"/>
          <w:color w:val="auto"/>
        </w:rPr>
      </w:pPr>
    </w:p>
    <w:p>
      <w:pPr>
        <w:ind w:left="1100" w:right="32"/>
        <w:spacing w:after="0" w:line="256" w:lineRule="auto"/>
        <w:rPr>
          <w:sz w:val="20"/>
          <w:szCs w:val="20"/>
          <w:color w:val="auto"/>
        </w:rPr>
      </w:pPr>
      <w:r>
        <w:rPr>
          <w:rFonts w:ascii="Arial" w:cs="Arial" w:eastAsia="Arial" w:hAnsi="Arial"/>
          <w:sz w:val="16"/>
          <w:szCs w:val="16"/>
          <w:b w:val="1"/>
          <w:bCs w:val="1"/>
          <w:color w:val="auto"/>
        </w:rPr>
        <w:t>Audit Committee Financial Experts:</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Ernest E. Maddock (Chair)</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 Bozotti</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Virginia L. Henkels</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Oleg Khaykin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-141605</wp:posOffset>
            </wp:positionV>
            <wp:extent cx="5554980" cy="2563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54980" cy="2563495"/>
                    </a:xfrm>
                    <a:prstGeom prst="rect">
                      <a:avLst/>
                    </a:prstGeom>
                    <a:noFill/>
                  </pic:spPr>
                </pic:pic>
              </a:graphicData>
            </a:graphic>
          </wp:anchor>
        </w:drawing>
      </w:r>
    </w:p>
    <w:p>
      <w:pPr>
        <w:spacing w:after="0" w:line="120"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Audit Committee is charged with:</w:t>
      </w:r>
    </w:p>
    <w:p>
      <w:pPr>
        <w:spacing w:after="0" w:line="31" w:lineRule="exact"/>
        <w:rPr>
          <w:sz w:val="20"/>
          <w:szCs w:val="20"/>
          <w:color w:val="auto"/>
        </w:rPr>
      </w:pPr>
    </w:p>
    <w:p>
      <w:pPr>
        <w:ind w:left="268" w:right="379" w:hanging="268"/>
        <w:spacing w:after="0" w:line="256" w:lineRule="auto"/>
        <w:tabs>
          <w:tab w:leader="none" w:pos="268" w:val="left"/>
        </w:tabs>
        <w:numPr>
          <w:ilvl w:val="0"/>
          <w:numId w:val="31"/>
        </w:numPr>
        <w:rPr>
          <w:rFonts w:ascii="Arial" w:cs="Arial" w:eastAsia="Arial" w:hAnsi="Arial"/>
          <w:sz w:val="16"/>
          <w:szCs w:val="16"/>
          <w:color w:val="53C072"/>
        </w:rPr>
      </w:pPr>
      <w:r>
        <w:rPr>
          <w:rFonts w:ascii="Arial" w:cs="Arial" w:eastAsia="Arial" w:hAnsi="Arial"/>
          <w:sz w:val="16"/>
          <w:szCs w:val="16"/>
          <w:color w:val="auto"/>
        </w:rPr>
        <w:t>Assisting and representing the Board in fulfilling its oversight responsibilities with respect to:</w:t>
      </w:r>
    </w:p>
    <w:p>
      <w:pPr>
        <w:ind w:left="428" w:hanging="266"/>
        <w:spacing w:after="0"/>
        <w:tabs>
          <w:tab w:leader="none" w:pos="428" w:val="left"/>
        </w:tabs>
        <w:numPr>
          <w:ilvl w:val="1"/>
          <w:numId w:val="31"/>
        </w:numPr>
        <w:rPr>
          <w:rFonts w:ascii="Arial" w:cs="Arial" w:eastAsia="Arial" w:hAnsi="Arial"/>
          <w:sz w:val="16"/>
          <w:szCs w:val="16"/>
          <w:color w:val="53C072"/>
        </w:rPr>
      </w:pPr>
      <w:r>
        <w:rPr>
          <w:rFonts w:ascii="Arial" w:cs="Arial" w:eastAsia="Arial" w:hAnsi="Arial"/>
          <w:sz w:val="16"/>
          <w:szCs w:val="16"/>
          <w:color w:val="auto"/>
        </w:rPr>
        <w:t>The integrity of the Company’s financial statements;</w:t>
      </w:r>
    </w:p>
    <w:p>
      <w:pPr>
        <w:spacing w:after="0" w:line="30" w:lineRule="exact"/>
        <w:rPr>
          <w:rFonts w:ascii="Arial" w:cs="Arial" w:eastAsia="Arial" w:hAnsi="Arial"/>
          <w:sz w:val="16"/>
          <w:szCs w:val="16"/>
          <w:color w:val="53C072"/>
        </w:rPr>
      </w:pPr>
    </w:p>
    <w:p>
      <w:pPr>
        <w:ind w:left="428" w:right="639" w:hanging="266"/>
        <w:spacing w:after="0" w:line="265" w:lineRule="auto"/>
        <w:tabs>
          <w:tab w:leader="none" w:pos="428" w:val="left"/>
        </w:tabs>
        <w:numPr>
          <w:ilvl w:val="1"/>
          <w:numId w:val="31"/>
        </w:numPr>
        <w:rPr>
          <w:rFonts w:ascii="Arial" w:cs="Arial" w:eastAsia="Arial" w:hAnsi="Arial"/>
          <w:sz w:val="16"/>
          <w:szCs w:val="16"/>
          <w:color w:val="53C072"/>
        </w:rPr>
      </w:pPr>
      <w:r>
        <w:rPr>
          <w:rFonts w:ascii="Arial" w:cs="Arial" w:eastAsia="Arial" w:hAnsi="Arial"/>
          <w:sz w:val="16"/>
          <w:szCs w:val="16"/>
          <w:color w:val="auto"/>
        </w:rPr>
        <w:t>The independence, qualifications, and performance of the Company’s independent external auditors;</w:t>
      </w:r>
    </w:p>
    <w:p>
      <w:pPr>
        <w:ind w:left="428" w:hanging="266"/>
        <w:spacing w:after="0"/>
        <w:tabs>
          <w:tab w:leader="none" w:pos="428" w:val="left"/>
        </w:tabs>
        <w:numPr>
          <w:ilvl w:val="1"/>
          <w:numId w:val="31"/>
        </w:numPr>
        <w:rPr>
          <w:rFonts w:ascii="Arial" w:cs="Arial" w:eastAsia="Arial" w:hAnsi="Arial"/>
          <w:sz w:val="16"/>
          <w:szCs w:val="16"/>
          <w:color w:val="53C072"/>
        </w:rPr>
      </w:pPr>
      <w:r>
        <w:rPr>
          <w:rFonts w:ascii="Arial" w:cs="Arial" w:eastAsia="Arial" w:hAnsi="Arial"/>
          <w:sz w:val="16"/>
          <w:szCs w:val="16"/>
          <w:color w:val="auto"/>
        </w:rPr>
        <w:t>The performance of the Company’s internal audit function;</w:t>
      </w:r>
    </w:p>
    <w:p>
      <w:pPr>
        <w:spacing w:after="0" w:line="21" w:lineRule="exact"/>
        <w:rPr>
          <w:rFonts w:ascii="Arial" w:cs="Arial" w:eastAsia="Arial" w:hAnsi="Arial"/>
          <w:sz w:val="16"/>
          <w:szCs w:val="16"/>
          <w:color w:val="53C072"/>
        </w:rPr>
      </w:pPr>
    </w:p>
    <w:p>
      <w:pPr>
        <w:ind w:left="428" w:hanging="266"/>
        <w:spacing w:after="0"/>
        <w:tabs>
          <w:tab w:leader="none" w:pos="428" w:val="left"/>
        </w:tabs>
        <w:numPr>
          <w:ilvl w:val="1"/>
          <w:numId w:val="31"/>
        </w:numPr>
        <w:rPr>
          <w:rFonts w:ascii="Arial" w:cs="Arial" w:eastAsia="Arial" w:hAnsi="Arial"/>
          <w:sz w:val="16"/>
          <w:szCs w:val="16"/>
          <w:color w:val="53C072"/>
        </w:rPr>
      </w:pPr>
      <w:r>
        <w:rPr>
          <w:rFonts w:ascii="Arial" w:cs="Arial" w:eastAsia="Arial" w:hAnsi="Arial"/>
          <w:sz w:val="16"/>
          <w:szCs w:val="16"/>
          <w:color w:val="auto"/>
        </w:rPr>
        <w:t>Compliance with legal and regulatory requirements; and</w:t>
      </w:r>
    </w:p>
    <w:p>
      <w:pPr>
        <w:spacing w:after="0" w:line="14" w:lineRule="exact"/>
        <w:rPr>
          <w:rFonts w:ascii="Arial" w:cs="Arial" w:eastAsia="Arial" w:hAnsi="Arial"/>
          <w:sz w:val="16"/>
          <w:szCs w:val="16"/>
          <w:color w:val="53C072"/>
        </w:rPr>
      </w:pPr>
    </w:p>
    <w:p>
      <w:pPr>
        <w:ind w:left="428" w:right="339" w:hanging="266"/>
        <w:spacing w:after="0" w:line="273" w:lineRule="auto"/>
        <w:tabs>
          <w:tab w:leader="none" w:pos="428" w:val="left"/>
        </w:tabs>
        <w:numPr>
          <w:ilvl w:val="1"/>
          <w:numId w:val="31"/>
        </w:numPr>
        <w:rPr>
          <w:rFonts w:ascii="Arial" w:cs="Arial" w:eastAsia="Arial" w:hAnsi="Arial"/>
          <w:sz w:val="16"/>
          <w:szCs w:val="16"/>
          <w:color w:val="53C072"/>
        </w:rPr>
      </w:pPr>
      <w:r>
        <w:rPr>
          <w:rFonts w:ascii="Arial" w:cs="Arial" w:eastAsia="Arial" w:hAnsi="Arial"/>
          <w:sz w:val="16"/>
          <w:szCs w:val="16"/>
          <w:color w:val="auto"/>
        </w:rPr>
        <w:t>Internal ethics and compliance program, enterprise risk management, and cybersecurity.</w:t>
      </w:r>
    </w:p>
    <w:p>
      <w:pPr>
        <w:spacing w:after="0" w:line="1" w:lineRule="exact"/>
        <w:rPr>
          <w:rFonts w:ascii="Arial" w:cs="Arial" w:eastAsia="Arial" w:hAnsi="Arial"/>
          <w:sz w:val="16"/>
          <w:szCs w:val="16"/>
          <w:color w:val="53C072"/>
        </w:rPr>
      </w:pPr>
    </w:p>
    <w:p>
      <w:pPr>
        <w:ind w:left="268" w:right="859" w:hanging="268"/>
        <w:spacing w:after="0" w:line="272" w:lineRule="auto"/>
        <w:tabs>
          <w:tab w:leader="none" w:pos="268" w:val="left"/>
        </w:tabs>
        <w:numPr>
          <w:ilvl w:val="0"/>
          <w:numId w:val="31"/>
        </w:numPr>
        <w:rPr>
          <w:rFonts w:ascii="Arial" w:cs="Arial" w:eastAsia="Arial" w:hAnsi="Arial"/>
          <w:sz w:val="16"/>
          <w:szCs w:val="16"/>
          <w:color w:val="53C072"/>
        </w:rPr>
      </w:pPr>
      <w:r>
        <w:rPr>
          <w:rFonts w:ascii="Arial" w:cs="Arial" w:eastAsia="Arial" w:hAnsi="Arial"/>
          <w:sz w:val="16"/>
          <w:szCs w:val="16"/>
          <w:color w:val="auto"/>
        </w:rPr>
        <w:t>Appointing, compensating, retaining and overseeing the independent registered public accounting firm.</w:t>
      </w:r>
    </w:p>
    <w:p>
      <w:pPr>
        <w:spacing w:after="0" w:line="1" w:lineRule="exact"/>
        <w:rPr>
          <w:rFonts w:ascii="Arial" w:cs="Arial" w:eastAsia="Arial" w:hAnsi="Arial"/>
          <w:sz w:val="16"/>
          <w:szCs w:val="16"/>
          <w:color w:val="53C072"/>
        </w:rPr>
      </w:pPr>
    </w:p>
    <w:p>
      <w:pPr>
        <w:ind w:left="268" w:right="439" w:hanging="268"/>
        <w:spacing w:after="0" w:line="266" w:lineRule="auto"/>
        <w:tabs>
          <w:tab w:leader="none" w:pos="268" w:val="left"/>
        </w:tabs>
        <w:numPr>
          <w:ilvl w:val="0"/>
          <w:numId w:val="31"/>
        </w:numPr>
        <w:rPr>
          <w:rFonts w:ascii="Arial" w:cs="Arial" w:eastAsia="Arial" w:hAnsi="Arial"/>
          <w:sz w:val="16"/>
          <w:szCs w:val="16"/>
          <w:color w:val="53C072"/>
        </w:rPr>
      </w:pPr>
      <w:r>
        <w:rPr>
          <w:rFonts w:ascii="Arial" w:cs="Arial" w:eastAsia="Arial" w:hAnsi="Arial"/>
          <w:sz w:val="16"/>
          <w:szCs w:val="16"/>
          <w:color w:val="auto"/>
        </w:rPr>
        <w:t>Reviewing and approving transactions with any related person in which the Company is a participant and involves an amount equal to or exceeding $120,000 per year.</w:t>
      </w:r>
    </w:p>
    <w:p>
      <w:pPr>
        <w:spacing w:after="0" w:line="104" w:lineRule="exact"/>
        <w:rPr>
          <w:sz w:val="20"/>
          <w:szCs w:val="20"/>
          <w:color w:val="auto"/>
        </w:rPr>
      </w:pPr>
    </w:p>
    <w:p>
      <w:pPr>
        <w:ind w:left="8" w:right="519"/>
        <w:spacing w:after="0" w:line="321" w:lineRule="auto"/>
        <w:rPr>
          <w:sz w:val="20"/>
          <w:szCs w:val="20"/>
          <w:color w:val="auto"/>
        </w:rPr>
      </w:pPr>
      <w:r>
        <w:rPr>
          <w:rFonts w:ascii="Arial" w:cs="Arial" w:eastAsia="Arial" w:hAnsi="Arial"/>
          <w:sz w:val="15"/>
          <w:szCs w:val="15"/>
          <w:color w:val="auto"/>
        </w:rPr>
        <w:t>Please see the Audit Committee Report set forth elsewhere in this Proxy Statement for more information about the Audit Committee and its operations.</w:t>
      </w:r>
    </w:p>
    <w:p>
      <w:pPr>
        <w:spacing w:after="0" w:line="114" w:lineRule="exact"/>
        <w:rPr>
          <w:sz w:val="20"/>
          <w:szCs w:val="20"/>
          <w:color w:val="auto"/>
        </w:rPr>
      </w:pPr>
    </w:p>
    <w:p>
      <w:pPr>
        <w:sectPr>
          <w:pgSz w:w="11900" w:h="16838" w:orient="portrait"/>
          <w:cols w:equalWidth="0" w:num="2">
            <w:col w:w="3172" w:space="720"/>
            <w:col w:w="5987"/>
          </w:cols>
          <w:pgMar w:left="580" w:top="97" w:right="1440" w:bottom="1440" w:gutter="0" w:footer="0" w:header="0"/>
          <w:type w:val="continuous"/>
        </w:sectPr>
      </w:pPr>
    </w:p>
    <w:p>
      <w:pPr>
        <w:ind w:left="1000" w:right="179"/>
        <w:spacing w:after="0" w:line="257" w:lineRule="auto"/>
        <w:rPr>
          <w:sz w:val="20"/>
          <w:szCs w:val="20"/>
          <w:color w:val="auto"/>
        </w:rPr>
      </w:pPr>
      <w:r>
        <w:rPr>
          <w:rFonts w:ascii="Arial" w:cs="Arial" w:eastAsia="Arial" w:hAnsi="Arial"/>
          <w:sz w:val="18"/>
          <w:szCs w:val="18"/>
          <w:color w:val="auto"/>
        </w:rPr>
        <w:t>All Audit Committee members are independent under the independence requirements of the Nasdaq listing standards and the Board’s independence standards. They also meet the additional independence requirements for audit committee members established by the SEC. The Board has further determined that the following four members of the committee qualify as “audit committee financial experts” as defined by the SEC and meet the audit committee financial sophistication requirement of Nasdaq: Ms. Henkels and Messrs. Bozotti, Khaykin, and Maddock.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26     </w:t>
      </w:r>
      <w:r>
        <w:rPr>
          <w:sz w:val="1"/>
          <w:szCs w:val="1"/>
          <w:color w:val="auto"/>
        </w:rPr>
        <w:drawing>
          <wp:inline distT="0" distB="0" distL="0" distR="0">
            <wp:extent cx="1242695" cy="24003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7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5020" w:type="dxa"/>
            <w:vAlign w:val="bottom"/>
            <w:vMerge w:val="restart"/>
          </w:tcPr>
          <w:p>
            <w:pPr>
              <w:ind w:left="2340"/>
              <w:spacing w:after="0"/>
              <w:rPr>
                <w:sz w:val="20"/>
                <w:szCs w:val="20"/>
                <w:color w:val="auto"/>
              </w:rPr>
            </w:pPr>
            <w:r>
              <w:rPr>
                <w:rFonts w:ascii="Arial" w:cs="Arial" w:eastAsia="Arial" w:hAnsi="Arial"/>
                <w:sz w:val="14"/>
                <w:szCs w:val="14"/>
                <w:color w:val="auto"/>
              </w:rPr>
              <w:t>The Board of Directors and its Committees</w:t>
            </w:r>
          </w:p>
        </w:tc>
        <w:tc>
          <w:tcPr>
            <w:tcW w:w="0" w:type="dxa"/>
            <w:vAlign w:val="bottom"/>
          </w:tcPr>
          <w:p>
            <w:pPr>
              <w:spacing w:after="0"/>
              <w:rPr>
                <w:sz w:val="1"/>
                <w:szCs w:val="1"/>
                <w:color w:val="auto"/>
              </w:rPr>
            </w:pPr>
          </w:p>
        </w:tc>
      </w:tr>
      <w:tr>
        <w:trPr>
          <w:trHeight w:val="89"/>
        </w:trPr>
        <w:tc>
          <w:tcPr>
            <w:tcW w:w="47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720" w:type="dxa"/>
            <w:vAlign w:val="bottom"/>
            <w:vMerge w:val="continue"/>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COMPENSATION AND LEADERSHIP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183515</wp:posOffset>
            </wp:positionV>
            <wp:extent cx="55549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pacing w:after="0" w:line="31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COMPENSATION AND LEADERSHIP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26035</wp:posOffset>
            </wp:positionV>
            <wp:extent cx="5554980" cy="2443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54980" cy="24434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8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Current Members:</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Jo Ann Jenkins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James A. Lawrence</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Avid Modjtabai</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Adalio T. Sanchez</w:t>
      </w:r>
    </w:p>
    <w:p>
      <w:pPr>
        <w:spacing w:after="0" w:line="111"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Meetings in fiscal 2024: 4</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Responsibilities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Compensation and Leadership Development Committee is charged with:</w:t>
      </w:r>
    </w:p>
    <w:p>
      <w:pPr>
        <w:spacing w:after="0" w:line="32" w:lineRule="exact"/>
        <w:rPr>
          <w:sz w:val="20"/>
          <w:szCs w:val="20"/>
          <w:color w:val="auto"/>
        </w:rPr>
      </w:pPr>
    </w:p>
    <w:p>
      <w:pPr>
        <w:ind w:left="268" w:right="599" w:hanging="268"/>
        <w:spacing w:after="0" w:line="272" w:lineRule="auto"/>
        <w:tabs>
          <w:tab w:leader="none" w:pos="268" w:val="left"/>
        </w:tabs>
        <w:numPr>
          <w:ilvl w:val="0"/>
          <w:numId w:val="32"/>
        </w:numPr>
        <w:rPr>
          <w:rFonts w:ascii="Arial" w:cs="Arial" w:eastAsia="Arial" w:hAnsi="Arial"/>
          <w:sz w:val="16"/>
          <w:szCs w:val="16"/>
          <w:color w:val="53C072"/>
        </w:rPr>
      </w:pPr>
      <w:r>
        <w:rPr>
          <w:rFonts w:ascii="Arial" w:cs="Arial" w:eastAsia="Arial" w:hAnsi="Arial"/>
          <w:sz w:val="16"/>
          <w:szCs w:val="16"/>
          <w:color w:val="auto"/>
        </w:rPr>
        <w:t>Overseeing the Company’s overall compensation structure, policies, and programs.</w:t>
      </w:r>
    </w:p>
    <w:p>
      <w:pPr>
        <w:spacing w:after="0" w:line="1" w:lineRule="exact"/>
        <w:rPr>
          <w:rFonts w:ascii="Arial" w:cs="Arial" w:eastAsia="Arial" w:hAnsi="Arial"/>
          <w:sz w:val="16"/>
          <w:szCs w:val="16"/>
          <w:color w:val="53C072"/>
        </w:rPr>
      </w:pPr>
    </w:p>
    <w:p>
      <w:pPr>
        <w:ind w:left="268" w:right="1239" w:hanging="268"/>
        <w:spacing w:after="0" w:line="272" w:lineRule="auto"/>
        <w:tabs>
          <w:tab w:leader="none" w:pos="268" w:val="left"/>
        </w:tabs>
        <w:numPr>
          <w:ilvl w:val="0"/>
          <w:numId w:val="32"/>
        </w:numPr>
        <w:rPr>
          <w:rFonts w:ascii="Arial" w:cs="Arial" w:eastAsia="Arial" w:hAnsi="Arial"/>
          <w:sz w:val="16"/>
          <w:szCs w:val="16"/>
          <w:color w:val="53C072"/>
        </w:rPr>
      </w:pPr>
      <w:r>
        <w:rPr>
          <w:rFonts w:ascii="Arial" w:cs="Arial" w:eastAsia="Arial" w:hAnsi="Arial"/>
          <w:sz w:val="16"/>
          <w:szCs w:val="16"/>
          <w:color w:val="auto"/>
        </w:rPr>
        <w:t>Assisting the Board in fulfilling its responsibilities with respect to administering the Company’s long-term incentive plan.</w:t>
      </w:r>
    </w:p>
    <w:p>
      <w:pPr>
        <w:spacing w:after="0" w:line="1" w:lineRule="exact"/>
        <w:rPr>
          <w:rFonts w:ascii="Arial" w:cs="Arial" w:eastAsia="Arial" w:hAnsi="Arial"/>
          <w:sz w:val="16"/>
          <w:szCs w:val="16"/>
          <w:color w:val="53C072"/>
        </w:rPr>
      </w:pPr>
    </w:p>
    <w:p>
      <w:pPr>
        <w:ind w:left="268" w:right="819" w:hanging="268"/>
        <w:spacing w:after="0" w:line="272" w:lineRule="auto"/>
        <w:tabs>
          <w:tab w:leader="none" w:pos="268" w:val="left"/>
        </w:tabs>
        <w:numPr>
          <w:ilvl w:val="0"/>
          <w:numId w:val="32"/>
        </w:numPr>
        <w:rPr>
          <w:rFonts w:ascii="Arial" w:cs="Arial" w:eastAsia="Arial" w:hAnsi="Arial"/>
          <w:sz w:val="16"/>
          <w:szCs w:val="16"/>
          <w:color w:val="53C072"/>
        </w:rPr>
      </w:pPr>
      <w:r>
        <w:rPr>
          <w:rFonts w:ascii="Arial" w:cs="Arial" w:eastAsia="Arial" w:hAnsi="Arial"/>
          <w:sz w:val="16"/>
          <w:szCs w:val="16"/>
          <w:color w:val="auto"/>
        </w:rPr>
        <w:t>Reviewing and approving compensation arrangements with executive officers.</w:t>
      </w:r>
    </w:p>
    <w:p>
      <w:pPr>
        <w:spacing w:after="0" w:line="1" w:lineRule="exact"/>
        <w:rPr>
          <w:rFonts w:ascii="Arial" w:cs="Arial" w:eastAsia="Arial" w:hAnsi="Arial"/>
          <w:sz w:val="16"/>
          <w:szCs w:val="16"/>
          <w:color w:val="53C072"/>
        </w:rPr>
      </w:pPr>
    </w:p>
    <w:p>
      <w:pPr>
        <w:ind w:left="268" w:right="359" w:hanging="268"/>
        <w:spacing w:after="0" w:line="272" w:lineRule="auto"/>
        <w:tabs>
          <w:tab w:leader="none" w:pos="268" w:val="left"/>
        </w:tabs>
        <w:numPr>
          <w:ilvl w:val="0"/>
          <w:numId w:val="32"/>
        </w:numPr>
        <w:rPr>
          <w:rFonts w:ascii="Arial" w:cs="Arial" w:eastAsia="Arial" w:hAnsi="Arial"/>
          <w:sz w:val="16"/>
          <w:szCs w:val="16"/>
          <w:color w:val="53C072"/>
        </w:rPr>
      </w:pPr>
      <w:r>
        <w:rPr>
          <w:rFonts w:ascii="Arial" w:cs="Arial" w:eastAsia="Arial" w:hAnsi="Arial"/>
          <w:sz w:val="16"/>
          <w:szCs w:val="16"/>
          <w:color w:val="auto"/>
        </w:rPr>
        <w:t>Evaluating CEO performance and recommending CEO compensation to the Board.</w:t>
      </w:r>
    </w:p>
    <w:p>
      <w:pPr>
        <w:spacing w:after="0" w:line="1" w:lineRule="exact"/>
        <w:rPr>
          <w:rFonts w:ascii="Arial" w:cs="Arial" w:eastAsia="Arial" w:hAnsi="Arial"/>
          <w:sz w:val="16"/>
          <w:szCs w:val="16"/>
          <w:color w:val="53C072"/>
        </w:rPr>
      </w:pPr>
    </w:p>
    <w:p>
      <w:pPr>
        <w:ind w:left="268" w:right="979" w:hanging="268"/>
        <w:spacing w:after="0" w:line="272" w:lineRule="auto"/>
        <w:tabs>
          <w:tab w:leader="none" w:pos="268" w:val="left"/>
        </w:tabs>
        <w:numPr>
          <w:ilvl w:val="0"/>
          <w:numId w:val="32"/>
        </w:numPr>
        <w:rPr>
          <w:rFonts w:ascii="Arial" w:cs="Arial" w:eastAsia="Arial" w:hAnsi="Arial"/>
          <w:sz w:val="16"/>
          <w:szCs w:val="16"/>
          <w:color w:val="53C072"/>
        </w:rPr>
      </w:pPr>
      <w:r>
        <w:rPr>
          <w:rFonts w:ascii="Arial" w:cs="Arial" w:eastAsia="Arial" w:hAnsi="Arial"/>
          <w:sz w:val="16"/>
          <w:szCs w:val="16"/>
          <w:color w:val="auto"/>
        </w:rPr>
        <w:t>Overseeing the Company’s policies and programs relating to talent, leadership, culture, diversity, equity and inclusion.</w:t>
      </w:r>
    </w:p>
    <w:p>
      <w:pPr>
        <w:spacing w:after="0" w:line="1" w:lineRule="exact"/>
        <w:rPr>
          <w:rFonts w:ascii="Arial" w:cs="Arial" w:eastAsia="Arial" w:hAnsi="Arial"/>
          <w:sz w:val="16"/>
          <w:szCs w:val="16"/>
          <w:color w:val="53C072"/>
        </w:rPr>
      </w:pPr>
    </w:p>
    <w:p>
      <w:pPr>
        <w:ind w:left="268" w:right="719" w:hanging="268"/>
        <w:spacing w:after="0" w:line="304" w:lineRule="auto"/>
        <w:tabs>
          <w:tab w:leader="none" w:pos="268" w:val="left"/>
        </w:tabs>
        <w:numPr>
          <w:ilvl w:val="0"/>
          <w:numId w:val="32"/>
        </w:numPr>
        <w:rPr>
          <w:rFonts w:ascii="Arial" w:cs="Arial" w:eastAsia="Arial" w:hAnsi="Arial"/>
          <w:sz w:val="16"/>
          <w:szCs w:val="16"/>
          <w:color w:val="53C072"/>
        </w:rPr>
      </w:pPr>
      <w:r>
        <w:rPr>
          <w:rFonts w:ascii="Arial" w:cs="Arial" w:eastAsia="Arial" w:hAnsi="Arial"/>
          <w:sz w:val="16"/>
          <w:szCs w:val="16"/>
          <w:color w:val="auto"/>
        </w:rPr>
        <w:t>Overseeing Director compensation and recommending any changes to Director compensation to the Board.</w:t>
      </w:r>
    </w:p>
    <w:p>
      <w:pPr>
        <w:spacing w:after="0" w:line="60" w:lineRule="exact"/>
        <w:rPr>
          <w:sz w:val="20"/>
          <w:szCs w:val="20"/>
          <w:color w:val="auto"/>
        </w:rPr>
      </w:pPr>
    </w:p>
    <w:p>
      <w:pPr>
        <w:ind w:left="8" w:right="319"/>
        <w:spacing w:after="0" w:line="275" w:lineRule="auto"/>
        <w:rPr>
          <w:sz w:val="20"/>
          <w:szCs w:val="20"/>
          <w:color w:val="auto"/>
        </w:rPr>
      </w:pPr>
      <w:r>
        <w:rPr>
          <w:rFonts w:ascii="Arial" w:cs="Arial" w:eastAsia="Arial" w:hAnsi="Arial"/>
          <w:sz w:val="16"/>
          <w:szCs w:val="16"/>
          <w:color w:val="auto"/>
        </w:rPr>
        <w:t>The Compensation and Leadership Development Committee’s objective is to establish and oversee a total compensation program that fairly and competitively rewards long-term performance and enhances shareholder value.</w:t>
      </w:r>
    </w:p>
    <w:p>
      <w:pPr>
        <w:spacing w:after="0" w:line="146" w:lineRule="exact"/>
        <w:rPr>
          <w:sz w:val="20"/>
          <w:szCs w:val="20"/>
          <w:color w:val="auto"/>
        </w:rPr>
      </w:pPr>
    </w:p>
    <w:p>
      <w:pPr>
        <w:sectPr>
          <w:pgSz w:w="11900" w:h="16838" w:orient="portrait"/>
          <w:cols w:equalWidth="0" w:num="2">
            <w:col w:w="3172" w:space="720"/>
            <w:col w:w="5987"/>
          </w:cols>
          <w:pgMar w:left="580" w:top="97" w:right="1440" w:bottom="1440" w:gutter="0" w:footer="0" w:header="0"/>
          <w:type w:val="continuous"/>
        </w:sectPr>
      </w:pPr>
    </w:p>
    <w:p>
      <w:pPr>
        <w:ind w:left="1000" w:right="259"/>
        <w:spacing w:after="0" w:line="255" w:lineRule="auto"/>
        <w:rPr>
          <w:sz w:val="20"/>
          <w:szCs w:val="20"/>
          <w:color w:val="auto"/>
        </w:rPr>
      </w:pPr>
      <w:r>
        <w:rPr>
          <w:rFonts w:ascii="Arial" w:cs="Arial" w:eastAsia="Arial" w:hAnsi="Arial"/>
          <w:sz w:val="18"/>
          <w:szCs w:val="18"/>
          <w:color w:val="auto"/>
        </w:rPr>
        <w:t>The Compensation and Leadership Development Committee has the authority to retain an independent executive compensation consultant to assist in evaluating compensation for the Company’s executive officers and Directors, and to help ensure that the committee’s actions are objective and appropriate. The committee has the sole authority to retain, at the Company’s expense, and terminate any such consultant, including the sole authority to approve such consultant’s fees and other terms of engagement. The committee retained Meridian Compensation Partners, LLC (“Meridian”) as the committee’s independent compensation consultant for fiscal 2024. The committee assessed the independence of Meridian pursuant to the SEC and Nasdaq rules and concluded that no conflict of interest existed that prevented, or will prevent, Meridian from being an independent consultant to the committee.</w:t>
      </w:r>
    </w:p>
    <w:p>
      <w:pPr>
        <w:spacing w:after="0" w:line="100" w:lineRule="exact"/>
        <w:rPr>
          <w:sz w:val="20"/>
          <w:szCs w:val="20"/>
          <w:color w:val="auto"/>
        </w:rPr>
      </w:pPr>
    </w:p>
    <w:p>
      <w:pPr>
        <w:ind w:left="1000" w:right="579"/>
        <w:spacing w:after="0" w:line="268" w:lineRule="auto"/>
        <w:rPr>
          <w:sz w:val="20"/>
          <w:szCs w:val="20"/>
          <w:color w:val="auto"/>
        </w:rPr>
      </w:pPr>
      <w:r>
        <w:rPr>
          <w:rFonts w:ascii="Arial" w:cs="Arial" w:eastAsia="Arial" w:hAnsi="Arial"/>
          <w:sz w:val="18"/>
          <w:szCs w:val="18"/>
          <w:color w:val="auto"/>
        </w:rPr>
        <w:t>All committee members meet the independence requirements of Nasdaq listing standards and the Board’s independence standards, and meet Nasdaq’s additional independence requirements for compensation committee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7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5020" w:type="dxa"/>
            <w:vAlign w:val="bottom"/>
            <w:vMerge w:val="restart"/>
          </w:tcPr>
          <w:p>
            <w:pPr>
              <w:ind w:left="2340"/>
              <w:spacing w:after="0"/>
              <w:rPr>
                <w:sz w:val="20"/>
                <w:szCs w:val="20"/>
                <w:color w:val="auto"/>
              </w:rPr>
            </w:pPr>
            <w:r>
              <w:rPr>
                <w:rFonts w:ascii="Arial" w:cs="Arial" w:eastAsia="Arial" w:hAnsi="Arial"/>
                <w:sz w:val="14"/>
                <w:szCs w:val="14"/>
                <w:color w:val="auto"/>
              </w:rPr>
              <w:t>The Board of Directors and its Committees</w:t>
            </w:r>
          </w:p>
        </w:tc>
        <w:tc>
          <w:tcPr>
            <w:tcW w:w="0" w:type="dxa"/>
            <w:vAlign w:val="bottom"/>
          </w:tcPr>
          <w:p>
            <w:pPr>
              <w:spacing w:after="0"/>
              <w:rPr>
                <w:sz w:val="1"/>
                <w:szCs w:val="1"/>
                <w:color w:val="auto"/>
              </w:rPr>
            </w:pPr>
          </w:p>
        </w:tc>
      </w:tr>
      <w:tr>
        <w:trPr>
          <w:trHeight w:val="89"/>
        </w:trPr>
        <w:tc>
          <w:tcPr>
            <w:tcW w:w="47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720" w:type="dxa"/>
            <w:vAlign w:val="bottom"/>
            <w:vMerge w:val="continue"/>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183515</wp:posOffset>
            </wp:positionV>
            <wp:extent cx="55549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pacing w:after="0" w:line="31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26035</wp:posOffset>
            </wp:positionV>
            <wp:extent cx="5554980" cy="1954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54980" cy="19545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8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Current Members:</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Avid Modjtabai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Rodney C. Adkins</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Brenda L. Freeman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Adalio T. Sanchez</w:t>
      </w:r>
    </w:p>
    <w:p>
      <w:pPr>
        <w:spacing w:after="0" w:line="111"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Meetings in fiscal 2024: 4</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Responsibilities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Corporate Governance Committee is charged with:</w:t>
      </w:r>
    </w:p>
    <w:p>
      <w:pPr>
        <w:spacing w:after="0" w:line="140" w:lineRule="exact"/>
        <w:rPr>
          <w:sz w:val="20"/>
          <w:szCs w:val="20"/>
          <w:color w:val="auto"/>
        </w:rPr>
      </w:pPr>
    </w:p>
    <w:p>
      <w:pPr>
        <w:ind w:left="268" w:right="259" w:hanging="268"/>
        <w:spacing w:after="0" w:line="264" w:lineRule="auto"/>
        <w:tabs>
          <w:tab w:leader="none" w:pos="268" w:val="left"/>
        </w:tabs>
        <w:numPr>
          <w:ilvl w:val="0"/>
          <w:numId w:val="33"/>
        </w:numPr>
        <w:rPr>
          <w:rFonts w:ascii="Arial" w:cs="Arial" w:eastAsia="Arial" w:hAnsi="Arial"/>
          <w:sz w:val="16"/>
          <w:szCs w:val="16"/>
          <w:color w:val="53C072"/>
        </w:rPr>
      </w:pPr>
      <w:r>
        <w:rPr>
          <w:rFonts w:ascii="Arial" w:cs="Arial" w:eastAsia="Arial" w:hAnsi="Arial"/>
          <w:sz w:val="16"/>
          <w:szCs w:val="16"/>
          <w:color w:val="auto"/>
        </w:rPr>
        <w:t>Identifying, screening, and recommending appropriate candidates to serve as directors.</w:t>
      </w:r>
    </w:p>
    <w:p>
      <w:pPr>
        <w:ind w:left="268" w:hanging="268"/>
        <w:spacing w:after="0"/>
        <w:tabs>
          <w:tab w:leader="none" w:pos="268" w:val="left"/>
        </w:tabs>
        <w:numPr>
          <w:ilvl w:val="0"/>
          <w:numId w:val="33"/>
        </w:numPr>
        <w:rPr>
          <w:rFonts w:ascii="Arial" w:cs="Arial" w:eastAsia="Arial" w:hAnsi="Arial"/>
          <w:sz w:val="16"/>
          <w:szCs w:val="16"/>
          <w:color w:val="53C072"/>
        </w:rPr>
      </w:pPr>
      <w:r>
        <w:rPr>
          <w:rFonts w:ascii="Arial" w:cs="Arial" w:eastAsia="Arial" w:hAnsi="Arial"/>
          <w:sz w:val="16"/>
          <w:szCs w:val="16"/>
          <w:color w:val="auto"/>
        </w:rPr>
        <w:t>Reviewing the Company’s succession plans, including CEO succession.</w:t>
      </w:r>
    </w:p>
    <w:p>
      <w:pPr>
        <w:spacing w:after="0" w:line="30" w:lineRule="exact"/>
        <w:rPr>
          <w:rFonts w:ascii="Arial" w:cs="Arial" w:eastAsia="Arial" w:hAnsi="Arial"/>
          <w:sz w:val="16"/>
          <w:szCs w:val="16"/>
          <w:color w:val="53C072"/>
        </w:rPr>
      </w:pPr>
    </w:p>
    <w:p>
      <w:pPr>
        <w:ind w:left="268" w:right="839" w:hanging="268"/>
        <w:spacing w:after="0" w:line="265" w:lineRule="auto"/>
        <w:tabs>
          <w:tab w:leader="none" w:pos="268" w:val="left"/>
        </w:tabs>
        <w:numPr>
          <w:ilvl w:val="0"/>
          <w:numId w:val="33"/>
        </w:numPr>
        <w:rPr>
          <w:rFonts w:ascii="Arial" w:cs="Arial" w:eastAsia="Arial" w:hAnsi="Arial"/>
          <w:sz w:val="16"/>
          <w:szCs w:val="16"/>
          <w:color w:val="53C072"/>
        </w:rPr>
      </w:pPr>
      <w:r>
        <w:rPr>
          <w:rFonts w:ascii="Arial" w:cs="Arial" w:eastAsia="Arial" w:hAnsi="Arial"/>
          <w:sz w:val="16"/>
          <w:szCs w:val="16"/>
          <w:color w:val="auto"/>
        </w:rPr>
        <w:t>Overseeing the process for evaluating the Board, its committees, and management.</w:t>
      </w:r>
    </w:p>
    <w:p>
      <w:pPr>
        <w:ind w:left="268" w:right="719" w:hanging="268"/>
        <w:spacing w:after="0" w:line="272" w:lineRule="auto"/>
        <w:tabs>
          <w:tab w:leader="none" w:pos="268" w:val="left"/>
        </w:tabs>
        <w:numPr>
          <w:ilvl w:val="0"/>
          <w:numId w:val="33"/>
        </w:numPr>
        <w:rPr>
          <w:rFonts w:ascii="Arial" w:cs="Arial" w:eastAsia="Arial" w:hAnsi="Arial"/>
          <w:sz w:val="16"/>
          <w:szCs w:val="16"/>
          <w:color w:val="53C072"/>
        </w:rPr>
      </w:pPr>
      <w:r>
        <w:rPr>
          <w:rFonts w:ascii="Arial" w:cs="Arial" w:eastAsia="Arial" w:hAnsi="Arial"/>
          <w:sz w:val="16"/>
          <w:szCs w:val="16"/>
          <w:color w:val="auto"/>
        </w:rPr>
        <w:t>Making recommendations with respect to corporate governance issues affecting the Board and the Company.</w:t>
      </w:r>
    </w:p>
    <w:p>
      <w:pPr>
        <w:ind w:left="268" w:hanging="268"/>
        <w:spacing w:after="0"/>
        <w:tabs>
          <w:tab w:leader="none" w:pos="268" w:val="left"/>
        </w:tabs>
        <w:numPr>
          <w:ilvl w:val="0"/>
          <w:numId w:val="33"/>
        </w:numPr>
        <w:rPr>
          <w:rFonts w:ascii="Arial" w:cs="Arial" w:eastAsia="Arial" w:hAnsi="Arial"/>
          <w:sz w:val="16"/>
          <w:szCs w:val="16"/>
          <w:color w:val="53C072"/>
        </w:rPr>
      </w:pPr>
      <w:r>
        <w:rPr>
          <w:rFonts w:ascii="Arial" w:cs="Arial" w:eastAsia="Arial" w:hAnsi="Arial"/>
          <w:sz w:val="16"/>
          <w:szCs w:val="16"/>
          <w:color w:val="auto"/>
        </w:rPr>
        <w:t>Overseeing director orientation and continuing education programs.</w:t>
      </w:r>
    </w:p>
    <w:p>
      <w:pPr>
        <w:spacing w:after="0" w:line="18" w:lineRule="exact"/>
        <w:rPr>
          <w:rFonts w:ascii="Arial" w:cs="Arial" w:eastAsia="Arial" w:hAnsi="Arial"/>
          <w:sz w:val="16"/>
          <w:szCs w:val="16"/>
          <w:color w:val="53C072"/>
        </w:rPr>
      </w:pPr>
    </w:p>
    <w:p>
      <w:pPr>
        <w:ind w:left="268" w:hanging="268"/>
        <w:spacing w:after="0"/>
        <w:tabs>
          <w:tab w:leader="none" w:pos="268" w:val="left"/>
        </w:tabs>
        <w:numPr>
          <w:ilvl w:val="0"/>
          <w:numId w:val="33"/>
        </w:numPr>
        <w:rPr>
          <w:rFonts w:ascii="Arial" w:cs="Arial" w:eastAsia="Arial" w:hAnsi="Arial"/>
          <w:sz w:val="16"/>
          <w:szCs w:val="16"/>
          <w:color w:val="53C072"/>
        </w:rPr>
      </w:pPr>
      <w:r>
        <w:rPr>
          <w:rFonts w:ascii="Arial" w:cs="Arial" w:eastAsia="Arial" w:hAnsi="Arial"/>
          <w:sz w:val="16"/>
          <w:szCs w:val="16"/>
          <w:color w:val="auto"/>
        </w:rPr>
        <w:t>Overseeing the Company’s ESG program and initiatives.</w:t>
      </w:r>
    </w:p>
    <w:p>
      <w:pPr>
        <w:spacing w:after="0" w:line="114" w:lineRule="exact"/>
        <w:rPr>
          <w:sz w:val="20"/>
          <w:szCs w:val="20"/>
          <w:color w:val="auto"/>
        </w:rPr>
      </w:pPr>
    </w:p>
    <w:p>
      <w:pPr>
        <w:ind w:left="8" w:right="759"/>
        <w:spacing w:after="0" w:line="286" w:lineRule="auto"/>
        <w:rPr>
          <w:sz w:val="20"/>
          <w:szCs w:val="20"/>
          <w:color w:val="auto"/>
        </w:rPr>
      </w:pPr>
      <w:r>
        <w:rPr>
          <w:rFonts w:ascii="Arial" w:cs="Arial" w:eastAsia="Arial" w:hAnsi="Arial"/>
          <w:sz w:val="16"/>
          <w:szCs w:val="16"/>
          <w:color w:val="auto"/>
        </w:rPr>
        <w:t>Please see “Corporate Governance — Director Nominations” for additional information on the Corporate Governance Committee.</w:t>
      </w:r>
    </w:p>
    <w:p>
      <w:pPr>
        <w:spacing w:after="0" w:line="137" w:lineRule="exact"/>
        <w:rPr>
          <w:sz w:val="20"/>
          <w:szCs w:val="20"/>
          <w:color w:val="auto"/>
        </w:rPr>
      </w:pPr>
    </w:p>
    <w:p>
      <w:pPr>
        <w:sectPr>
          <w:pgSz w:w="11900" w:h="16838" w:orient="portrait"/>
          <w:cols w:equalWidth="0" w:num="2">
            <w:col w:w="3172" w:space="720"/>
            <w:col w:w="5987"/>
          </w:cols>
          <w:pgMar w:left="580" w:top="97" w:right="1440" w:bottom="1440" w:gutter="0" w:footer="0" w:header="0"/>
          <w:type w:val="continuous"/>
        </w:sectPr>
      </w:pPr>
    </w:p>
    <w:p>
      <w:pPr>
        <w:ind w:left="1000" w:right="799"/>
        <w:spacing w:after="0" w:line="287" w:lineRule="auto"/>
        <w:rPr>
          <w:sz w:val="20"/>
          <w:szCs w:val="20"/>
          <w:color w:val="auto"/>
        </w:rPr>
      </w:pPr>
      <w:r>
        <w:rPr>
          <w:rFonts w:ascii="Arial" w:cs="Arial" w:eastAsia="Arial" w:hAnsi="Arial"/>
          <w:sz w:val="18"/>
          <w:szCs w:val="18"/>
          <w:color w:val="auto"/>
        </w:rPr>
        <w:t>All Corporate Governance Committee members meet the independence requirements of Nasdaq listing standards and the Board’s independence standards.</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174625</wp:posOffset>
            </wp:positionV>
            <wp:extent cx="55549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24"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FFFFFF"/>
        </w:rPr>
        <w:t>FINANCE COMMITTEE</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Current Members:</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Oleg Khaykin (Chair)</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Carlo Bozotti</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Jo Ann Jenkins</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James A. Lawrence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Ernest E. Maddock</w:t>
      </w:r>
    </w:p>
    <w:p>
      <w:pPr>
        <w:spacing w:after="0" w:line="97"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Meetings in fiscal 2024: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-132715</wp:posOffset>
            </wp:positionV>
            <wp:extent cx="5554980" cy="18859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54980" cy="1885950"/>
                    </a:xfrm>
                    <a:prstGeom prst="rect">
                      <a:avLst/>
                    </a:prstGeom>
                    <a:noFill/>
                  </pic:spPr>
                </pic:pic>
              </a:graphicData>
            </a:graphic>
          </wp:anchor>
        </w:drawing>
      </w:r>
    </w:p>
    <w:p>
      <w:pPr>
        <w:spacing w:after="0" w:line="93"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Finance Committee is charged with:</w:t>
      </w:r>
    </w:p>
    <w:p>
      <w:pPr>
        <w:spacing w:after="0" w:line="127" w:lineRule="exact"/>
        <w:rPr>
          <w:sz w:val="20"/>
          <w:szCs w:val="20"/>
          <w:color w:val="auto"/>
        </w:rPr>
      </w:pPr>
    </w:p>
    <w:p>
      <w:pPr>
        <w:ind w:left="268" w:hanging="268"/>
        <w:spacing w:after="0"/>
        <w:tabs>
          <w:tab w:leader="none" w:pos="268" w:val="left"/>
        </w:tabs>
        <w:numPr>
          <w:ilvl w:val="0"/>
          <w:numId w:val="34"/>
        </w:numPr>
        <w:rPr>
          <w:rFonts w:ascii="Arial" w:cs="Arial" w:eastAsia="Arial" w:hAnsi="Arial"/>
          <w:sz w:val="16"/>
          <w:szCs w:val="16"/>
          <w:color w:val="53C072"/>
        </w:rPr>
      </w:pPr>
      <w:r>
        <w:rPr>
          <w:rFonts w:ascii="Arial" w:cs="Arial" w:eastAsia="Arial" w:hAnsi="Arial"/>
          <w:sz w:val="16"/>
          <w:szCs w:val="16"/>
          <w:color w:val="auto"/>
        </w:rPr>
        <w:t>Assisting the Board with overseeing financial matters.</w:t>
      </w:r>
    </w:p>
    <w:p>
      <w:pPr>
        <w:spacing w:after="0" w:line="30" w:lineRule="exact"/>
        <w:rPr>
          <w:rFonts w:ascii="Arial" w:cs="Arial" w:eastAsia="Arial" w:hAnsi="Arial"/>
          <w:sz w:val="16"/>
          <w:szCs w:val="16"/>
          <w:color w:val="53C072"/>
        </w:rPr>
      </w:pPr>
    </w:p>
    <w:p>
      <w:pPr>
        <w:ind w:left="268" w:right="639" w:hanging="268"/>
        <w:spacing w:after="0" w:line="264" w:lineRule="auto"/>
        <w:tabs>
          <w:tab w:leader="none" w:pos="268" w:val="left"/>
        </w:tabs>
        <w:numPr>
          <w:ilvl w:val="0"/>
          <w:numId w:val="34"/>
        </w:numPr>
        <w:rPr>
          <w:rFonts w:ascii="Arial" w:cs="Arial" w:eastAsia="Arial" w:hAnsi="Arial"/>
          <w:sz w:val="16"/>
          <w:szCs w:val="16"/>
          <w:color w:val="53C072"/>
        </w:rPr>
      </w:pPr>
      <w:r>
        <w:rPr>
          <w:rFonts w:ascii="Arial" w:cs="Arial" w:eastAsia="Arial" w:hAnsi="Arial"/>
          <w:sz w:val="16"/>
          <w:szCs w:val="16"/>
          <w:color w:val="auto"/>
        </w:rPr>
        <w:t>Reviewing and providing guidance to the Board and management about capital allocation, capital structure, mergers and acquisitions, financial strategies, capital markets, and share buybacks.</w:t>
      </w:r>
    </w:p>
    <w:p>
      <w:pPr>
        <w:spacing w:after="0" w:line="1" w:lineRule="exact"/>
        <w:rPr>
          <w:rFonts w:ascii="Arial" w:cs="Arial" w:eastAsia="Arial" w:hAnsi="Arial"/>
          <w:sz w:val="16"/>
          <w:szCs w:val="16"/>
          <w:color w:val="53C072"/>
        </w:rPr>
      </w:pPr>
    </w:p>
    <w:p>
      <w:pPr>
        <w:ind w:left="268" w:right="759" w:hanging="268"/>
        <w:spacing w:after="0" w:line="264" w:lineRule="auto"/>
        <w:tabs>
          <w:tab w:leader="none" w:pos="268" w:val="left"/>
        </w:tabs>
        <w:numPr>
          <w:ilvl w:val="0"/>
          <w:numId w:val="34"/>
        </w:numPr>
        <w:rPr>
          <w:rFonts w:ascii="Arial" w:cs="Arial" w:eastAsia="Arial" w:hAnsi="Arial"/>
          <w:sz w:val="16"/>
          <w:szCs w:val="16"/>
          <w:color w:val="53C072"/>
        </w:rPr>
      </w:pPr>
      <w:r>
        <w:rPr>
          <w:rFonts w:ascii="Arial" w:cs="Arial" w:eastAsia="Arial" w:hAnsi="Arial"/>
          <w:sz w:val="16"/>
          <w:szCs w:val="16"/>
          <w:color w:val="auto"/>
        </w:rPr>
        <w:t>Approving secured borrowings, loans, and credit facilities, for amounts exceeding management’s delegated authority up to the committee’s delegated authority.</w:t>
      </w:r>
    </w:p>
    <w:p>
      <w:pPr>
        <w:ind w:left="268" w:right="559" w:hanging="268"/>
        <w:spacing w:after="0" w:line="272" w:lineRule="auto"/>
        <w:tabs>
          <w:tab w:leader="none" w:pos="268" w:val="left"/>
        </w:tabs>
        <w:numPr>
          <w:ilvl w:val="0"/>
          <w:numId w:val="34"/>
        </w:numPr>
        <w:rPr>
          <w:rFonts w:ascii="Arial" w:cs="Arial" w:eastAsia="Arial" w:hAnsi="Arial"/>
          <w:sz w:val="16"/>
          <w:szCs w:val="16"/>
          <w:color w:val="53C072"/>
        </w:rPr>
      </w:pPr>
      <w:r>
        <w:rPr>
          <w:rFonts w:ascii="Arial" w:cs="Arial" w:eastAsia="Arial" w:hAnsi="Arial"/>
          <w:sz w:val="16"/>
          <w:szCs w:val="16"/>
          <w:color w:val="auto"/>
        </w:rPr>
        <w:t>Approving real estate transactions for amounts exceeding management’s delegated authority.</w:t>
      </w:r>
    </w:p>
    <w:p>
      <w:pPr>
        <w:spacing w:after="0" w:line="1" w:lineRule="exact"/>
        <w:rPr>
          <w:rFonts w:ascii="Arial" w:cs="Arial" w:eastAsia="Arial" w:hAnsi="Arial"/>
          <w:sz w:val="16"/>
          <w:szCs w:val="16"/>
          <w:color w:val="53C072"/>
        </w:rPr>
      </w:pPr>
    </w:p>
    <w:p>
      <w:pPr>
        <w:ind w:left="268" w:right="899" w:hanging="268"/>
        <w:spacing w:after="0" w:line="304" w:lineRule="auto"/>
        <w:tabs>
          <w:tab w:leader="none" w:pos="268" w:val="left"/>
        </w:tabs>
        <w:numPr>
          <w:ilvl w:val="0"/>
          <w:numId w:val="34"/>
        </w:numPr>
        <w:rPr>
          <w:rFonts w:ascii="Arial" w:cs="Arial" w:eastAsia="Arial" w:hAnsi="Arial"/>
          <w:sz w:val="16"/>
          <w:szCs w:val="16"/>
          <w:color w:val="53C072"/>
        </w:rPr>
      </w:pPr>
      <w:r>
        <w:rPr>
          <w:rFonts w:ascii="Arial" w:cs="Arial" w:eastAsia="Arial" w:hAnsi="Arial"/>
          <w:sz w:val="16"/>
          <w:szCs w:val="16"/>
          <w:color w:val="auto"/>
        </w:rPr>
        <w:t>Approving company guarantees and similar instruments for amounts exceeding management’s delegated authority.</w:t>
      </w:r>
    </w:p>
    <w:p>
      <w:pPr>
        <w:spacing w:after="0" w:line="110" w:lineRule="exact"/>
        <w:rPr>
          <w:sz w:val="20"/>
          <w:szCs w:val="20"/>
          <w:color w:val="auto"/>
        </w:rPr>
      </w:pPr>
    </w:p>
    <w:p>
      <w:pPr>
        <w:sectPr>
          <w:pgSz w:w="11900" w:h="16838" w:orient="portrait"/>
          <w:cols w:equalWidth="0" w:num="2">
            <w:col w:w="3172" w:space="720"/>
            <w:col w:w="5987"/>
          </w:cols>
          <w:pgMar w:left="580" w:top="97" w:right="1440" w:bottom="1440" w:gutter="0" w:footer="0" w:header="0"/>
          <w:type w:val="continuous"/>
        </w:sectPr>
      </w:pPr>
    </w:p>
    <w:p>
      <w:pPr>
        <w:ind w:left="1000" w:right="519"/>
        <w:spacing w:after="0" w:line="287" w:lineRule="auto"/>
        <w:rPr>
          <w:sz w:val="20"/>
          <w:szCs w:val="20"/>
          <w:color w:val="auto"/>
        </w:rPr>
      </w:pPr>
      <w:r>
        <w:rPr>
          <w:rFonts w:ascii="Arial" w:cs="Arial" w:eastAsia="Arial" w:hAnsi="Arial"/>
          <w:sz w:val="18"/>
          <w:szCs w:val="18"/>
          <w:color w:val="auto"/>
        </w:rPr>
        <w:t>All Finance Committee members meet the independence requirements of Nasdaq listing standards and the Board’s independence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28     </w:t>
      </w:r>
      <w:r>
        <w:rPr>
          <w:sz w:val="1"/>
          <w:szCs w:val="1"/>
          <w:color w:val="auto"/>
        </w:rPr>
        <w:drawing>
          <wp:inline distT="0" distB="0" distL="0" distR="0">
            <wp:extent cx="1242695" cy="24003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7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5020" w:type="dxa"/>
            <w:vAlign w:val="bottom"/>
            <w:vMerge w:val="restart"/>
          </w:tcPr>
          <w:p>
            <w:pPr>
              <w:ind w:left="2340"/>
              <w:spacing w:after="0"/>
              <w:rPr>
                <w:sz w:val="20"/>
                <w:szCs w:val="20"/>
                <w:color w:val="auto"/>
              </w:rPr>
            </w:pPr>
            <w:r>
              <w:rPr>
                <w:rFonts w:ascii="Arial" w:cs="Arial" w:eastAsia="Arial" w:hAnsi="Arial"/>
                <w:sz w:val="14"/>
                <w:szCs w:val="14"/>
                <w:color w:val="auto"/>
              </w:rPr>
              <w:t>The Board of Directors and its Committees</w:t>
            </w:r>
          </w:p>
        </w:tc>
        <w:tc>
          <w:tcPr>
            <w:tcW w:w="0" w:type="dxa"/>
            <w:vAlign w:val="bottom"/>
          </w:tcPr>
          <w:p>
            <w:pPr>
              <w:spacing w:after="0"/>
              <w:rPr>
                <w:sz w:val="1"/>
                <w:szCs w:val="1"/>
                <w:color w:val="auto"/>
              </w:rPr>
            </w:pPr>
          </w:p>
        </w:tc>
      </w:tr>
      <w:tr>
        <w:trPr>
          <w:trHeight w:val="89"/>
        </w:trPr>
        <w:tc>
          <w:tcPr>
            <w:tcW w:w="47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720" w:type="dxa"/>
            <w:vAlign w:val="bottom"/>
            <w:vMerge w:val="continue"/>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183515</wp:posOffset>
            </wp:positionV>
            <wp:extent cx="55549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549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FFFFFF"/>
        </w:rPr>
        <w:t>EXECUTIVE COMMITTEE</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Members:</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Rodney C. Adkins (Chair)</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Jo Ann Jenkins</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Oleg Khaykin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Ernest E. Maddock</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Avid Modjtabai</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Meetings in fiscal 2024: 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-132715</wp:posOffset>
            </wp:positionV>
            <wp:extent cx="5554980" cy="19716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54980" cy="1971675"/>
                    </a:xfrm>
                    <a:prstGeom prst="rect">
                      <a:avLst/>
                    </a:prstGeom>
                    <a:noFill/>
                  </pic:spPr>
                </pic:pic>
              </a:graphicData>
            </a:graphic>
          </wp:anchor>
        </w:drawing>
      </w:r>
    </w:p>
    <w:p>
      <w:pPr>
        <w:spacing w:after="0" w:line="107" w:lineRule="exact"/>
        <w:rPr>
          <w:sz w:val="20"/>
          <w:szCs w:val="20"/>
          <w:color w:val="auto"/>
        </w:rPr>
      </w:pPr>
    </w:p>
    <w:p>
      <w:pPr>
        <w:ind w:left="8" w:right="419"/>
        <w:spacing w:after="0" w:line="261" w:lineRule="auto"/>
        <w:rPr>
          <w:sz w:val="20"/>
          <w:szCs w:val="20"/>
          <w:color w:val="auto"/>
        </w:rPr>
      </w:pPr>
      <w:r>
        <w:rPr>
          <w:rFonts w:ascii="Arial" w:cs="Arial" w:eastAsia="Arial" w:hAnsi="Arial"/>
          <w:sz w:val="16"/>
          <w:szCs w:val="16"/>
          <w:color w:val="auto"/>
        </w:rPr>
        <w:t>The Board established the Executive Committee to exercise the powers and authority of the Board during the intervals between Board meetings when the Chair of the Board determines that convening a special Board meeting is not warranted. The Executive Committee may exercise the powers and authority of the Board except those not permitted by law or the Company’s Bylaws, or as specifically limited by the Board.</w:t>
      </w:r>
    </w:p>
    <w:p>
      <w:pPr>
        <w:spacing w:after="0" w:line="95"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Therefore, the Executive Committee does not have the authority to:</w:t>
      </w:r>
    </w:p>
    <w:p>
      <w:pPr>
        <w:spacing w:after="0" w:line="21" w:lineRule="exact"/>
        <w:rPr>
          <w:sz w:val="20"/>
          <w:szCs w:val="20"/>
          <w:color w:val="auto"/>
        </w:rPr>
      </w:pPr>
    </w:p>
    <w:p>
      <w:pPr>
        <w:ind w:left="268" w:hanging="268"/>
        <w:spacing w:after="0"/>
        <w:tabs>
          <w:tab w:leader="none" w:pos="268" w:val="left"/>
        </w:tabs>
        <w:numPr>
          <w:ilvl w:val="0"/>
          <w:numId w:val="35"/>
        </w:numPr>
        <w:rPr>
          <w:rFonts w:ascii="Arial" w:cs="Arial" w:eastAsia="Arial" w:hAnsi="Arial"/>
          <w:sz w:val="16"/>
          <w:szCs w:val="16"/>
          <w:color w:val="53C072"/>
        </w:rPr>
      </w:pPr>
      <w:r>
        <w:rPr>
          <w:rFonts w:ascii="Arial" w:cs="Arial" w:eastAsia="Arial" w:hAnsi="Arial"/>
          <w:sz w:val="16"/>
          <w:szCs w:val="16"/>
          <w:color w:val="auto"/>
        </w:rPr>
        <w:t>Submit to shareholders any action that requires shareholders’ approval;</w:t>
      </w:r>
    </w:p>
    <w:p>
      <w:pPr>
        <w:spacing w:after="0" w:line="14" w:lineRule="exact"/>
        <w:rPr>
          <w:rFonts w:ascii="Arial" w:cs="Arial" w:eastAsia="Arial" w:hAnsi="Arial"/>
          <w:sz w:val="16"/>
          <w:szCs w:val="16"/>
          <w:color w:val="53C072"/>
        </w:rPr>
      </w:pPr>
    </w:p>
    <w:p>
      <w:pPr>
        <w:ind w:left="268" w:hanging="268"/>
        <w:spacing w:after="0"/>
        <w:tabs>
          <w:tab w:leader="none" w:pos="268" w:val="left"/>
        </w:tabs>
        <w:numPr>
          <w:ilvl w:val="0"/>
          <w:numId w:val="35"/>
        </w:numPr>
        <w:rPr>
          <w:rFonts w:ascii="Arial" w:cs="Arial" w:eastAsia="Arial" w:hAnsi="Arial"/>
          <w:sz w:val="16"/>
          <w:szCs w:val="16"/>
          <w:color w:val="53C072"/>
        </w:rPr>
      </w:pPr>
      <w:r>
        <w:rPr>
          <w:rFonts w:ascii="Arial" w:cs="Arial" w:eastAsia="Arial" w:hAnsi="Arial"/>
          <w:sz w:val="16"/>
          <w:szCs w:val="16"/>
          <w:color w:val="auto"/>
        </w:rPr>
        <w:t>Fill vacancies in the Board or any committee;</w:t>
      </w:r>
    </w:p>
    <w:p>
      <w:pPr>
        <w:spacing w:after="0" w:line="8" w:lineRule="exact"/>
        <w:rPr>
          <w:rFonts w:ascii="Arial" w:cs="Arial" w:eastAsia="Arial" w:hAnsi="Arial"/>
          <w:sz w:val="16"/>
          <w:szCs w:val="16"/>
          <w:color w:val="53C072"/>
        </w:rPr>
      </w:pPr>
    </w:p>
    <w:p>
      <w:pPr>
        <w:ind w:left="268" w:hanging="268"/>
        <w:spacing w:after="0"/>
        <w:tabs>
          <w:tab w:leader="none" w:pos="268" w:val="left"/>
        </w:tabs>
        <w:numPr>
          <w:ilvl w:val="0"/>
          <w:numId w:val="35"/>
        </w:numPr>
        <w:rPr>
          <w:rFonts w:ascii="Arial" w:cs="Arial" w:eastAsia="Arial" w:hAnsi="Arial"/>
          <w:sz w:val="16"/>
          <w:szCs w:val="16"/>
          <w:color w:val="53C072"/>
        </w:rPr>
      </w:pPr>
      <w:r>
        <w:rPr>
          <w:rFonts w:ascii="Arial" w:cs="Arial" w:eastAsia="Arial" w:hAnsi="Arial"/>
          <w:sz w:val="16"/>
          <w:szCs w:val="16"/>
          <w:color w:val="auto"/>
        </w:rPr>
        <w:t>Fix compensation for Directors serving on the Board or any committee;</w:t>
      </w:r>
    </w:p>
    <w:p>
      <w:pPr>
        <w:spacing w:after="0" w:line="5" w:lineRule="exact"/>
        <w:rPr>
          <w:rFonts w:ascii="Arial" w:cs="Arial" w:eastAsia="Arial" w:hAnsi="Arial"/>
          <w:sz w:val="16"/>
          <w:szCs w:val="16"/>
          <w:color w:val="53C072"/>
        </w:rPr>
      </w:pPr>
    </w:p>
    <w:p>
      <w:pPr>
        <w:ind w:left="268" w:hanging="268"/>
        <w:spacing w:after="0"/>
        <w:tabs>
          <w:tab w:leader="none" w:pos="268" w:val="left"/>
        </w:tabs>
        <w:numPr>
          <w:ilvl w:val="0"/>
          <w:numId w:val="35"/>
        </w:numPr>
        <w:rPr>
          <w:rFonts w:ascii="Arial" w:cs="Arial" w:eastAsia="Arial" w:hAnsi="Arial"/>
          <w:sz w:val="16"/>
          <w:szCs w:val="16"/>
          <w:color w:val="53C072"/>
        </w:rPr>
      </w:pPr>
      <w:r>
        <w:rPr>
          <w:rFonts w:ascii="Arial" w:cs="Arial" w:eastAsia="Arial" w:hAnsi="Arial"/>
          <w:sz w:val="16"/>
          <w:szCs w:val="16"/>
          <w:color w:val="auto"/>
        </w:rPr>
        <w:t>Amend or repeal the By-Laws or adopt new bylaws; or</w:t>
      </w:r>
    </w:p>
    <w:p>
      <w:pPr>
        <w:spacing w:after="0" w:line="16" w:lineRule="exact"/>
        <w:rPr>
          <w:rFonts w:ascii="Arial" w:cs="Arial" w:eastAsia="Arial" w:hAnsi="Arial"/>
          <w:sz w:val="16"/>
          <w:szCs w:val="16"/>
          <w:color w:val="53C072"/>
        </w:rPr>
      </w:pPr>
    </w:p>
    <w:p>
      <w:pPr>
        <w:ind w:left="268" w:right="1019" w:hanging="268"/>
        <w:spacing w:after="0" w:line="286" w:lineRule="auto"/>
        <w:tabs>
          <w:tab w:leader="none" w:pos="268" w:val="left"/>
        </w:tabs>
        <w:numPr>
          <w:ilvl w:val="0"/>
          <w:numId w:val="35"/>
        </w:numPr>
        <w:rPr>
          <w:rFonts w:ascii="Arial" w:cs="Arial" w:eastAsia="Arial" w:hAnsi="Arial"/>
          <w:sz w:val="16"/>
          <w:szCs w:val="16"/>
          <w:color w:val="53C072"/>
        </w:rPr>
      </w:pPr>
      <w:r>
        <w:rPr>
          <w:rFonts w:ascii="Arial" w:cs="Arial" w:eastAsia="Arial" w:hAnsi="Arial"/>
          <w:sz w:val="16"/>
          <w:szCs w:val="16"/>
          <w:color w:val="auto"/>
        </w:rPr>
        <w:t>Amend or repeal any Board resolutions which, by its terms, are not amendable or repealable.</w:t>
      </w:r>
    </w:p>
    <w:p>
      <w:pPr>
        <w:spacing w:after="0" w:line="137" w:lineRule="exact"/>
        <w:rPr>
          <w:sz w:val="20"/>
          <w:szCs w:val="20"/>
          <w:color w:val="auto"/>
        </w:rPr>
      </w:pPr>
    </w:p>
    <w:p>
      <w:pPr>
        <w:sectPr>
          <w:pgSz w:w="11900" w:h="16838" w:orient="portrait"/>
          <w:cols w:equalWidth="0" w:num="2">
            <w:col w:w="3200" w:space="692"/>
            <w:col w:w="5987"/>
          </w:cols>
          <w:pgMar w:left="580" w:top="97" w:right="1440" w:bottom="1440" w:gutter="0" w:footer="0" w:header="0"/>
          <w:type w:val="continuous"/>
        </w:sectPr>
      </w:pPr>
    </w:p>
    <w:p>
      <w:pPr>
        <w:ind w:left="1000" w:right="379"/>
        <w:spacing w:after="0" w:line="287" w:lineRule="auto"/>
        <w:rPr>
          <w:sz w:val="20"/>
          <w:szCs w:val="20"/>
          <w:color w:val="auto"/>
        </w:rPr>
      </w:pPr>
      <w:r>
        <w:rPr>
          <w:rFonts w:ascii="Arial" w:cs="Arial" w:eastAsia="Arial" w:hAnsi="Arial"/>
          <w:sz w:val="18"/>
          <w:szCs w:val="18"/>
          <w:color w:val="auto"/>
        </w:rPr>
        <w:t>All Executive Committee members meet the independence requirements of Nasdaq listing standards and the Board’s independence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20"/>
        <w:spacing w:after="0"/>
        <w:rPr>
          <w:sz w:val="20"/>
          <w:szCs w:val="20"/>
          <w:color w:val="auto"/>
        </w:rPr>
      </w:pPr>
      <w:r>
        <w:rPr>
          <w:rFonts w:ascii="Arial" w:cs="Arial" w:eastAsia="Arial" w:hAnsi="Arial"/>
          <w:sz w:val="40"/>
          <w:szCs w:val="40"/>
          <w:b w:val="1"/>
          <w:bCs w:val="1"/>
          <w:color w:val="FEFEFE"/>
        </w:rPr>
        <w:t>DIRECTOR COMPENSATION</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199"/>
        <w:spacing w:after="0" w:line="275" w:lineRule="auto"/>
        <w:rPr>
          <w:sz w:val="20"/>
          <w:szCs w:val="20"/>
          <w:color w:val="auto"/>
        </w:rPr>
      </w:pPr>
      <w:r>
        <w:rPr>
          <w:rFonts w:ascii="Arial" w:cs="Arial" w:eastAsia="Arial" w:hAnsi="Arial"/>
          <w:sz w:val="17"/>
          <w:szCs w:val="17"/>
          <w:color w:val="auto"/>
        </w:rPr>
        <w:t>The single employee Director did not receive any special or additional remuneration for service on the Board. Upon the recommendations of the Compensation and Leadership Development Committee and approvals of the Board of Directors, non-employee Directors received compensation for their services on the Board for fiscal 2024 as set out below. The cash retainers are paid in equal quarterly installments and the equity is generally delivered in early January, unless the Director elects to defer under the Avnet Deferred Compensation Plan for Outside Directors, which is described under the caption “Deferred Compensation Plan” below.</w:t>
      </w:r>
    </w:p>
    <w:p>
      <w:pPr>
        <w:spacing w:after="0" w:line="146" w:lineRule="exact"/>
        <w:rPr>
          <w:sz w:val="20"/>
          <w:szCs w:val="20"/>
          <w:color w:val="auto"/>
        </w:rPr>
      </w:pPr>
    </w:p>
    <w:tbl>
      <w:tblPr>
        <w:tblLayout w:type="fixed"/>
        <w:tblInd w:w="13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w:t>
            </w:r>
          </w:p>
        </w:tc>
        <w:tc>
          <w:tcPr>
            <w:tcW w:w="6240" w:type="dxa"/>
            <w:vAlign w:val="bottom"/>
            <w:shd w:val="clear" w:color="auto" w:fill="53C072"/>
          </w:tcPr>
          <w:p>
            <w:pPr>
              <w:ind w:left="20"/>
              <w:spacing w:after="0"/>
              <w:rPr>
                <w:sz w:val="20"/>
                <w:szCs w:val="20"/>
                <w:color w:val="auto"/>
              </w:rPr>
            </w:pPr>
            <w:r>
              <w:rPr>
                <w:rFonts w:ascii="Arial" w:cs="Arial" w:eastAsia="Arial" w:hAnsi="Arial"/>
                <w:sz w:val="14"/>
                <w:szCs w:val="14"/>
                <w:b w:val="1"/>
                <w:bCs w:val="1"/>
                <w:color w:val="FEFEFE"/>
              </w:rPr>
              <w:t>Annual Compensation Components:</w:t>
            </w:r>
          </w:p>
        </w:tc>
        <w:tc>
          <w:tcPr>
            <w:tcW w:w="860" w:type="dxa"/>
            <w:vAlign w:val="bottom"/>
            <w:shd w:val="clear" w:color="auto" w:fill="53C072"/>
          </w:tcPr>
          <w:p>
            <w:pPr>
              <w:ind w:left="620"/>
              <w:spacing w:after="0"/>
              <w:rPr>
                <w:sz w:val="20"/>
                <w:szCs w:val="20"/>
                <w:color w:val="auto"/>
              </w:rPr>
            </w:pPr>
            <w:r>
              <w:rPr>
                <w:rFonts w:ascii="Arial" w:cs="Arial" w:eastAsia="Arial" w:hAnsi="Arial"/>
                <w:sz w:val="14"/>
                <w:szCs w:val="14"/>
                <w:b w:val="1"/>
                <w:bCs w:val="1"/>
                <w:color w:val="FEFEFE"/>
              </w:rPr>
              <w:t>​ ​</w:t>
            </w:r>
          </w:p>
        </w:tc>
        <w:tc>
          <w:tcPr>
            <w:tcW w:w="8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r>
      <w:tr>
        <w:trPr>
          <w:trHeight w:val="257"/>
        </w:trPr>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40" w:type="dxa"/>
            <w:vAlign w:val="bottom"/>
          </w:tcPr>
          <w:p>
            <w:pPr>
              <w:ind w:left="20"/>
              <w:spacing w:after="0"/>
              <w:rPr>
                <w:sz w:val="20"/>
                <w:szCs w:val="20"/>
                <w:color w:val="auto"/>
              </w:rPr>
            </w:pPr>
            <w:r>
              <w:rPr>
                <w:rFonts w:ascii="Arial" w:cs="Arial" w:eastAsia="Arial" w:hAnsi="Arial"/>
                <w:sz w:val="18"/>
                <w:szCs w:val="18"/>
                <w:color w:val="auto"/>
              </w:rPr>
              <w:t>Cash Retainer</w:t>
            </w:r>
          </w:p>
        </w:tc>
        <w:tc>
          <w:tcPr>
            <w:tcW w:w="1720" w:type="dxa"/>
            <w:vAlign w:val="bottom"/>
            <w:gridSpan w:val="2"/>
          </w:tcPr>
          <w:p>
            <w:pPr>
              <w:ind w:left="620"/>
              <w:spacing w:after="0"/>
              <w:rPr>
                <w:sz w:val="20"/>
                <w:szCs w:val="20"/>
                <w:color w:val="auto"/>
              </w:rPr>
            </w:pPr>
            <w:r>
              <w:rPr>
                <w:rFonts w:ascii="Arial" w:cs="Arial" w:eastAsia="Arial" w:hAnsi="Arial"/>
                <w:sz w:val="18"/>
                <w:szCs w:val="18"/>
                <w:color w:val="auto"/>
              </w:rPr>
              <w:t>​ ​ $100,000​</w:t>
            </w:r>
          </w:p>
        </w:tc>
      </w:tr>
      <w:tr>
        <w:trPr>
          <w:trHeight w:val="270"/>
        </w:trPr>
        <w:tc>
          <w:tcPr>
            <w:tcW w:w="20" w:type="dxa"/>
            <w:vAlign w:val="bottom"/>
          </w:tcPr>
          <w:p>
            <w:pPr>
              <w:spacing w:after="0"/>
              <w:rPr>
                <w:sz w:val="23"/>
                <w:szCs w:val="23"/>
                <w:color w:val="auto"/>
              </w:rPr>
            </w:pPr>
          </w:p>
        </w:tc>
        <w:tc>
          <w:tcPr>
            <w:tcW w:w="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240" w:type="dxa"/>
            <w:vAlign w:val="bottom"/>
            <w:shd w:val="clear" w:color="auto" w:fill="CBECD5"/>
          </w:tcPr>
          <w:p>
            <w:pPr>
              <w:ind w:left="20"/>
              <w:spacing w:after="0"/>
              <w:rPr>
                <w:sz w:val="20"/>
                <w:szCs w:val="20"/>
                <w:color w:val="auto"/>
              </w:rPr>
            </w:pPr>
            <w:r>
              <w:rPr>
                <w:rFonts w:ascii="Arial" w:cs="Arial" w:eastAsia="Arial" w:hAnsi="Arial"/>
                <w:sz w:val="18"/>
                <w:szCs w:val="18"/>
                <w:color w:val="auto"/>
              </w:rPr>
              <w:t>Equity</w:t>
            </w:r>
          </w:p>
        </w:tc>
        <w:tc>
          <w:tcPr>
            <w:tcW w:w="1720" w:type="dxa"/>
            <w:vAlign w:val="bottom"/>
            <w:gridSpan w:val="2"/>
            <w:shd w:val="clear" w:color="auto" w:fill="CBECD5"/>
          </w:tcPr>
          <w:p>
            <w:pPr>
              <w:ind w:left="620"/>
              <w:spacing w:after="0"/>
              <w:rPr>
                <w:sz w:val="20"/>
                <w:szCs w:val="20"/>
                <w:color w:val="auto"/>
              </w:rPr>
            </w:pPr>
            <w:r>
              <w:rPr>
                <w:rFonts w:ascii="Arial" w:cs="Arial" w:eastAsia="Arial" w:hAnsi="Arial"/>
                <w:sz w:val="18"/>
                <w:szCs w:val="18"/>
                <w:color w:val="auto"/>
              </w:rPr>
              <w:t>​ ​ $180,000​</w:t>
            </w:r>
          </w:p>
        </w:tc>
      </w:tr>
      <w:tr>
        <w:trPr>
          <w:trHeight w:val="270"/>
        </w:trPr>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40" w:type="dxa"/>
            <w:vAlign w:val="bottom"/>
          </w:tcPr>
          <w:p>
            <w:pPr>
              <w:ind w:left="200"/>
              <w:spacing w:after="0"/>
              <w:rPr>
                <w:sz w:val="20"/>
                <w:szCs w:val="20"/>
                <w:color w:val="auto"/>
              </w:rPr>
            </w:pPr>
            <w:r>
              <w:rPr>
                <w:rFonts w:ascii="Arial" w:cs="Arial" w:eastAsia="Arial" w:hAnsi="Arial"/>
                <w:sz w:val="18"/>
                <w:szCs w:val="18"/>
                <w:color w:val="auto"/>
              </w:rPr>
              <w:t>Total for FY24:</w:t>
            </w:r>
          </w:p>
        </w:tc>
        <w:tc>
          <w:tcPr>
            <w:tcW w:w="1720" w:type="dxa"/>
            <w:vAlign w:val="bottom"/>
            <w:gridSpan w:val="2"/>
          </w:tcPr>
          <w:p>
            <w:pPr>
              <w:ind w:left="620"/>
              <w:spacing w:after="0"/>
              <w:rPr>
                <w:sz w:val="20"/>
                <w:szCs w:val="20"/>
                <w:color w:val="auto"/>
              </w:rPr>
            </w:pPr>
            <w:r>
              <w:rPr>
                <w:rFonts w:ascii="Arial" w:cs="Arial" w:eastAsia="Arial" w:hAnsi="Arial"/>
                <w:sz w:val="18"/>
                <w:szCs w:val="18"/>
                <w:color w:val="auto"/>
              </w:rPr>
              <w:t>​ ​ $280,000​</w:t>
            </w:r>
          </w:p>
        </w:tc>
      </w:tr>
      <w:tr>
        <w:trPr>
          <w:trHeight w:val="304"/>
        </w:trPr>
        <w:tc>
          <w:tcPr>
            <w:tcW w:w="20" w:type="dxa"/>
            <w:vAlign w:val="bottom"/>
          </w:tcPr>
          <w:p>
            <w:pPr>
              <w:spacing w:after="0"/>
              <w:rPr>
                <w:sz w:val="24"/>
                <w:szCs w:val="24"/>
                <w:color w:val="auto"/>
              </w:rPr>
            </w:pPr>
          </w:p>
        </w:tc>
        <w:tc>
          <w:tcPr>
            <w:tcW w:w="6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240" w:type="dxa"/>
            <w:vAlign w:val="bottom"/>
            <w:tcBorders>
              <w:bottom w:val="single" w:sz="8" w:color="53C072"/>
            </w:tcBorders>
            <w:shd w:val="clear" w:color="auto" w:fill="CBECD5"/>
          </w:tcPr>
          <w:p>
            <w:pPr>
              <w:ind w:left="200"/>
              <w:spacing w:after="0"/>
              <w:rPr>
                <w:sz w:val="20"/>
                <w:szCs w:val="20"/>
                <w:color w:val="auto"/>
              </w:rPr>
            </w:pPr>
            <w:r>
              <w:rPr>
                <w:rFonts w:ascii="Arial" w:cs="Arial" w:eastAsia="Arial" w:hAnsi="Arial"/>
                <w:sz w:val="18"/>
                <w:szCs w:val="18"/>
                <w:color w:val="auto"/>
              </w:rPr>
              <w:t>% of Cash/Equity</w:t>
            </w:r>
          </w:p>
        </w:tc>
        <w:tc>
          <w:tcPr>
            <w:tcW w:w="860" w:type="dxa"/>
            <w:vAlign w:val="bottom"/>
            <w:tcBorders>
              <w:bottom w:val="single" w:sz="8" w:color="53C072"/>
            </w:tcBorders>
            <w:shd w:val="clear" w:color="auto" w:fill="CBECD5"/>
          </w:tcPr>
          <w:p>
            <w:pPr>
              <w:ind w:left="6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53C072"/>
            </w:tcBorders>
            <w:shd w:val="clear" w:color="auto" w:fill="CBECD5"/>
          </w:tcPr>
          <w:p>
            <w:pPr>
              <w:jc w:val="right"/>
              <w:spacing w:after="0" w:line="297" w:lineRule="exact"/>
              <w:rPr>
                <w:sz w:val="20"/>
                <w:szCs w:val="20"/>
                <w:color w:val="auto"/>
              </w:rPr>
            </w:pPr>
            <w:r>
              <w:rPr>
                <w:rFonts w:ascii="Arial" w:cs="Arial" w:eastAsia="Arial" w:hAnsi="Arial"/>
                <w:sz w:val="18"/>
                <w:szCs w:val="18"/>
                <w:color w:val="auto"/>
              </w:rPr>
              <w:t>36/64</w:t>
            </w:r>
            <w:r>
              <w:rPr>
                <w:rFonts w:ascii="Arial" w:cs="Arial" w:eastAsia="Arial" w:hAnsi="Arial"/>
                <w:sz w:val="34"/>
                <w:szCs w:val="34"/>
                <w:color w:val="auto"/>
                <w:vertAlign w:val="subscript"/>
              </w:rPr>
              <w:t>​</w:t>
            </w:r>
          </w:p>
        </w:tc>
      </w:tr>
      <w:tr>
        <w:trPr>
          <w:trHeight w:val="216"/>
        </w:trPr>
        <w:tc>
          <w:tcPr>
            <w:tcW w:w="80" w:type="dxa"/>
            <w:vAlign w:val="bottom"/>
            <w:gridSpan w:val="2"/>
          </w:tcPr>
          <w:p>
            <w:pPr>
              <w:spacing w:after="0"/>
              <w:rPr>
                <w:sz w:val="18"/>
                <w:szCs w:val="18"/>
                <w:color w:val="auto"/>
              </w:rPr>
            </w:pPr>
          </w:p>
        </w:tc>
        <w:tc>
          <w:tcPr>
            <w:tcW w:w="6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w:t>
            </w:r>
          </w:p>
        </w:tc>
        <w:tc>
          <w:tcPr>
            <w:tcW w:w="6240" w:type="dxa"/>
            <w:vAlign w:val="bottom"/>
            <w:shd w:val="clear" w:color="auto" w:fill="53C072"/>
          </w:tcPr>
          <w:p>
            <w:pPr>
              <w:ind w:left="20"/>
              <w:spacing w:after="0"/>
              <w:rPr>
                <w:sz w:val="20"/>
                <w:szCs w:val="20"/>
                <w:color w:val="auto"/>
              </w:rPr>
            </w:pPr>
            <w:r>
              <w:rPr>
                <w:rFonts w:ascii="Arial" w:cs="Arial" w:eastAsia="Arial" w:hAnsi="Arial"/>
                <w:sz w:val="14"/>
                <w:szCs w:val="14"/>
                <w:b w:val="1"/>
                <w:bCs w:val="1"/>
                <w:color w:val="FEFEFE"/>
              </w:rPr>
              <w:t>Additional Annual Amounts:</w:t>
            </w:r>
          </w:p>
        </w:tc>
        <w:tc>
          <w:tcPr>
            <w:tcW w:w="860" w:type="dxa"/>
            <w:vAlign w:val="bottom"/>
            <w:shd w:val="clear" w:color="auto" w:fill="53C072"/>
          </w:tcPr>
          <w:p>
            <w:pPr>
              <w:ind w:left="620"/>
              <w:spacing w:after="0"/>
              <w:rPr>
                <w:sz w:val="20"/>
                <w:szCs w:val="20"/>
                <w:color w:val="auto"/>
              </w:rPr>
            </w:pPr>
            <w:r>
              <w:rPr>
                <w:rFonts w:ascii="Arial" w:cs="Arial" w:eastAsia="Arial" w:hAnsi="Arial"/>
                <w:sz w:val="14"/>
                <w:szCs w:val="14"/>
                <w:b w:val="1"/>
                <w:bCs w:val="1"/>
                <w:color w:val="FEFEFE"/>
              </w:rPr>
              <w:t>​ ​</w:t>
            </w:r>
          </w:p>
        </w:tc>
        <w:tc>
          <w:tcPr>
            <w:tcW w:w="8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r>
      <w:tr>
        <w:trPr>
          <w:trHeight w:val="270"/>
        </w:trPr>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40" w:type="dxa"/>
            <w:vAlign w:val="bottom"/>
          </w:tcPr>
          <w:p>
            <w:pPr>
              <w:ind w:left="20"/>
              <w:spacing w:after="0"/>
              <w:rPr>
                <w:sz w:val="20"/>
                <w:szCs w:val="20"/>
                <w:color w:val="auto"/>
              </w:rPr>
            </w:pPr>
            <w:r>
              <w:rPr>
                <w:rFonts w:ascii="Arial" w:cs="Arial" w:eastAsia="Arial" w:hAnsi="Arial"/>
                <w:sz w:val="18"/>
                <w:szCs w:val="18"/>
                <w:color w:val="auto"/>
              </w:rPr>
              <w:t>Independent Chair Retainer</w:t>
            </w:r>
          </w:p>
        </w:tc>
        <w:tc>
          <w:tcPr>
            <w:tcW w:w="1720" w:type="dxa"/>
            <w:vAlign w:val="bottom"/>
            <w:gridSpan w:val="2"/>
          </w:tcPr>
          <w:p>
            <w:pPr>
              <w:ind w:left="620"/>
              <w:spacing w:after="0" w:line="269" w:lineRule="exact"/>
              <w:rPr>
                <w:sz w:val="20"/>
                <w:szCs w:val="20"/>
                <w:color w:val="auto"/>
              </w:rPr>
            </w:pPr>
            <w:r>
              <w:rPr>
                <w:rFonts w:ascii="Arial" w:cs="Arial" w:eastAsia="Arial" w:hAnsi="Arial"/>
                <w:sz w:val="31"/>
                <w:szCs w:val="31"/>
                <w:color w:val="auto"/>
                <w:vertAlign w:val="subscript"/>
              </w:rPr>
              <w:t>​ ​</w:t>
            </w:r>
            <w:r>
              <w:rPr>
                <w:rFonts w:ascii="Arial" w:cs="Arial" w:eastAsia="Arial" w:hAnsi="Arial"/>
                <w:sz w:val="17"/>
                <w:szCs w:val="17"/>
                <w:color w:val="auto"/>
              </w:rPr>
              <w:t xml:space="preserve"> $185,000</w:t>
            </w:r>
            <w:r>
              <w:rPr>
                <w:rFonts w:ascii="Arial" w:cs="Arial" w:eastAsia="Arial" w:hAnsi="Arial"/>
                <w:sz w:val="31"/>
                <w:szCs w:val="31"/>
                <w:color w:val="auto"/>
                <w:vertAlign w:val="subscript"/>
              </w:rPr>
              <w:t>​</w:t>
            </w:r>
          </w:p>
        </w:tc>
      </w:tr>
      <w:tr>
        <w:trPr>
          <w:trHeight w:val="284"/>
        </w:trPr>
        <w:tc>
          <w:tcPr>
            <w:tcW w:w="20" w:type="dxa"/>
            <w:vAlign w:val="bottom"/>
          </w:tcPr>
          <w:p>
            <w:pPr>
              <w:spacing w:after="0"/>
              <w:rPr>
                <w:sz w:val="24"/>
                <w:szCs w:val="24"/>
                <w:color w:val="auto"/>
              </w:rPr>
            </w:pPr>
          </w:p>
        </w:tc>
        <w:tc>
          <w:tcPr>
            <w:tcW w:w="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240" w:type="dxa"/>
            <w:vAlign w:val="bottom"/>
            <w:shd w:val="clear" w:color="auto" w:fill="CBECD5"/>
          </w:tcPr>
          <w:p>
            <w:pPr>
              <w:ind w:left="20"/>
              <w:spacing w:after="0"/>
              <w:rPr>
                <w:sz w:val="20"/>
                <w:szCs w:val="20"/>
                <w:color w:val="auto"/>
              </w:rPr>
            </w:pPr>
            <w:r>
              <w:rPr>
                <w:rFonts w:ascii="Arial" w:cs="Arial" w:eastAsia="Arial" w:hAnsi="Arial"/>
                <w:sz w:val="18"/>
                <w:szCs w:val="18"/>
                <w:color w:val="auto"/>
              </w:rPr>
              <w:t>Audit Committee Chair Retainer</w:t>
            </w:r>
            <w:r>
              <w:rPr>
                <w:rFonts w:ascii="Arial" w:cs="Arial" w:eastAsia="Arial" w:hAnsi="Arial"/>
                <w:sz w:val="23"/>
                <w:szCs w:val="23"/>
                <w:color w:val="auto"/>
                <w:vertAlign w:val="superscript"/>
              </w:rPr>
              <w:t>(1)</w:t>
            </w:r>
          </w:p>
        </w:tc>
        <w:tc>
          <w:tcPr>
            <w:tcW w:w="860" w:type="dxa"/>
            <w:vAlign w:val="bottom"/>
            <w:shd w:val="clear" w:color="auto" w:fill="CBECD5"/>
          </w:tcPr>
          <w:p>
            <w:pPr>
              <w:ind w:left="6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BECD5"/>
          </w:tcPr>
          <w:p>
            <w:pPr>
              <w:jc w:val="right"/>
              <w:spacing w:after="0" w:line="283" w:lineRule="exact"/>
              <w:rPr>
                <w:sz w:val="20"/>
                <w:szCs w:val="20"/>
                <w:color w:val="auto"/>
              </w:rPr>
            </w:pPr>
            <w:r>
              <w:rPr>
                <w:rFonts w:ascii="Arial" w:cs="Arial" w:eastAsia="Arial" w:hAnsi="Arial"/>
                <w:sz w:val="17"/>
                <w:szCs w:val="17"/>
                <w:color w:val="auto"/>
              </w:rPr>
              <w:t>$25,000</w:t>
            </w:r>
            <w:r>
              <w:rPr>
                <w:rFonts w:ascii="Arial" w:cs="Arial" w:eastAsia="Arial" w:hAnsi="Arial"/>
                <w:sz w:val="32"/>
                <w:szCs w:val="32"/>
                <w:color w:val="auto"/>
                <w:vertAlign w:val="subscript"/>
              </w:rPr>
              <w:t>​</w:t>
            </w:r>
          </w:p>
        </w:tc>
      </w:tr>
      <w:tr>
        <w:trPr>
          <w:trHeight w:val="256"/>
        </w:trPr>
        <w:tc>
          <w:tcPr>
            <w:tcW w:w="6320" w:type="dxa"/>
            <w:vAlign w:val="bottom"/>
            <w:gridSpan w:val="3"/>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Audit Committee Retainer</w:t>
            </w:r>
          </w:p>
        </w:tc>
        <w:tc>
          <w:tcPr>
            <w:tcW w:w="860" w:type="dxa"/>
            <w:vAlign w:val="bottom"/>
          </w:tcPr>
          <w:p>
            <w:pPr>
              <w:ind w:left="62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line="256" w:lineRule="exact"/>
              <w:rPr>
                <w:sz w:val="20"/>
                <w:szCs w:val="20"/>
                <w:color w:val="auto"/>
              </w:rPr>
            </w:pPr>
            <w:r>
              <w:rPr>
                <w:rFonts w:ascii="Arial" w:cs="Arial" w:eastAsia="Arial" w:hAnsi="Arial"/>
                <w:sz w:val="16"/>
                <w:szCs w:val="16"/>
                <w:color w:val="auto"/>
              </w:rPr>
              <w:t>$7,500</w:t>
            </w:r>
            <w:r>
              <w:rPr>
                <w:rFonts w:ascii="Arial" w:cs="Arial" w:eastAsia="Arial" w:hAnsi="Arial"/>
                <w:sz w:val="29"/>
                <w:szCs w:val="29"/>
                <w:color w:val="auto"/>
                <w:vertAlign w:val="subscript"/>
              </w:rPr>
              <w:t>​</w:t>
            </w:r>
          </w:p>
        </w:tc>
      </w:tr>
      <w:tr>
        <w:trPr>
          <w:trHeight w:val="270"/>
        </w:trPr>
        <w:tc>
          <w:tcPr>
            <w:tcW w:w="20" w:type="dxa"/>
            <w:vAlign w:val="bottom"/>
          </w:tcPr>
          <w:p>
            <w:pPr>
              <w:spacing w:after="0"/>
              <w:rPr>
                <w:sz w:val="23"/>
                <w:szCs w:val="23"/>
                <w:color w:val="auto"/>
              </w:rPr>
            </w:pPr>
          </w:p>
        </w:tc>
        <w:tc>
          <w:tcPr>
            <w:tcW w:w="6300" w:type="dxa"/>
            <w:vAlign w:val="bottom"/>
            <w:gridSpan w:val="2"/>
            <w:shd w:val="clear" w:color="auto" w:fill="CBECD5"/>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Compensation and Leadership Development Committee Chair Retainer</w:t>
            </w:r>
          </w:p>
        </w:tc>
        <w:tc>
          <w:tcPr>
            <w:tcW w:w="860" w:type="dxa"/>
            <w:vAlign w:val="bottom"/>
            <w:shd w:val="clear" w:color="auto" w:fill="CBECD5"/>
          </w:tcPr>
          <w:p>
            <w:pPr>
              <w:ind w:left="6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BECD5"/>
          </w:tcPr>
          <w:p>
            <w:pPr>
              <w:jc w:val="right"/>
              <w:spacing w:after="0" w:line="269" w:lineRule="exact"/>
              <w:rPr>
                <w:sz w:val="20"/>
                <w:szCs w:val="20"/>
                <w:color w:val="auto"/>
              </w:rPr>
            </w:pPr>
            <w:r>
              <w:rPr>
                <w:rFonts w:ascii="Arial" w:cs="Arial" w:eastAsia="Arial" w:hAnsi="Arial"/>
                <w:sz w:val="17"/>
                <w:szCs w:val="17"/>
                <w:color w:val="auto"/>
              </w:rPr>
              <w:t>$20,000</w:t>
            </w:r>
            <w:r>
              <w:rPr>
                <w:rFonts w:ascii="Arial" w:cs="Arial" w:eastAsia="Arial" w:hAnsi="Arial"/>
                <w:sz w:val="31"/>
                <w:szCs w:val="31"/>
                <w:color w:val="auto"/>
                <w:vertAlign w:val="subscript"/>
              </w:rPr>
              <w:t>​</w:t>
            </w:r>
          </w:p>
        </w:tc>
      </w:tr>
      <w:tr>
        <w:trPr>
          <w:trHeight w:val="270"/>
        </w:trPr>
        <w:tc>
          <w:tcPr>
            <w:tcW w:w="6320" w:type="dxa"/>
            <w:vAlign w:val="bottom"/>
            <w:gridSpan w:val="3"/>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Corporate Governance Committee Chair Retainer</w:t>
            </w:r>
          </w:p>
        </w:tc>
        <w:tc>
          <w:tcPr>
            <w:tcW w:w="860" w:type="dxa"/>
            <w:vAlign w:val="bottom"/>
          </w:tcPr>
          <w:p>
            <w:pPr>
              <w:ind w:left="62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line="269" w:lineRule="exact"/>
              <w:rPr>
                <w:sz w:val="20"/>
                <w:szCs w:val="20"/>
                <w:color w:val="auto"/>
              </w:rPr>
            </w:pPr>
            <w:r>
              <w:rPr>
                <w:rFonts w:ascii="Arial" w:cs="Arial" w:eastAsia="Arial" w:hAnsi="Arial"/>
                <w:sz w:val="17"/>
                <w:szCs w:val="17"/>
                <w:color w:val="auto"/>
              </w:rPr>
              <w:t>$15,000</w:t>
            </w:r>
            <w:r>
              <w:rPr>
                <w:rFonts w:ascii="Arial" w:cs="Arial" w:eastAsia="Arial" w:hAnsi="Arial"/>
                <w:sz w:val="31"/>
                <w:szCs w:val="31"/>
                <w:color w:val="auto"/>
                <w:vertAlign w:val="subscript"/>
              </w:rPr>
              <w:t>​</w:t>
            </w:r>
          </w:p>
        </w:tc>
      </w:tr>
      <w:tr>
        <w:trPr>
          <w:trHeight w:val="290"/>
        </w:trPr>
        <w:tc>
          <w:tcPr>
            <w:tcW w:w="20" w:type="dxa"/>
            <w:vAlign w:val="bottom"/>
          </w:tcPr>
          <w:p>
            <w:pPr>
              <w:spacing w:after="0"/>
              <w:rPr>
                <w:sz w:val="24"/>
                <w:szCs w:val="24"/>
                <w:color w:val="auto"/>
              </w:rPr>
            </w:pPr>
          </w:p>
        </w:tc>
        <w:tc>
          <w:tcPr>
            <w:tcW w:w="6300" w:type="dxa"/>
            <w:vAlign w:val="bottom"/>
            <w:tcBorders>
              <w:bottom w:val="single" w:sz="8" w:color="53C072"/>
            </w:tcBorders>
            <w:gridSpan w:val="2"/>
            <w:shd w:val="clear" w:color="auto" w:fill="CBECD5"/>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Finance Committee Chair Retainer</w:t>
            </w:r>
          </w:p>
        </w:tc>
        <w:tc>
          <w:tcPr>
            <w:tcW w:w="860" w:type="dxa"/>
            <w:vAlign w:val="bottom"/>
            <w:tcBorders>
              <w:bottom w:val="single" w:sz="8" w:color="53C072"/>
            </w:tcBorders>
            <w:shd w:val="clear" w:color="auto" w:fill="CBECD5"/>
          </w:tcPr>
          <w:p>
            <w:pPr>
              <w:ind w:left="6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53C072"/>
            </w:tcBorders>
            <w:shd w:val="clear" w:color="auto" w:fill="CBECD5"/>
          </w:tcPr>
          <w:p>
            <w:pPr>
              <w:jc w:val="right"/>
              <w:spacing w:after="0" w:line="283" w:lineRule="exact"/>
              <w:rPr>
                <w:sz w:val="20"/>
                <w:szCs w:val="20"/>
                <w:color w:val="auto"/>
              </w:rPr>
            </w:pPr>
            <w:r>
              <w:rPr>
                <w:rFonts w:ascii="Arial" w:cs="Arial" w:eastAsia="Arial" w:hAnsi="Arial"/>
                <w:sz w:val="17"/>
                <w:szCs w:val="17"/>
                <w:color w:val="auto"/>
              </w:rPr>
              <w:t>$15,000</w:t>
            </w:r>
            <w:r>
              <w:rPr>
                <w:rFonts w:ascii="Arial" w:cs="Arial" w:eastAsia="Arial" w:hAnsi="Arial"/>
                <w:sz w:val="32"/>
                <w:szCs w:val="32"/>
                <w:color w:val="auto"/>
                <w:vertAlign w:val="subscript"/>
              </w:rPr>
              <w:t>​</w:t>
            </w:r>
          </w:p>
        </w:tc>
      </w:tr>
    </w:tbl>
    <w:p>
      <w:pPr>
        <w:spacing w:after="0" w:line="89" w:lineRule="exact"/>
        <w:rPr>
          <w:sz w:val="20"/>
          <w:szCs w:val="20"/>
          <w:color w:val="auto"/>
        </w:rPr>
      </w:pPr>
    </w:p>
    <w:p>
      <w:pPr>
        <w:ind w:left="2080" w:hanging="730"/>
        <w:spacing w:after="0"/>
        <w:tabs>
          <w:tab w:leader="none" w:pos="2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Audit Committee Retainer.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30     </w:t>
      </w:r>
      <w:r>
        <w:rPr>
          <w:sz w:val="1"/>
          <w:szCs w:val="1"/>
          <w:color w:val="auto"/>
        </w:rPr>
        <w:drawing>
          <wp:inline distT="0" distB="0" distL="0" distR="0">
            <wp:extent cx="1242695" cy="2400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269875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Director Compensation</w:t>
            </w:r>
          </w:p>
        </w:tc>
        <w:tc>
          <w:tcPr>
            <w:tcW w:w="0" w:type="dxa"/>
            <w:vAlign w:val="bottom"/>
          </w:tcPr>
          <w:p>
            <w:pPr>
              <w:spacing w:after="0"/>
              <w:rPr>
                <w:sz w:val="1"/>
                <w:szCs w:val="1"/>
                <w:color w:val="auto"/>
              </w:rPr>
            </w:pPr>
          </w:p>
        </w:tc>
      </w:tr>
      <w:tr>
        <w:trPr>
          <w:trHeight w:val="89"/>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359"/>
        <w:spacing w:after="0" w:line="303" w:lineRule="auto"/>
        <w:rPr>
          <w:sz w:val="20"/>
          <w:szCs w:val="20"/>
          <w:color w:val="auto"/>
        </w:rPr>
      </w:pPr>
      <w:r>
        <w:rPr>
          <w:rFonts w:ascii="Arial" w:cs="Arial" w:eastAsia="Arial" w:hAnsi="Arial"/>
          <w:sz w:val="18"/>
          <w:szCs w:val="18"/>
          <w:color w:val="auto"/>
        </w:rPr>
        <w:t>The following table shows the total dollar value of all fees earned by all non-employee Directors in fiscal 2024 and the grant date fair value of stock awards to non-employee Directors made in fiscal 2024.</w:t>
      </w:r>
    </w:p>
    <w:p>
      <w:pPr>
        <w:spacing w:after="0" w:line="131" w:lineRule="exact"/>
        <w:rPr>
          <w:sz w:val="20"/>
          <w:szCs w:val="20"/>
          <w:color w:val="auto"/>
        </w:rPr>
      </w:pPr>
    </w:p>
    <w:tbl>
      <w:tblPr>
        <w:tblLayout w:type="fixed"/>
        <w:tblInd w:w="980" w:type="dxa"/>
        <w:tblCellMar>
          <w:top w:w="0" w:type="dxa"/>
          <w:left w:w="0" w:type="dxa"/>
          <w:bottom w:w="0" w:type="dxa"/>
          <w:right w:w="0" w:type="dxa"/>
        </w:tblCellMar>
      </w:tblPr>
      <w:tr>
        <w:trPr>
          <w:trHeight w:val="193"/>
        </w:trPr>
        <w:tc>
          <w:tcPr>
            <w:tcW w:w="3560" w:type="dxa"/>
            <w:vAlign w:val="bottom"/>
            <w:shd w:val="clear" w:color="auto" w:fill="53C072"/>
          </w:tcPr>
          <w:p>
            <w:pPr>
              <w:spacing w:after="0"/>
              <w:rPr>
                <w:sz w:val="16"/>
                <w:szCs w:val="16"/>
                <w:color w:val="auto"/>
              </w:rPr>
            </w:pPr>
          </w:p>
        </w:tc>
        <w:tc>
          <w:tcPr>
            <w:tcW w:w="2960" w:type="dxa"/>
            <w:vAlign w:val="bottom"/>
            <w:shd w:val="clear" w:color="auto" w:fill="53C072"/>
          </w:tcPr>
          <w:p>
            <w:pPr>
              <w:ind w:left="1920"/>
              <w:spacing w:after="0"/>
              <w:rPr>
                <w:sz w:val="20"/>
                <w:szCs w:val="20"/>
                <w:color w:val="auto"/>
              </w:rPr>
            </w:pPr>
            <w:r>
              <w:rPr>
                <w:rFonts w:ascii="Arial" w:cs="Arial" w:eastAsia="Arial" w:hAnsi="Arial"/>
                <w:sz w:val="14"/>
                <w:szCs w:val="14"/>
                <w:b w:val="1"/>
                <w:bCs w:val="1"/>
                <w:color w:val="FEFEFE"/>
              </w:rPr>
              <w:t>Fees Earned or</w:t>
            </w:r>
          </w:p>
        </w:tc>
        <w:tc>
          <w:tcPr>
            <w:tcW w:w="160" w:type="dxa"/>
            <w:vAlign w:val="bottom"/>
            <w:shd w:val="clear" w:color="auto" w:fill="53C072"/>
          </w:tcPr>
          <w:p>
            <w:pPr>
              <w:spacing w:after="0"/>
              <w:rPr>
                <w:sz w:val="16"/>
                <w:szCs w:val="16"/>
                <w:color w:val="auto"/>
              </w:rPr>
            </w:pPr>
          </w:p>
        </w:tc>
        <w:tc>
          <w:tcPr>
            <w:tcW w:w="1080" w:type="dxa"/>
            <w:vAlign w:val="bottom"/>
            <w:shd w:val="clear" w:color="auto" w:fill="53C072"/>
          </w:tcPr>
          <w:p>
            <w:pPr>
              <w:spacing w:after="0"/>
              <w:rPr>
                <w:sz w:val="16"/>
                <w:szCs w:val="16"/>
                <w:color w:val="auto"/>
              </w:rPr>
            </w:pPr>
          </w:p>
        </w:tc>
        <w:tc>
          <w:tcPr>
            <w:tcW w:w="140" w:type="dxa"/>
            <w:vAlign w:val="bottom"/>
            <w:shd w:val="clear" w:color="auto" w:fill="53C072"/>
          </w:tcPr>
          <w:p>
            <w:pPr>
              <w:spacing w:after="0"/>
              <w:rPr>
                <w:sz w:val="16"/>
                <w:szCs w:val="16"/>
                <w:color w:val="auto"/>
              </w:rPr>
            </w:pPr>
          </w:p>
        </w:tc>
        <w:tc>
          <w:tcPr>
            <w:tcW w:w="860" w:type="dxa"/>
            <w:vAlign w:val="bottom"/>
            <w:shd w:val="clear" w:color="auto" w:fill="53C072"/>
          </w:tcPr>
          <w:p>
            <w:pPr>
              <w:spacing w:after="0"/>
              <w:rPr>
                <w:sz w:val="16"/>
                <w:szCs w:val="16"/>
                <w:color w:val="auto"/>
              </w:rPr>
            </w:pPr>
          </w:p>
        </w:tc>
      </w:tr>
      <w:tr>
        <w:trPr>
          <w:trHeight w:val="162"/>
        </w:trPr>
        <w:tc>
          <w:tcPr>
            <w:tcW w:w="3560" w:type="dxa"/>
            <w:vAlign w:val="bottom"/>
            <w:shd w:val="clear" w:color="auto" w:fill="53C072"/>
          </w:tcPr>
          <w:p>
            <w:pPr>
              <w:spacing w:after="0"/>
              <w:rPr>
                <w:sz w:val="14"/>
                <w:szCs w:val="14"/>
                <w:color w:val="auto"/>
              </w:rPr>
            </w:pPr>
          </w:p>
        </w:tc>
        <w:tc>
          <w:tcPr>
            <w:tcW w:w="2960" w:type="dxa"/>
            <w:vAlign w:val="bottom"/>
            <w:shd w:val="clear" w:color="auto" w:fill="53C072"/>
          </w:tcPr>
          <w:p>
            <w:pPr>
              <w:ind w:left="2080"/>
              <w:spacing w:after="0"/>
              <w:rPr>
                <w:sz w:val="20"/>
                <w:szCs w:val="20"/>
                <w:color w:val="auto"/>
              </w:rPr>
            </w:pPr>
            <w:r>
              <w:rPr>
                <w:rFonts w:ascii="Arial" w:cs="Arial" w:eastAsia="Arial" w:hAnsi="Arial"/>
                <w:sz w:val="14"/>
                <w:szCs w:val="14"/>
                <w:b w:val="1"/>
                <w:bCs w:val="1"/>
                <w:color w:val="FEFEFE"/>
              </w:rPr>
              <w:t>Paid in Cash</w:t>
            </w:r>
          </w:p>
        </w:tc>
        <w:tc>
          <w:tcPr>
            <w:tcW w:w="160" w:type="dxa"/>
            <w:vAlign w:val="bottom"/>
            <w:shd w:val="clear" w:color="auto" w:fill="53C072"/>
          </w:tcPr>
          <w:p>
            <w:pPr>
              <w:spacing w:after="0"/>
              <w:rPr>
                <w:sz w:val="14"/>
                <w:szCs w:val="14"/>
                <w:color w:val="auto"/>
              </w:rPr>
            </w:pPr>
          </w:p>
        </w:tc>
        <w:tc>
          <w:tcPr>
            <w:tcW w:w="108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Stock Awards</w:t>
            </w:r>
          </w:p>
        </w:tc>
        <w:tc>
          <w:tcPr>
            <w:tcW w:w="140" w:type="dxa"/>
            <w:vAlign w:val="bottom"/>
            <w:shd w:val="clear" w:color="auto" w:fill="53C072"/>
          </w:tcPr>
          <w:p>
            <w:pPr>
              <w:spacing w:after="0"/>
              <w:rPr>
                <w:sz w:val="14"/>
                <w:szCs w:val="14"/>
                <w:color w:val="auto"/>
              </w:rPr>
            </w:pPr>
          </w:p>
        </w:tc>
        <w:tc>
          <w:tcPr>
            <w:tcW w:w="860" w:type="dxa"/>
            <w:vAlign w:val="bottom"/>
            <w:shd w:val="clear" w:color="auto" w:fill="53C072"/>
          </w:tcPr>
          <w:p>
            <w:pPr>
              <w:jc w:val="right"/>
              <w:ind w:right="73"/>
              <w:spacing w:after="0"/>
              <w:rPr>
                <w:sz w:val="20"/>
                <w:szCs w:val="20"/>
                <w:color w:val="auto"/>
              </w:rPr>
            </w:pPr>
            <w:r>
              <w:rPr>
                <w:rFonts w:ascii="Arial" w:cs="Arial" w:eastAsia="Arial" w:hAnsi="Arial"/>
                <w:sz w:val="14"/>
                <w:szCs w:val="14"/>
                <w:b w:val="1"/>
                <w:bCs w:val="1"/>
                <w:color w:val="FEFEFE"/>
              </w:rPr>
              <w:t>Total</w:t>
            </w:r>
          </w:p>
        </w:tc>
      </w:tr>
      <w:tr>
        <w:trPr>
          <w:trHeight w:val="185"/>
        </w:trPr>
        <w:tc>
          <w:tcPr>
            <w:tcW w:w="356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Name</w:t>
            </w:r>
          </w:p>
        </w:tc>
        <w:tc>
          <w:tcPr>
            <w:tcW w:w="3120" w:type="dxa"/>
            <w:vAlign w:val="bottom"/>
            <w:gridSpan w:val="2"/>
            <w:shd w:val="clear" w:color="auto" w:fill="53C072"/>
          </w:tcPr>
          <w:p>
            <w:pPr>
              <w:ind w:left="2820"/>
              <w:spacing w:after="0"/>
              <w:rPr>
                <w:sz w:val="20"/>
                <w:szCs w:val="20"/>
                <w:color w:val="auto"/>
              </w:rPr>
            </w:pPr>
            <w:r>
              <w:rPr>
                <w:rFonts w:ascii="Arial" w:cs="Arial" w:eastAsia="Arial" w:hAnsi="Arial"/>
                <w:sz w:val="14"/>
                <w:szCs w:val="14"/>
                <w:b w:val="1"/>
                <w:bCs w:val="1"/>
                <w:color w:val="FEFEFE"/>
              </w:rPr>
              <w:t>($)</w:t>
            </w:r>
          </w:p>
        </w:tc>
        <w:tc>
          <w:tcPr>
            <w:tcW w:w="10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140" w:type="dxa"/>
            <w:vAlign w:val="bottom"/>
            <w:shd w:val="clear" w:color="auto" w:fill="53C072"/>
          </w:tcPr>
          <w:p>
            <w:pPr>
              <w:spacing w:after="0"/>
              <w:rPr>
                <w:sz w:val="16"/>
                <w:szCs w:val="16"/>
                <w:color w:val="auto"/>
              </w:rPr>
            </w:pPr>
          </w:p>
        </w:tc>
        <w:tc>
          <w:tcPr>
            <w:tcW w:w="860" w:type="dxa"/>
            <w:vAlign w:val="bottom"/>
            <w:shd w:val="clear" w:color="auto" w:fill="53C072"/>
          </w:tcPr>
          <w:p>
            <w:pPr>
              <w:jc w:val="right"/>
              <w:ind w:right="33"/>
              <w:spacing w:after="0"/>
              <w:rPr>
                <w:sz w:val="20"/>
                <w:szCs w:val="20"/>
                <w:color w:val="auto"/>
              </w:rPr>
            </w:pPr>
            <w:r>
              <w:rPr>
                <w:rFonts w:ascii="Arial" w:cs="Arial" w:eastAsia="Arial" w:hAnsi="Arial"/>
                <w:sz w:val="14"/>
                <w:szCs w:val="14"/>
                <w:b w:val="1"/>
                <w:bCs w:val="1"/>
                <w:color w:val="FEFEFE"/>
              </w:rPr>
              <w:t>($)</w:t>
            </w:r>
          </w:p>
        </w:tc>
      </w:tr>
      <w:tr>
        <w:trPr>
          <w:trHeight w:val="283"/>
        </w:trPr>
        <w:tc>
          <w:tcPr>
            <w:tcW w:w="3560" w:type="dxa"/>
            <w:vAlign w:val="bottom"/>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Rodney C. Adkins</w:t>
            </w:r>
            <w:r>
              <w:rPr>
                <w:rFonts w:ascii="Arial" w:cs="Arial" w:eastAsia="Arial" w:hAnsi="Arial"/>
                <w:sz w:val="21"/>
                <w:szCs w:val="21"/>
                <w:color w:val="auto"/>
                <w:vertAlign w:val="superscript"/>
              </w:rPr>
              <w:t>(1)</w:t>
            </w:r>
          </w:p>
        </w:tc>
        <w:tc>
          <w:tcPr>
            <w:tcW w:w="2960" w:type="dxa"/>
            <w:vAlign w:val="bottom"/>
          </w:tcPr>
          <w:p>
            <w:pPr>
              <w:ind w:left="2100"/>
              <w:spacing w:after="0"/>
              <w:rPr>
                <w:sz w:val="20"/>
                <w:szCs w:val="20"/>
                <w:color w:val="auto"/>
              </w:rPr>
            </w:pPr>
            <w:r>
              <w:rPr>
                <w:rFonts w:ascii="Arial" w:cs="Arial" w:eastAsia="Arial" w:hAnsi="Arial"/>
                <w:sz w:val="18"/>
                <w:szCs w:val="18"/>
                <w:color w:val="auto"/>
              </w:rPr>
              <w:t>​285,000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14"/>
              <w:spacing w:after="0"/>
              <w:rPr>
                <w:sz w:val="20"/>
                <w:szCs w:val="20"/>
                <w:color w:val="auto"/>
              </w:rPr>
            </w:pPr>
            <w:r>
              <w:rPr>
                <w:rFonts w:ascii="Arial" w:cs="Arial" w:eastAsia="Arial" w:hAnsi="Arial"/>
                <w:sz w:val="18"/>
                <w:szCs w:val="18"/>
                <w:color w:val="auto"/>
              </w:rPr>
              <w:t>​230,000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515,000</w:t>
            </w:r>
          </w:p>
        </w:tc>
      </w:tr>
      <w:tr>
        <w:trPr>
          <w:trHeight w:val="257"/>
        </w:trPr>
        <w:tc>
          <w:tcPr>
            <w:tcW w:w="3560" w:type="dxa"/>
            <w:vAlign w:val="bottom"/>
            <w:shd w:val="clear" w:color="auto" w:fill="CBECD5"/>
          </w:tcPr>
          <w:p>
            <w:pPr>
              <w:ind w:left="60"/>
              <w:spacing w:after="0"/>
              <w:rPr>
                <w:sz w:val="20"/>
                <w:szCs w:val="20"/>
                <w:color w:val="auto"/>
              </w:rPr>
            </w:pPr>
            <w:r>
              <w:rPr>
                <w:rFonts w:ascii="Arial" w:cs="Arial" w:eastAsia="Arial" w:hAnsi="Arial"/>
                <w:sz w:val="18"/>
                <w:szCs w:val="18"/>
                <w:color w:val="auto"/>
              </w:rPr>
              <w:t>​Carlo Bozotti</w:t>
            </w:r>
          </w:p>
        </w:tc>
        <w:tc>
          <w:tcPr>
            <w:tcW w:w="2960" w:type="dxa"/>
            <w:vAlign w:val="bottom"/>
            <w:shd w:val="clear" w:color="auto" w:fill="CBECD5"/>
          </w:tcPr>
          <w:p>
            <w:pPr>
              <w:ind w:left="2100"/>
              <w:spacing w:after="0"/>
              <w:rPr>
                <w:sz w:val="20"/>
                <w:szCs w:val="20"/>
                <w:color w:val="auto"/>
              </w:rPr>
            </w:pPr>
            <w:r>
              <w:rPr>
                <w:rFonts w:ascii="Arial" w:cs="Arial" w:eastAsia="Arial" w:hAnsi="Arial"/>
                <w:sz w:val="18"/>
                <w:szCs w:val="18"/>
                <w:color w:val="auto"/>
              </w:rPr>
              <w:t>​116,250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BECD5"/>
          </w:tcPr>
          <w:p>
            <w:pPr>
              <w:jc w:val="center"/>
              <w:ind w:left="14"/>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296,250</w:t>
            </w:r>
          </w:p>
        </w:tc>
      </w:tr>
      <w:tr>
        <w:trPr>
          <w:trHeight w:val="256"/>
        </w:trPr>
        <w:tc>
          <w:tcPr>
            <w:tcW w:w="3560" w:type="dxa"/>
            <w:vAlign w:val="bottom"/>
          </w:tcPr>
          <w:p>
            <w:pPr>
              <w:ind w:left="60"/>
              <w:spacing w:after="0"/>
              <w:rPr>
                <w:sz w:val="20"/>
                <w:szCs w:val="20"/>
                <w:color w:val="auto"/>
              </w:rPr>
            </w:pPr>
            <w:r>
              <w:rPr>
                <w:rFonts w:ascii="Arial" w:cs="Arial" w:eastAsia="Arial" w:hAnsi="Arial"/>
                <w:sz w:val="18"/>
                <w:szCs w:val="18"/>
                <w:color w:val="auto"/>
              </w:rPr>
              <w:t>​Brenda L. Freeman</w:t>
            </w:r>
          </w:p>
        </w:tc>
        <w:tc>
          <w:tcPr>
            <w:tcW w:w="2960" w:type="dxa"/>
            <w:vAlign w:val="bottom"/>
          </w:tcPr>
          <w:p>
            <w:pPr>
              <w:ind w:left="2100"/>
              <w:spacing w:after="0"/>
              <w:rPr>
                <w:sz w:val="20"/>
                <w:szCs w:val="20"/>
                <w:color w:val="auto"/>
              </w:rPr>
            </w:pPr>
            <w:r>
              <w:rPr>
                <w:rFonts w:ascii="Arial" w:cs="Arial" w:eastAsia="Arial" w:hAnsi="Arial"/>
                <w:sz w:val="18"/>
                <w:szCs w:val="18"/>
                <w:color w:val="auto"/>
              </w:rPr>
              <w:t>​107,500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14"/>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287,500</w:t>
            </w:r>
          </w:p>
        </w:tc>
      </w:tr>
      <w:tr>
        <w:trPr>
          <w:trHeight w:val="257"/>
        </w:trPr>
        <w:tc>
          <w:tcPr>
            <w:tcW w:w="3560" w:type="dxa"/>
            <w:vAlign w:val="bottom"/>
            <w:shd w:val="clear" w:color="auto" w:fill="CBECD5"/>
          </w:tcPr>
          <w:p>
            <w:pPr>
              <w:ind w:left="60"/>
              <w:spacing w:after="0"/>
              <w:rPr>
                <w:sz w:val="20"/>
                <w:szCs w:val="20"/>
                <w:color w:val="auto"/>
              </w:rPr>
            </w:pPr>
            <w:r>
              <w:rPr>
                <w:rFonts w:ascii="Arial" w:cs="Arial" w:eastAsia="Arial" w:hAnsi="Arial"/>
                <w:sz w:val="18"/>
                <w:szCs w:val="18"/>
                <w:color w:val="auto"/>
              </w:rPr>
              <w:t>​Jo Ann Jenkins</w:t>
            </w:r>
          </w:p>
        </w:tc>
        <w:tc>
          <w:tcPr>
            <w:tcW w:w="2960" w:type="dxa"/>
            <w:vAlign w:val="bottom"/>
            <w:shd w:val="clear" w:color="auto" w:fill="CBECD5"/>
          </w:tcPr>
          <w:p>
            <w:pPr>
              <w:ind w:left="2100"/>
              <w:spacing w:after="0"/>
              <w:rPr>
                <w:sz w:val="20"/>
                <w:szCs w:val="20"/>
                <w:color w:val="auto"/>
              </w:rPr>
            </w:pPr>
            <w:r>
              <w:rPr>
                <w:rFonts w:ascii="Arial" w:cs="Arial" w:eastAsia="Arial" w:hAnsi="Arial"/>
                <w:sz w:val="18"/>
                <w:szCs w:val="18"/>
                <w:color w:val="auto"/>
              </w:rPr>
              <w:t>​110,000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BECD5"/>
          </w:tcPr>
          <w:p>
            <w:pPr>
              <w:jc w:val="center"/>
              <w:ind w:left="14"/>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290,000</w:t>
            </w:r>
          </w:p>
        </w:tc>
      </w:tr>
      <w:tr>
        <w:trPr>
          <w:trHeight w:val="257"/>
        </w:trPr>
        <w:tc>
          <w:tcPr>
            <w:tcW w:w="3560" w:type="dxa"/>
            <w:vAlign w:val="bottom"/>
          </w:tcPr>
          <w:p>
            <w:pPr>
              <w:ind w:left="60"/>
              <w:spacing w:after="0"/>
              <w:rPr>
                <w:sz w:val="20"/>
                <w:szCs w:val="20"/>
                <w:color w:val="auto"/>
              </w:rPr>
            </w:pPr>
            <w:r>
              <w:rPr>
                <w:rFonts w:ascii="Arial" w:cs="Arial" w:eastAsia="Arial" w:hAnsi="Arial"/>
                <w:sz w:val="18"/>
                <w:szCs w:val="18"/>
                <w:color w:val="auto"/>
              </w:rPr>
              <w:t>​Oleg Khaykin</w:t>
            </w:r>
          </w:p>
        </w:tc>
        <w:tc>
          <w:tcPr>
            <w:tcW w:w="2960" w:type="dxa"/>
            <w:vAlign w:val="bottom"/>
          </w:tcPr>
          <w:p>
            <w:pPr>
              <w:ind w:left="2100"/>
              <w:spacing w:after="0"/>
              <w:rPr>
                <w:sz w:val="20"/>
                <w:szCs w:val="20"/>
                <w:color w:val="auto"/>
              </w:rPr>
            </w:pPr>
            <w:r>
              <w:rPr>
                <w:rFonts w:ascii="Arial" w:cs="Arial" w:eastAsia="Arial" w:hAnsi="Arial"/>
                <w:sz w:val="18"/>
                <w:szCs w:val="18"/>
                <w:color w:val="auto"/>
              </w:rPr>
              <w:t>​122,500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14"/>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302,500</w:t>
            </w:r>
          </w:p>
        </w:tc>
      </w:tr>
      <w:tr>
        <w:trPr>
          <w:trHeight w:val="257"/>
        </w:trPr>
        <w:tc>
          <w:tcPr>
            <w:tcW w:w="3560" w:type="dxa"/>
            <w:vAlign w:val="bottom"/>
            <w:shd w:val="clear" w:color="auto" w:fill="CBECD5"/>
          </w:tcPr>
          <w:p>
            <w:pPr>
              <w:ind w:left="60"/>
              <w:spacing w:after="0"/>
              <w:rPr>
                <w:sz w:val="20"/>
                <w:szCs w:val="20"/>
                <w:color w:val="auto"/>
              </w:rPr>
            </w:pPr>
            <w:r>
              <w:rPr>
                <w:rFonts w:ascii="Arial" w:cs="Arial" w:eastAsia="Arial" w:hAnsi="Arial"/>
                <w:sz w:val="18"/>
                <w:szCs w:val="18"/>
                <w:color w:val="auto"/>
              </w:rPr>
              <w:t>​James A. Lawrence</w:t>
            </w:r>
          </w:p>
        </w:tc>
        <w:tc>
          <w:tcPr>
            <w:tcW w:w="2960" w:type="dxa"/>
            <w:vAlign w:val="bottom"/>
            <w:shd w:val="clear" w:color="auto" w:fill="CBECD5"/>
          </w:tcPr>
          <w:p>
            <w:pPr>
              <w:ind w:left="2100"/>
              <w:spacing w:after="0"/>
              <w:rPr>
                <w:sz w:val="20"/>
                <w:szCs w:val="20"/>
                <w:color w:val="auto"/>
              </w:rPr>
            </w:pPr>
            <w:r>
              <w:rPr>
                <w:rFonts w:ascii="Arial" w:cs="Arial" w:eastAsia="Arial" w:hAnsi="Arial"/>
                <w:sz w:val="18"/>
                <w:szCs w:val="18"/>
                <w:color w:val="auto"/>
              </w:rPr>
              <w:t>​110,000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BECD5"/>
          </w:tcPr>
          <w:p>
            <w:pPr>
              <w:jc w:val="center"/>
              <w:ind w:left="14"/>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290,000</w:t>
            </w:r>
          </w:p>
        </w:tc>
      </w:tr>
      <w:tr>
        <w:trPr>
          <w:trHeight w:val="257"/>
        </w:trPr>
        <w:tc>
          <w:tcPr>
            <w:tcW w:w="3560" w:type="dxa"/>
            <w:vAlign w:val="bottom"/>
          </w:tcPr>
          <w:p>
            <w:pPr>
              <w:ind w:left="60"/>
              <w:spacing w:after="0"/>
              <w:rPr>
                <w:sz w:val="20"/>
                <w:szCs w:val="20"/>
                <w:color w:val="auto"/>
              </w:rPr>
            </w:pPr>
            <w:r>
              <w:rPr>
                <w:rFonts w:ascii="Arial" w:cs="Arial" w:eastAsia="Arial" w:hAnsi="Arial"/>
                <w:sz w:val="18"/>
                <w:szCs w:val="18"/>
                <w:color w:val="auto"/>
              </w:rPr>
              <w:t>​Ernest E. Maddock</w:t>
            </w:r>
          </w:p>
        </w:tc>
        <w:tc>
          <w:tcPr>
            <w:tcW w:w="2960" w:type="dxa"/>
            <w:vAlign w:val="bottom"/>
          </w:tcPr>
          <w:p>
            <w:pPr>
              <w:ind w:left="2100"/>
              <w:spacing w:after="0"/>
              <w:rPr>
                <w:sz w:val="20"/>
                <w:szCs w:val="20"/>
                <w:color w:val="auto"/>
              </w:rPr>
            </w:pPr>
            <w:r>
              <w:rPr>
                <w:rFonts w:ascii="Arial" w:cs="Arial" w:eastAsia="Arial" w:hAnsi="Arial"/>
                <w:sz w:val="18"/>
                <w:szCs w:val="18"/>
                <w:color w:val="auto"/>
              </w:rPr>
              <w:t>​116,250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14"/>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296,250</w:t>
            </w:r>
          </w:p>
        </w:tc>
      </w:tr>
      <w:tr>
        <w:trPr>
          <w:trHeight w:val="256"/>
        </w:trPr>
        <w:tc>
          <w:tcPr>
            <w:tcW w:w="3560" w:type="dxa"/>
            <w:vAlign w:val="bottom"/>
            <w:shd w:val="clear" w:color="auto" w:fill="CBECD5"/>
          </w:tcPr>
          <w:p>
            <w:pPr>
              <w:ind w:left="60"/>
              <w:spacing w:after="0"/>
              <w:rPr>
                <w:sz w:val="20"/>
                <w:szCs w:val="20"/>
                <w:color w:val="auto"/>
              </w:rPr>
            </w:pPr>
            <w:r>
              <w:rPr>
                <w:rFonts w:ascii="Arial" w:cs="Arial" w:eastAsia="Arial" w:hAnsi="Arial"/>
                <w:sz w:val="18"/>
                <w:szCs w:val="18"/>
                <w:color w:val="auto"/>
              </w:rPr>
              <w:t>​Avid Modjtabai</w:t>
            </w:r>
          </w:p>
        </w:tc>
        <w:tc>
          <w:tcPr>
            <w:tcW w:w="2960" w:type="dxa"/>
            <w:vAlign w:val="bottom"/>
            <w:shd w:val="clear" w:color="auto" w:fill="CBECD5"/>
          </w:tcPr>
          <w:p>
            <w:pPr>
              <w:ind w:left="2100"/>
              <w:spacing w:after="0"/>
              <w:rPr>
                <w:sz w:val="20"/>
                <w:szCs w:val="20"/>
                <w:color w:val="auto"/>
              </w:rPr>
            </w:pPr>
            <w:r>
              <w:rPr>
                <w:rFonts w:ascii="Arial" w:cs="Arial" w:eastAsia="Arial" w:hAnsi="Arial"/>
                <w:sz w:val="18"/>
                <w:szCs w:val="18"/>
                <w:color w:val="auto"/>
              </w:rPr>
              <w:t>​115,000</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BECD5"/>
          </w:tcPr>
          <w:p>
            <w:pPr>
              <w:jc w:val="center"/>
              <w:ind w:left="14"/>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295,000</w:t>
            </w:r>
          </w:p>
        </w:tc>
      </w:tr>
      <w:tr>
        <w:trPr>
          <w:trHeight w:val="291"/>
        </w:trPr>
        <w:tc>
          <w:tcPr>
            <w:tcW w:w="3560" w:type="dxa"/>
            <w:vAlign w:val="bottom"/>
            <w:tcBorders>
              <w:bottom w:val="single" w:sz="8" w:color="53C072"/>
            </w:tcBorders>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Adalio T. Sanchez</w:t>
            </w:r>
          </w:p>
        </w:tc>
        <w:tc>
          <w:tcPr>
            <w:tcW w:w="2960" w:type="dxa"/>
            <w:vAlign w:val="bottom"/>
            <w:tcBorders>
              <w:bottom w:val="single" w:sz="8" w:color="53C072"/>
            </w:tcBorders>
          </w:tcPr>
          <w:p>
            <w:pPr>
              <w:ind w:left="21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100,000</w:t>
            </w:r>
          </w:p>
        </w:tc>
        <w:tc>
          <w:tcPr>
            <w:tcW w:w="16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53C072"/>
            </w:tcBorders>
          </w:tcPr>
          <w:p>
            <w:pPr>
              <w:jc w:val="center"/>
              <w:ind w:left="14"/>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180,000</w:t>
            </w:r>
          </w:p>
        </w:tc>
        <w:tc>
          <w:tcPr>
            <w:tcW w:w="14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53C072"/>
            </w:tcBorders>
          </w:tcPr>
          <w:p>
            <w:pPr>
              <w:jc w:val="right"/>
              <w:ind w:right="33"/>
              <w:spacing w:after="0"/>
              <w:rPr>
                <w:sz w:val="20"/>
                <w:szCs w:val="20"/>
                <w:color w:val="auto"/>
              </w:rPr>
            </w:pPr>
            <w:r>
              <w:rPr>
                <w:rFonts w:ascii="Arial" w:cs="Arial" w:eastAsia="Arial" w:hAnsi="Arial"/>
                <w:sz w:val="18"/>
                <w:szCs w:val="18"/>
                <w:color w:val="auto"/>
              </w:rPr>
              <w:t>280,000</w:t>
            </w:r>
          </w:p>
        </w:tc>
      </w:tr>
    </w:tbl>
    <w:p>
      <w:pPr>
        <w:spacing w:after="0" w:line="103" w:lineRule="exact"/>
        <w:rPr>
          <w:sz w:val="20"/>
          <w:szCs w:val="20"/>
          <w:color w:val="auto"/>
        </w:rPr>
      </w:pPr>
    </w:p>
    <w:p>
      <w:pPr>
        <w:ind w:left="1720" w:hanging="730"/>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addition to his annual stock award, Mr. Adkins received a one-time equity award of $50,000.</w:t>
      </w:r>
    </w:p>
    <w:p>
      <w:pPr>
        <w:spacing w:after="0" w:line="21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PROCESS FOR REVIEWING NON-EMPLOYEE DIRECTOR COMPENSATION</w:t>
      </w:r>
    </w:p>
    <w:p>
      <w:pPr>
        <w:spacing w:after="0" w:line="148" w:lineRule="exact"/>
        <w:rPr>
          <w:sz w:val="20"/>
          <w:szCs w:val="20"/>
          <w:color w:val="auto"/>
        </w:rPr>
      </w:pPr>
    </w:p>
    <w:p>
      <w:pPr>
        <w:ind w:left="1000" w:right="179"/>
        <w:spacing w:after="0" w:line="271" w:lineRule="auto"/>
        <w:rPr>
          <w:sz w:val="20"/>
          <w:szCs w:val="20"/>
          <w:color w:val="auto"/>
        </w:rPr>
      </w:pPr>
      <w:r>
        <w:rPr>
          <w:rFonts w:ascii="Arial" w:cs="Arial" w:eastAsia="Arial" w:hAnsi="Arial"/>
          <w:sz w:val="18"/>
          <w:szCs w:val="18"/>
          <w:color w:val="auto"/>
        </w:rPr>
        <w:t>The Board’s practice is to review the Company’s non-employee Director compensation program periodically based on recommendations from the Compensation and Leadership Development Committee, and any changes are generally made effective as of January 1 of the following calendar year. The committee typically performs a comprehensive benchmarking review of the program every two years, including each element of the program and the compensation in total.</w:t>
      </w:r>
    </w:p>
    <w:p>
      <w:pPr>
        <w:spacing w:after="0" w:line="100" w:lineRule="exact"/>
        <w:rPr>
          <w:sz w:val="20"/>
          <w:szCs w:val="20"/>
          <w:color w:val="auto"/>
        </w:rPr>
      </w:pPr>
    </w:p>
    <w:p>
      <w:pPr>
        <w:ind w:left="1000" w:right="239"/>
        <w:spacing w:after="0" w:line="287" w:lineRule="auto"/>
        <w:rPr>
          <w:sz w:val="20"/>
          <w:szCs w:val="20"/>
          <w:color w:val="auto"/>
        </w:rPr>
      </w:pPr>
      <w:r>
        <w:rPr>
          <w:rFonts w:ascii="Arial" w:cs="Arial" w:eastAsia="Arial" w:hAnsi="Arial"/>
          <w:sz w:val="18"/>
          <w:szCs w:val="18"/>
          <w:color w:val="auto"/>
        </w:rPr>
        <w:t>The Board did not make, and the Compensation and Leadership Development Committee did not recommend, any changes to non-employee Director Compensation for fiscal 2024.</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DEFERRED COMPENSATION PLAN</w:t>
      </w:r>
    </w:p>
    <w:p>
      <w:pPr>
        <w:spacing w:after="0" w:line="148" w:lineRule="exact"/>
        <w:rPr>
          <w:sz w:val="20"/>
          <w:szCs w:val="20"/>
          <w:color w:val="auto"/>
        </w:rPr>
      </w:pPr>
    </w:p>
    <w:p>
      <w:pPr>
        <w:ind w:left="1000" w:right="419"/>
        <w:spacing w:after="0" w:line="290" w:lineRule="auto"/>
        <w:rPr>
          <w:sz w:val="20"/>
          <w:szCs w:val="20"/>
          <w:color w:val="auto"/>
        </w:rPr>
      </w:pPr>
      <w:r>
        <w:rPr>
          <w:rFonts w:ascii="Arial" w:cs="Arial" w:eastAsia="Arial" w:hAnsi="Arial"/>
          <w:sz w:val="17"/>
          <w:szCs w:val="17"/>
          <w:color w:val="auto"/>
        </w:rPr>
        <w:t>Under the Avnet Deferred Compensation Plan for Outside Directors, a non-employee Director may elect to defer all or a portion of annual equity compensation and receive phantom stock units instead. Each phantom stock unit is the equivalent of one share of Common Stock and is settled in Common Stock on a one-for-one basis with fractional shares payable in cash. Phantom stock units will be settled when the Director no longer serves on the Board or upon a change of control of the Company, as provided under the plan.</w:t>
      </w:r>
    </w:p>
    <w:p>
      <w:pPr>
        <w:spacing w:after="0" w:line="88" w:lineRule="exact"/>
        <w:rPr>
          <w:sz w:val="20"/>
          <w:szCs w:val="20"/>
          <w:color w:val="auto"/>
        </w:rPr>
      </w:pPr>
    </w:p>
    <w:p>
      <w:pPr>
        <w:ind w:left="1000" w:right="619"/>
        <w:spacing w:after="0" w:line="284" w:lineRule="auto"/>
        <w:rPr>
          <w:sz w:val="20"/>
          <w:szCs w:val="20"/>
          <w:color w:val="auto"/>
        </w:rPr>
      </w:pPr>
      <w:r>
        <w:rPr>
          <w:rFonts w:ascii="Arial" w:cs="Arial" w:eastAsia="Arial" w:hAnsi="Arial"/>
          <w:sz w:val="18"/>
          <w:szCs w:val="18"/>
          <w:color w:val="auto"/>
        </w:rPr>
        <w:t>The number of phantom stock units is determined by dividing the grant date fair value of the annual equity compensation by the average price of the Common Stock on the first business day in January and then multiplying by the percentage of the equity compensation deferred.</w:t>
      </w:r>
    </w:p>
    <w:p>
      <w:pPr>
        <w:spacing w:after="0" w:line="89" w:lineRule="exact"/>
        <w:rPr>
          <w:sz w:val="20"/>
          <w:szCs w:val="20"/>
          <w:color w:val="auto"/>
        </w:rPr>
      </w:pPr>
    </w:p>
    <w:p>
      <w:pPr>
        <w:jc w:val="both"/>
        <w:ind w:left="1000" w:right="239"/>
        <w:spacing w:after="0" w:line="272" w:lineRule="auto"/>
        <w:rPr>
          <w:sz w:val="20"/>
          <w:szCs w:val="20"/>
          <w:color w:val="auto"/>
        </w:rPr>
      </w:pPr>
      <w:r>
        <w:rPr>
          <w:rFonts w:ascii="Arial" w:cs="Arial" w:eastAsia="Arial" w:hAnsi="Arial"/>
          <w:sz w:val="17"/>
          <w:szCs w:val="17"/>
          <w:color w:val="auto"/>
        </w:rPr>
        <w:t>In addition, a non-employee Director may elect to defer all or a portion of cash compensation, either as cash or phantom stock units. Cash compensation deferred as cash is credited to a cash account established under the plan for the Director at the beginning of each quarter and earns monthly interest at the interest rate on U.S.</w:t>
      </w:r>
    </w:p>
    <w:p>
      <w:pPr>
        <w:spacing w:after="0" w:line="1" w:lineRule="exact"/>
        <w:rPr>
          <w:sz w:val="20"/>
          <w:szCs w:val="20"/>
          <w:color w:val="auto"/>
        </w:rPr>
      </w:pPr>
    </w:p>
    <w:p>
      <w:pPr>
        <w:ind w:left="1000" w:right="199"/>
        <w:spacing w:after="0" w:line="258" w:lineRule="auto"/>
        <w:rPr>
          <w:sz w:val="20"/>
          <w:szCs w:val="20"/>
          <w:color w:val="auto"/>
        </w:rPr>
      </w:pPr>
      <w:r>
        <w:rPr>
          <w:rFonts w:ascii="Arial" w:cs="Arial" w:eastAsia="Arial" w:hAnsi="Arial"/>
          <w:sz w:val="18"/>
          <w:szCs w:val="18"/>
          <w:color w:val="auto"/>
        </w:rPr>
        <w:t>Treasury 10-year notes on the first day of the month. During fiscal 2024, there were no “above market” earnings. The cash account is payable to the Director when the Director no longer serves on the Board or upon a change of control of the Company.</w:t>
      </w:r>
    </w:p>
    <w:p>
      <w:pPr>
        <w:spacing w:after="0" w:line="111" w:lineRule="exact"/>
        <w:rPr>
          <w:sz w:val="20"/>
          <w:szCs w:val="20"/>
          <w:color w:val="auto"/>
        </w:rPr>
      </w:pPr>
    </w:p>
    <w:p>
      <w:pPr>
        <w:ind w:left="1000" w:right="239"/>
        <w:spacing w:after="0" w:line="259" w:lineRule="auto"/>
        <w:rPr>
          <w:sz w:val="20"/>
          <w:szCs w:val="20"/>
          <w:color w:val="auto"/>
        </w:rPr>
      </w:pPr>
      <w:r>
        <w:rPr>
          <w:rFonts w:ascii="Arial" w:cs="Arial" w:eastAsia="Arial" w:hAnsi="Arial"/>
          <w:sz w:val="18"/>
          <w:szCs w:val="18"/>
          <w:color w:val="auto"/>
        </w:rPr>
        <w:t>Except in connection with a change of control, the settlement of phantom stock units with Common Stock and payment of the cash account in cash will be made in ten annual installments, unless the Director elects to receive in a single lump sum or less than ten annual installments. In connection with a change of control, the settlement and payment will be made in a single lump sum. If a Director dies, any remaining payments shall be made to the Director’s designated beneficiary.</w:t>
      </w:r>
    </w:p>
    <w:p>
      <w:pPr>
        <w:spacing w:after="0" w:line="11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3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420" w:type="dxa"/>
            <w:vAlign w:val="bottom"/>
            <w:vMerge w:val="restart"/>
          </w:tcPr>
          <w:p>
            <w:pPr>
              <w:ind w:left="2960"/>
              <w:spacing w:after="0"/>
              <w:rPr>
                <w:sz w:val="20"/>
                <w:szCs w:val="20"/>
                <w:color w:val="auto"/>
              </w:rPr>
            </w:pPr>
            <w:r>
              <w:rPr>
                <w:rFonts w:ascii="Arial" w:cs="Arial" w:eastAsia="Arial" w:hAnsi="Arial"/>
                <w:sz w:val="14"/>
                <w:szCs w:val="14"/>
                <w:color w:val="auto"/>
              </w:rPr>
              <w:t>Director Compensation</w:t>
            </w:r>
          </w:p>
        </w:tc>
        <w:tc>
          <w:tcPr>
            <w:tcW w:w="0" w:type="dxa"/>
            <w:vAlign w:val="bottom"/>
          </w:tcPr>
          <w:p>
            <w:pPr>
              <w:spacing w:after="0"/>
              <w:rPr>
                <w:sz w:val="1"/>
                <w:szCs w:val="1"/>
                <w:color w:val="auto"/>
              </w:rPr>
            </w:pPr>
          </w:p>
        </w:tc>
      </w:tr>
      <w:tr>
        <w:trPr>
          <w:trHeight w:val="89"/>
        </w:trPr>
        <w:tc>
          <w:tcPr>
            <w:tcW w:w="53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320" w:type="dxa"/>
            <w:vAlign w:val="bottom"/>
            <w:vMerge w:val="continue"/>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D&amp;O INSURANCE</w:t>
      </w:r>
    </w:p>
    <w:p>
      <w:pPr>
        <w:spacing w:after="0" w:line="162" w:lineRule="exact"/>
        <w:rPr>
          <w:sz w:val="20"/>
          <w:szCs w:val="20"/>
          <w:color w:val="auto"/>
        </w:rPr>
      </w:pPr>
    </w:p>
    <w:p>
      <w:pPr>
        <w:ind w:left="1000" w:right="179"/>
        <w:spacing w:after="0" w:line="270" w:lineRule="auto"/>
        <w:rPr>
          <w:sz w:val="20"/>
          <w:szCs w:val="20"/>
          <w:color w:val="auto"/>
        </w:rPr>
      </w:pPr>
      <w:r>
        <w:rPr>
          <w:rFonts w:ascii="Arial" w:cs="Arial" w:eastAsia="Arial" w:hAnsi="Arial"/>
          <w:sz w:val="17"/>
          <w:szCs w:val="17"/>
          <w:color w:val="auto"/>
        </w:rPr>
        <w:t>As permitted by Section 726 of the Business Corporation Law of New York, the Company has in force directors’ and officers’ liability insurance and corporate reimbursement insurance. The policy insures the Company against losses from claims against its Directors and officers when they are entitled to indemnification by the Company, and insures the Company’s Directors and officers against certain losses from claims against them in their official capacities. All duly elected Directors and officers of the Company and its subsidiaries are covered under this insurance. The primary insurer is Federal Insurance Company, a Chubb Group insurance company. Excess insurers include XL Specialty Insurance Company, Zurich American Insurance Company, National Union Fire Insurance Co. of Pittsburgh, PA, Travelers Casualty and Surety Company of America, Sompo America Insurance Company, and Lloyd’s of London. The coverage was renewed effective August 1, 2024, for a one-year term. The total premium paid for both primary and excess insurance was $897,410. No claims were made or sums paid out under such insurance policies during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32     </w:t>
      </w:r>
      <w:r>
        <w:rPr>
          <w:sz w:val="1"/>
          <w:szCs w:val="1"/>
          <w:color w:val="auto"/>
        </w:rPr>
        <w:drawing>
          <wp:inline distT="0" distB="0" distL="0" distR="0">
            <wp:extent cx="1242695" cy="24003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40"/>
        <w:spacing w:after="0"/>
        <w:rPr>
          <w:sz w:val="20"/>
          <w:szCs w:val="20"/>
          <w:color w:val="auto"/>
        </w:rPr>
      </w:pPr>
      <w:r>
        <w:rPr>
          <w:rFonts w:ascii="Arial" w:cs="Arial" w:eastAsia="Arial" w:hAnsi="Arial"/>
          <w:sz w:val="40"/>
          <w:szCs w:val="40"/>
          <w:b w:val="1"/>
          <w:bCs w:val="1"/>
          <w:color w:val="FEFEFE"/>
        </w:rPr>
        <w:t>EXECUTIVE OFFICERS OF THE COMPANY</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jc w:val="both"/>
        <w:ind w:left="1000" w:right="319"/>
        <w:spacing w:after="0" w:line="276" w:lineRule="auto"/>
        <w:rPr>
          <w:sz w:val="20"/>
          <w:szCs w:val="20"/>
          <w:color w:val="auto"/>
        </w:rPr>
      </w:pPr>
      <w:r>
        <w:rPr>
          <w:rFonts w:ascii="Arial" w:cs="Arial" w:eastAsia="Arial" w:hAnsi="Arial"/>
          <w:sz w:val="18"/>
          <w:szCs w:val="18"/>
          <w:color w:val="auto"/>
        </w:rPr>
        <w:t>Below are the names, ages, and titles of the Company’s current executive officers as of September 23, 2024, as well as a summary of their backgrounds and business experience, except that Mr. Gallagher’s biography is listed earlier under “Proposal 1 Election of Directors — Nominees”.</w:t>
      </w:r>
    </w:p>
    <w:p>
      <w:pPr>
        <w:spacing w:after="0" w:line="109" w:lineRule="exact"/>
        <w:rPr>
          <w:sz w:val="20"/>
          <w:szCs w:val="20"/>
          <w:color w:val="auto"/>
        </w:rPr>
      </w:pPr>
    </w:p>
    <w:p>
      <w:pPr>
        <w:ind w:left="1000" w:right="219"/>
        <w:spacing w:after="0" w:line="287" w:lineRule="auto"/>
        <w:rPr>
          <w:sz w:val="20"/>
          <w:szCs w:val="20"/>
          <w:color w:val="auto"/>
        </w:rPr>
      </w:pPr>
      <w:r>
        <w:rPr>
          <w:rFonts w:ascii="Arial" w:cs="Arial" w:eastAsia="Arial" w:hAnsi="Arial"/>
          <w:sz w:val="18"/>
          <w:szCs w:val="18"/>
          <w:color w:val="auto"/>
        </w:rPr>
        <w:t>Executive officers are generally appointed each year by the Board at a meeting following the annual meeting of shareholders.</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194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FFFFF"/>
              </w:rPr>
              <w:t>Name</w:t>
            </w:r>
          </w:p>
        </w:tc>
        <w:tc>
          <w:tcPr>
            <w:tcW w:w="140" w:type="dxa"/>
            <w:vAlign w:val="bottom"/>
            <w:shd w:val="clear" w:color="auto" w:fill="53C072"/>
          </w:tcPr>
          <w:p>
            <w:pPr>
              <w:spacing w:after="0"/>
              <w:rPr>
                <w:sz w:val="19"/>
                <w:szCs w:val="19"/>
                <w:color w:val="auto"/>
              </w:rPr>
            </w:pPr>
          </w:p>
        </w:tc>
        <w:tc>
          <w:tcPr>
            <w:tcW w:w="100" w:type="dxa"/>
            <w:vAlign w:val="bottom"/>
            <w:shd w:val="clear" w:color="auto" w:fill="53C072"/>
          </w:tcPr>
          <w:p>
            <w:pPr>
              <w:spacing w:after="0"/>
              <w:rPr>
                <w:sz w:val="19"/>
                <w:szCs w:val="19"/>
                <w:color w:val="auto"/>
              </w:rPr>
            </w:pPr>
          </w:p>
        </w:tc>
        <w:tc>
          <w:tcPr>
            <w:tcW w:w="760" w:type="dxa"/>
            <w:vAlign w:val="bottom"/>
            <w:shd w:val="clear" w:color="auto" w:fill="53C072"/>
          </w:tcPr>
          <w:p>
            <w:pPr>
              <w:jc w:val="center"/>
              <w:ind w:left="179"/>
              <w:spacing w:after="0"/>
              <w:rPr>
                <w:sz w:val="20"/>
                <w:szCs w:val="20"/>
                <w:color w:val="auto"/>
              </w:rPr>
            </w:pPr>
            <w:r>
              <w:rPr>
                <w:rFonts w:ascii="Arial" w:cs="Arial" w:eastAsia="Arial" w:hAnsi="Arial"/>
                <w:sz w:val="14"/>
                <w:szCs w:val="14"/>
                <w:b w:val="1"/>
                <w:bCs w:val="1"/>
                <w:color w:val="FFFFFF"/>
                <w:w w:val="98"/>
              </w:rPr>
              <w:t>Age</w:t>
            </w:r>
          </w:p>
        </w:tc>
        <w:tc>
          <w:tcPr>
            <w:tcW w:w="542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FFFFF"/>
              </w:rPr>
              <w:t>Office</w:t>
            </w:r>
          </w:p>
        </w:tc>
        <w:tc>
          <w:tcPr>
            <w:tcW w:w="400" w:type="dxa"/>
            <w:vAlign w:val="bottom"/>
            <w:shd w:val="clear" w:color="auto" w:fill="53C072"/>
          </w:tcPr>
          <w:p>
            <w:pPr>
              <w:spacing w:after="0"/>
              <w:rPr>
                <w:sz w:val="19"/>
                <w:szCs w:val="19"/>
                <w:color w:val="auto"/>
              </w:rPr>
            </w:pPr>
          </w:p>
        </w:tc>
      </w:tr>
      <w:tr>
        <w:trPr>
          <w:trHeight w:val="265"/>
        </w:trPr>
        <w:tc>
          <w:tcPr>
            <w:tcW w:w="1940" w:type="dxa"/>
            <w:vAlign w:val="bottom"/>
          </w:tcPr>
          <w:p>
            <w:pPr>
              <w:ind w:left="120"/>
              <w:spacing w:after="0"/>
              <w:rPr>
                <w:sz w:val="20"/>
                <w:szCs w:val="20"/>
                <w:color w:val="auto"/>
              </w:rPr>
            </w:pPr>
            <w:r>
              <w:rPr>
                <w:rFonts w:ascii="Arial" w:cs="Arial" w:eastAsia="Arial" w:hAnsi="Arial"/>
                <w:sz w:val="18"/>
                <w:szCs w:val="18"/>
                <w:color w:val="auto"/>
              </w:rPr>
              <w:t>Philip R. Gallagher</w:t>
            </w:r>
          </w:p>
        </w:tc>
        <w:tc>
          <w:tcPr>
            <w:tcW w:w="100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63</w:t>
            </w:r>
          </w:p>
        </w:tc>
        <w:tc>
          <w:tcPr>
            <w:tcW w:w="5420" w:type="dxa"/>
            <w:vAlign w:val="bottom"/>
          </w:tcPr>
          <w:p>
            <w:pPr>
              <w:ind w:left="100"/>
              <w:spacing w:after="0"/>
              <w:rPr>
                <w:sz w:val="20"/>
                <w:szCs w:val="20"/>
                <w:color w:val="auto"/>
              </w:rPr>
            </w:pPr>
            <w:r>
              <w:rPr>
                <w:rFonts w:ascii="Arial" w:cs="Arial" w:eastAsia="Arial" w:hAnsi="Arial"/>
                <w:sz w:val="18"/>
                <w:szCs w:val="18"/>
                <w:color w:val="auto"/>
              </w:rPr>
              <w:t>Chief Executive Officer and President, Electronic Components</w:t>
            </w:r>
          </w:p>
        </w:tc>
        <w:tc>
          <w:tcPr>
            <w:tcW w:w="400" w:type="dxa"/>
            <w:vAlign w:val="bottom"/>
          </w:tcPr>
          <w:p>
            <w:pPr>
              <w:spacing w:after="0"/>
              <w:rPr>
                <w:sz w:val="23"/>
                <w:szCs w:val="23"/>
                <w:color w:val="auto"/>
              </w:rPr>
            </w:pPr>
          </w:p>
        </w:tc>
      </w:tr>
      <w:tr>
        <w:trPr>
          <w:trHeight w:val="275"/>
        </w:trPr>
        <w:tc>
          <w:tcPr>
            <w:tcW w:w="19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Kenneth A. Jacobson</w:t>
            </w:r>
          </w:p>
        </w:tc>
        <w:tc>
          <w:tcPr>
            <w:tcW w:w="1000" w:type="dxa"/>
            <w:vAlign w:val="bottom"/>
            <w:gridSpan w:val="3"/>
            <w:shd w:val="clear" w:color="auto" w:fill="CBECD5"/>
          </w:tcPr>
          <w:p>
            <w:pPr>
              <w:jc w:val="center"/>
              <w:ind w:left="411"/>
              <w:spacing w:after="0"/>
              <w:rPr>
                <w:sz w:val="20"/>
                <w:szCs w:val="20"/>
                <w:color w:val="auto"/>
              </w:rPr>
            </w:pPr>
            <w:r>
              <w:rPr>
                <w:rFonts w:ascii="Arial" w:cs="Arial" w:eastAsia="Arial" w:hAnsi="Arial"/>
                <w:sz w:val="18"/>
                <w:szCs w:val="18"/>
                <w:color w:val="auto"/>
                <w:w w:val="89"/>
              </w:rPr>
              <w:t>46</w:t>
            </w:r>
          </w:p>
        </w:tc>
        <w:tc>
          <w:tcPr>
            <w:tcW w:w="5420" w:type="dxa"/>
            <w:vAlign w:val="bottom"/>
            <w:shd w:val="clear" w:color="auto" w:fill="CBECD5"/>
          </w:tcPr>
          <w:p>
            <w:pPr>
              <w:ind w:left="100"/>
              <w:spacing w:after="0"/>
              <w:rPr>
                <w:sz w:val="20"/>
                <w:szCs w:val="20"/>
                <w:color w:val="auto"/>
              </w:rPr>
            </w:pPr>
            <w:r>
              <w:rPr>
                <w:rFonts w:ascii="Arial" w:cs="Arial" w:eastAsia="Arial" w:hAnsi="Arial"/>
                <w:sz w:val="18"/>
                <w:szCs w:val="18"/>
                <w:color w:val="auto"/>
              </w:rPr>
              <w:t>Chief Financial Officer</w:t>
            </w:r>
          </w:p>
        </w:tc>
        <w:tc>
          <w:tcPr>
            <w:tcW w:w="400" w:type="dxa"/>
            <w:vAlign w:val="bottom"/>
            <w:shd w:val="clear" w:color="auto" w:fill="CBECD5"/>
          </w:tcPr>
          <w:p>
            <w:pPr>
              <w:spacing w:after="0"/>
              <w:rPr>
                <w:sz w:val="23"/>
                <w:szCs w:val="23"/>
                <w:color w:val="auto"/>
              </w:rPr>
            </w:pPr>
          </w:p>
        </w:tc>
      </w:tr>
      <w:tr>
        <w:trPr>
          <w:trHeight w:val="265"/>
        </w:trPr>
        <w:tc>
          <w:tcPr>
            <w:tcW w:w="1940" w:type="dxa"/>
            <w:vAlign w:val="bottom"/>
          </w:tcPr>
          <w:p>
            <w:pPr>
              <w:ind w:left="120"/>
              <w:spacing w:after="0"/>
              <w:rPr>
                <w:sz w:val="20"/>
                <w:szCs w:val="20"/>
                <w:color w:val="auto"/>
              </w:rPr>
            </w:pPr>
            <w:r>
              <w:rPr>
                <w:rFonts w:ascii="Arial" w:cs="Arial" w:eastAsia="Arial" w:hAnsi="Arial"/>
                <w:sz w:val="18"/>
                <w:szCs w:val="18"/>
                <w:color w:val="auto"/>
              </w:rPr>
              <w:t>Ken E. Arnold</w:t>
            </w:r>
          </w:p>
        </w:tc>
        <w:tc>
          <w:tcPr>
            <w:tcW w:w="100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60</w:t>
            </w:r>
          </w:p>
        </w:tc>
        <w:tc>
          <w:tcPr>
            <w:tcW w:w="5420" w:type="dxa"/>
            <w:vAlign w:val="bottom"/>
          </w:tcPr>
          <w:p>
            <w:pPr>
              <w:ind w:left="100"/>
              <w:spacing w:after="0"/>
              <w:rPr>
                <w:sz w:val="20"/>
                <w:szCs w:val="20"/>
                <w:color w:val="auto"/>
              </w:rPr>
            </w:pPr>
            <w:r>
              <w:rPr>
                <w:rFonts w:ascii="Arial" w:cs="Arial" w:eastAsia="Arial" w:hAnsi="Arial"/>
                <w:sz w:val="18"/>
                <w:szCs w:val="18"/>
                <w:color w:val="auto"/>
              </w:rPr>
              <w:t>Senior Vice President and Chief People Officer</w:t>
            </w:r>
          </w:p>
        </w:tc>
        <w:tc>
          <w:tcPr>
            <w:tcW w:w="400" w:type="dxa"/>
            <w:vAlign w:val="bottom"/>
          </w:tcPr>
          <w:p>
            <w:pPr>
              <w:spacing w:after="0"/>
              <w:rPr>
                <w:sz w:val="23"/>
                <w:szCs w:val="23"/>
                <w:color w:val="auto"/>
              </w:rPr>
            </w:pPr>
          </w:p>
        </w:tc>
      </w:tr>
      <w:tr>
        <w:trPr>
          <w:trHeight w:val="275"/>
        </w:trPr>
        <w:tc>
          <w:tcPr>
            <w:tcW w:w="19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Michael R. McCoy</w:t>
            </w:r>
          </w:p>
        </w:tc>
        <w:tc>
          <w:tcPr>
            <w:tcW w:w="1000" w:type="dxa"/>
            <w:vAlign w:val="bottom"/>
            <w:gridSpan w:val="3"/>
            <w:shd w:val="clear" w:color="auto" w:fill="CBECD5"/>
          </w:tcPr>
          <w:p>
            <w:pPr>
              <w:jc w:val="center"/>
              <w:ind w:left="411"/>
              <w:spacing w:after="0"/>
              <w:rPr>
                <w:sz w:val="20"/>
                <w:szCs w:val="20"/>
                <w:color w:val="auto"/>
              </w:rPr>
            </w:pPr>
            <w:r>
              <w:rPr>
                <w:rFonts w:ascii="Arial" w:cs="Arial" w:eastAsia="Arial" w:hAnsi="Arial"/>
                <w:sz w:val="18"/>
                <w:szCs w:val="18"/>
                <w:color w:val="auto"/>
                <w:w w:val="89"/>
              </w:rPr>
              <w:t>48</w:t>
            </w:r>
          </w:p>
        </w:tc>
        <w:tc>
          <w:tcPr>
            <w:tcW w:w="5420" w:type="dxa"/>
            <w:vAlign w:val="bottom"/>
            <w:shd w:val="clear" w:color="auto" w:fill="CBECD5"/>
          </w:tcPr>
          <w:p>
            <w:pPr>
              <w:ind w:left="100"/>
              <w:spacing w:after="0"/>
              <w:rPr>
                <w:sz w:val="20"/>
                <w:szCs w:val="20"/>
                <w:color w:val="auto"/>
              </w:rPr>
            </w:pPr>
            <w:r>
              <w:rPr>
                <w:rFonts w:ascii="Arial" w:cs="Arial" w:eastAsia="Arial" w:hAnsi="Arial"/>
                <w:sz w:val="18"/>
                <w:szCs w:val="18"/>
                <w:color w:val="auto"/>
              </w:rPr>
              <w:t>Senior Vice President, General Counsel and Chief Legal Officer</w:t>
            </w:r>
          </w:p>
        </w:tc>
        <w:tc>
          <w:tcPr>
            <w:tcW w:w="400" w:type="dxa"/>
            <w:vAlign w:val="bottom"/>
            <w:shd w:val="clear" w:color="auto" w:fill="CBECD5"/>
          </w:tcPr>
          <w:p>
            <w:pPr>
              <w:spacing w:after="0"/>
              <w:rPr>
                <w:sz w:val="23"/>
                <w:szCs w:val="23"/>
                <w:color w:val="auto"/>
              </w:rPr>
            </w:pPr>
          </w:p>
        </w:tc>
      </w:tr>
      <w:tr>
        <w:trPr>
          <w:trHeight w:val="265"/>
        </w:trPr>
        <w:tc>
          <w:tcPr>
            <w:tcW w:w="1940" w:type="dxa"/>
            <w:vAlign w:val="bottom"/>
          </w:tcPr>
          <w:p>
            <w:pPr>
              <w:ind w:left="120"/>
              <w:spacing w:after="0"/>
              <w:rPr>
                <w:sz w:val="20"/>
                <w:szCs w:val="20"/>
                <w:color w:val="auto"/>
              </w:rPr>
            </w:pPr>
            <w:r>
              <w:rPr>
                <w:rFonts w:ascii="Arial" w:cs="Arial" w:eastAsia="Arial" w:hAnsi="Arial"/>
                <w:sz w:val="18"/>
                <w:szCs w:val="18"/>
                <w:color w:val="auto"/>
              </w:rPr>
              <w:t>Leng Jin (Max) Chan</w:t>
            </w:r>
          </w:p>
        </w:tc>
        <w:tc>
          <w:tcPr>
            <w:tcW w:w="1000" w:type="dxa"/>
            <w:vAlign w:val="bottom"/>
            <w:gridSpan w:val="3"/>
          </w:tcPr>
          <w:p>
            <w:pPr>
              <w:jc w:val="center"/>
              <w:ind w:left="411"/>
              <w:spacing w:after="0"/>
              <w:rPr>
                <w:sz w:val="20"/>
                <w:szCs w:val="20"/>
                <w:color w:val="auto"/>
              </w:rPr>
            </w:pPr>
            <w:r>
              <w:rPr>
                <w:rFonts w:ascii="Arial" w:cs="Arial" w:eastAsia="Arial" w:hAnsi="Arial"/>
                <w:sz w:val="18"/>
                <w:szCs w:val="18"/>
                <w:color w:val="auto"/>
                <w:w w:val="89"/>
              </w:rPr>
              <w:t>52</w:t>
            </w:r>
          </w:p>
        </w:tc>
        <w:tc>
          <w:tcPr>
            <w:tcW w:w="5420" w:type="dxa"/>
            <w:vAlign w:val="bottom"/>
          </w:tcPr>
          <w:p>
            <w:pPr>
              <w:ind w:left="100"/>
              <w:spacing w:after="0"/>
              <w:rPr>
                <w:sz w:val="20"/>
                <w:szCs w:val="20"/>
                <w:color w:val="auto"/>
              </w:rPr>
            </w:pPr>
            <w:r>
              <w:rPr>
                <w:rFonts w:ascii="Arial" w:cs="Arial" w:eastAsia="Arial" w:hAnsi="Arial"/>
                <w:sz w:val="18"/>
                <w:szCs w:val="18"/>
                <w:color w:val="auto"/>
              </w:rPr>
              <w:t>Senior Vice President and Chief Information Officer</w:t>
            </w:r>
          </w:p>
        </w:tc>
        <w:tc>
          <w:tcPr>
            <w:tcW w:w="400" w:type="dxa"/>
            <w:vAlign w:val="bottom"/>
          </w:tcPr>
          <w:p>
            <w:pPr>
              <w:spacing w:after="0"/>
              <w:rPr>
                <w:sz w:val="23"/>
                <w:szCs w:val="23"/>
                <w:color w:val="auto"/>
              </w:rPr>
            </w:pPr>
          </w:p>
        </w:tc>
      </w:tr>
      <w:tr>
        <w:trPr>
          <w:trHeight w:val="275"/>
        </w:trPr>
        <w:tc>
          <w:tcPr>
            <w:tcW w:w="1940" w:type="dxa"/>
            <w:vAlign w:val="bottom"/>
            <w:shd w:val="clear" w:color="auto" w:fill="CBECD5"/>
          </w:tcPr>
          <w:p>
            <w:pPr>
              <w:ind w:left="120"/>
              <w:spacing w:after="0"/>
              <w:rPr>
                <w:sz w:val="20"/>
                <w:szCs w:val="20"/>
                <w:color w:val="auto"/>
              </w:rPr>
            </w:pPr>
            <w:r>
              <w:rPr>
                <w:rFonts w:ascii="Arial" w:cs="Arial" w:eastAsia="Arial" w:hAnsi="Arial"/>
                <w:sz w:val="18"/>
                <w:szCs w:val="18"/>
                <w:color w:val="auto"/>
              </w:rPr>
              <w:t>Elizabeth A. McMullen</w:t>
            </w:r>
          </w:p>
        </w:tc>
        <w:tc>
          <w:tcPr>
            <w:tcW w:w="1000" w:type="dxa"/>
            <w:vAlign w:val="bottom"/>
            <w:gridSpan w:val="3"/>
            <w:shd w:val="clear" w:color="auto" w:fill="CBECD5"/>
          </w:tcPr>
          <w:p>
            <w:pPr>
              <w:jc w:val="center"/>
              <w:ind w:left="411"/>
              <w:spacing w:after="0"/>
              <w:rPr>
                <w:sz w:val="20"/>
                <w:szCs w:val="20"/>
                <w:color w:val="auto"/>
              </w:rPr>
            </w:pPr>
            <w:r>
              <w:rPr>
                <w:rFonts w:ascii="Arial" w:cs="Arial" w:eastAsia="Arial" w:hAnsi="Arial"/>
                <w:sz w:val="18"/>
                <w:szCs w:val="18"/>
                <w:color w:val="auto"/>
                <w:w w:val="89"/>
              </w:rPr>
              <w:t>64</w:t>
            </w:r>
          </w:p>
        </w:tc>
        <w:tc>
          <w:tcPr>
            <w:tcW w:w="5420" w:type="dxa"/>
            <w:vAlign w:val="bottom"/>
            <w:shd w:val="clear" w:color="auto" w:fill="CBECD5"/>
          </w:tcPr>
          <w:p>
            <w:pPr>
              <w:ind w:left="100"/>
              <w:spacing w:after="0"/>
              <w:rPr>
                <w:sz w:val="20"/>
                <w:szCs w:val="20"/>
                <w:color w:val="auto"/>
              </w:rPr>
            </w:pPr>
            <w:r>
              <w:rPr>
                <w:rFonts w:ascii="Arial" w:cs="Arial" w:eastAsia="Arial" w:hAnsi="Arial"/>
                <w:sz w:val="18"/>
                <w:szCs w:val="18"/>
                <w:color w:val="auto"/>
              </w:rPr>
              <w:t>Senior Vice President, Operations</w:t>
            </w:r>
          </w:p>
        </w:tc>
        <w:tc>
          <w:tcPr>
            <w:tcW w:w="400" w:type="dxa"/>
            <w:vAlign w:val="bottom"/>
            <w:shd w:val="clear" w:color="auto" w:fill="CBECD5"/>
          </w:tcPr>
          <w:p>
            <w:pPr>
              <w:spacing w:after="0"/>
              <w:rPr>
                <w:sz w:val="23"/>
                <w:szCs w:val="23"/>
                <w:color w:val="auto"/>
              </w:rPr>
            </w:pPr>
          </w:p>
        </w:tc>
      </w:tr>
      <w:tr>
        <w:trPr>
          <w:trHeight w:val="223"/>
        </w:trPr>
        <w:tc>
          <w:tcPr>
            <w:tcW w:w="1940" w:type="dxa"/>
            <w:vAlign w:val="bottom"/>
            <w:tcBorders>
              <w:bottom w:val="single" w:sz="8" w:color="53C072"/>
            </w:tcBorders>
          </w:tcPr>
          <w:p>
            <w:pPr>
              <w:spacing w:after="0"/>
              <w:rPr>
                <w:sz w:val="19"/>
                <w:szCs w:val="19"/>
                <w:color w:val="auto"/>
              </w:rPr>
            </w:pPr>
          </w:p>
        </w:tc>
        <w:tc>
          <w:tcPr>
            <w:tcW w:w="140" w:type="dxa"/>
            <w:vAlign w:val="bottom"/>
            <w:tcBorders>
              <w:bottom w:val="single" w:sz="8" w:color="53C072"/>
            </w:tcBorders>
          </w:tcPr>
          <w:p>
            <w:pPr>
              <w:spacing w:after="0"/>
              <w:rPr>
                <w:sz w:val="19"/>
                <w:szCs w:val="19"/>
                <w:color w:val="auto"/>
              </w:rPr>
            </w:pPr>
          </w:p>
        </w:tc>
        <w:tc>
          <w:tcPr>
            <w:tcW w:w="100" w:type="dxa"/>
            <w:vAlign w:val="bottom"/>
            <w:tcBorders>
              <w:bottom w:val="single" w:sz="8" w:color="53C072"/>
            </w:tcBorders>
          </w:tcPr>
          <w:p>
            <w:pPr>
              <w:spacing w:after="0"/>
              <w:rPr>
                <w:sz w:val="19"/>
                <w:szCs w:val="19"/>
                <w:color w:val="auto"/>
              </w:rPr>
            </w:pPr>
          </w:p>
        </w:tc>
        <w:tc>
          <w:tcPr>
            <w:tcW w:w="6180" w:type="dxa"/>
            <w:vAlign w:val="bottom"/>
            <w:tcBorders>
              <w:bottom w:val="single" w:sz="8" w:color="53C072"/>
            </w:tcBorders>
            <w:gridSpan w:val="2"/>
          </w:tcPr>
          <w:p>
            <w:pPr>
              <w:spacing w:after="0"/>
              <w:rPr>
                <w:sz w:val="19"/>
                <w:szCs w:val="19"/>
                <w:color w:val="auto"/>
              </w:rPr>
            </w:pPr>
          </w:p>
        </w:tc>
        <w:tc>
          <w:tcPr>
            <w:tcW w:w="400" w:type="dxa"/>
            <w:vAlign w:val="bottom"/>
            <w:tcBorders>
              <w:bottom w:val="single" w:sz="8" w:color="53C072"/>
            </w:tcBorders>
          </w:tcPr>
          <w:p>
            <w:pPr>
              <w:spacing w:after="0"/>
              <w:rPr>
                <w:sz w:val="19"/>
                <w:szCs w:val="19"/>
                <w:color w:val="auto"/>
              </w:rPr>
            </w:pPr>
          </w:p>
        </w:tc>
      </w:tr>
      <w:tr>
        <w:trPr>
          <w:trHeight w:val="282"/>
        </w:trPr>
        <w:tc>
          <w:tcPr>
            <w:tcW w:w="1940" w:type="dxa"/>
            <w:vAlign w:val="bottom"/>
          </w:tcPr>
          <w:p>
            <w:pPr>
              <w:spacing w:after="0"/>
              <w:rPr>
                <w:sz w:val="24"/>
                <w:szCs w:val="24"/>
                <w:color w:val="auto"/>
              </w:rPr>
            </w:pPr>
          </w:p>
        </w:tc>
        <w:tc>
          <w:tcPr>
            <w:tcW w:w="140" w:type="dxa"/>
            <w:vAlign w:val="bottom"/>
          </w:tcPr>
          <w:p>
            <w:pPr>
              <w:ind w:lef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53C072"/>
          </w:tcPr>
          <w:p>
            <w:pPr>
              <w:ind w:left="60"/>
              <w:spacing w:after="0"/>
              <w:rPr>
                <w:sz w:val="20"/>
                <w:szCs w:val="20"/>
                <w:color w:val="auto"/>
              </w:rPr>
            </w:pPr>
            <w:r>
              <w:rPr>
                <w:rFonts w:ascii="Arial" w:cs="Arial" w:eastAsia="Arial" w:hAnsi="Arial"/>
                <w:sz w:val="17"/>
                <w:szCs w:val="17"/>
                <w:color w:val="auto"/>
              </w:rPr>
              <w:t>​</w:t>
            </w: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FEFEFE"/>
              </w:rPr>
              <w:t>KENNETH A. JACOBSON</w:t>
            </w:r>
            <w:r>
              <w:rPr>
                <w:rFonts w:ascii="Arial" w:cs="Arial" w:eastAsia="Arial" w:hAnsi="Arial"/>
                <w:sz w:val="17"/>
                <w:szCs w:val="17"/>
                <w:color w:val="FEFEFE"/>
              </w:rPr>
              <w:t>​</w:t>
            </w:r>
          </w:p>
        </w:tc>
        <w:tc>
          <w:tcPr>
            <w:tcW w:w="400" w:type="dxa"/>
            <w:vAlign w:val="bottom"/>
          </w:tcPr>
          <w:p>
            <w:pPr>
              <w:ind w:left="340"/>
              <w:spacing w:after="0"/>
              <w:rPr>
                <w:sz w:val="20"/>
                <w:szCs w:val="20"/>
                <w:color w:val="auto"/>
              </w:rPr>
            </w:pPr>
            <w:r>
              <w:rPr>
                <w:rFonts w:ascii="Arial" w:cs="Arial" w:eastAsia="Arial" w:hAnsi="Arial"/>
                <w:sz w:val="17"/>
                <w:szCs w:val="17"/>
                <w:color w:val="auto"/>
              </w:rPr>
              <w:t>​</w:t>
            </w:r>
          </w:p>
        </w:tc>
      </w:tr>
      <w:tr>
        <w:trPr>
          <w:trHeight w:val="42"/>
        </w:trPr>
        <w:tc>
          <w:tcPr>
            <w:tcW w:w="1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shd w:val="clear" w:color="auto" w:fill="53C072"/>
          </w:tcPr>
          <w:p>
            <w:pPr>
              <w:spacing w:after="0"/>
              <w:rPr>
                <w:sz w:val="3"/>
                <w:szCs w:val="3"/>
                <w:color w:val="auto"/>
              </w:rPr>
            </w:pPr>
          </w:p>
        </w:tc>
        <w:tc>
          <w:tcPr>
            <w:tcW w:w="760" w:type="dxa"/>
            <w:vAlign w:val="bottom"/>
          </w:tcPr>
          <w:p>
            <w:pPr>
              <w:spacing w:after="0"/>
              <w:rPr>
                <w:sz w:val="3"/>
                <w:szCs w:val="3"/>
                <w:color w:val="auto"/>
              </w:rPr>
            </w:pPr>
          </w:p>
        </w:tc>
        <w:tc>
          <w:tcPr>
            <w:tcW w:w="5420" w:type="dxa"/>
            <w:vAlign w:val="bottom"/>
          </w:tcPr>
          <w:p>
            <w:pPr>
              <w:spacing w:after="0"/>
              <w:rPr>
                <w:sz w:val="3"/>
                <w:szCs w:val="3"/>
                <w:color w:val="auto"/>
              </w:rPr>
            </w:pPr>
          </w:p>
        </w:tc>
        <w:tc>
          <w:tcPr>
            <w:tcW w:w="4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-222250</wp:posOffset>
            </wp:positionV>
            <wp:extent cx="5554980" cy="1551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54980" cy="1551305"/>
                    </a:xfrm>
                    <a:prstGeom prst="rect">
                      <a:avLst/>
                    </a:prstGeom>
                    <a:noFill/>
                  </pic:spPr>
                </pic:pic>
              </a:graphicData>
            </a:graphic>
          </wp:anchor>
        </w:drawing>
      </w:r>
    </w:p>
    <w:p>
      <w:pPr>
        <w:spacing w:after="0" w:line="39" w:lineRule="exact"/>
        <w:rPr>
          <w:sz w:val="20"/>
          <w:szCs w:val="20"/>
          <w:color w:val="auto"/>
        </w:rPr>
      </w:pPr>
    </w:p>
    <w:p>
      <w:pPr>
        <w:ind w:left="3160" w:right="359"/>
        <w:spacing w:after="0" w:line="275" w:lineRule="auto"/>
        <w:rPr>
          <w:sz w:val="20"/>
          <w:szCs w:val="20"/>
          <w:color w:val="auto"/>
        </w:rPr>
      </w:pPr>
      <w:r>
        <w:rPr>
          <w:rFonts w:ascii="Arial" w:cs="Arial" w:eastAsia="Arial" w:hAnsi="Arial"/>
          <w:sz w:val="16"/>
          <w:szCs w:val="16"/>
          <w:color w:val="auto"/>
        </w:rPr>
        <w:t>Kenneth A. Jacobson has served as Chief Financial Officer since September 6, 2022. Prior to that he had served as the Corporate Controller since 2013 and Principal Accounting Officer since 2018. From August 2017 to January 2018, Mr. Jacobson served as the Interim Chief Financial Officer. Prior to joining the Company, Mr. Jacobson served as the Director of External Reporting and Accounting Research for First Solar Inc. from 2011 to 2013, where he led external reporting and provided accounting support for acquisitions and sales of solar power projects. Mr. Jacobson began his career in public accounting with PricewaterhouseCoopers (PwC) for ten years, where he worked with a variety of clients across various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223520</wp:posOffset>
            </wp:positionV>
            <wp:extent cx="5554980" cy="1183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54980" cy="1183005"/>
                    </a:xfrm>
                    <a:prstGeom prst="rect">
                      <a:avLst/>
                    </a:prstGeom>
                    <a:noFill/>
                  </pic:spPr>
                </pic:pic>
              </a:graphicData>
            </a:graphic>
          </wp:anchor>
        </w:drawing>
      </w:r>
    </w:p>
    <w:p>
      <w:pPr>
        <w:spacing w:after="0" w:line="337" w:lineRule="exact"/>
        <w:rPr>
          <w:sz w:val="20"/>
          <w:szCs w:val="20"/>
          <w:color w:val="auto"/>
        </w:rPr>
      </w:pPr>
    </w:p>
    <w:p>
      <w:pPr>
        <w:jc w:val="right"/>
        <w:ind w:right="159"/>
        <w:spacing w:after="0"/>
        <w:tabs>
          <w:tab w:leader="none" w:pos="40" w:val="left"/>
        </w:tabs>
        <w:rPr>
          <w:sz w:val="20"/>
          <w:szCs w:val="20"/>
          <w:color w:val="auto"/>
        </w:rPr>
      </w:pPr>
      <w:r>
        <w:rPr>
          <w:rFonts w:ascii="Arial" w:cs="Arial" w:eastAsia="Arial" w:hAnsi="Arial"/>
          <w:sz w:val="34"/>
          <w:szCs w:val="34"/>
          <w:color w:val="000000"/>
          <w:vertAlign w:val="superscript"/>
        </w:rPr>
        <w:t>​ ​</w:t>
      </w:r>
      <w:r>
        <w:rPr>
          <w:rFonts w:ascii="Arial" w:cs="Arial" w:eastAsia="Arial" w:hAnsi="Arial"/>
          <w:sz w:val="18"/>
          <w:szCs w:val="18"/>
          <w:b w:val="1"/>
          <w:bCs w:val="1"/>
          <w:color w:val="FEFEFE"/>
        </w:rPr>
        <w:t>KEN E. ARNOLD</w:t>
      </w:r>
      <w:r>
        <w:rPr>
          <w:rFonts w:ascii="Arial" w:cs="Arial" w:eastAsia="Arial" w:hAnsi="Arial"/>
          <w:sz w:val="17"/>
          <w:szCs w:val="17"/>
          <w:color w:val="FEFEFE"/>
        </w:rPr>
        <w:t>​</w:t>
      </w:r>
      <w:r>
        <w:rPr>
          <w:sz w:val="20"/>
          <w:szCs w:val="20"/>
          <w:color w:val="auto"/>
        </w:rPr>
        <w:tab/>
      </w:r>
      <w:r>
        <w:rPr>
          <w:rFonts w:ascii="Arial" w:cs="Arial" w:eastAsia="Arial" w:hAnsi="Arial"/>
          <w:sz w:val="34"/>
          <w:szCs w:val="34"/>
          <w:color w:val="auto"/>
          <w:vertAlign w:val="superscript"/>
        </w:rPr>
        <w:t>​</w:t>
      </w:r>
    </w:p>
    <w:p>
      <w:pPr>
        <w:spacing w:after="0" w:line="66" w:lineRule="exact"/>
        <w:rPr>
          <w:sz w:val="20"/>
          <w:szCs w:val="20"/>
          <w:color w:val="auto"/>
        </w:rPr>
      </w:pPr>
    </w:p>
    <w:p>
      <w:pPr>
        <w:ind w:left="3160" w:right="339"/>
        <w:spacing w:after="0" w:line="256" w:lineRule="auto"/>
        <w:rPr>
          <w:sz w:val="20"/>
          <w:szCs w:val="20"/>
          <w:color w:val="auto"/>
        </w:rPr>
      </w:pPr>
      <w:r>
        <w:rPr>
          <w:rFonts w:ascii="Arial" w:cs="Arial" w:eastAsia="Arial" w:hAnsi="Arial"/>
          <w:sz w:val="17"/>
          <w:szCs w:val="17"/>
          <w:color w:val="auto"/>
        </w:rPr>
        <w:t>Ken E. Arnold has served as Senior Vice President and Chief People Officer since February 2019. He also oversees the company’s corporate marketing and communications function. He previously served in various human resource leadership roles with the Company, including as Vice President, Human Resources from 2009 to February 2019 and Director, Human Resources — Talent Acquisition and HR Services from 2007 to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232410</wp:posOffset>
            </wp:positionV>
            <wp:extent cx="5554980" cy="128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54980" cy="1285875"/>
                    </a:xfrm>
                    <a:prstGeom prst="rect">
                      <a:avLst/>
                    </a:prstGeom>
                    <a:noFill/>
                  </pic:spPr>
                </pic:pic>
              </a:graphicData>
            </a:graphic>
          </wp:anchor>
        </w:drawing>
      </w:r>
    </w:p>
    <w:p>
      <w:pPr>
        <w:spacing w:after="0" w:line="351" w:lineRule="exact"/>
        <w:rPr>
          <w:sz w:val="20"/>
          <w:szCs w:val="20"/>
          <w:color w:val="auto"/>
        </w:rPr>
      </w:pPr>
    </w:p>
    <w:p>
      <w:pPr>
        <w:jc w:val="right"/>
        <w:ind w:right="159"/>
        <w:spacing w:after="0"/>
        <w:tabs>
          <w:tab w:leader="none" w:pos="40" w:val="left"/>
        </w:tabs>
        <w:rPr>
          <w:sz w:val="20"/>
          <w:szCs w:val="20"/>
          <w:color w:val="auto"/>
        </w:rPr>
      </w:pPr>
      <w:r>
        <w:rPr>
          <w:rFonts w:ascii="Arial" w:cs="Arial" w:eastAsia="Arial" w:hAnsi="Arial"/>
          <w:sz w:val="34"/>
          <w:szCs w:val="34"/>
          <w:color w:val="000000"/>
          <w:vertAlign w:val="superscript"/>
        </w:rPr>
        <w:t>​ ​</w:t>
      </w:r>
      <w:r>
        <w:rPr>
          <w:rFonts w:ascii="Arial" w:cs="Arial" w:eastAsia="Arial" w:hAnsi="Arial"/>
          <w:sz w:val="18"/>
          <w:szCs w:val="18"/>
          <w:b w:val="1"/>
          <w:bCs w:val="1"/>
          <w:color w:val="FEFEFE"/>
        </w:rPr>
        <w:t>MICHAEL R. MCCOY</w:t>
      </w:r>
      <w:r>
        <w:rPr>
          <w:rFonts w:ascii="Arial" w:cs="Arial" w:eastAsia="Arial" w:hAnsi="Arial"/>
          <w:sz w:val="17"/>
          <w:szCs w:val="17"/>
          <w:color w:val="FEFEFE"/>
        </w:rPr>
        <w:t>​</w:t>
      </w:r>
      <w:r>
        <w:rPr>
          <w:sz w:val="20"/>
          <w:szCs w:val="20"/>
          <w:color w:val="auto"/>
        </w:rPr>
        <w:tab/>
      </w:r>
      <w:r>
        <w:rPr>
          <w:rFonts w:ascii="Arial" w:cs="Arial" w:eastAsia="Arial" w:hAnsi="Arial"/>
          <w:sz w:val="34"/>
          <w:szCs w:val="34"/>
          <w:color w:val="auto"/>
          <w:vertAlign w:val="superscript"/>
        </w:rPr>
        <w:t>​</w:t>
      </w:r>
    </w:p>
    <w:p>
      <w:pPr>
        <w:spacing w:after="0" w:line="30" w:lineRule="exact"/>
        <w:rPr>
          <w:sz w:val="20"/>
          <w:szCs w:val="20"/>
          <w:color w:val="auto"/>
        </w:rPr>
      </w:pPr>
    </w:p>
    <w:p>
      <w:pPr>
        <w:ind w:left="3160" w:right="299"/>
        <w:spacing w:after="0" w:line="254" w:lineRule="auto"/>
        <w:rPr>
          <w:sz w:val="20"/>
          <w:szCs w:val="20"/>
          <w:color w:val="auto"/>
        </w:rPr>
      </w:pPr>
      <w:r>
        <w:rPr>
          <w:rFonts w:ascii="Arial" w:cs="Arial" w:eastAsia="Arial" w:hAnsi="Arial"/>
          <w:sz w:val="17"/>
          <w:szCs w:val="17"/>
          <w:color w:val="auto"/>
        </w:rPr>
        <w:t>Michael R. McCoy has served as Senior Vice President, General Counsel and Chief Legal Officer since April 2020. He joined the Company in 2010 and previously served as General Counsel, International from May 2019 to April 2020; Vice President, Assistant General Counsel, EMEA General Counsel from 2017 to 2019; and Secretary from 2013 to 2017. Prior to joining the Company, Mr. McCoy worked at two international law firms and at the U.S. Securities and Exchange Commission’s Division of Corporation Finance.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6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780" w:type="dxa"/>
            <w:vAlign w:val="bottom"/>
            <w:vMerge w:val="restart"/>
          </w:tcPr>
          <w:p>
            <w:pPr>
              <w:ind w:left="2600"/>
              <w:spacing w:after="0"/>
              <w:rPr>
                <w:sz w:val="20"/>
                <w:szCs w:val="20"/>
                <w:color w:val="auto"/>
              </w:rPr>
            </w:pPr>
            <w:r>
              <w:rPr>
                <w:rFonts w:ascii="Arial" w:cs="Arial" w:eastAsia="Arial" w:hAnsi="Arial"/>
                <w:sz w:val="14"/>
                <w:szCs w:val="14"/>
                <w:color w:val="auto"/>
              </w:rPr>
              <w:t>Executive Officers of the Company</w:t>
            </w:r>
          </w:p>
        </w:tc>
        <w:tc>
          <w:tcPr>
            <w:tcW w:w="0" w:type="dxa"/>
            <w:vAlign w:val="bottom"/>
          </w:tcPr>
          <w:p>
            <w:pPr>
              <w:spacing w:after="0"/>
              <w:rPr>
                <w:sz w:val="1"/>
                <w:szCs w:val="1"/>
                <w:color w:val="auto"/>
              </w:rPr>
            </w:pPr>
          </w:p>
        </w:tc>
      </w:tr>
      <w:tr>
        <w:trPr>
          <w:trHeight w:val="89"/>
        </w:trPr>
        <w:tc>
          <w:tcPr>
            <w:tcW w:w="49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960" w:type="dxa"/>
            <w:vAlign w:val="bottom"/>
            <w:vMerge w:val="continue"/>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1551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54980" cy="155130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right"/>
        <w:ind w:right="159"/>
        <w:spacing w:after="0"/>
        <w:tabs>
          <w:tab w:leader="none" w:pos="40" w:val="left"/>
        </w:tabs>
        <w:rPr>
          <w:sz w:val="20"/>
          <w:szCs w:val="20"/>
          <w:color w:val="auto"/>
        </w:rPr>
      </w:pPr>
      <w:r>
        <w:rPr>
          <w:rFonts w:ascii="Arial" w:cs="Arial" w:eastAsia="Arial" w:hAnsi="Arial"/>
          <w:sz w:val="34"/>
          <w:szCs w:val="34"/>
          <w:color w:val="000000"/>
          <w:vertAlign w:val="superscript"/>
        </w:rPr>
        <w:t>​ ​</w:t>
      </w:r>
      <w:r>
        <w:rPr>
          <w:rFonts w:ascii="Arial" w:cs="Arial" w:eastAsia="Arial" w:hAnsi="Arial"/>
          <w:sz w:val="18"/>
          <w:szCs w:val="18"/>
          <w:b w:val="1"/>
          <w:bCs w:val="1"/>
          <w:color w:val="FEFEFE"/>
        </w:rPr>
        <w:t>LENG JIN (MAX) CHAN</w:t>
      </w:r>
      <w:r>
        <w:rPr>
          <w:sz w:val="20"/>
          <w:szCs w:val="20"/>
          <w:color w:val="auto"/>
        </w:rPr>
        <w:tab/>
      </w:r>
      <w:r>
        <w:rPr>
          <w:rFonts w:ascii="Arial" w:cs="Arial" w:eastAsia="Arial" w:hAnsi="Arial"/>
          <w:sz w:val="34"/>
          <w:szCs w:val="34"/>
          <w:color w:val="auto"/>
          <w:vertAlign w:val="superscript"/>
        </w:rPr>
        <w:t>​</w:t>
      </w:r>
    </w:p>
    <w:p>
      <w:pPr>
        <w:spacing w:after="0" w:line="30" w:lineRule="exact"/>
        <w:rPr>
          <w:sz w:val="20"/>
          <w:szCs w:val="20"/>
          <w:color w:val="auto"/>
        </w:rPr>
      </w:pPr>
    </w:p>
    <w:p>
      <w:pPr>
        <w:ind w:left="3160" w:right="239"/>
        <w:spacing w:after="0" w:line="254" w:lineRule="auto"/>
        <w:rPr>
          <w:sz w:val="20"/>
          <w:szCs w:val="20"/>
          <w:color w:val="auto"/>
        </w:rPr>
      </w:pPr>
      <w:r>
        <w:rPr>
          <w:rFonts w:ascii="Arial" w:cs="Arial" w:eastAsia="Arial" w:hAnsi="Arial"/>
          <w:sz w:val="17"/>
          <w:szCs w:val="17"/>
          <w:color w:val="auto"/>
        </w:rPr>
        <w:t>Max Chan has served as the Chief Information Officer since 2019 and as Senior Vice President since 2021. Since joining the Company in 2013, he has served in various roles including Vice President, Information Technology Global Supply Chain from 2016 to 2019 and Vice President of Information for Avnet Technology Solutions (a former business unit of the Company) in Asia from 2013 to 2016. Prior to joining the Company, Mr. Chan held several Information Technology leadership roles, including Chief Information Officer, Asia at VF Corporation (NYSE: VFC) from 2008 to 2010 and Vice President, IT Global Supply Chain, Building Efficiency at Johnson Controls International (NYSE: JCI) from 2001 to 2008 and 2010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236220</wp:posOffset>
            </wp:positionV>
            <wp:extent cx="5554980" cy="1183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54980" cy="1183005"/>
                    </a:xfrm>
                    <a:prstGeom prst="rect">
                      <a:avLst/>
                    </a:prstGeom>
                    <a:noFill/>
                  </pic:spPr>
                </pic:pic>
              </a:graphicData>
            </a:graphic>
          </wp:anchor>
        </w:drawing>
      </w:r>
    </w:p>
    <w:p>
      <w:pPr>
        <w:spacing w:after="0" w:line="357" w:lineRule="exact"/>
        <w:rPr>
          <w:sz w:val="20"/>
          <w:szCs w:val="20"/>
          <w:color w:val="auto"/>
        </w:rPr>
      </w:pPr>
    </w:p>
    <w:p>
      <w:pPr>
        <w:jc w:val="right"/>
        <w:ind w:right="159"/>
        <w:spacing w:after="0"/>
        <w:tabs>
          <w:tab w:leader="none" w:pos="40" w:val="left"/>
        </w:tabs>
        <w:rPr>
          <w:sz w:val="20"/>
          <w:szCs w:val="20"/>
          <w:color w:val="auto"/>
        </w:rPr>
      </w:pPr>
      <w:r>
        <w:rPr>
          <w:rFonts w:ascii="Arial" w:cs="Arial" w:eastAsia="Arial" w:hAnsi="Arial"/>
          <w:sz w:val="34"/>
          <w:szCs w:val="34"/>
          <w:color w:val="000000"/>
          <w:vertAlign w:val="superscript"/>
        </w:rPr>
        <w:t>​ ​</w:t>
      </w:r>
      <w:r>
        <w:rPr>
          <w:rFonts w:ascii="Arial" w:cs="Arial" w:eastAsia="Arial" w:hAnsi="Arial"/>
          <w:sz w:val="18"/>
          <w:szCs w:val="18"/>
          <w:b w:val="1"/>
          <w:bCs w:val="1"/>
          <w:color w:val="FEFEFE"/>
        </w:rPr>
        <w:t>ELIZABETH A. MCMULLEN</w:t>
      </w:r>
      <w:r>
        <w:rPr>
          <w:sz w:val="20"/>
          <w:szCs w:val="20"/>
          <w:color w:val="auto"/>
        </w:rPr>
        <w:tab/>
      </w:r>
      <w:r>
        <w:rPr>
          <w:rFonts w:ascii="Arial" w:cs="Arial" w:eastAsia="Arial" w:hAnsi="Arial"/>
          <w:sz w:val="34"/>
          <w:szCs w:val="34"/>
          <w:color w:val="auto"/>
          <w:vertAlign w:val="superscript"/>
        </w:rPr>
        <w:t>​</w:t>
      </w:r>
    </w:p>
    <w:p>
      <w:pPr>
        <w:spacing w:after="0" w:line="66" w:lineRule="exact"/>
        <w:rPr>
          <w:sz w:val="20"/>
          <w:szCs w:val="20"/>
          <w:color w:val="auto"/>
        </w:rPr>
      </w:pPr>
    </w:p>
    <w:p>
      <w:pPr>
        <w:ind w:left="3160" w:right="379"/>
        <w:spacing w:after="0" w:line="270" w:lineRule="auto"/>
        <w:rPr>
          <w:sz w:val="20"/>
          <w:szCs w:val="20"/>
          <w:color w:val="auto"/>
        </w:rPr>
      </w:pPr>
      <w:r>
        <w:rPr>
          <w:rFonts w:ascii="Arial" w:cs="Arial" w:eastAsia="Arial" w:hAnsi="Arial"/>
          <w:sz w:val="16"/>
          <w:szCs w:val="16"/>
          <w:color w:val="auto"/>
        </w:rPr>
        <w:t>Elizabeth A. McMullen has served as the Senior Vice President, Operations since 2021. Since joining the Company in 2010, she has served in various leadership roles, including Global Vice President, Operations from 2020 to 2021; and Vice President, Global Business Operations from 2018 to 2020. Prior to joining the Company,</w:t>
      </w:r>
    </w:p>
    <w:p>
      <w:pPr>
        <w:ind w:left="3160" w:right="1059"/>
        <w:spacing w:after="0" w:line="264" w:lineRule="auto"/>
        <w:rPr>
          <w:sz w:val="20"/>
          <w:szCs w:val="20"/>
          <w:color w:val="auto"/>
        </w:rPr>
      </w:pPr>
      <w:r>
        <w:rPr>
          <w:rFonts w:ascii="Arial" w:cs="Arial" w:eastAsia="Arial" w:hAnsi="Arial"/>
          <w:sz w:val="17"/>
          <w:szCs w:val="17"/>
          <w:color w:val="auto"/>
        </w:rPr>
        <w:t>Ms. McMullen held senior leadership positions at Deutsche Post DHL Group (OTCMKTS: DPSGY) and Arthur Andersen,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34     </w:t>
      </w:r>
      <w:r>
        <w:rPr>
          <w:sz w:val="1"/>
          <w:szCs w:val="1"/>
          <w:color w:val="auto"/>
        </w:rPr>
        <w:drawing>
          <wp:inline distT="0" distB="0" distL="0" distR="0">
            <wp:extent cx="1242695" cy="24003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685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620" w:right="300"/>
        <w:spacing w:after="0" w:line="334" w:lineRule="auto"/>
        <w:rPr>
          <w:sz w:val="20"/>
          <w:szCs w:val="20"/>
          <w:color w:val="auto"/>
        </w:rPr>
      </w:pPr>
      <w:r>
        <w:rPr>
          <w:rFonts w:ascii="Arial" w:cs="Arial" w:eastAsia="Arial" w:hAnsi="Arial"/>
          <w:sz w:val="37"/>
          <w:szCs w:val="37"/>
          <w:b w:val="1"/>
          <w:bCs w:val="1"/>
          <w:color w:val="FEFEFE"/>
        </w:rPr>
        <w:t>SECURITY OWNERSHIP OF CERTAIN BENEFICIAL OWNERS AND MANAGEMENT</w:t>
      </w:r>
      <w:r>
        <w:rPr>
          <w:rFonts w:ascii="Times New Roman" w:cs="Times New Roman" w:eastAsia="Times New Roman" w:hAnsi="Times New Roman"/>
          <w:sz w:val="16"/>
          <w:szCs w:val="16"/>
          <w:color w:val="FEFEFE"/>
        </w:rPr>
        <w:t>​</w:t>
      </w:r>
    </w:p>
    <w:p>
      <w:pPr>
        <w:spacing w:after="0" w:line="167" w:lineRule="exact"/>
        <w:rPr>
          <w:sz w:val="20"/>
          <w:szCs w:val="20"/>
          <w:color w:val="auto"/>
        </w:rPr>
      </w:pPr>
    </w:p>
    <w:p>
      <w:pPr>
        <w:ind w:left="1000" w:right="199"/>
        <w:spacing w:after="0" w:line="268" w:lineRule="auto"/>
        <w:rPr>
          <w:sz w:val="20"/>
          <w:szCs w:val="20"/>
          <w:color w:val="auto"/>
        </w:rPr>
      </w:pPr>
      <w:r>
        <w:rPr>
          <w:rFonts w:ascii="Arial" w:cs="Arial" w:eastAsia="Arial" w:hAnsi="Arial"/>
          <w:sz w:val="18"/>
          <w:szCs w:val="18"/>
          <w:color w:val="auto"/>
        </w:rPr>
        <w:t>This table describes the beneficial ownership of the Company’s Common Stock for persons that, to the Company’s knowledge, beneficially own more than 5% of the Company’s Common Stock (5% Holders), as well as Directors, Director nominees, and Named Executive Officers (NEOs).</w:t>
      </w:r>
    </w:p>
    <w:p>
      <w:pPr>
        <w:spacing w:after="0" w:line="63" w:lineRule="exact"/>
        <w:rPr>
          <w:sz w:val="20"/>
          <w:szCs w:val="20"/>
          <w:color w:val="auto"/>
        </w:rPr>
      </w:pPr>
    </w:p>
    <w:p>
      <w:pPr>
        <w:ind w:left="1000" w:right="159"/>
        <w:spacing w:after="0" w:line="318" w:lineRule="auto"/>
        <w:rPr>
          <w:sz w:val="20"/>
          <w:szCs w:val="20"/>
          <w:color w:val="auto"/>
        </w:rPr>
      </w:pPr>
      <w:r>
        <w:rPr>
          <w:rFonts w:ascii="Arial" w:cs="Arial" w:eastAsia="Arial" w:hAnsi="Arial"/>
          <w:sz w:val="17"/>
          <w:szCs w:val="17"/>
          <w:color w:val="auto"/>
        </w:rPr>
        <w:t>The information for each 5% Holder is taken from its most recent Schedule 13D or 13G filed with the SEC prior to September 1, 2024. The information for Directors, Director Nominees, and NEOs is as of September 1, 2024.</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There were 87,675,675 shares of Common Stock outstanding (net of treasury shares) as of September 1, 2024.</w:t>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Common Stock includes vested and delivered shares, as well as shares earned but not yet vested or delivered.</w:t>
      </w:r>
    </w:p>
    <w:p>
      <w:pPr>
        <w:spacing w:after="0" w:line="1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Except where specifically noted, all shares listed are directly held with sole voting and dispositive power.</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4120" w:type="dxa"/>
            <w:vAlign w:val="bottom"/>
            <w:shd w:val="clear" w:color="auto" w:fill="53C072"/>
          </w:tcPr>
          <w:p>
            <w:pPr>
              <w:spacing w:after="0"/>
              <w:rPr>
                <w:sz w:val="15"/>
                <w:szCs w:val="15"/>
                <w:color w:val="auto"/>
              </w:rPr>
            </w:pPr>
          </w:p>
        </w:tc>
        <w:tc>
          <w:tcPr>
            <w:tcW w:w="1500" w:type="dxa"/>
            <w:vAlign w:val="bottom"/>
            <w:shd w:val="clear" w:color="auto" w:fill="53C072"/>
          </w:tcPr>
          <w:p>
            <w:pPr>
              <w:spacing w:after="0"/>
              <w:rPr>
                <w:sz w:val="15"/>
                <w:szCs w:val="15"/>
                <w:color w:val="auto"/>
              </w:rPr>
            </w:pPr>
          </w:p>
        </w:tc>
        <w:tc>
          <w:tcPr>
            <w:tcW w:w="1160" w:type="dxa"/>
            <w:vAlign w:val="bottom"/>
            <w:shd w:val="clear" w:color="auto" w:fill="53C072"/>
          </w:tcPr>
          <w:p>
            <w:pPr>
              <w:spacing w:after="0"/>
              <w:rPr>
                <w:sz w:val="15"/>
                <w:szCs w:val="15"/>
                <w:color w:val="auto"/>
              </w:rPr>
            </w:pP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Total</w:t>
            </w:r>
          </w:p>
        </w:tc>
        <w:tc>
          <w:tcPr>
            <w:tcW w:w="1020" w:type="dxa"/>
            <w:vAlign w:val="bottom"/>
            <w:shd w:val="clear" w:color="auto" w:fill="53C07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53C072"/>
          </w:tcPr>
          <w:p>
            <w:pPr>
              <w:spacing w:after="0"/>
              <w:rPr>
                <w:sz w:val="14"/>
                <w:szCs w:val="14"/>
                <w:color w:val="auto"/>
              </w:rPr>
            </w:pPr>
          </w:p>
        </w:tc>
        <w:tc>
          <w:tcPr>
            <w:tcW w:w="1500" w:type="dxa"/>
            <w:vAlign w:val="bottom"/>
            <w:shd w:val="clear" w:color="auto" w:fill="53C072"/>
          </w:tcPr>
          <w:p>
            <w:pPr>
              <w:spacing w:after="0"/>
              <w:rPr>
                <w:sz w:val="14"/>
                <w:szCs w:val="14"/>
                <w:color w:val="auto"/>
              </w:rPr>
            </w:pPr>
          </w:p>
        </w:tc>
        <w:tc>
          <w:tcPr>
            <w:tcW w:w="1160" w:type="dxa"/>
            <w:vAlign w:val="bottom"/>
            <w:shd w:val="clear" w:color="auto" w:fill="53C072"/>
          </w:tcPr>
          <w:p>
            <w:pPr>
              <w:jc w:val="right"/>
              <w:ind w:right="68"/>
              <w:spacing w:after="0"/>
              <w:rPr>
                <w:sz w:val="20"/>
                <w:szCs w:val="20"/>
                <w:color w:val="auto"/>
              </w:rPr>
            </w:pPr>
            <w:r>
              <w:rPr>
                <w:rFonts w:ascii="Arial" w:cs="Arial" w:eastAsia="Arial" w:hAnsi="Arial"/>
                <w:sz w:val="14"/>
                <w:szCs w:val="14"/>
                <w:b w:val="1"/>
                <w:bCs w:val="1"/>
                <w:color w:val="FEFEFE"/>
              </w:rPr>
              <w:t>Stock</w:t>
            </w: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Common</w:t>
            </w:r>
          </w:p>
        </w:tc>
        <w:tc>
          <w:tcPr>
            <w:tcW w:w="1020" w:type="dxa"/>
            <w:vAlign w:val="bottom"/>
            <w:shd w:val="clear" w:color="auto" w:fill="53C072"/>
          </w:tcPr>
          <w:p>
            <w:pPr>
              <w:jc w:val="right"/>
              <w:ind w:right="28"/>
              <w:spacing w:after="0"/>
              <w:rPr>
                <w:sz w:val="20"/>
                <w:szCs w:val="20"/>
                <w:color w:val="auto"/>
              </w:rPr>
            </w:pPr>
            <w:r>
              <w:rPr>
                <w:rFonts w:ascii="Arial" w:cs="Arial" w:eastAsia="Arial" w:hAnsi="Arial"/>
                <w:sz w:val="14"/>
                <w:szCs w:val="14"/>
                <w:b w:val="1"/>
                <w:bCs w:val="1"/>
                <w:color w:val="FEFEFE"/>
              </w:rPr>
              <w:t>Percent</w:t>
            </w:r>
          </w:p>
        </w:tc>
        <w:tc>
          <w:tcPr>
            <w:tcW w:w="0" w:type="dxa"/>
            <w:vAlign w:val="bottom"/>
          </w:tcPr>
          <w:p>
            <w:pPr>
              <w:spacing w:after="0"/>
              <w:rPr>
                <w:sz w:val="1"/>
                <w:szCs w:val="1"/>
                <w:color w:val="auto"/>
              </w:rPr>
            </w:pPr>
          </w:p>
        </w:tc>
      </w:tr>
      <w:tr>
        <w:trPr>
          <w:trHeight w:val="162"/>
        </w:trPr>
        <w:tc>
          <w:tcPr>
            <w:tcW w:w="4120" w:type="dxa"/>
            <w:vAlign w:val="bottom"/>
            <w:shd w:val="clear" w:color="auto" w:fill="53C072"/>
          </w:tcPr>
          <w:p>
            <w:pPr>
              <w:spacing w:after="0"/>
              <w:rPr>
                <w:sz w:val="14"/>
                <w:szCs w:val="14"/>
                <w:color w:val="auto"/>
              </w:rPr>
            </w:pPr>
          </w:p>
        </w:tc>
        <w:tc>
          <w:tcPr>
            <w:tcW w:w="1500" w:type="dxa"/>
            <w:vAlign w:val="bottom"/>
            <w:shd w:val="clear" w:color="auto" w:fill="53C072"/>
          </w:tcPr>
          <w:p>
            <w:pPr>
              <w:spacing w:after="0"/>
              <w:rPr>
                <w:sz w:val="14"/>
                <w:szCs w:val="14"/>
                <w:color w:val="auto"/>
              </w:rPr>
            </w:pPr>
          </w:p>
        </w:tc>
        <w:tc>
          <w:tcPr>
            <w:tcW w:w="1160" w:type="dxa"/>
            <w:vAlign w:val="bottom"/>
            <w:shd w:val="clear" w:color="auto" w:fill="53C072"/>
          </w:tcPr>
          <w:p>
            <w:pPr>
              <w:jc w:val="right"/>
              <w:ind w:right="68"/>
              <w:spacing w:after="0"/>
              <w:rPr>
                <w:sz w:val="20"/>
                <w:szCs w:val="20"/>
                <w:color w:val="auto"/>
              </w:rPr>
            </w:pPr>
            <w:r>
              <w:rPr>
                <w:rFonts w:ascii="Arial" w:cs="Arial" w:eastAsia="Arial" w:hAnsi="Arial"/>
                <w:sz w:val="14"/>
                <w:szCs w:val="14"/>
                <w:b w:val="1"/>
                <w:bCs w:val="1"/>
                <w:color w:val="FEFEFE"/>
              </w:rPr>
              <w:t>Options</w:t>
            </w: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Stock</w:t>
            </w:r>
          </w:p>
        </w:tc>
        <w:tc>
          <w:tcPr>
            <w:tcW w:w="1020" w:type="dxa"/>
            <w:vAlign w:val="bottom"/>
            <w:shd w:val="clear" w:color="auto" w:fill="53C072"/>
          </w:tcPr>
          <w:p>
            <w:pPr>
              <w:ind w:left="780"/>
              <w:spacing w:after="0"/>
              <w:rPr>
                <w:sz w:val="20"/>
                <w:szCs w:val="20"/>
                <w:color w:val="auto"/>
              </w:rPr>
            </w:pPr>
            <w:r>
              <w:rPr>
                <w:rFonts w:ascii="Arial" w:cs="Arial" w:eastAsia="Arial" w:hAnsi="Arial"/>
                <w:sz w:val="14"/>
                <w:szCs w:val="14"/>
                <w:b w:val="1"/>
                <w:bCs w:val="1"/>
                <w:color w:val="FEFEFE"/>
              </w:rPr>
              <w:t>of</w:t>
            </w:r>
          </w:p>
        </w:tc>
        <w:tc>
          <w:tcPr>
            <w:tcW w:w="0" w:type="dxa"/>
            <w:vAlign w:val="bottom"/>
          </w:tcPr>
          <w:p>
            <w:pPr>
              <w:spacing w:after="0"/>
              <w:rPr>
                <w:sz w:val="1"/>
                <w:szCs w:val="1"/>
                <w:color w:val="auto"/>
              </w:rPr>
            </w:pPr>
          </w:p>
        </w:tc>
      </w:tr>
      <w:tr>
        <w:trPr>
          <w:trHeight w:val="162"/>
        </w:trPr>
        <w:tc>
          <w:tcPr>
            <w:tcW w:w="4120" w:type="dxa"/>
            <w:vAlign w:val="bottom"/>
            <w:shd w:val="clear" w:color="auto" w:fill="53C072"/>
          </w:tcPr>
          <w:p>
            <w:pPr>
              <w:spacing w:after="0"/>
              <w:rPr>
                <w:sz w:val="14"/>
                <w:szCs w:val="14"/>
                <w:color w:val="auto"/>
              </w:rPr>
            </w:pPr>
          </w:p>
        </w:tc>
        <w:tc>
          <w:tcPr>
            <w:tcW w:w="1500" w:type="dxa"/>
            <w:vAlign w:val="bottom"/>
            <w:shd w:val="clear" w:color="auto" w:fill="53C072"/>
          </w:tcPr>
          <w:p>
            <w:pPr>
              <w:jc w:val="right"/>
              <w:ind w:right="168"/>
              <w:spacing w:after="0"/>
              <w:rPr>
                <w:sz w:val="20"/>
                <w:szCs w:val="20"/>
                <w:color w:val="auto"/>
              </w:rPr>
            </w:pPr>
            <w:r>
              <w:rPr>
                <w:rFonts w:ascii="Arial" w:cs="Arial" w:eastAsia="Arial" w:hAnsi="Arial"/>
                <w:sz w:val="14"/>
                <w:szCs w:val="14"/>
                <w:b w:val="1"/>
                <w:bCs w:val="1"/>
                <w:color w:val="FEFEFE"/>
              </w:rPr>
              <w:t>Common</w:t>
            </w:r>
          </w:p>
        </w:tc>
        <w:tc>
          <w:tcPr>
            <w:tcW w:w="1160" w:type="dxa"/>
            <w:vAlign w:val="bottom"/>
            <w:shd w:val="clear" w:color="auto" w:fill="53C072"/>
          </w:tcPr>
          <w:p>
            <w:pPr>
              <w:jc w:val="right"/>
              <w:ind w:right="68"/>
              <w:spacing w:after="0"/>
              <w:rPr>
                <w:sz w:val="20"/>
                <w:szCs w:val="20"/>
                <w:color w:val="auto"/>
              </w:rPr>
            </w:pPr>
            <w:r>
              <w:rPr>
                <w:rFonts w:ascii="Arial" w:cs="Arial" w:eastAsia="Arial" w:hAnsi="Arial"/>
                <w:sz w:val="14"/>
                <w:szCs w:val="14"/>
                <w:b w:val="1"/>
                <w:bCs w:val="1"/>
                <w:color w:val="FEFEFE"/>
              </w:rPr>
              <w:t>Exercisable</w:t>
            </w: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Beneficially</w:t>
            </w:r>
          </w:p>
        </w:tc>
        <w:tc>
          <w:tcPr>
            <w:tcW w:w="1020" w:type="dxa"/>
            <w:vAlign w:val="bottom"/>
            <w:shd w:val="clear" w:color="auto" w:fill="53C072"/>
          </w:tcPr>
          <w:p>
            <w:pPr>
              <w:jc w:val="right"/>
              <w:ind w:right="28"/>
              <w:spacing w:after="0"/>
              <w:rPr>
                <w:sz w:val="20"/>
                <w:szCs w:val="20"/>
                <w:color w:val="auto"/>
              </w:rPr>
            </w:pPr>
            <w:r>
              <w:rPr>
                <w:rFonts w:ascii="Arial" w:cs="Arial" w:eastAsia="Arial" w:hAnsi="Arial"/>
                <w:sz w:val="14"/>
                <w:szCs w:val="14"/>
                <w:b w:val="1"/>
                <w:bCs w:val="1"/>
                <w:color w:val="FEFEFE"/>
              </w:rPr>
              <w:t>Common</w:t>
            </w:r>
          </w:p>
        </w:tc>
        <w:tc>
          <w:tcPr>
            <w:tcW w:w="0" w:type="dxa"/>
            <w:vAlign w:val="bottom"/>
          </w:tcPr>
          <w:p>
            <w:pPr>
              <w:spacing w:after="0"/>
              <w:rPr>
                <w:sz w:val="1"/>
                <w:szCs w:val="1"/>
                <w:color w:val="auto"/>
              </w:rPr>
            </w:pPr>
          </w:p>
        </w:tc>
      </w:tr>
      <w:tr>
        <w:trPr>
          <w:trHeight w:val="171"/>
        </w:trPr>
        <w:tc>
          <w:tcPr>
            <w:tcW w:w="412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rPr>
              <w:t>Name of Beneficial Owner</w:t>
            </w:r>
          </w:p>
        </w:tc>
        <w:tc>
          <w:tcPr>
            <w:tcW w:w="1500" w:type="dxa"/>
            <w:vAlign w:val="bottom"/>
            <w:shd w:val="clear" w:color="auto" w:fill="53C072"/>
          </w:tcPr>
          <w:p>
            <w:pPr>
              <w:jc w:val="right"/>
              <w:ind w:right="128"/>
              <w:spacing w:after="0"/>
              <w:rPr>
                <w:sz w:val="20"/>
                <w:szCs w:val="20"/>
                <w:color w:val="auto"/>
              </w:rPr>
            </w:pPr>
            <w:r>
              <w:rPr>
                <w:rFonts w:ascii="Arial" w:cs="Arial" w:eastAsia="Arial" w:hAnsi="Arial"/>
                <w:sz w:val="14"/>
                <w:szCs w:val="14"/>
                <w:b w:val="1"/>
                <w:bCs w:val="1"/>
                <w:color w:val="FEFEFE"/>
              </w:rPr>
              <w:t>Stock</w:t>
            </w:r>
          </w:p>
        </w:tc>
        <w:tc>
          <w:tcPr>
            <w:tcW w:w="1160" w:type="dxa"/>
            <w:vAlign w:val="bottom"/>
            <w:shd w:val="clear" w:color="auto" w:fill="53C072"/>
          </w:tcPr>
          <w:p>
            <w:pPr>
              <w:jc w:val="right"/>
              <w:ind w:right="28"/>
              <w:spacing w:after="0"/>
              <w:rPr>
                <w:sz w:val="20"/>
                <w:szCs w:val="20"/>
                <w:color w:val="auto"/>
              </w:rPr>
            </w:pPr>
            <w:r>
              <w:rPr>
                <w:rFonts w:ascii="Arial" w:cs="Arial" w:eastAsia="Arial" w:hAnsi="Arial"/>
                <w:sz w:val="14"/>
                <w:szCs w:val="14"/>
                <w:b w:val="1"/>
                <w:bCs w:val="1"/>
                <w:color w:val="FEFEFE"/>
              </w:rPr>
              <w:t>Within 60 Days</w:t>
            </w: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Owned</w:t>
            </w:r>
          </w:p>
        </w:tc>
        <w:tc>
          <w:tcPr>
            <w:tcW w:w="1020" w:type="dxa"/>
            <w:vAlign w:val="bottom"/>
            <w:shd w:val="clear" w:color="auto" w:fill="53C072"/>
          </w:tcPr>
          <w:p>
            <w:pPr>
              <w:ind w:left="560"/>
              <w:spacing w:after="0"/>
              <w:rPr>
                <w:sz w:val="20"/>
                <w:szCs w:val="20"/>
                <w:color w:val="auto"/>
              </w:rPr>
            </w:pPr>
            <w:r>
              <w:rPr>
                <w:rFonts w:ascii="Arial" w:cs="Arial" w:eastAsia="Arial" w:hAnsi="Arial"/>
                <w:sz w:val="14"/>
                <w:szCs w:val="14"/>
                <w:b w:val="1"/>
                <w:bCs w:val="1"/>
                <w:color w:val="FEFEFE"/>
              </w:rPr>
              <w:t>Stock</w:t>
            </w:r>
          </w:p>
        </w:tc>
        <w:tc>
          <w:tcPr>
            <w:tcW w:w="0" w:type="dxa"/>
            <w:vAlign w:val="bottom"/>
          </w:tcPr>
          <w:p>
            <w:pPr>
              <w:spacing w:after="0"/>
              <w:rPr>
                <w:sz w:val="1"/>
                <w:szCs w:val="1"/>
                <w:color w:val="auto"/>
              </w:rPr>
            </w:pPr>
          </w:p>
        </w:tc>
      </w:tr>
      <w:tr>
        <w:trPr>
          <w:trHeight w:val="189"/>
        </w:trPr>
        <w:tc>
          <w:tcPr>
            <w:tcW w:w="4120" w:type="dxa"/>
            <w:vAlign w:val="bottom"/>
          </w:tcPr>
          <w:p>
            <w:pPr>
              <w:ind w:left="60"/>
              <w:spacing w:after="0"/>
              <w:rPr>
                <w:sz w:val="20"/>
                <w:szCs w:val="20"/>
                <w:color w:val="auto"/>
              </w:rPr>
            </w:pPr>
            <w:r>
              <w:rPr>
                <w:rFonts w:ascii="Arial" w:cs="Arial" w:eastAsia="Arial" w:hAnsi="Arial"/>
                <w:sz w:val="14"/>
                <w:szCs w:val="14"/>
                <w:b w:val="1"/>
                <w:bCs w:val="1"/>
                <w:color w:val="auto"/>
              </w:rPr>
              <w:t>5% Holders</w:t>
            </w: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1"/>
        </w:trPr>
        <w:tc>
          <w:tcPr>
            <w:tcW w:w="4120" w:type="dxa"/>
            <w:vAlign w:val="bottom"/>
            <w:shd w:val="clear" w:color="auto" w:fill="CBECD5"/>
          </w:tcPr>
          <w:p>
            <w:pPr>
              <w:ind w:left="60"/>
              <w:spacing w:after="0"/>
              <w:rPr>
                <w:sz w:val="20"/>
                <w:szCs w:val="20"/>
                <w:color w:val="auto"/>
              </w:rPr>
            </w:pPr>
            <w:r>
              <w:rPr>
                <w:rFonts w:ascii="Arial" w:cs="Arial" w:eastAsia="Arial" w:hAnsi="Arial"/>
                <w:sz w:val="14"/>
                <w:szCs w:val="14"/>
                <w:color w:val="auto"/>
              </w:rPr>
              <w:t>BlackRock, Inc.</w:t>
            </w:r>
            <w:r>
              <w:rPr>
                <w:rFonts w:ascii="Arial" w:cs="Arial" w:eastAsia="Arial" w:hAnsi="Arial"/>
                <w:sz w:val="17"/>
                <w:szCs w:val="17"/>
                <w:color w:val="auto"/>
                <w:vertAlign w:val="superscript"/>
              </w:rPr>
              <w:t>(1)</w:t>
            </w:r>
          </w:p>
        </w:tc>
        <w:tc>
          <w:tcPr>
            <w:tcW w:w="1500" w:type="dxa"/>
            <w:vAlign w:val="bottom"/>
            <w:shd w:val="clear" w:color="auto" w:fill="CBECD5"/>
          </w:tcPr>
          <w:p>
            <w:pPr>
              <w:jc w:val="right"/>
              <w:ind w:right="128"/>
              <w:spacing w:after="0"/>
              <w:rPr>
                <w:sz w:val="20"/>
                <w:szCs w:val="20"/>
                <w:color w:val="auto"/>
              </w:rPr>
            </w:pPr>
            <w:r>
              <w:rPr>
                <w:rFonts w:ascii="Arial" w:cs="Arial" w:eastAsia="Arial" w:hAnsi="Arial"/>
                <w:sz w:val="14"/>
                <w:szCs w:val="14"/>
                <w:color w:val="auto"/>
              </w:rPr>
              <w:t>9,169,038</w:t>
            </w:r>
          </w:p>
        </w:tc>
        <w:tc>
          <w:tcPr>
            <w:tcW w:w="1160" w:type="dxa"/>
            <w:vAlign w:val="bottom"/>
            <w:shd w:val="clear" w:color="auto" w:fill="CBECD5"/>
          </w:tcPr>
          <w:p>
            <w:pPr>
              <w:spacing w:after="0"/>
              <w:rPr>
                <w:sz w:val="22"/>
                <w:szCs w:val="22"/>
                <w:color w:val="auto"/>
              </w:rPr>
            </w:pP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9,169,038</w:t>
            </w:r>
          </w:p>
        </w:tc>
        <w:tc>
          <w:tcPr>
            <w:tcW w:w="1020" w:type="dxa"/>
            <w:vAlign w:val="bottom"/>
            <w:shd w:val="clear" w:color="auto" w:fill="CBECD5"/>
          </w:tcPr>
          <w:p>
            <w:pPr>
              <w:jc w:val="right"/>
              <w:ind w:right="48"/>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62"/>
        </w:trPr>
        <w:tc>
          <w:tcPr>
            <w:tcW w:w="4120" w:type="dxa"/>
            <w:vAlign w:val="bottom"/>
            <w:shd w:val="clear" w:color="auto" w:fill="CBECD5"/>
          </w:tcPr>
          <w:p>
            <w:pPr>
              <w:ind w:left="200"/>
              <w:spacing w:after="0"/>
              <w:rPr>
                <w:sz w:val="20"/>
                <w:szCs w:val="20"/>
                <w:color w:val="auto"/>
              </w:rPr>
            </w:pPr>
            <w:r>
              <w:rPr>
                <w:rFonts w:ascii="Arial" w:cs="Arial" w:eastAsia="Arial" w:hAnsi="Arial"/>
                <w:sz w:val="14"/>
                <w:szCs w:val="14"/>
                <w:color w:val="auto"/>
              </w:rPr>
              <w:t>50 Hudson Yards</w:t>
            </w:r>
          </w:p>
        </w:tc>
        <w:tc>
          <w:tcPr>
            <w:tcW w:w="1500" w:type="dxa"/>
            <w:vAlign w:val="bottom"/>
            <w:shd w:val="clear" w:color="auto" w:fill="CBECD5"/>
          </w:tcPr>
          <w:p>
            <w:pPr>
              <w:spacing w:after="0"/>
              <w:rPr>
                <w:sz w:val="14"/>
                <w:szCs w:val="14"/>
                <w:color w:val="auto"/>
              </w:rPr>
            </w:pPr>
          </w:p>
        </w:tc>
        <w:tc>
          <w:tcPr>
            <w:tcW w:w="1160" w:type="dxa"/>
            <w:vAlign w:val="bottom"/>
            <w:shd w:val="clear" w:color="auto" w:fill="CBECD5"/>
          </w:tcPr>
          <w:p>
            <w:pPr>
              <w:spacing w:after="0"/>
              <w:rPr>
                <w:sz w:val="14"/>
                <w:szCs w:val="14"/>
                <w:color w:val="auto"/>
              </w:rPr>
            </w:pPr>
          </w:p>
        </w:tc>
        <w:tc>
          <w:tcPr>
            <w:tcW w:w="960" w:type="dxa"/>
            <w:vAlign w:val="bottom"/>
            <w:shd w:val="clear" w:color="auto" w:fill="CBECD5"/>
          </w:tcPr>
          <w:p>
            <w:pPr>
              <w:spacing w:after="0"/>
              <w:rPr>
                <w:sz w:val="14"/>
                <w:szCs w:val="14"/>
                <w:color w:val="auto"/>
              </w:rPr>
            </w:pPr>
          </w:p>
        </w:tc>
        <w:tc>
          <w:tcPr>
            <w:tcW w:w="1020" w:type="dxa"/>
            <w:vAlign w:val="bottom"/>
            <w:shd w:val="clear" w:color="auto" w:fill="CBECD5"/>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20" w:type="dxa"/>
            <w:vAlign w:val="bottom"/>
            <w:shd w:val="clear" w:color="auto" w:fill="CBECD5"/>
          </w:tcPr>
          <w:p>
            <w:pPr>
              <w:ind w:left="200"/>
              <w:spacing w:after="0"/>
              <w:rPr>
                <w:sz w:val="20"/>
                <w:szCs w:val="20"/>
                <w:color w:val="auto"/>
              </w:rPr>
            </w:pPr>
            <w:r>
              <w:rPr>
                <w:rFonts w:ascii="Arial" w:cs="Arial" w:eastAsia="Arial" w:hAnsi="Arial"/>
                <w:sz w:val="14"/>
                <w:szCs w:val="14"/>
                <w:color w:val="auto"/>
              </w:rPr>
              <w:t>New York, NY 10001</w:t>
            </w:r>
          </w:p>
        </w:tc>
        <w:tc>
          <w:tcPr>
            <w:tcW w:w="1500" w:type="dxa"/>
            <w:vAlign w:val="bottom"/>
            <w:shd w:val="clear" w:color="auto" w:fill="CBECD5"/>
          </w:tcPr>
          <w:p>
            <w:pPr>
              <w:spacing w:after="0"/>
              <w:rPr>
                <w:sz w:val="16"/>
                <w:szCs w:val="16"/>
                <w:color w:val="auto"/>
              </w:rPr>
            </w:pPr>
          </w:p>
        </w:tc>
        <w:tc>
          <w:tcPr>
            <w:tcW w:w="1160" w:type="dxa"/>
            <w:vAlign w:val="bottom"/>
            <w:shd w:val="clear" w:color="auto" w:fill="CBECD5"/>
          </w:tcPr>
          <w:p>
            <w:pPr>
              <w:spacing w:after="0"/>
              <w:rPr>
                <w:sz w:val="16"/>
                <w:szCs w:val="16"/>
                <w:color w:val="auto"/>
              </w:rPr>
            </w:pPr>
          </w:p>
        </w:tc>
        <w:tc>
          <w:tcPr>
            <w:tcW w:w="960" w:type="dxa"/>
            <w:vAlign w:val="bottom"/>
            <w:shd w:val="clear" w:color="auto" w:fill="CBECD5"/>
          </w:tcPr>
          <w:p>
            <w:pPr>
              <w:spacing w:after="0"/>
              <w:rPr>
                <w:sz w:val="16"/>
                <w:szCs w:val="16"/>
                <w:color w:val="auto"/>
              </w:rPr>
            </w:pPr>
          </w:p>
        </w:tc>
        <w:tc>
          <w:tcPr>
            <w:tcW w:w="1020" w:type="dxa"/>
            <w:vAlign w:val="bottom"/>
            <w:shd w:val="clear" w:color="auto" w:fill="CBECD5"/>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120" w:type="dxa"/>
            <w:vAlign w:val="bottom"/>
          </w:tcPr>
          <w:p>
            <w:pPr>
              <w:ind w:left="60"/>
              <w:spacing w:after="0"/>
              <w:rPr>
                <w:sz w:val="20"/>
                <w:szCs w:val="20"/>
                <w:color w:val="auto"/>
              </w:rPr>
            </w:pPr>
            <w:r>
              <w:rPr>
                <w:rFonts w:ascii="Arial" w:cs="Arial" w:eastAsia="Arial" w:hAnsi="Arial"/>
                <w:sz w:val="14"/>
                <w:szCs w:val="14"/>
                <w:color w:val="auto"/>
              </w:rPr>
              <w:t>Dimensional Fund Advisors LP</w:t>
            </w:r>
            <w:r>
              <w:rPr>
                <w:rFonts w:ascii="Arial" w:cs="Arial" w:eastAsia="Arial" w:hAnsi="Arial"/>
                <w:sz w:val="17"/>
                <w:szCs w:val="17"/>
                <w:color w:val="auto"/>
                <w:vertAlign w:val="superscript"/>
              </w:rPr>
              <w:t>(2)</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6,253,930</w:t>
            </w:r>
          </w:p>
        </w:tc>
        <w:tc>
          <w:tcPr>
            <w:tcW w:w="1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6,253,930</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162"/>
        </w:trPr>
        <w:tc>
          <w:tcPr>
            <w:tcW w:w="4120" w:type="dxa"/>
            <w:vAlign w:val="bottom"/>
          </w:tcPr>
          <w:p>
            <w:pPr>
              <w:ind w:left="200"/>
              <w:spacing w:after="0"/>
              <w:rPr>
                <w:sz w:val="20"/>
                <w:szCs w:val="20"/>
                <w:color w:val="auto"/>
              </w:rPr>
            </w:pPr>
            <w:r>
              <w:rPr>
                <w:rFonts w:ascii="Arial" w:cs="Arial" w:eastAsia="Arial" w:hAnsi="Arial"/>
                <w:sz w:val="14"/>
                <w:szCs w:val="14"/>
                <w:color w:val="auto"/>
              </w:rPr>
              <w:t>6300 Bee Cave Road, Bldg One</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20" w:type="dxa"/>
            <w:vAlign w:val="bottom"/>
          </w:tcPr>
          <w:p>
            <w:pPr>
              <w:ind w:left="200"/>
              <w:spacing w:after="0"/>
              <w:rPr>
                <w:sz w:val="20"/>
                <w:szCs w:val="20"/>
                <w:color w:val="auto"/>
              </w:rPr>
            </w:pPr>
            <w:r>
              <w:rPr>
                <w:rFonts w:ascii="Arial" w:cs="Arial" w:eastAsia="Arial" w:hAnsi="Arial"/>
                <w:sz w:val="14"/>
                <w:szCs w:val="14"/>
                <w:color w:val="auto"/>
              </w:rPr>
              <w:t>Austin, TX 78746</w:t>
            </w: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120" w:type="dxa"/>
            <w:vAlign w:val="bottom"/>
            <w:shd w:val="clear" w:color="auto" w:fill="CBECD5"/>
          </w:tcPr>
          <w:p>
            <w:pPr>
              <w:ind w:left="60"/>
              <w:spacing w:after="0"/>
              <w:rPr>
                <w:sz w:val="20"/>
                <w:szCs w:val="20"/>
                <w:color w:val="auto"/>
              </w:rPr>
            </w:pPr>
            <w:r>
              <w:rPr>
                <w:rFonts w:ascii="Arial" w:cs="Arial" w:eastAsia="Arial" w:hAnsi="Arial"/>
                <w:sz w:val="14"/>
                <w:szCs w:val="14"/>
                <w:color w:val="auto"/>
              </w:rPr>
              <w:t>Pzena Investment Management LLC.</w:t>
            </w:r>
            <w:r>
              <w:rPr>
                <w:rFonts w:ascii="Arial" w:cs="Arial" w:eastAsia="Arial" w:hAnsi="Arial"/>
                <w:sz w:val="17"/>
                <w:szCs w:val="17"/>
                <w:color w:val="auto"/>
                <w:vertAlign w:val="superscript"/>
              </w:rPr>
              <w:t>(3)</w:t>
            </w:r>
          </w:p>
        </w:tc>
        <w:tc>
          <w:tcPr>
            <w:tcW w:w="1500" w:type="dxa"/>
            <w:vAlign w:val="bottom"/>
            <w:shd w:val="clear" w:color="auto" w:fill="CBECD5"/>
          </w:tcPr>
          <w:p>
            <w:pPr>
              <w:jc w:val="right"/>
              <w:ind w:right="128"/>
              <w:spacing w:after="0"/>
              <w:rPr>
                <w:sz w:val="20"/>
                <w:szCs w:val="20"/>
                <w:color w:val="auto"/>
              </w:rPr>
            </w:pPr>
            <w:r>
              <w:rPr>
                <w:rFonts w:ascii="Arial" w:cs="Arial" w:eastAsia="Arial" w:hAnsi="Arial"/>
                <w:sz w:val="14"/>
                <w:szCs w:val="14"/>
                <w:color w:val="auto"/>
              </w:rPr>
              <w:t>8,751,446</w:t>
            </w:r>
          </w:p>
        </w:tc>
        <w:tc>
          <w:tcPr>
            <w:tcW w:w="1160" w:type="dxa"/>
            <w:vAlign w:val="bottom"/>
            <w:shd w:val="clear" w:color="auto" w:fill="CBECD5"/>
          </w:tcPr>
          <w:p>
            <w:pPr>
              <w:spacing w:after="0"/>
              <w:rPr>
                <w:sz w:val="22"/>
                <w:szCs w:val="22"/>
                <w:color w:val="auto"/>
              </w:rPr>
            </w:pP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8,751,446</w:t>
            </w:r>
          </w:p>
        </w:tc>
        <w:tc>
          <w:tcPr>
            <w:tcW w:w="1020" w:type="dxa"/>
            <w:vAlign w:val="bottom"/>
            <w:shd w:val="clear" w:color="auto" w:fill="CBECD5"/>
          </w:tcPr>
          <w:p>
            <w:pPr>
              <w:jc w:val="right"/>
              <w:ind w:right="48"/>
              <w:spacing w:after="0"/>
              <w:rPr>
                <w:sz w:val="20"/>
                <w:szCs w:val="20"/>
                <w:color w:val="auto"/>
              </w:rPr>
            </w:pPr>
            <w:r>
              <w:rPr>
                <w:rFonts w:ascii="Arial" w:cs="Arial" w:eastAsia="Arial" w:hAnsi="Arial"/>
                <w:sz w:val="14"/>
                <w:szCs w:val="14"/>
                <w:b w:val="1"/>
                <w:bCs w:val="1"/>
                <w:color w:val="auto"/>
              </w:rPr>
              <w:t>9.7%</w:t>
            </w:r>
          </w:p>
        </w:tc>
        <w:tc>
          <w:tcPr>
            <w:tcW w:w="0" w:type="dxa"/>
            <w:vAlign w:val="bottom"/>
          </w:tcPr>
          <w:p>
            <w:pPr>
              <w:spacing w:after="0"/>
              <w:rPr>
                <w:sz w:val="1"/>
                <w:szCs w:val="1"/>
                <w:color w:val="auto"/>
              </w:rPr>
            </w:pPr>
          </w:p>
        </w:tc>
      </w:tr>
      <w:tr>
        <w:trPr>
          <w:trHeight w:val="162"/>
        </w:trPr>
        <w:tc>
          <w:tcPr>
            <w:tcW w:w="4120" w:type="dxa"/>
            <w:vAlign w:val="bottom"/>
            <w:shd w:val="clear" w:color="auto" w:fill="CBECD5"/>
          </w:tcPr>
          <w:p>
            <w:pPr>
              <w:ind w:left="200"/>
              <w:spacing w:after="0"/>
              <w:rPr>
                <w:sz w:val="20"/>
                <w:szCs w:val="20"/>
                <w:color w:val="auto"/>
              </w:rPr>
            </w:pPr>
            <w:r>
              <w:rPr>
                <w:rFonts w:ascii="Arial" w:cs="Arial" w:eastAsia="Arial" w:hAnsi="Arial"/>
                <w:sz w:val="14"/>
                <w:szCs w:val="14"/>
                <w:color w:val="auto"/>
              </w:rPr>
              <w:t>320 Park Avenue, 8th Floor</w:t>
            </w:r>
          </w:p>
        </w:tc>
        <w:tc>
          <w:tcPr>
            <w:tcW w:w="1500" w:type="dxa"/>
            <w:vAlign w:val="bottom"/>
            <w:shd w:val="clear" w:color="auto" w:fill="CBECD5"/>
          </w:tcPr>
          <w:p>
            <w:pPr>
              <w:spacing w:after="0"/>
              <w:rPr>
                <w:sz w:val="14"/>
                <w:szCs w:val="14"/>
                <w:color w:val="auto"/>
              </w:rPr>
            </w:pPr>
          </w:p>
        </w:tc>
        <w:tc>
          <w:tcPr>
            <w:tcW w:w="1160" w:type="dxa"/>
            <w:vAlign w:val="bottom"/>
            <w:shd w:val="clear" w:color="auto" w:fill="CBECD5"/>
          </w:tcPr>
          <w:p>
            <w:pPr>
              <w:spacing w:after="0"/>
              <w:rPr>
                <w:sz w:val="14"/>
                <w:szCs w:val="14"/>
                <w:color w:val="auto"/>
              </w:rPr>
            </w:pPr>
          </w:p>
        </w:tc>
        <w:tc>
          <w:tcPr>
            <w:tcW w:w="960" w:type="dxa"/>
            <w:vAlign w:val="bottom"/>
            <w:shd w:val="clear" w:color="auto" w:fill="CBECD5"/>
          </w:tcPr>
          <w:p>
            <w:pPr>
              <w:spacing w:after="0"/>
              <w:rPr>
                <w:sz w:val="14"/>
                <w:szCs w:val="14"/>
                <w:color w:val="auto"/>
              </w:rPr>
            </w:pPr>
          </w:p>
        </w:tc>
        <w:tc>
          <w:tcPr>
            <w:tcW w:w="1020" w:type="dxa"/>
            <w:vAlign w:val="bottom"/>
            <w:shd w:val="clear" w:color="auto" w:fill="CBECD5"/>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20" w:type="dxa"/>
            <w:vAlign w:val="bottom"/>
            <w:shd w:val="clear" w:color="auto" w:fill="CBECD5"/>
          </w:tcPr>
          <w:p>
            <w:pPr>
              <w:ind w:left="200"/>
              <w:spacing w:after="0"/>
              <w:rPr>
                <w:sz w:val="20"/>
                <w:szCs w:val="20"/>
                <w:color w:val="auto"/>
              </w:rPr>
            </w:pPr>
            <w:r>
              <w:rPr>
                <w:rFonts w:ascii="Arial" w:cs="Arial" w:eastAsia="Arial" w:hAnsi="Arial"/>
                <w:sz w:val="14"/>
                <w:szCs w:val="14"/>
                <w:color w:val="auto"/>
              </w:rPr>
              <w:t>New York, NY 10022</w:t>
            </w:r>
          </w:p>
        </w:tc>
        <w:tc>
          <w:tcPr>
            <w:tcW w:w="1500" w:type="dxa"/>
            <w:vAlign w:val="bottom"/>
            <w:shd w:val="clear" w:color="auto" w:fill="CBECD5"/>
          </w:tcPr>
          <w:p>
            <w:pPr>
              <w:spacing w:after="0"/>
              <w:rPr>
                <w:sz w:val="16"/>
                <w:szCs w:val="16"/>
                <w:color w:val="auto"/>
              </w:rPr>
            </w:pPr>
          </w:p>
        </w:tc>
        <w:tc>
          <w:tcPr>
            <w:tcW w:w="1160" w:type="dxa"/>
            <w:vAlign w:val="bottom"/>
            <w:shd w:val="clear" w:color="auto" w:fill="CBECD5"/>
          </w:tcPr>
          <w:p>
            <w:pPr>
              <w:spacing w:after="0"/>
              <w:rPr>
                <w:sz w:val="16"/>
                <w:szCs w:val="16"/>
                <w:color w:val="auto"/>
              </w:rPr>
            </w:pPr>
          </w:p>
        </w:tc>
        <w:tc>
          <w:tcPr>
            <w:tcW w:w="960" w:type="dxa"/>
            <w:vAlign w:val="bottom"/>
            <w:shd w:val="clear" w:color="auto" w:fill="CBECD5"/>
          </w:tcPr>
          <w:p>
            <w:pPr>
              <w:spacing w:after="0"/>
              <w:rPr>
                <w:sz w:val="16"/>
                <w:szCs w:val="16"/>
                <w:color w:val="auto"/>
              </w:rPr>
            </w:pPr>
          </w:p>
        </w:tc>
        <w:tc>
          <w:tcPr>
            <w:tcW w:w="1020" w:type="dxa"/>
            <w:vAlign w:val="bottom"/>
            <w:shd w:val="clear" w:color="auto" w:fill="CBECD5"/>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120" w:type="dxa"/>
            <w:vAlign w:val="bottom"/>
          </w:tcPr>
          <w:p>
            <w:pPr>
              <w:ind w:left="60"/>
              <w:spacing w:after="0"/>
              <w:rPr>
                <w:sz w:val="20"/>
                <w:szCs w:val="20"/>
                <w:color w:val="auto"/>
              </w:rPr>
            </w:pPr>
            <w:r>
              <w:rPr>
                <w:rFonts w:ascii="Arial" w:cs="Arial" w:eastAsia="Arial" w:hAnsi="Arial"/>
                <w:sz w:val="14"/>
                <w:szCs w:val="14"/>
                <w:color w:val="auto"/>
              </w:rPr>
              <w:t>The Vanguard Group</w:t>
            </w:r>
            <w:r>
              <w:rPr>
                <w:rFonts w:ascii="Arial" w:cs="Arial" w:eastAsia="Arial" w:hAnsi="Arial"/>
                <w:sz w:val="17"/>
                <w:szCs w:val="17"/>
                <w:color w:val="auto"/>
                <w:vertAlign w:val="superscript"/>
              </w:rPr>
              <w:t>(4)</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10,430,858</w:t>
            </w:r>
          </w:p>
        </w:tc>
        <w:tc>
          <w:tcPr>
            <w:tcW w:w="1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10,430,858</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11.53%</w:t>
            </w:r>
          </w:p>
        </w:tc>
        <w:tc>
          <w:tcPr>
            <w:tcW w:w="0" w:type="dxa"/>
            <w:vAlign w:val="bottom"/>
          </w:tcPr>
          <w:p>
            <w:pPr>
              <w:spacing w:after="0"/>
              <w:rPr>
                <w:sz w:val="1"/>
                <w:szCs w:val="1"/>
                <w:color w:val="auto"/>
              </w:rPr>
            </w:pPr>
          </w:p>
        </w:tc>
      </w:tr>
      <w:tr>
        <w:trPr>
          <w:trHeight w:val="162"/>
        </w:trPr>
        <w:tc>
          <w:tcPr>
            <w:tcW w:w="4120" w:type="dxa"/>
            <w:vAlign w:val="bottom"/>
          </w:tcPr>
          <w:p>
            <w:pPr>
              <w:ind w:left="200"/>
              <w:spacing w:after="0"/>
              <w:rPr>
                <w:sz w:val="20"/>
                <w:szCs w:val="20"/>
                <w:color w:val="auto"/>
              </w:rPr>
            </w:pPr>
            <w:r>
              <w:rPr>
                <w:rFonts w:ascii="Arial" w:cs="Arial" w:eastAsia="Arial" w:hAnsi="Arial"/>
                <w:sz w:val="14"/>
                <w:szCs w:val="14"/>
                <w:color w:val="auto"/>
              </w:rPr>
              <w:t>100 Vanguard Blvd.</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200"/>
              <w:spacing w:after="0"/>
              <w:rPr>
                <w:sz w:val="20"/>
                <w:szCs w:val="20"/>
                <w:color w:val="auto"/>
              </w:rPr>
            </w:pPr>
            <w:r>
              <w:rPr>
                <w:rFonts w:ascii="Arial" w:cs="Arial" w:eastAsia="Arial" w:hAnsi="Arial"/>
                <w:sz w:val="14"/>
                <w:szCs w:val="14"/>
                <w:color w:val="auto"/>
              </w:rPr>
              <w:t>Malvern, PA 19355</w:t>
            </w: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4120" w:type="dxa"/>
            <w:vAlign w:val="bottom"/>
          </w:tcPr>
          <w:p>
            <w:pPr>
              <w:ind w:left="60"/>
              <w:spacing w:after="0"/>
              <w:rPr>
                <w:sz w:val="20"/>
                <w:szCs w:val="20"/>
                <w:color w:val="auto"/>
              </w:rPr>
            </w:pPr>
            <w:r>
              <w:rPr>
                <w:rFonts w:ascii="Arial" w:cs="Arial" w:eastAsia="Arial" w:hAnsi="Arial"/>
                <w:sz w:val="14"/>
                <w:szCs w:val="14"/>
                <w:b w:val="1"/>
                <w:bCs w:val="1"/>
                <w:color w:val="auto"/>
              </w:rPr>
              <w:t>Directors, Director Nominees, and NEOs</w:t>
            </w: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BECD5"/>
          </w:tcPr>
          <w:p>
            <w:pPr>
              <w:ind w:left="60"/>
              <w:spacing w:after="0"/>
              <w:rPr>
                <w:sz w:val="20"/>
                <w:szCs w:val="20"/>
                <w:color w:val="auto"/>
              </w:rPr>
            </w:pPr>
            <w:r>
              <w:rPr>
                <w:rFonts w:ascii="Arial" w:cs="Arial" w:eastAsia="Arial" w:hAnsi="Arial"/>
                <w:sz w:val="14"/>
                <w:szCs w:val="14"/>
                <w:color w:val="auto"/>
              </w:rPr>
              <w:t>Rodney C. Adkins, Director and Nominee</w:t>
            </w:r>
          </w:p>
        </w:tc>
        <w:tc>
          <w:tcPr>
            <w:tcW w:w="1500" w:type="dxa"/>
            <w:vAlign w:val="bottom"/>
            <w:shd w:val="clear" w:color="auto" w:fill="CBECD5"/>
          </w:tcPr>
          <w:p>
            <w:pPr>
              <w:jc w:val="right"/>
              <w:ind w:right="8"/>
              <w:spacing w:after="0" w:line="189" w:lineRule="exact"/>
              <w:rPr>
                <w:sz w:val="20"/>
                <w:szCs w:val="20"/>
                <w:color w:val="auto"/>
              </w:rPr>
            </w:pPr>
            <w:r>
              <w:rPr>
                <w:rFonts w:ascii="Arial" w:cs="Arial" w:eastAsia="Arial" w:hAnsi="Arial"/>
                <w:sz w:val="14"/>
                <w:szCs w:val="14"/>
                <w:color w:val="auto"/>
              </w:rPr>
              <w:t>38,198</w:t>
            </w:r>
            <w:r>
              <w:rPr>
                <w:rFonts w:ascii="Arial" w:cs="Arial" w:eastAsia="Arial" w:hAnsi="Arial"/>
                <w:sz w:val="17"/>
                <w:szCs w:val="17"/>
                <w:color w:val="auto"/>
                <w:vertAlign w:val="superscript"/>
              </w:rPr>
              <w:t>(5)</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38,198</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60"/>
              <w:spacing w:after="0"/>
              <w:rPr>
                <w:sz w:val="20"/>
                <w:szCs w:val="20"/>
                <w:color w:val="auto"/>
              </w:rPr>
            </w:pPr>
            <w:r>
              <w:rPr>
                <w:rFonts w:ascii="Arial" w:cs="Arial" w:eastAsia="Arial" w:hAnsi="Arial"/>
                <w:sz w:val="14"/>
                <w:szCs w:val="14"/>
                <w:color w:val="auto"/>
              </w:rPr>
              <w:t>Carlo Bozotti, Director</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11,578</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11,578</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BECD5"/>
          </w:tcPr>
          <w:p>
            <w:pPr>
              <w:ind w:left="60"/>
              <w:spacing w:after="0"/>
              <w:rPr>
                <w:sz w:val="20"/>
                <w:szCs w:val="20"/>
                <w:color w:val="auto"/>
              </w:rPr>
            </w:pPr>
            <w:r>
              <w:rPr>
                <w:rFonts w:ascii="Arial" w:cs="Arial" w:eastAsia="Arial" w:hAnsi="Arial"/>
                <w:sz w:val="14"/>
                <w:szCs w:val="14"/>
                <w:color w:val="auto"/>
              </w:rPr>
              <w:t>Brenda L. Freeman, Director and Nominee</w:t>
            </w:r>
          </w:p>
        </w:tc>
        <w:tc>
          <w:tcPr>
            <w:tcW w:w="1500" w:type="dxa"/>
            <w:vAlign w:val="bottom"/>
            <w:shd w:val="clear" w:color="auto" w:fill="CBECD5"/>
          </w:tcPr>
          <w:p>
            <w:pPr>
              <w:jc w:val="right"/>
              <w:ind w:right="8"/>
              <w:spacing w:after="0" w:line="189" w:lineRule="exact"/>
              <w:rPr>
                <w:sz w:val="20"/>
                <w:szCs w:val="20"/>
                <w:color w:val="auto"/>
              </w:rPr>
            </w:pPr>
            <w:r>
              <w:rPr>
                <w:rFonts w:ascii="Arial" w:cs="Arial" w:eastAsia="Arial" w:hAnsi="Arial"/>
                <w:sz w:val="14"/>
                <w:szCs w:val="14"/>
                <w:color w:val="auto"/>
              </w:rPr>
              <w:t>27,140</w:t>
            </w:r>
            <w:r>
              <w:rPr>
                <w:rFonts w:ascii="Arial" w:cs="Arial" w:eastAsia="Arial" w:hAnsi="Arial"/>
                <w:sz w:val="17"/>
                <w:szCs w:val="17"/>
                <w:color w:val="auto"/>
                <w:vertAlign w:val="superscript"/>
              </w:rPr>
              <w:t>(6)</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27,140</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60"/>
              <w:spacing w:after="0"/>
              <w:rPr>
                <w:sz w:val="20"/>
                <w:szCs w:val="20"/>
                <w:color w:val="auto"/>
              </w:rPr>
            </w:pPr>
            <w:r>
              <w:rPr>
                <w:rFonts w:ascii="Arial" w:cs="Arial" w:eastAsia="Arial" w:hAnsi="Arial"/>
                <w:sz w:val="14"/>
                <w:szCs w:val="14"/>
                <w:color w:val="auto"/>
              </w:rPr>
              <w:t>Helmut Gassel, Director and Nominee</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1,265</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1,265</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BECD5"/>
          </w:tcPr>
          <w:p>
            <w:pPr>
              <w:ind w:left="60"/>
              <w:spacing w:after="0"/>
              <w:rPr>
                <w:sz w:val="20"/>
                <w:szCs w:val="20"/>
                <w:color w:val="auto"/>
              </w:rPr>
            </w:pPr>
            <w:r>
              <w:rPr>
                <w:rFonts w:ascii="Arial" w:cs="Arial" w:eastAsia="Arial" w:hAnsi="Arial"/>
                <w:sz w:val="14"/>
                <w:szCs w:val="14"/>
                <w:color w:val="auto"/>
              </w:rPr>
              <w:t>Virginia L. Henkels, Director and Nominee</w:t>
            </w:r>
          </w:p>
        </w:tc>
        <w:tc>
          <w:tcPr>
            <w:tcW w:w="1500" w:type="dxa"/>
            <w:vAlign w:val="bottom"/>
            <w:shd w:val="clear" w:color="auto" w:fill="CBECD5"/>
          </w:tcPr>
          <w:p>
            <w:pPr>
              <w:jc w:val="right"/>
              <w:ind w:right="128"/>
              <w:spacing w:after="0"/>
              <w:rPr>
                <w:sz w:val="20"/>
                <w:szCs w:val="20"/>
                <w:color w:val="auto"/>
              </w:rPr>
            </w:pPr>
            <w:r>
              <w:rPr>
                <w:rFonts w:ascii="Arial" w:cs="Arial" w:eastAsia="Arial" w:hAnsi="Arial"/>
                <w:sz w:val="14"/>
                <w:szCs w:val="14"/>
                <w:color w:val="auto"/>
              </w:rPr>
              <w:t>1,265</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1,265</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60"/>
              <w:spacing w:after="0"/>
              <w:rPr>
                <w:sz w:val="20"/>
                <w:szCs w:val="20"/>
                <w:color w:val="auto"/>
              </w:rPr>
            </w:pPr>
            <w:r>
              <w:rPr>
                <w:rFonts w:ascii="Arial" w:cs="Arial" w:eastAsia="Arial" w:hAnsi="Arial"/>
                <w:sz w:val="14"/>
                <w:szCs w:val="14"/>
                <w:color w:val="auto"/>
              </w:rPr>
              <w:t>Jo Ann Jenkins, Director and Nominee</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25,636</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25,636</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BECD5"/>
          </w:tcPr>
          <w:p>
            <w:pPr>
              <w:ind w:left="60"/>
              <w:spacing w:after="0"/>
              <w:rPr>
                <w:sz w:val="20"/>
                <w:szCs w:val="20"/>
                <w:color w:val="auto"/>
              </w:rPr>
            </w:pPr>
            <w:r>
              <w:rPr>
                <w:rFonts w:ascii="Arial" w:cs="Arial" w:eastAsia="Arial" w:hAnsi="Arial"/>
                <w:sz w:val="14"/>
                <w:szCs w:val="14"/>
                <w:color w:val="auto"/>
              </w:rPr>
              <w:t>Oleg Khaykin, Director and Nominee</w:t>
            </w:r>
          </w:p>
        </w:tc>
        <w:tc>
          <w:tcPr>
            <w:tcW w:w="1500" w:type="dxa"/>
            <w:vAlign w:val="bottom"/>
            <w:shd w:val="clear" w:color="auto" w:fill="CBECD5"/>
          </w:tcPr>
          <w:p>
            <w:pPr>
              <w:jc w:val="right"/>
              <w:ind w:right="8"/>
              <w:spacing w:after="0" w:line="189" w:lineRule="exact"/>
              <w:rPr>
                <w:sz w:val="20"/>
                <w:szCs w:val="20"/>
                <w:color w:val="auto"/>
              </w:rPr>
            </w:pPr>
            <w:r>
              <w:rPr>
                <w:rFonts w:ascii="Arial" w:cs="Arial" w:eastAsia="Arial" w:hAnsi="Arial"/>
                <w:sz w:val="14"/>
                <w:szCs w:val="14"/>
                <w:color w:val="auto"/>
              </w:rPr>
              <w:t>51,843</w:t>
            </w:r>
            <w:r>
              <w:rPr>
                <w:rFonts w:ascii="Arial" w:cs="Arial" w:eastAsia="Arial" w:hAnsi="Arial"/>
                <w:sz w:val="17"/>
                <w:szCs w:val="17"/>
                <w:color w:val="auto"/>
                <w:vertAlign w:val="superscript"/>
              </w:rPr>
              <w:t>(7)</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51,843</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60"/>
              <w:spacing w:after="0"/>
              <w:rPr>
                <w:sz w:val="20"/>
                <w:szCs w:val="20"/>
                <w:color w:val="auto"/>
              </w:rPr>
            </w:pPr>
            <w:r>
              <w:rPr>
                <w:rFonts w:ascii="Arial" w:cs="Arial" w:eastAsia="Arial" w:hAnsi="Arial"/>
                <w:sz w:val="14"/>
                <w:szCs w:val="14"/>
                <w:color w:val="auto"/>
              </w:rPr>
              <w:t>James A. Lawrence, Director</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BECD5"/>
          </w:tcPr>
          <w:p>
            <w:pPr>
              <w:ind w:left="60"/>
              <w:spacing w:after="0"/>
              <w:rPr>
                <w:sz w:val="20"/>
                <w:szCs w:val="20"/>
                <w:color w:val="auto"/>
              </w:rPr>
            </w:pPr>
            <w:r>
              <w:rPr>
                <w:rFonts w:ascii="Arial" w:cs="Arial" w:eastAsia="Arial" w:hAnsi="Arial"/>
                <w:sz w:val="14"/>
                <w:szCs w:val="14"/>
                <w:color w:val="auto"/>
              </w:rPr>
              <w:t>Ernest E. Maddock, Director and Nominee</w:t>
            </w:r>
          </w:p>
        </w:tc>
        <w:tc>
          <w:tcPr>
            <w:tcW w:w="1500" w:type="dxa"/>
            <w:vAlign w:val="bottom"/>
            <w:shd w:val="clear" w:color="auto" w:fill="CBECD5"/>
          </w:tcPr>
          <w:p>
            <w:pPr>
              <w:jc w:val="right"/>
              <w:ind w:right="8"/>
              <w:spacing w:after="0" w:line="189" w:lineRule="exact"/>
              <w:rPr>
                <w:sz w:val="20"/>
                <w:szCs w:val="20"/>
                <w:color w:val="auto"/>
              </w:rPr>
            </w:pPr>
            <w:r>
              <w:rPr>
                <w:rFonts w:ascii="Arial" w:cs="Arial" w:eastAsia="Arial" w:hAnsi="Arial"/>
                <w:sz w:val="14"/>
                <w:szCs w:val="14"/>
                <w:color w:val="auto"/>
              </w:rPr>
              <w:t>13,455</w:t>
            </w:r>
            <w:r>
              <w:rPr>
                <w:rFonts w:ascii="Arial" w:cs="Arial" w:eastAsia="Arial" w:hAnsi="Arial"/>
                <w:sz w:val="17"/>
                <w:szCs w:val="17"/>
                <w:color w:val="auto"/>
                <w:vertAlign w:val="superscript"/>
              </w:rPr>
              <w:t>(8)</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13,455</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60"/>
              <w:spacing w:after="0"/>
              <w:rPr>
                <w:sz w:val="20"/>
                <w:szCs w:val="20"/>
                <w:color w:val="auto"/>
              </w:rPr>
            </w:pPr>
            <w:r>
              <w:rPr>
                <w:rFonts w:ascii="Arial" w:cs="Arial" w:eastAsia="Arial" w:hAnsi="Arial"/>
                <w:sz w:val="14"/>
                <w:szCs w:val="14"/>
                <w:color w:val="auto"/>
              </w:rPr>
              <w:t>Avid Modjtabai, Director and Nominee</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38,257</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38,257</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BECD5"/>
          </w:tcPr>
          <w:p>
            <w:pPr>
              <w:ind w:left="60"/>
              <w:spacing w:after="0"/>
              <w:rPr>
                <w:sz w:val="20"/>
                <w:szCs w:val="20"/>
                <w:color w:val="auto"/>
              </w:rPr>
            </w:pPr>
            <w:r>
              <w:rPr>
                <w:rFonts w:ascii="Arial" w:cs="Arial" w:eastAsia="Arial" w:hAnsi="Arial"/>
                <w:sz w:val="14"/>
                <w:szCs w:val="14"/>
                <w:color w:val="auto"/>
              </w:rPr>
              <w:t>Adalio T. Sanchez, Director and Nominee</w:t>
            </w:r>
          </w:p>
        </w:tc>
        <w:tc>
          <w:tcPr>
            <w:tcW w:w="1500" w:type="dxa"/>
            <w:vAlign w:val="bottom"/>
            <w:shd w:val="clear" w:color="auto" w:fill="CBECD5"/>
          </w:tcPr>
          <w:p>
            <w:pPr>
              <w:jc w:val="right"/>
              <w:ind w:right="128"/>
              <w:spacing w:after="0"/>
              <w:rPr>
                <w:sz w:val="20"/>
                <w:szCs w:val="20"/>
                <w:color w:val="auto"/>
              </w:rPr>
            </w:pPr>
            <w:r>
              <w:rPr>
                <w:rFonts w:ascii="Arial" w:cs="Arial" w:eastAsia="Arial" w:hAnsi="Arial"/>
                <w:sz w:val="14"/>
                <w:szCs w:val="14"/>
                <w:color w:val="auto"/>
              </w:rPr>
              <w:t>20,578</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20,578</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ind w:left="60"/>
              <w:spacing w:after="0"/>
              <w:rPr>
                <w:sz w:val="20"/>
                <w:szCs w:val="20"/>
                <w:color w:val="auto"/>
              </w:rPr>
            </w:pPr>
            <w:r>
              <w:rPr>
                <w:rFonts w:ascii="Arial" w:cs="Arial" w:eastAsia="Arial" w:hAnsi="Arial"/>
                <w:sz w:val="14"/>
                <w:szCs w:val="14"/>
                <w:color w:val="auto"/>
              </w:rPr>
              <w:t>Philip R. Gallagher, Chief Executive Officer and Director</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371,521</w:t>
            </w:r>
            <w:r>
              <w:rPr>
                <w:rFonts w:ascii="Arial" w:cs="Arial" w:eastAsia="Arial" w:hAnsi="Arial"/>
                <w:sz w:val="17"/>
                <w:szCs w:val="17"/>
                <w:color w:val="auto"/>
                <w:vertAlign w:val="superscript"/>
              </w:rPr>
              <w:t>(9)</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369,863</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741,384</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BECD5"/>
          </w:tcPr>
          <w:p>
            <w:pPr>
              <w:ind w:left="60"/>
              <w:spacing w:after="0"/>
              <w:rPr>
                <w:sz w:val="20"/>
                <w:szCs w:val="20"/>
                <w:color w:val="auto"/>
              </w:rPr>
            </w:pPr>
            <w:r>
              <w:rPr>
                <w:rFonts w:ascii="Arial" w:cs="Arial" w:eastAsia="Arial" w:hAnsi="Arial"/>
                <w:sz w:val="14"/>
                <w:szCs w:val="14"/>
                <w:color w:val="auto"/>
              </w:rPr>
              <w:t>Kenneth A. Jacobson, Chief Financial Officer</w:t>
            </w:r>
          </w:p>
        </w:tc>
        <w:tc>
          <w:tcPr>
            <w:tcW w:w="1500" w:type="dxa"/>
            <w:vAlign w:val="bottom"/>
            <w:shd w:val="clear" w:color="auto" w:fill="CBECD5"/>
          </w:tcPr>
          <w:p>
            <w:pPr>
              <w:jc w:val="right"/>
              <w:spacing w:after="0" w:line="189" w:lineRule="exact"/>
              <w:rPr>
                <w:sz w:val="20"/>
                <w:szCs w:val="20"/>
                <w:color w:val="auto"/>
              </w:rPr>
            </w:pPr>
            <w:r>
              <w:rPr>
                <w:rFonts w:ascii="Arial" w:cs="Arial" w:eastAsia="Arial" w:hAnsi="Arial"/>
                <w:sz w:val="14"/>
                <w:szCs w:val="14"/>
                <w:color w:val="auto"/>
              </w:rPr>
              <w:t>83,586</w:t>
            </w:r>
            <w:r>
              <w:rPr>
                <w:rFonts w:ascii="Arial" w:cs="Arial" w:eastAsia="Arial" w:hAnsi="Arial"/>
                <w:sz w:val="17"/>
                <w:szCs w:val="17"/>
                <w:color w:val="auto"/>
                <w:vertAlign w:val="superscript"/>
              </w:rPr>
              <w:t>(10)</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0</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83,586</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60"/>
              <w:spacing w:after="0"/>
              <w:rPr>
                <w:sz w:val="20"/>
                <w:szCs w:val="20"/>
                <w:color w:val="auto"/>
              </w:rPr>
            </w:pPr>
            <w:r>
              <w:rPr>
                <w:rFonts w:ascii="Arial" w:cs="Arial" w:eastAsia="Arial" w:hAnsi="Arial"/>
                <w:sz w:val="14"/>
                <w:szCs w:val="14"/>
                <w:color w:val="auto"/>
              </w:rPr>
              <w:t>Ken E. Arnold, SVP, Chief People Officer</w:t>
            </w:r>
          </w:p>
        </w:tc>
        <w:tc>
          <w:tcPr>
            <w:tcW w:w="1500" w:type="dxa"/>
            <w:vAlign w:val="bottom"/>
          </w:tcPr>
          <w:p>
            <w:pPr>
              <w:jc w:val="right"/>
              <w:spacing w:after="0" w:line="189" w:lineRule="exact"/>
              <w:rPr>
                <w:sz w:val="20"/>
                <w:szCs w:val="20"/>
                <w:color w:val="auto"/>
              </w:rPr>
            </w:pPr>
            <w:r>
              <w:rPr>
                <w:rFonts w:ascii="Arial" w:cs="Arial" w:eastAsia="Arial" w:hAnsi="Arial"/>
                <w:sz w:val="14"/>
                <w:szCs w:val="14"/>
                <w:color w:val="auto"/>
              </w:rPr>
              <w:t>55,779</w:t>
            </w:r>
            <w:r>
              <w:rPr>
                <w:rFonts w:ascii="Arial" w:cs="Arial" w:eastAsia="Arial" w:hAnsi="Arial"/>
                <w:sz w:val="17"/>
                <w:szCs w:val="17"/>
                <w:color w:val="auto"/>
                <w:vertAlign w:val="superscript"/>
              </w:rPr>
              <w:t>(11)</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68,825</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124,604</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BECD5"/>
          </w:tcPr>
          <w:p>
            <w:pPr>
              <w:ind w:left="60"/>
              <w:spacing w:after="0"/>
              <w:rPr>
                <w:sz w:val="20"/>
                <w:szCs w:val="20"/>
                <w:color w:val="auto"/>
              </w:rPr>
            </w:pPr>
            <w:r>
              <w:rPr>
                <w:rFonts w:ascii="Arial" w:cs="Arial" w:eastAsia="Arial" w:hAnsi="Arial"/>
                <w:sz w:val="14"/>
                <w:szCs w:val="14"/>
                <w:color w:val="auto"/>
              </w:rPr>
              <w:t>Leng Jin (Max) Chan, SVP, Chief Information Officer</w:t>
            </w:r>
          </w:p>
        </w:tc>
        <w:tc>
          <w:tcPr>
            <w:tcW w:w="1500" w:type="dxa"/>
            <w:vAlign w:val="bottom"/>
            <w:shd w:val="clear" w:color="auto" w:fill="CBECD5"/>
          </w:tcPr>
          <w:p>
            <w:pPr>
              <w:jc w:val="right"/>
              <w:spacing w:after="0" w:line="189" w:lineRule="exact"/>
              <w:rPr>
                <w:sz w:val="20"/>
                <w:szCs w:val="20"/>
                <w:color w:val="auto"/>
              </w:rPr>
            </w:pPr>
            <w:r>
              <w:rPr>
                <w:rFonts w:ascii="Arial" w:cs="Arial" w:eastAsia="Arial" w:hAnsi="Arial"/>
                <w:sz w:val="14"/>
                <w:szCs w:val="14"/>
                <w:color w:val="auto"/>
              </w:rPr>
              <w:t>36,565</w:t>
            </w:r>
            <w:r>
              <w:rPr>
                <w:rFonts w:ascii="Arial" w:cs="Arial" w:eastAsia="Arial" w:hAnsi="Arial"/>
                <w:sz w:val="17"/>
                <w:szCs w:val="17"/>
                <w:color w:val="auto"/>
                <w:vertAlign w:val="superscript"/>
              </w:rPr>
              <w:t>(12)</w:t>
            </w:r>
          </w:p>
        </w:tc>
        <w:tc>
          <w:tcPr>
            <w:tcW w:w="1160" w:type="dxa"/>
            <w:vAlign w:val="bottom"/>
            <w:shd w:val="clear" w:color="auto" w:fill="CBECD5"/>
          </w:tcPr>
          <w:p>
            <w:pPr>
              <w:jc w:val="right"/>
              <w:ind w:right="288"/>
              <w:spacing w:after="0"/>
              <w:rPr>
                <w:sz w:val="20"/>
                <w:szCs w:val="20"/>
                <w:color w:val="auto"/>
              </w:rPr>
            </w:pPr>
            <w:r>
              <w:rPr>
                <w:rFonts w:ascii="Arial" w:cs="Arial" w:eastAsia="Arial" w:hAnsi="Arial"/>
                <w:sz w:val="14"/>
                <w:szCs w:val="14"/>
                <w:color w:val="auto"/>
              </w:rPr>
              <w:t>4,613</w:t>
            </w:r>
          </w:p>
        </w:tc>
        <w:tc>
          <w:tcPr>
            <w:tcW w:w="960" w:type="dxa"/>
            <w:vAlign w:val="bottom"/>
            <w:shd w:val="clear" w:color="auto" w:fill="CBECD5"/>
          </w:tcPr>
          <w:p>
            <w:pPr>
              <w:jc w:val="right"/>
              <w:spacing w:after="0"/>
              <w:rPr>
                <w:sz w:val="20"/>
                <w:szCs w:val="20"/>
                <w:color w:val="auto"/>
              </w:rPr>
            </w:pPr>
            <w:r>
              <w:rPr>
                <w:rFonts w:ascii="Arial" w:cs="Arial" w:eastAsia="Arial" w:hAnsi="Arial"/>
                <w:sz w:val="14"/>
                <w:szCs w:val="14"/>
                <w:b w:val="1"/>
                <w:bCs w:val="1"/>
                <w:color w:val="auto"/>
              </w:rPr>
              <w:t>41,178</w:t>
            </w:r>
          </w:p>
        </w:tc>
        <w:tc>
          <w:tcPr>
            <w:tcW w:w="1020" w:type="dxa"/>
            <w:vAlign w:val="bottom"/>
            <w:shd w:val="clear" w:color="auto" w:fill="CBECD5"/>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4120" w:type="dxa"/>
            <w:vAlign w:val="bottom"/>
          </w:tcPr>
          <w:p>
            <w:pPr>
              <w:ind w:left="60"/>
              <w:spacing w:after="0"/>
              <w:rPr>
                <w:sz w:val="20"/>
                <w:szCs w:val="20"/>
                <w:color w:val="auto"/>
              </w:rPr>
            </w:pPr>
            <w:r>
              <w:rPr>
                <w:rFonts w:ascii="Arial" w:cs="Arial" w:eastAsia="Arial" w:hAnsi="Arial"/>
                <w:sz w:val="14"/>
                <w:szCs w:val="14"/>
                <w:color w:val="auto"/>
              </w:rPr>
              <w:t>Michael R. McCoy, SVP, General Counsel</w:t>
            </w:r>
          </w:p>
        </w:tc>
        <w:tc>
          <w:tcPr>
            <w:tcW w:w="1500" w:type="dxa"/>
            <w:vAlign w:val="bottom"/>
          </w:tcPr>
          <w:p>
            <w:pPr>
              <w:jc w:val="right"/>
              <w:spacing w:after="0"/>
              <w:rPr>
                <w:sz w:val="20"/>
                <w:szCs w:val="20"/>
                <w:color w:val="auto"/>
              </w:rPr>
            </w:pPr>
            <w:r>
              <w:rPr>
                <w:rFonts w:ascii="Arial" w:cs="Arial" w:eastAsia="Arial" w:hAnsi="Arial"/>
                <w:sz w:val="14"/>
                <w:szCs w:val="14"/>
                <w:color w:val="auto"/>
              </w:rPr>
              <w:t>70,794</w:t>
            </w:r>
            <w:r>
              <w:rPr>
                <w:rFonts w:ascii="Arial" w:cs="Arial" w:eastAsia="Arial" w:hAnsi="Arial"/>
                <w:sz w:val="17"/>
                <w:szCs w:val="17"/>
                <w:color w:val="auto"/>
                <w:vertAlign w:val="superscript"/>
              </w:rPr>
              <w:t>(13)</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51,258</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122,052</w:t>
            </w:r>
          </w:p>
        </w:tc>
        <w:tc>
          <w:tcPr>
            <w:tcW w:w="10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9"/>
        </w:trPr>
        <w:tc>
          <w:tcPr>
            <w:tcW w:w="4120" w:type="dxa"/>
            <w:vAlign w:val="bottom"/>
            <w:tcBorders>
              <w:bottom w:val="single" w:sz="8" w:color="53C072"/>
            </w:tcBorders>
          </w:tcPr>
          <w:p>
            <w:pPr>
              <w:ind w:left="60"/>
              <w:spacing w:after="0"/>
              <w:rPr>
                <w:sz w:val="20"/>
                <w:szCs w:val="20"/>
                <w:color w:val="auto"/>
              </w:rPr>
            </w:pPr>
            <w:r>
              <w:rPr>
                <w:rFonts w:ascii="Arial" w:cs="Arial" w:eastAsia="Arial" w:hAnsi="Arial"/>
                <w:sz w:val="14"/>
                <w:szCs w:val="14"/>
                <w:b w:val="1"/>
                <w:bCs w:val="1"/>
                <w:color w:val="auto"/>
              </w:rPr>
              <w:t>All Directors and NEOs as a group (15 people)</w:t>
            </w:r>
          </w:p>
        </w:tc>
        <w:tc>
          <w:tcPr>
            <w:tcW w:w="1500" w:type="dxa"/>
            <w:vAlign w:val="bottom"/>
            <w:tcBorders>
              <w:bottom w:val="single" w:sz="8" w:color="53C072"/>
            </w:tcBorders>
          </w:tcPr>
          <w:p>
            <w:pPr>
              <w:jc w:val="right"/>
              <w:ind w:right="128"/>
              <w:spacing w:after="0"/>
              <w:rPr>
                <w:sz w:val="20"/>
                <w:szCs w:val="20"/>
                <w:color w:val="auto"/>
              </w:rPr>
            </w:pPr>
            <w:r>
              <w:rPr>
                <w:rFonts w:ascii="Arial" w:cs="Arial" w:eastAsia="Arial" w:hAnsi="Arial"/>
                <w:sz w:val="14"/>
                <w:szCs w:val="14"/>
                <w:b w:val="1"/>
                <w:bCs w:val="1"/>
                <w:color w:val="auto"/>
              </w:rPr>
              <w:t>847,460</w:t>
            </w:r>
          </w:p>
        </w:tc>
        <w:tc>
          <w:tcPr>
            <w:tcW w:w="1160" w:type="dxa"/>
            <w:vAlign w:val="bottom"/>
            <w:tcBorders>
              <w:bottom w:val="single" w:sz="8" w:color="53C072"/>
            </w:tcBorders>
          </w:tcPr>
          <w:p>
            <w:pPr>
              <w:jc w:val="right"/>
              <w:ind w:right="288"/>
              <w:spacing w:after="0"/>
              <w:rPr>
                <w:sz w:val="20"/>
                <w:szCs w:val="20"/>
                <w:color w:val="auto"/>
              </w:rPr>
            </w:pPr>
            <w:r>
              <w:rPr>
                <w:rFonts w:ascii="Arial" w:cs="Arial" w:eastAsia="Arial" w:hAnsi="Arial"/>
                <w:sz w:val="14"/>
                <w:szCs w:val="14"/>
                <w:b w:val="1"/>
                <w:bCs w:val="1"/>
                <w:color w:val="auto"/>
              </w:rPr>
              <w:t>499,559</w:t>
            </w:r>
          </w:p>
        </w:tc>
        <w:tc>
          <w:tcPr>
            <w:tcW w:w="960" w:type="dxa"/>
            <w:vAlign w:val="bottom"/>
            <w:tcBorders>
              <w:bottom w:val="single" w:sz="8" w:color="53C072"/>
            </w:tcBorders>
          </w:tcPr>
          <w:p>
            <w:pPr>
              <w:jc w:val="right"/>
              <w:spacing w:after="0"/>
              <w:rPr>
                <w:sz w:val="20"/>
                <w:szCs w:val="20"/>
                <w:color w:val="auto"/>
              </w:rPr>
            </w:pPr>
            <w:r>
              <w:rPr>
                <w:rFonts w:ascii="Arial" w:cs="Arial" w:eastAsia="Arial" w:hAnsi="Arial"/>
                <w:sz w:val="14"/>
                <w:szCs w:val="14"/>
                <w:b w:val="1"/>
                <w:bCs w:val="1"/>
                <w:color w:val="auto"/>
              </w:rPr>
              <w:t>1,342,019</w:t>
            </w:r>
          </w:p>
        </w:tc>
        <w:tc>
          <w:tcPr>
            <w:tcW w:w="1020" w:type="dxa"/>
            <w:vAlign w:val="bottom"/>
            <w:tcBorders>
              <w:bottom w:val="single" w:sz="8" w:color="53C072"/>
            </w:tcBorders>
          </w:tcPr>
          <w:p>
            <w:pPr>
              <w:jc w:val="right"/>
              <w:ind w:right="48"/>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43" w:lineRule="exact"/>
        <w:rPr>
          <w:sz w:val="20"/>
          <w:szCs w:val="20"/>
          <w:color w:val="auto"/>
        </w:rPr>
      </w:pPr>
    </w:p>
    <w:p>
      <w:pPr>
        <w:jc w:val="right"/>
        <w:ind w:right="139"/>
        <w:spacing w:after="0"/>
        <w:tabs>
          <w:tab w:leader="none" w:pos="4180" w:val="left"/>
        </w:tabs>
        <w:rPr>
          <w:sz w:val="20"/>
          <w:szCs w:val="20"/>
          <w:color w:val="auto"/>
        </w:rPr>
      </w:pPr>
      <w:r>
        <w:rPr>
          <w:rFonts w:ascii="Arial" w:cs="Arial" w:eastAsia="Arial" w:hAnsi="Arial"/>
          <w:sz w:val="28"/>
          <w:szCs w:val="28"/>
          <w:b w:val="1"/>
          <w:bCs w:val="1"/>
          <w:color w:val="53C072"/>
          <w:vertAlign w:val="superscript"/>
        </w:rPr>
        <w:t>2024 ANNUAL</w:t>
      </w:r>
      <w:r>
        <w:rPr>
          <w:rFonts w:ascii="Arial" w:cs="Arial" w:eastAsia="Arial" w:hAnsi="Arial"/>
          <w:sz w:val="28"/>
          <w:szCs w:val="28"/>
          <w:b w:val="1"/>
          <w:bCs w:val="1"/>
          <w:color w:val="auto"/>
          <w:vertAlign w:val="superscript"/>
        </w:rPr>
        <w:t xml:space="preserve"> </w:t>
      </w:r>
      <w:r>
        <w:rPr>
          <w:sz w:val="20"/>
          <w:szCs w:val="20"/>
          <w:color w:val="auto"/>
        </w:rPr>
        <w:tab/>
      </w:r>
      <w:r>
        <w:rPr>
          <w:rFonts w:ascii="Arial" w:cs="Arial" w:eastAsia="Arial" w:hAnsi="Arial"/>
          <w:sz w:val="14"/>
          <w:szCs w:val="14"/>
          <w:color w:val="auto"/>
        </w:rPr>
        <w:t>Security Ownership of Certain Beneficial Owners and Management</w:t>
      </w: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90" w:lineRule="exact"/>
        <w:rPr>
          <w:sz w:val="20"/>
          <w:szCs w:val="20"/>
          <w:color w:val="auto"/>
        </w:rPr>
      </w:pPr>
    </w:p>
    <w:p>
      <w:pPr>
        <w:ind w:left="1780" w:hanging="718"/>
        <w:spacing w:after="0"/>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44" w:lineRule="exact"/>
        <w:rPr>
          <w:sz w:val="20"/>
          <w:szCs w:val="20"/>
          <w:color w:val="auto"/>
        </w:rPr>
      </w:pPr>
    </w:p>
    <w:p>
      <w:pPr>
        <w:ind w:left="1780" w:right="319" w:hanging="718"/>
        <w:spacing w:after="0" w:line="268"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solely on information provided in Amendment No. 3 to a Schedule 13G filed with the SEC on January 24, 2024 by BlackRock, Inc., which reports sole voting power over 8,743,349 shares and sole dispositive power over 9,169,038 shares.</w:t>
      </w:r>
    </w:p>
    <w:p>
      <w:pPr>
        <w:spacing w:after="0" w:line="103" w:lineRule="exact"/>
        <w:rPr>
          <w:rFonts w:ascii="Arial" w:cs="Arial" w:eastAsia="Arial" w:hAnsi="Arial"/>
          <w:sz w:val="18"/>
          <w:szCs w:val="18"/>
          <w:color w:val="auto"/>
        </w:rPr>
      </w:pPr>
    </w:p>
    <w:p>
      <w:pPr>
        <w:ind w:left="1780" w:right="159" w:hanging="718"/>
        <w:spacing w:after="0" w:line="268"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solely on information provided in Amendment No. 1 to a Schedule 13G filed with the SEC on February 14, 2024 by Dimensional Fund Advisors LP, which reports sole voting power over 6,185,658 shares and sole dispositive power over 6,253,930 shares.</w:t>
      </w:r>
    </w:p>
    <w:p>
      <w:pPr>
        <w:spacing w:after="0" w:line="103" w:lineRule="exact"/>
        <w:rPr>
          <w:rFonts w:ascii="Arial" w:cs="Arial" w:eastAsia="Arial" w:hAnsi="Arial"/>
          <w:sz w:val="18"/>
          <w:szCs w:val="18"/>
          <w:color w:val="auto"/>
        </w:rPr>
      </w:pPr>
    </w:p>
    <w:p>
      <w:pPr>
        <w:ind w:left="1780" w:right="359" w:hanging="718"/>
        <w:spacing w:after="0" w:line="268"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solely on information provided in a Schedule 13G filed with the SEC on February 8, 2024 by Pzena Investment Management, LLC, which reports sole voting power over 6,334,168 shares and sole dispositive power over 8,751,446 shares.</w:t>
      </w:r>
    </w:p>
    <w:p>
      <w:pPr>
        <w:spacing w:after="0" w:line="89" w:lineRule="exact"/>
        <w:rPr>
          <w:rFonts w:ascii="Arial" w:cs="Arial" w:eastAsia="Arial" w:hAnsi="Arial"/>
          <w:sz w:val="18"/>
          <w:szCs w:val="18"/>
          <w:color w:val="auto"/>
        </w:rPr>
      </w:pPr>
    </w:p>
    <w:p>
      <w:pPr>
        <w:ind w:left="1780" w:right="199" w:hanging="718"/>
        <w:spacing w:after="0" w:line="262"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solely on information provided in Amendment No. 13 to a Schedule 13G filed with the SEC on February 13, 2024, by The Vanguard Group, which reports sole voting power with respect to 0 shares, shared voting power over 37,111 shares, sole dispositive power over 10,298,686 shares, and shared dispositive power over 132,172 shares.</w:t>
      </w:r>
    </w:p>
    <w:p>
      <w:pPr>
        <w:spacing w:after="0" w:line="108" w:lineRule="exact"/>
        <w:rPr>
          <w:rFonts w:ascii="Arial" w:cs="Arial" w:eastAsia="Arial" w:hAnsi="Arial"/>
          <w:sz w:val="18"/>
          <w:szCs w:val="18"/>
          <w:color w:val="auto"/>
        </w:rPr>
      </w:pPr>
    </w:p>
    <w:p>
      <w:pPr>
        <w:ind w:left="1780" w:hanging="718"/>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Adkins’ ownership includes 5,154 phantom stock units.</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Ms. Freeman’s ownership consists solely of phantom stock units.</w:t>
      </w:r>
    </w:p>
    <w:p>
      <w:pPr>
        <w:spacing w:after="0" w:line="144" w:lineRule="exact"/>
        <w:rPr>
          <w:rFonts w:ascii="Arial" w:cs="Arial" w:eastAsia="Arial" w:hAnsi="Arial"/>
          <w:sz w:val="18"/>
          <w:szCs w:val="18"/>
          <w:color w:val="auto"/>
        </w:rPr>
      </w:pPr>
    </w:p>
    <w:p>
      <w:pPr>
        <w:ind w:left="1780" w:hanging="718"/>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Khaykin’s ownership includes 42,843 phantom stock units.</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Maddock’s ownership includes 8,190 phantom stock units.</w:t>
      </w:r>
    </w:p>
    <w:p>
      <w:pPr>
        <w:spacing w:after="0" w:line="144" w:lineRule="exact"/>
        <w:rPr>
          <w:rFonts w:ascii="Arial" w:cs="Arial" w:eastAsia="Arial" w:hAnsi="Arial"/>
          <w:sz w:val="18"/>
          <w:szCs w:val="18"/>
          <w:color w:val="auto"/>
        </w:rPr>
      </w:pPr>
    </w:p>
    <w:p>
      <w:pPr>
        <w:ind w:left="1780" w:right="339" w:hanging="718"/>
        <w:spacing w:after="0" w:line="268"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Gallagher’s information includes 139,709 Common Stock owned by the Gallagher Family Trust, 176,194 Restricted Stock Units earned but not yet vested, and 55,618 Performance Stock Units earned but not yet vested.</w:t>
      </w:r>
    </w:p>
    <w:p>
      <w:pPr>
        <w:spacing w:after="0" w:line="103" w:lineRule="exact"/>
        <w:rPr>
          <w:rFonts w:ascii="Arial" w:cs="Arial" w:eastAsia="Arial" w:hAnsi="Arial"/>
          <w:sz w:val="18"/>
          <w:szCs w:val="18"/>
          <w:color w:val="auto"/>
        </w:rPr>
      </w:pPr>
    </w:p>
    <w:p>
      <w:pPr>
        <w:ind w:left="1780" w:right="239" w:hanging="718"/>
        <w:spacing w:after="0" w:line="268"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Jacobson’s ownership includes 23,830 Common Stock owned by the K&amp;A Jacobson 2014 Rev Trust, 38,782 Restricted Stock Units earned but not yet vested, and 10,910 Performance Stock Units earned but not yet vested.</w:t>
      </w:r>
    </w:p>
    <w:p>
      <w:pPr>
        <w:spacing w:after="0" w:line="103" w:lineRule="exact"/>
        <w:rPr>
          <w:rFonts w:ascii="Arial" w:cs="Arial" w:eastAsia="Arial" w:hAnsi="Arial"/>
          <w:sz w:val="18"/>
          <w:szCs w:val="18"/>
          <w:color w:val="auto"/>
        </w:rPr>
      </w:pPr>
    </w:p>
    <w:p>
      <w:pPr>
        <w:ind w:left="1780" w:right="339" w:hanging="718"/>
        <w:spacing w:after="0" w:line="287"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Arnold’s ownership includes 29,287 Restricted Stock Units earned but not yet vested and 8,373 Performance Stock Units earned but not yet vested.</w:t>
      </w:r>
    </w:p>
    <w:p>
      <w:pPr>
        <w:spacing w:after="0" w:line="71" w:lineRule="exact"/>
        <w:rPr>
          <w:rFonts w:ascii="Arial" w:cs="Arial" w:eastAsia="Arial" w:hAnsi="Arial"/>
          <w:sz w:val="18"/>
          <w:szCs w:val="18"/>
          <w:color w:val="auto"/>
        </w:rPr>
      </w:pPr>
    </w:p>
    <w:p>
      <w:pPr>
        <w:ind w:left="1780" w:right="439" w:hanging="718"/>
        <w:spacing w:after="0" w:line="287"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Chan’s ownership includes 18,230 Restricted Stock Units earned but not yet vested and 4,573 Performance Stock Units earned but not yet vested.</w:t>
      </w:r>
    </w:p>
    <w:p>
      <w:pPr>
        <w:spacing w:after="0" w:line="85" w:lineRule="exact"/>
        <w:rPr>
          <w:rFonts w:ascii="Arial" w:cs="Arial" w:eastAsia="Arial" w:hAnsi="Arial"/>
          <w:sz w:val="18"/>
          <w:szCs w:val="18"/>
          <w:color w:val="auto"/>
        </w:rPr>
      </w:pPr>
    </w:p>
    <w:p>
      <w:pPr>
        <w:ind w:left="1780" w:right="299" w:hanging="718"/>
        <w:spacing w:after="0" w:line="287"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McCoy’s ownership includes 31,736 Restricted Stock Units earned but not yet vested and 9,220 Performance Stock Units earned but not yet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36     </w:t>
      </w:r>
      <w:r>
        <w:rPr>
          <w:sz w:val="1"/>
          <w:szCs w:val="1"/>
          <w:color w:val="auto"/>
        </w:rPr>
        <w:drawing>
          <wp:inline distT="0" distB="0" distL="0" distR="0">
            <wp:extent cx="1242695" cy="24003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Arial" w:cs="Arial" w:eastAsia="Arial" w:hAnsi="Arial"/>
          <w:sz w:val="40"/>
          <w:szCs w:val="40"/>
          <w:b w:val="1"/>
          <w:bCs w:val="1"/>
          <w:color w:val="FEFEFE"/>
        </w:rPr>
        <w:t>DELINQUENT SECTION 16(a) REPORTS</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159"/>
        <w:spacing w:after="0" w:line="255" w:lineRule="auto"/>
        <w:rPr>
          <w:sz w:val="20"/>
          <w:szCs w:val="20"/>
          <w:color w:val="auto"/>
        </w:rPr>
      </w:pPr>
      <w:r>
        <w:rPr>
          <w:rFonts w:ascii="Arial" w:cs="Arial" w:eastAsia="Arial" w:hAnsi="Arial"/>
          <w:sz w:val="18"/>
          <w:szCs w:val="18"/>
          <w:color w:val="auto"/>
        </w:rPr>
        <w:t>Section 16(a) of the Exchange Act (“Section 16(a)”) requires that the Company’s Directors and executive officers and holders of more than 10% of the Company’s equity securities file with the SEC, within specified due dates, initial reports of beneficial ownership of the Company’s equity securities on Form 3; reports of changes in ownership of the Company’s equity securities on Form 4; and annual reports of changes in ownership of the Company’s equity securities on Form 5. As a matter of practice, the Company’s administrative staff assists Directors and executive officers with these reporting requirements. The Company is required to disclose whether it has knowledge that any person required to file such reports may have failed to do so in a timely manner.</w:t>
      </w:r>
    </w:p>
    <w:p>
      <w:pPr>
        <w:spacing w:after="0" w:line="117" w:lineRule="exact"/>
        <w:rPr>
          <w:sz w:val="20"/>
          <w:szCs w:val="20"/>
          <w:color w:val="auto"/>
        </w:rPr>
      </w:pPr>
    </w:p>
    <w:p>
      <w:pPr>
        <w:ind w:left="1000" w:right="379"/>
        <w:spacing w:after="0" w:line="262" w:lineRule="auto"/>
        <w:rPr>
          <w:sz w:val="20"/>
          <w:szCs w:val="20"/>
          <w:color w:val="auto"/>
        </w:rPr>
      </w:pPr>
      <w:r>
        <w:rPr>
          <w:rFonts w:ascii="Arial" w:cs="Arial" w:eastAsia="Arial" w:hAnsi="Arial"/>
          <w:sz w:val="18"/>
          <w:szCs w:val="18"/>
          <w:color w:val="auto"/>
        </w:rPr>
        <w:t>Based solely on a review of the copies of the fiscal year 2024 Section 16(a) reports in the Company’s possession and on written representations from the Company’s Directors and executive officers that no other reports were required during the year ended June 29, 2024, the Company believes that during the fiscal year ended June 29, 2024, all Section 16(a) filings were timely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140970</wp:posOffset>
            </wp:positionV>
            <wp:extent cx="5554980" cy="3257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22" w:lineRule="exact"/>
        <w:rPr>
          <w:sz w:val="20"/>
          <w:szCs w:val="20"/>
          <w:color w:val="auto"/>
        </w:rPr>
      </w:pPr>
    </w:p>
    <w:p>
      <w:pPr>
        <w:ind w:left="2000"/>
        <w:spacing w:after="0"/>
        <w:rPr>
          <w:sz w:val="20"/>
          <w:szCs w:val="20"/>
          <w:color w:val="auto"/>
        </w:rPr>
      </w:pPr>
      <w:r>
        <w:rPr>
          <w:rFonts w:ascii="Arial" w:cs="Arial" w:eastAsia="Arial" w:hAnsi="Arial"/>
          <w:sz w:val="40"/>
          <w:szCs w:val="40"/>
          <w:b w:val="1"/>
          <w:bCs w:val="1"/>
          <w:color w:val="FEFEFE"/>
        </w:rPr>
        <w:t>RELATED PERSON TRANSACTIONS</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319"/>
        <w:spacing w:after="0" w:line="262" w:lineRule="auto"/>
        <w:rPr>
          <w:sz w:val="20"/>
          <w:szCs w:val="20"/>
          <w:color w:val="auto"/>
        </w:rPr>
      </w:pPr>
      <w:r>
        <w:rPr>
          <w:rFonts w:ascii="Arial" w:cs="Arial" w:eastAsia="Arial" w:hAnsi="Arial"/>
          <w:sz w:val="18"/>
          <w:szCs w:val="18"/>
          <w:color w:val="auto"/>
        </w:rPr>
        <w:t>The SEC rules generally define a related person transaction as any transaction, arrangement or relationship involving more than $120,000 in which the Company or any of its subsidiaries was, is, or will be a party to and in which a Director, executive officer, or their immediate family members, has a material direct or indirect interest.</w:t>
      </w:r>
    </w:p>
    <w:p>
      <w:pPr>
        <w:spacing w:after="0" w:line="109" w:lineRule="exact"/>
        <w:rPr>
          <w:sz w:val="20"/>
          <w:szCs w:val="20"/>
          <w:color w:val="auto"/>
        </w:rPr>
      </w:pPr>
    </w:p>
    <w:p>
      <w:pPr>
        <w:ind w:left="1000" w:right="159"/>
        <w:spacing w:after="0" w:line="259" w:lineRule="auto"/>
        <w:rPr>
          <w:sz w:val="20"/>
          <w:szCs w:val="20"/>
          <w:color w:val="auto"/>
        </w:rPr>
      </w:pPr>
      <w:r>
        <w:rPr>
          <w:rFonts w:ascii="Arial" w:cs="Arial" w:eastAsia="Arial" w:hAnsi="Arial"/>
          <w:sz w:val="18"/>
          <w:szCs w:val="18"/>
          <w:color w:val="auto"/>
        </w:rPr>
        <w:t>The Company has a variety of policies and procedures for identifying and reviewing related person transactions. The Company’s Code of Conduct and the Conflicts of Interest Policy generally prohibit and require the disclosure of any potential conflict of interest, including when the person will have a direct or indirect financial interest in a business with which the Company may have dealings. Exceptions to the policy’s prohibition must be pre-approved in writing.</w:t>
      </w:r>
    </w:p>
    <w:p>
      <w:pPr>
        <w:spacing w:after="0" w:line="112" w:lineRule="exact"/>
        <w:rPr>
          <w:sz w:val="20"/>
          <w:szCs w:val="20"/>
          <w:color w:val="auto"/>
        </w:rPr>
      </w:pPr>
    </w:p>
    <w:p>
      <w:pPr>
        <w:ind w:left="1000" w:right="179"/>
        <w:spacing w:after="0" w:line="256" w:lineRule="auto"/>
        <w:rPr>
          <w:sz w:val="20"/>
          <w:szCs w:val="20"/>
          <w:color w:val="auto"/>
        </w:rPr>
      </w:pPr>
      <w:r>
        <w:rPr>
          <w:rFonts w:ascii="Arial" w:cs="Arial" w:eastAsia="Arial" w:hAnsi="Arial"/>
          <w:sz w:val="18"/>
          <w:szCs w:val="18"/>
          <w:color w:val="auto"/>
        </w:rPr>
        <w:t>As part of the process for its quarterly reporting obligations pursuant to Section 13(a) or 15(d) of the Exchange Act, the Company’s disclosure committee reviews whether there are any related person transactions that should be disclosed in the Company’s SEC filings. In addition, executive officers and Directors each complete a Director and Officers’ Questionnaire annually and Director nominees complete a New Director Questionnaire before election, which requests information regarding related person transactions. The Audit Committee reviews and approves or recommends to the Board to approve, as appropriate, certain related party transactions.</w:t>
      </w:r>
    </w:p>
    <w:p>
      <w:pPr>
        <w:spacing w:after="0" w:line="1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Corporate Governance Guidelines also specify the standards for independence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685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600" w:right="280"/>
        <w:spacing w:after="0" w:line="334" w:lineRule="auto"/>
        <w:rPr>
          <w:sz w:val="20"/>
          <w:szCs w:val="20"/>
          <w:color w:val="auto"/>
        </w:rPr>
      </w:pPr>
      <w:r>
        <w:rPr>
          <w:rFonts w:ascii="Arial" w:cs="Arial" w:eastAsia="Arial" w:hAnsi="Arial"/>
          <w:sz w:val="37"/>
          <w:szCs w:val="37"/>
          <w:b w:val="1"/>
          <w:bCs w:val="1"/>
          <w:color w:val="FEFEFE"/>
        </w:rPr>
        <w:t>PROPOSAL 2: ADVISORY VOTE ON NAMED EXECUTIVE OFFICER COMPENSATION</w:t>
      </w:r>
      <w:r>
        <w:rPr>
          <w:rFonts w:ascii="Times New Roman" w:cs="Times New Roman" w:eastAsia="Times New Roman" w:hAnsi="Times New Roman"/>
          <w:sz w:val="16"/>
          <w:szCs w:val="16"/>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49530</wp:posOffset>
            </wp:positionV>
            <wp:extent cx="5554980" cy="7886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54980" cy="788670"/>
                    </a:xfrm>
                    <a:prstGeom prst="rect">
                      <a:avLst/>
                    </a:prstGeom>
                    <a:noFill/>
                  </pic:spPr>
                </pic:pic>
              </a:graphicData>
            </a:graphic>
          </wp:anchor>
        </w:drawing>
      </w:r>
    </w:p>
    <w:p>
      <w:pPr>
        <w:spacing w:after="0" w:line="147"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FEFEFE"/>
        </w:rPr>
        <w:t>RECOMMENDATION OF THE BOARD</w:t>
      </w:r>
    </w:p>
    <w:p>
      <w:pPr>
        <w:spacing w:after="0" w:line="210" w:lineRule="exact"/>
        <w:rPr>
          <w:sz w:val="20"/>
          <w:szCs w:val="20"/>
          <w:color w:val="auto"/>
        </w:rPr>
      </w:pPr>
    </w:p>
    <w:p>
      <w:pPr>
        <w:ind w:left="2480" w:right="839"/>
        <w:spacing w:after="0" w:line="273" w:lineRule="auto"/>
        <w:rPr>
          <w:sz w:val="20"/>
          <w:szCs w:val="20"/>
          <w:color w:val="auto"/>
        </w:rPr>
      </w:pP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3C072"/>
        </w:rPr>
        <w:t>FOR</w:t>
      </w:r>
      <w:r>
        <w:rPr>
          <w:rFonts w:ascii="Arial" w:cs="Arial" w:eastAsia="Arial" w:hAnsi="Arial"/>
          <w:sz w:val="18"/>
          <w:szCs w:val="18"/>
          <w:b w:val="1"/>
          <w:bCs w:val="1"/>
          <w:color w:val="auto"/>
        </w:rPr>
        <w:t xml:space="preserve"> the advisory vote on the compensation of the Named Executive Officers as disclosed in this Proxy Statement.</w:t>
      </w:r>
    </w:p>
    <w:p>
      <w:pPr>
        <w:spacing w:after="0" w:line="21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Description of Proposal</w:t>
      </w:r>
    </w:p>
    <w:p>
      <w:pPr>
        <w:spacing w:after="0" w:line="94" w:lineRule="exact"/>
        <w:rPr>
          <w:sz w:val="20"/>
          <w:szCs w:val="20"/>
          <w:color w:val="auto"/>
        </w:rPr>
      </w:pPr>
    </w:p>
    <w:p>
      <w:pPr>
        <w:ind w:left="1000" w:right="219"/>
        <w:spacing w:after="0" w:line="261" w:lineRule="auto"/>
        <w:rPr>
          <w:sz w:val="20"/>
          <w:szCs w:val="20"/>
          <w:color w:val="auto"/>
        </w:rPr>
      </w:pPr>
      <w:r>
        <w:rPr>
          <w:rFonts w:ascii="Arial" w:cs="Arial" w:eastAsia="Arial" w:hAnsi="Arial"/>
          <w:sz w:val="17"/>
          <w:szCs w:val="17"/>
          <w:color w:val="auto"/>
        </w:rPr>
        <w:t>As part of the Company’s commitment to high standards of governance and as required by Section 14A of the Exchange Act, the Board of Directors requests that the shareholders approve, on a non-binding advisory basis, the compensation of the Company’s Named Executive Officers (“NEOs”) as disclosed in this Proxy Statement.</w:t>
      </w:r>
    </w:p>
    <w:p>
      <w:pPr>
        <w:spacing w:after="0" w:line="1" w:lineRule="exact"/>
        <w:rPr>
          <w:sz w:val="20"/>
          <w:szCs w:val="20"/>
          <w:color w:val="auto"/>
        </w:rPr>
      </w:pPr>
    </w:p>
    <w:p>
      <w:pPr>
        <w:ind w:left="1000" w:right="159"/>
        <w:spacing w:after="0" w:line="272" w:lineRule="auto"/>
        <w:rPr>
          <w:sz w:val="20"/>
          <w:szCs w:val="20"/>
          <w:color w:val="auto"/>
        </w:rPr>
      </w:pPr>
      <w:r>
        <w:rPr>
          <w:rFonts w:ascii="Arial" w:cs="Arial" w:eastAsia="Arial" w:hAnsi="Arial"/>
          <w:sz w:val="17"/>
          <w:szCs w:val="17"/>
          <w:color w:val="auto"/>
        </w:rPr>
        <w:t>This proposal, commonly known as a “say on pay” proposal, gives shareholders the opportunity to express their views on the compensation of the NEOs. It is not intended to address any specific item of compensation, but rather overall NEO compensation and the philosophy, policies, and practices described in this Proxy Statement.</w:t>
      </w:r>
    </w:p>
    <w:p>
      <w:pPr>
        <w:spacing w:after="0" w:line="28" w:lineRule="exact"/>
        <w:rPr>
          <w:sz w:val="20"/>
          <w:szCs w:val="20"/>
          <w:color w:val="auto"/>
        </w:rPr>
      </w:pPr>
    </w:p>
    <w:p>
      <w:pPr>
        <w:ind w:left="1000" w:right="239"/>
        <w:spacing w:after="0" w:line="254" w:lineRule="auto"/>
        <w:rPr>
          <w:sz w:val="20"/>
          <w:szCs w:val="20"/>
          <w:color w:val="auto"/>
        </w:rPr>
      </w:pPr>
      <w:r>
        <w:rPr>
          <w:rFonts w:ascii="Arial" w:cs="Arial" w:eastAsia="Arial" w:hAnsi="Arial"/>
          <w:sz w:val="20"/>
          <w:szCs w:val="20"/>
          <w:b w:val="1"/>
          <w:bCs w:val="1"/>
          <w:color w:val="auto"/>
        </w:rPr>
        <w:t>Shareholders are urged to read the “Compensation Discussion and Analysis” along with the compensation tables and narrative discussion that follows, which discuss how the compensation program is implemented with respect to the NEOs.</w:t>
      </w:r>
    </w:p>
    <w:p>
      <w:pPr>
        <w:spacing w:after="0" w:line="44" w:lineRule="exact"/>
        <w:rPr>
          <w:sz w:val="20"/>
          <w:szCs w:val="20"/>
          <w:color w:val="auto"/>
        </w:rPr>
      </w:pPr>
    </w:p>
    <w:p>
      <w:pPr>
        <w:ind w:left="1000" w:right="439"/>
        <w:spacing w:after="0" w:line="271" w:lineRule="auto"/>
        <w:rPr>
          <w:sz w:val="20"/>
          <w:szCs w:val="20"/>
          <w:color w:val="auto"/>
        </w:rPr>
      </w:pPr>
      <w:r>
        <w:rPr>
          <w:rFonts w:ascii="Arial" w:cs="Arial" w:eastAsia="Arial" w:hAnsi="Arial"/>
          <w:sz w:val="18"/>
          <w:szCs w:val="18"/>
          <w:color w:val="auto"/>
        </w:rPr>
        <w:t>The Board believes that the NEO’s compensation as described in this Proxy Statement was appropriate and recommends a vote “FOR” the following resolution:</w:t>
      </w:r>
    </w:p>
    <w:p>
      <w:pPr>
        <w:spacing w:after="0" w:line="32" w:lineRule="exact"/>
        <w:rPr>
          <w:sz w:val="20"/>
          <w:szCs w:val="20"/>
          <w:color w:val="auto"/>
        </w:rPr>
      </w:pPr>
    </w:p>
    <w:p>
      <w:pPr>
        <w:ind w:left="1340" w:right="399"/>
        <w:spacing w:after="0" w:line="271" w:lineRule="auto"/>
        <w:rPr>
          <w:sz w:val="20"/>
          <w:szCs w:val="20"/>
          <w:color w:val="auto"/>
        </w:rPr>
      </w:pPr>
      <w:r>
        <w:rPr>
          <w:rFonts w:ascii="Arial" w:cs="Arial" w:eastAsia="Arial" w:hAnsi="Arial"/>
          <w:sz w:val="17"/>
          <w:szCs w:val="17"/>
          <w:color w:val="auto"/>
        </w:rPr>
        <w:t>RESOLVED, that the Company’s shareholders hereby approve, on a non-binding advisory basis, the compensation paid to the Company’s Named Executive Officers as disclosed in the Proxy Statement for the 2024 Annual Meeting of Shareholders, pursuant to the compensation disclosure rules of the SEC, including the Compensation Discussion and Analysis, compensation tables, and narrative discussion.</w:t>
      </w:r>
    </w:p>
    <w:p>
      <w:pPr>
        <w:spacing w:after="0" w:line="22" w:lineRule="exact"/>
        <w:rPr>
          <w:sz w:val="20"/>
          <w:szCs w:val="20"/>
          <w:color w:val="auto"/>
        </w:rPr>
      </w:pPr>
    </w:p>
    <w:p>
      <w:pPr>
        <w:ind w:left="1000" w:right="259"/>
        <w:spacing w:after="0" w:line="247" w:lineRule="auto"/>
        <w:rPr>
          <w:sz w:val="20"/>
          <w:szCs w:val="20"/>
          <w:color w:val="auto"/>
        </w:rPr>
      </w:pPr>
      <w:r>
        <w:rPr>
          <w:rFonts w:ascii="Arial" w:cs="Arial" w:eastAsia="Arial" w:hAnsi="Arial"/>
          <w:sz w:val="18"/>
          <w:szCs w:val="18"/>
          <w:color w:val="auto"/>
        </w:rPr>
        <w:t>Although the vote is non-binding, the Compensation and Leadership Development Committee and the Board value shareholder opinions. If a significant number of votes are cast against the disclosed NEO compensation, the Board and Compensation and Leadership Development Committee will consider the shareholders’ concerns, evaluate what actions are necessary to address those concerns, and take such concerns into account in future determinations concerning the executive compensation program.</w:t>
      </w:r>
    </w:p>
    <w:p>
      <w:pPr>
        <w:spacing w:after="0" w:line="55" w:lineRule="exact"/>
        <w:rPr>
          <w:sz w:val="20"/>
          <w:szCs w:val="20"/>
          <w:color w:val="auto"/>
        </w:rPr>
      </w:pPr>
    </w:p>
    <w:p>
      <w:pPr>
        <w:ind w:left="1000" w:right="379"/>
        <w:spacing w:after="0" w:line="271" w:lineRule="auto"/>
        <w:rPr>
          <w:sz w:val="20"/>
          <w:szCs w:val="20"/>
          <w:color w:val="auto"/>
        </w:rPr>
      </w:pPr>
      <w:r>
        <w:rPr>
          <w:rFonts w:ascii="Arial" w:cs="Arial" w:eastAsia="Arial" w:hAnsi="Arial"/>
          <w:sz w:val="18"/>
          <w:szCs w:val="18"/>
          <w:color w:val="auto"/>
        </w:rPr>
        <w:t>The Company currently conducts an annual advisory vote on NEO compensation and expects to conduct the next advisory vote at the 2025 Annual Meeting of Shareholders.</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Vote Required for Approval</w:t>
      </w:r>
    </w:p>
    <w:p>
      <w:pPr>
        <w:spacing w:after="0" w:line="94" w:lineRule="exact"/>
        <w:rPr>
          <w:sz w:val="20"/>
          <w:szCs w:val="20"/>
          <w:color w:val="auto"/>
        </w:rPr>
      </w:pPr>
    </w:p>
    <w:p>
      <w:pPr>
        <w:ind w:left="1000" w:right="179"/>
        <w:spacing w:after="0" w:line="262" w:lineRule="auto"/>
        <w:rPr>
          <w:sz w:val="20"/>
          <w:szCs w:val="20"/>
          <w:color w:val="auto"/>
        </w:rPr>
      </w:pPr>
      <w:r>
        <w:rPr>
          <w:rFonts w:ascii="Arial" w:cs="Arial" w:eastAsia="Arial" w:hAnsi="Arial"/>
          <w:sz w:val="17"/>
          <w:szCs w:val="17"/>
          <w:color w:val="auto"/>
        </w:rPr>
        <w:t>For approval, this proposal must receive affirmative votes from a simple majority of shareholder votes cast at the Annual Meeting.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w:t>
      </w:r>
    </w:p>
    <w:p>
      <w:pPr>
        <w:spacing w:after="0" w:line="94" w:lineRule="exact"/>
        <w:rPr>
          <w:sz w:val="20"/>
          <w:szCs w:val="20"/>
          <w:color w:val="auto"/>
        </w:rPr>
      </w:pPr>
    </w:p>
    <w:p>
      <w:pPr>
        <w:ind w:left="1000" w:right="359"/>
        <w:spacing w:after="0" w:line="261"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the approval of the compensation of the Named Executive Officers as disclosed in this Proxy Statement.</w:t>
      </w:r>
    </w:p>
    <w:p>
      <w:pPr>
        <w:spacing w:after="0" w:line="1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38     </w:t>
      </w:r>
      <w:r>
        <w:rPr>
          <w:sz w:val="1"/>
          <w:szCs w:val="1"/>
          <w:color w:val="auto"/>
        </w:rPr>
        <w:drawing>
          <wp:inline distT="0" distB="0" distL="0" distR="0">
            <wp:extent cx="1242695" cy="24003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685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60"/>
        <w:spacing w:after="0"/>
        <w:rPr>
          <w:sz w:val="20"/>
          <w:szCs w:val="20"/>
          <w:color w:val="auto"/>
        </w:rPr>
      </w:pPr>
      <w:r>
        <w:rPr>
          <w:rFonts w:ascii="Arial" w:cs="Arial" w:eastAsia="Arial" w:hAnsi="Arial"/>
          <w:sz w:val="38"/>
          <w:szCs w:val="38"/>
          <w:b w:val="1"/>
          <w:bCs w:val="1"/>
          <w:color w:val="FEFEFE"/>
        </w:rPr>
        <w:t>COMPENSATION DISCUSSION AND</w:t>
      </w:r>
    </w:p>
    <w:p>
      <w:pPr>
        <w:spacing w:after="0" w:line="76" w:lineRule="exact"/>
        <w:rPr>
          <w:sz w:val="20"/>
          <w:szCs w:val="20"/>
          <w:color w:val="auto"/>
        </w:rPr>
      </w:pPr>
    </w:p>
    <w:p>
      <w:pPr>
        <w:jc w:val="center"/>
        <w:ind w:right="-900"/>
        <w:spacing w:after="0"/>
        <w:rPr>
          <w:sz w:val="20"/>
          <w:szCs w:val="20"/>
          <w:color w:val="auto"/>
        </w:rPr>
      </w:pPr>
      <w:r>
        <w:rPr>
          <w:rFonts w:ascii="Arial" w:cs="Arial" w:eastAsia="Arial" w:hAnsi="Arial"/>
          <w:sz w:val="40"/>
          <w:szCs w:val="40"/>
          <w:b w:val="1"/>
          <w:bCs w:val="1"/>
          <w:color w:val="FEFEFE"/>
        </w:rPr>
        <w:t>ANALYSIS</w:t>
      </w:r>
      <w:r>
        <w:rPr>
          <w:rFonts w:ascii="Times New Roman" w:cs="Times New Roman" w:eastAsia="Times New Roman" w:hAnsi="Times New Roman"/>
          <w:sz w:val="17"/>
          <w:szCs w:val="17"/>
          <w:color w:val="FEFEFE"/>
        </w:rPr>
        <w:t>​</w:t>
      </w:r>
    </w:p>
    <w:p>
      <w:pPr>
        <w:sectPr>
          <w:pgSz w:w="11900" w:h="16838" w:orient="portrait"/>
          <w:cols w:equalWidth="0" w:num="1">
            <w:col w:w="9879"/>
          </w:cols>
          <w:pgMar w:left="580" w:top="97" w:right="1440" w:bottom="1440" w:gutter="0" w:footer="0" w:header="0"/>
        </w:sectPr>
      </w:pPr>
    </w:p>
    <w:p>
      <w:pPr>
        <w:spacing w:after="0" w:line="286" w:lineRule="exact"/>
        <w:rPr>
          <w:sz w:val="20"/>
          <w:szCs w:val="20"/>
          <w:color w:val="auto"/>
        </w:rPr>
      </w:pPr>
    </w:p>
    <w:tbl>
      <w:tblPr>
        <w:tblLayout w:type="fixed"/>
        <w:tblInd w:w="990" w:type="dxa"/>
        <w:tblCellMar>
          <w:top w:w="0" w:type="dxa"/>
          <w:left w:w="0" w:type="dxa"/>
          <w:bottom w:w="0" w:type="dxa"/>
          <w:right w:w="0" w:type="dxa"/>
        </w:tblCellMar>
      </w:tblPr>
      <w:tr>
        <w:trPr>
          <w:trHeight w:val="247"/>
        </w:trPr>
        <w:tc>
          <w:tcPr>
            <w:tcW w:w="120" w:type="dxa"/>
            <w:vAlign w:val="bottom"/>
            <w:tcBorders>
              <w:left w:val="single" w:sz="8" w:color="53C072"/>
            </w:tcBorders>
            <w:shd w:val="clear" w:color="auto" w:fill="53C072"/>
          </w:tcPr>
          <w:p>
            <w:pPr>
              <w:spacing w:after="0"/>
              <w:rPr>
                <w:sz w:val="21"/>
                <w:szCs w:val="21"/>
                <w:color w:val="auto"/>
              </w:rPr>
            </w:pPr>
          </w:p>
        </w:tc>
        <w:tc>
          <w:tcPr>
            <w:tcW w:w="3480" w:type="dxa"/>
            <w:vAlign w:val="bottom"/>
            <w:gridSpan w:val="26"/>
            <w:shd w:val="clear" w:color="auto" w:fill="53C072"/>
          </w:tcPr>
          <w:p>
            <w:pPr>
              <w:spacing w:after="0"/>
              <w:rPr>
                <w:sz w:val="20"/>
                <w:szCs w:val="20"/>
                <w:color w:val="auto"/>
              </w:rPr>
            </w:pPr>
            <w:r>
              <w:rPr>
                <w:rFonts w:ascii="Arial" w:cs="Arial" w:eastAsia="Arial" w:hAnsi="Arial"/>
                <w:sz w:val="20"/>
                <w:szCs w:val="20"/>
                <w:b w:val="1"/>
                <w:bCs w:val="1"/>
                <w:color w:val="FFFFFF"/>
              </w:rPr>
              <w:t>Table of Contents</w:t>
            </w:r>
          </w:p>
        </w:tc>
        <w:tc>
          <w:tcPr>
            <w:tcW w:w="680" w:type="dxa"/>
            <w:vAlign w:val="bottom"/>
            <w:tcBorders>
              <w:right w:val="single" w:sz="8" w:color="53C072"/>
            </w:tcBorders>
            <w:gridSpan w:val="2"/>
            <w:shd w:val="clear" w:color="auto" w:fill="53C072"/>
          </w:tcPr>
          <w:p>
            <w:pPr>
              <w:jc w:val="right"/>
              <w:spacing w:after="0"/>
              <w:rPr>
                <w:sz w:val="20"/>
                <w:szCs w:val="20"/>
                <w:color w:val="auto"/>
              </w:rPr>
            </w:pPr>
            <w:r>
              <w:rPr>
                <w:rFonts w:ascii="Arial" w:cs="Arial" w:eastAsia="Arial" w:hAnsi="Arial"/>
                <w:sz w:val="16"/>
                <w:szCs w:val="16"/>
                <w:b w:val="1"/>
                <w:bCs w:val="1"/>
                <w:color w:val="FFFFFF"/>
              </w:rPr>
              <w:t>Page</w:t>
            </w:r>
            <w:r>
              <w:rPr>
                <w:rFonts w:ascii="Arial" w:cs="Arial" w:eastAsia="Arial" w:hAnsi="Arial"/>
                <w:sz w:val="19"/>
                <w:szCs w:val="19"/>
                <w:b w:val="1"/>
                <w:bCs w:val="1"/>
                <w:color w:val="FFFFFF"/>
              </w:rPr>
              <w:t>​</w:t>
            </w:r>
          </w:p>
        </w:tc>
      </w:tr>
      <w:tr>
        <w:trPr>
          <w:trHeight w:val="175"/>
        </w:trPr>
        <w:tc>
          <w:tcPr>
            <w:tcW w:w="120" w:type="dxa"/>
            <w:vAlign w:val="bottom"/>
            <w:tcBorders>
              <w:left w:val="single" w:sz="8" w:color="53C072"/>
            </w:tcBorders>
            <w:shd w:val="clear" w:color="auto" w:fill="CBECD5"/>
          </w:tcPr>
          <w:p>
            <w:pPr>
              <w:spacing w:after="0"/>
              <w:rPr>
                <w:sz w:val="15"/>
                <w:szCs w:val="15"/>
                <w:color w:val="auto"/>
              </w:rPr>
            </w:pPr>
          </w:p>
        </w:tc>
        <w:tc>
          <w:tcPr>
            <w:tcW w:w="3480" w:type="dxa"/>
            <w:vAlign w:val="bottom"/>
            <w:gridSpan w:val="26"/>
            <w:shd w:val="clear" w:color="auto" w:fill="CBECD5"/>
          </w:tcPr>
          <w:p>
            <w:pPr>
              <w:spacing w:after="0" w:line="175" w:lineRule="exact"/>
              <w:rPr>
                <w:sz w:val="20"/>
                <w:szCs w:val="20"/>
                <w:color w:val="auto"/>
              </w:rPr>
            </w:pPr>
            <w:r>
              <w:rPr>
                <w:rFonts w:ascii="Arial" w:cs="Arial" w:eastAsia="Arial" w:hAnsi="Arial"/>
                <w:sz w:val="16"/>
                <w:szCs w:val="16"/>
                <w:b w:val="1"/>
                <w:bCs w:val="1"/>
                <w:color w:val="0000EE"/>
              </w:rPr>
              <w:t>Executive Summary</w:t>
            </w:r>
          </w:p>
        </w:tc>
        <w:tc>
          <w:tcPr>
            <w:tcW w:w="680" w:type="dxa"/>
            <w:vAlign w:val="bottom"/>
            <w:tcBorders>
              <w:right w:val="single" w:sz="8" w:color="53C072"/>
            </w:tcBorders>
            <w:gridSpan w:val="2"/>
            <w:shd w:val="clear" w:color="auto" w:fill="CBECD5"/>
          </w:tcPr>
          <w:p>
            <w:pPr>
              <w:jc w:val="right"/>
              <w:spacing w:after="0" w:line="175" w:lineRule="exact"/>
              <w:rPr>
                <w:sz w:val="20"/>
                <w:szCs w:val="20"/>
                <w:color w:val="auto"/>
              </w:rPr>
            </w:pPr>
            <w:r>
              <w:rPr>
                <w:rFonts w:ascii="Arial" w:cs="Arial" w:eastAsia="Arial" w:hAnsi="Arial"/>
                <w:sz w:val="16"/>
                <w:szCs w:val="16"/>
                <w:color w:val="0000EE"/>
              </w:rPr>
              <w:t>39</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CBECD5"/>
            </w:tcBorders>
            <w:shd w:val="clear" w:color="auto" w:fill="0000EE"/>
          </w:tcPr>
          <w:p>
            <w:pPr>
              <w:spacing w:after="0" w:line="20" w:lineRule="exact"/>
              <w:rPr>
                <w:sz w:val="1"/>
                <w:szCs w:val="1"/>
                <w:color w:val="auto"/>
              </w:rPr>
            </w:pPr>
          </w:p>
        </w:tc>
        <w:tc>
          <w:tcPr>
            <w:tcW w:w="220" w:type="dxa"/>
            <w:vAlign w:val="bottom"/>
            <w:tcBorders>
              <w:right w:val="single" w:sz="8" w:color="CBECD5"/>
            </w:tcBorders>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26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120" w:type="dxa"/>
            <w:vAlign w:val="bottom"/>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28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bottom w:val="single" w:sz="8" w:color="CBECD5"/>
            </w:tcBorders>
            <w:shd w:val="clear" w:color="auto" w:fill="CBECD5"/>
          </w:tcPr>
          <w:p>
            <w:pPr>
              <w:spacing w:after="0"/>
              <w:rPr>
                <w:sz w:val="18"/>
                <w:szCs w:val="18"/>
                <w:color w:val="auto"/>
              </w:rPr>
            </w:pPr>
          </w:p>
        </w:tc>
        <w:tc>
          <w:tcPr>
            <w:tcW w:w="160" w:type="dxa"/>
            <w:vAlign w:val="bottom"/>
            <w:tcBorders>
              <w:bottom w:val="single" w:sz="8" w:color="CBECD5"/>
            </w:tcBorders>
            <w:shd w:val="clear" w:color="auto" w:fill="CBECD5"/>
          </w:tcPr>
          <w:p>
            <w:pPr>
              <w:spacing w:after="0"/>
              <w:rPr>
                <w:sz w:val="18"/>
                <w:szCs w:val="18"/>
                <w:color w:val="auto"/>
              </w:rPr>
            </w:pPr>
          </w:p>
        </w:tc>
        <w:tc>
          <w:tcPr>
            <w:tcW w:w="2420" w:type="dxa"/>
            <w:vAlign w:val="bottom"/>
            <w:tcBorders>
              <w:bottom w:val="single" w:sz="8" w:color="0000EE"/>
            </w:tcBorders>
            <w:gridSpan w:val="17"/>
            <w:shd w:val="clear" w:color="auto" w:fill="CBECD5"/>
          </w:tcPr>
          <w:p>
            <w:pPr>
              <w:spacing w:after="0"/>
              <w:rPr>
                <w:sz w:val="20"/>
                <w:szCs w:val="20"/>
                <w:color w:val="auto"/>
              </w:rPr>
            </w:pPr>
            <w:r>
              <w:rPr>
                <w:rFonts w:ascii="Arial" w:cs="Arial" w:eastAsia="Arial" w:hAnsi="Arial"/>
                <w:sz w:val="16"/>
                <w:szCs w:val="16"/>
                <w:color w:val="0000EE"/>
                <w:w w:val="98"/>
              </w:rPr>
              <w:t>Named Executive Officers (NEOs)</w:t>
            </w:r>
          </w:p>
        </w:tc>
        <w:tc>
          <w:tcPr>
            <w:tcW w:w="900" w:type="dxa"/>
            <w:vAlign w:val="bottom"/>
            <w:tcBorders>
              <w:bottom w:val="single" w:sz="8" w:color="CBECD5"/>
            </w:tcBorders>
            <w:gridSpan w:val="8"/>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39</w:t>
            </w:r>
          </w:p>
        </w:tc>
      </w:tr>
      <w:tr>
        <w:trPr>
          <w:trHeight w:val="209"/>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5"/>
            <w:shd w:val="clear" w:color="auto" w:fill="CBECD5"/>
          </w:tcPr>
          <w:p>
            <w:pPr>
              <w:spacing w:after="0"/>
              <w:rPr>
                <w:sz w:val="20"/>
                <w:szCs w:val="20"/>
                <w:color w:val="auto"/>
              </w:rPr>
            </w:pPr>
            <w:r>
              <w:rPr>
                <w:rFonts w:ascii="Arial" w:cs="Arial" w:eastAsia="Arial" w:hAnsi="Arial"/>
                <w:sz w:val="16"/>
                <w:szCs w:val="16"/>
                <w:color w:val="0000EE"/>
              </w:rPr>
              <w:t>Business Performance</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40</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40" w:type="dxa"/>
            <w:vAlign w:val="bottom"/>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26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100" w:type="dxa"/>
            <w:vAlign w:val="bottom"/>
            <w:gridSpan w:val="2"/>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120" w:type="dxa"/>
            <w:vAlign w:val="bottom"/>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280" w:type="dxa"/>
            <w:vAlign w:val="bottom"/>
            <w:shd w:val="clear" w:color="auto" w:fill="CBECD5"/>
          </w:tcPr>
          <w:p>
            <w:pPr>
              <w:spacing w:after="0" w:line="20" w:lineRule="exact"/>
              <w:rPr>
                <w:sz w:val="1"/>
                <w:szCs w:val="1"/>
                <w:color w:val="auto"/>
              </w:rPr>
            </w:pPr>
          </w:p>
        </w:tc>
        <w:tc>
          <w:tcPr>
            <w:tcW w:w="60" w:type="dxa"/>
            <w:vAlign w:val="bottom"/>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5"/>
            <w:shd w:val="clear" w:color="auto" w:fill="CBECD5"/>
          </w:tcPr>
          <w:p>
            <w:pPr>
              <w:spacing w:after="0"/>
              <w:rPr>
                <w:sz w:val="20"/>
                <w:szCs w:val="20"/>
                <w:color w:val="auto"/>
              </w:rPr>
            </w:pPr>
            <w:r>
              <w:rPr>
                <w:rFonts w:ascii="Arial" w:cs="Arial" w:eastAsia="Arial" w:hAnsi="Arial"/>
                <w:sz w:val="16"/>
                <w:szCs w:val="16"/>
                <w:color w:val="0000EE"/>
              </w:rPr>
              <w:t>Summary of Incentive Compensation Design</w:t>
            </w:r>
          </w:p>
        </w:tc>
        <w:tc>
          <w:tcPr>
            <w:tcW w:w="420" w:type="dxa"/>
            <w:vAlign w:val="bottom"/>
            <w:shd w:val="clear" w:color="auto" w:fill="CBECD5"/>
          </w:tcPr>
          <w:p>
            <w:pPr>
              <w:spacing w:after="0"/>
              <w:rPr>
                <w:sz w:val="18"/>
                <w:szCs w:val="18"/>
                <w:color w:val="auto"/>
              </w:rPr>
            </w:pPr>
          </w:p>
        </w:tc>
        <w:tc>
          <w:tcPr>
            <w:tcW w:w="260" w:type="dxa"/>
            <w:vAlign w:val="bottom"/>
            <w:tcBorders>
              <w:right w:val="single" w:sz="8" w:color="53C072"/>
            </w:tcBorders>
            <w:shd w:val="clear" w:color="auto" w:fill="CBECD5"/>
          </w:tcPr>
          <w:p>
            <w:pPr>
              <w:spacing w:after="0"/>
              <w:rPr>
                <w:sz w:val="18"/>
                <w:szCs w:val="18"/>
                <w:color w:val="auto"/>
              </w:rPr>
            </w:pPr>
          </w:p>
        </w:tc>
      </w:tr>
      <w:tr>
        <w:trPr>
          <w:trHeight w:val="194"/>
        </w:trPr>
        <w:tc>
          <w:tcPr>
            <w:tcW w:w="120" w:type="dxa"/>
            <w:vAlign w:val="bottom"/>
            <w:tcBorders>
              <w:top w:val="single" w:sz="8" w:color="CBECD5"/>
              <w:left w:val="single" w:sz="8" w:color="53C072"/>
              <w:bottom w:val="single" w:sz="8" w:color="CBECD5"/>
            </w:tcBorders>
            <w:shd w:val="clear" w:color="auto" w:fill="CBECD5"/>
          </w:tcPr>
          <w:p>
            <w:pPr>
              <w:spacing w:after="0"/>
              <w:rPr>
                <w:sz w:val="16"/>
                <w:szCs w:val="16"/>
                <w:color w:val="auto"/>
              </w:rPr>
            </w:pPr>
          </w:p>
        </w:tc>
        <w:tc>
          <w:tcPr>
            <w:tcW w:w="160" w:type="dxa"/>
            <w:vAlign w:val="bottom"/>
            <w:tcBorders>
              <w:top w:val="single" w:sz="8" w:color="CBECD5"/>
              <w:bottom w:val="single" w:sz="8" w:color="CBECD5"/>
            </w:tcBorders>
            <w:shd w:val="clear" w:color="auto" w:fill="CBECD5"/>
          </w:tcPr>
          <w:p>
            <w:pPr>
              <w:spacing w:after="0"/>
              <w:rPr>
                <w:sz w:val="16"/>
                <w:szCs w:val="16"/>
                <w:color w:val="auto"/>
              </w:rPr>
            </w:pPr>
          </w:p>
        </w:tc>
        <w:tc>
          <w:tcPr>
            <w:tcW w:w="1980" w:type="dxa"/>
            <w:vAlign w:val="bottom"/>
            <w:tcBorders>
              <w:top w:val="single" w:sz="8" w:color="0000EE"/>
              <w:bottom w:val="single" w:sz="8" w:color="0000EE"/>
            </w:tcBorders>
            <w:gridSpan w:val="11"/>
            <w:shd w:val="clear" w:color="auto" w:fill="CBECD5"/>
          </w:tcPr>
          <w:p>
            <w:pPr>
              <w:spacing w:after="0" w:line="155" w:lineRule="exact"/>
              <w:rPr>
                <w:sz w:val="20"/>
                <w:szCs w:val="20"/>
                <w:color w:val="auto"/>
              </w:rPr>
            </w:pPr>
            <w:r>
              <w:rPr>
                <w:rFonts w:ascii="Arial" w:cs="Arial" w:eastAsia="Arial" w:hAnsi="Arial"/>
                <w:sz w:val="16"/>
                <w:szCs w:val="16"/>
                <w:color w:val="0000EE"/>
                <w:w w:val="98"/>
              </w:rPr>
              <w:t>and Payouts for Fiscal 2024</w:t>
            </w:r>
          </w:p>
        </w:tc>
        <w:tc>
          <w:tcPr>
            <w:tcW w:w="1180" w:type="dxa"/>
            <w:vAlign w:val="bottom"/>
            <w:tcBorders>
              <w:top w:val="single" w:sz="8" w:color="0000EE"/>
              <w:bottom w:val="single" w:sz="8" w:color="CBECD5"/>
            </w:tcBorders>
            <w:gridSpan w:val="12"/>
            <w:shd w:val="clear" w:color="auto" w:fill="CBECD5"/>
          </w:tcPr>
          <w:p>
            <w:pPr>
              <w:spacing w:after="0"/>
              <w:rPr>
                <w:sz w:val="16"/>
                <w:szCs w:val="16"/>
                <w:color w:val="auto"/>
              </w:rPr>
            </w:pPr>
          </w:p>
        </w:tc>
        <w:tc>
          <w:tcPr>
            <w:tcW w:w="60" w:type="dxa"/>
            <w:vAlign w:val="bottom"/>
            <w:tcBorders>
              <w:top w:val="single" w:sz="8" w:color="CBECD5"/>
              <w:bottom w:val="single" w:sz="8" w:color="CBECD5"/>
            </w:tcBorders>
            <w:shd w:val="clear" w:color="auto" w:fill="CBECD5"/>
          </w:tcPr>
          <w:p>
            <w:pPr>
              <w:spacing w:after="0"/>
              <w:rPr>
                <w:sz w:val="16"/>
                <w:szCs w:val="16"/>
                <w:color w:val="auto"/>
              </w:rPr>
            </w:pPr>
          </w:p>
        </w:tc>
        <w:tc>
          <w:tcPr>
            <w:tcW w:w="100" w:type="dxa"/>
            <w:vAlign w:val="bottom"/>
            <w:tcBorders>
              <w:top w:val="single" w:sz="8" w:color="CBECD5"/>
              <w:bottom w:val="single" w:sz="8" w:color="CBECD5"/>
            </w:tcBorders>
            <w:shd w:val="clear" w:color="auto" w:fill="CBECD5"/>
          </w:tcPr>
          <w:p>
            <w:pPr>
              <w:spacing w:after="0"/>
              <w:rPr>
                <w:sz w:val="16"/>
                <w:szCs w:val="16"/>
                <w:color w:val="auto"/>
              </w:rPr>
            </w:pPr>
          </w:p>
        </w:tc>
        <w:tc>
          <w:tcPr>
            <w:tcW w:w="680" w:type="dxa"/>
            <w:vAlign w:val="bottom"/>
            <w:tcBorders>
              <w:top w:val="single" w:sz="8" w:color="CBECD5"/>
              <w:bottom w:val="single" w:sz="8" w:color="CBECD5"/>
              <w:right w:val="single" w:sz="8" w:color="53C072"/>
            </w:tcBorders>
            <w:gridSpan w:val="2"/>
            <w:shd w:val="clear" w:color="auto" w:fill="CBECD5"/>
          </w:tcPr>
          <w:p>
            <w:pPr>
              <w:jc w:val="right"/>
              <w:spacing w:after="0" w:line="155" w:lineRule="exact"/>
              <w:rPr>
                <w:sz w:val="20"/>
                <w:szCs w:val="20"/>
                <w:color w:val="auto"/>
              </w:rPr>
            </w:pPr>
            <w:r>
              <w:rPr>
                <w:rFonts w:ascii="Arial" w:cs="Arial" w:eastAsia="Arial" w:hAnsi="Arial"/>
                <w:sz w:val="16"/>
                <w:szCs w:val="16"/>
                <w:color w:val="0000EE"/>
              </w:rPr>
              <w:t>41</w:t>
            </w:r>
          </w:p>
        </w:tc>
      </w:tr>
      <w:tr>
        <w:trPr>
          <w:trHeight w:val="203"/>
        </w:trPr>
        <w:tc>
          <w:tcPr>
            <w:tcW w:w="120" w:type="dxa"/>
            <w:vAlign w:val="bottom"/>
            <w:tcBorders>
              <w:top w:val="single" w:sz="8" w:color="CBECD5"/>
              <w:left w:val="single" w:sz="8" w:color="53C072"/>
              <w:bottom w:val="single" w:sz="8" w:color="CBECD5"/>
            </w:tcBorders>
            <w:shd w:val="clear" w:color="auto" w:fill="CBECD5"/>
          </w:tcPr>
          <w:p>
            <w:pPr>
              <w:spacing w:after="0"/>
              <w:rPr>
                <w:sz w:val="17"/>
                <w:szCs w:val="17"/>
                <w:color w:val="auto"/>
              </w:rPr>
            </w:pPr>
          </w:p>
        </w:tc>
        <w:tc>
          <w:tcPr>
            <w:tcW w:w="160" w:type="dxa"/>
            <w:vAlign w:val="bottom"/>
            <w:tcBorders>
              <w:top w:val="single" w:sz="8" w:color="CBECD5"/>
              <w:bottom w:val="single" w:sz="8" w:color="CBECD5"/>
            </w:tcBorders>
            <w:shd w:val="clear" w:color="auto" w:fill="CBECD5"/>
          </w:tcPr>
          <w:p>
            <w:pPr>
              <w:spacing w:after="0"/>
              <w:rPr>
                <w:sz w:val="17"/>
                <w:szCs w:val="17"/>
                <w:color w:val="auto"/>
              </w:rPr>
            </w:pPr>
          </w:p>
        </w:tc>
        <w:tc>
          <w:tcPr>
            <w:tcW w:w="1880" w:type="dxa"/>
            <w:vAlign w:val="bottom"/>
            <w:tcBorders>
              <w:top w:val="single" w:sz="8" w:color="CBECD5"/>
              <w:bottom w:val="single" w:sz="8" w:color="0000EE"/>
            </w:tcBorders>
            <w:gridSpan w:val="10"/>
            <w:shd w:val="clear" w:color="auto" w:fill="CBECD5"/>
          </w:tcPr>
          <w:p>
            <w:pPr>
              <w:spacing w:after="0"/>
              <w:rPr>
                <w:sz w:val="20"/>
                <w:szCs w:val="20"/>
                <w:color w:val="auto"/>
              </w:rPr>
            </w:pPr>
            <w:r>
              <w:rPr>
                <w:rFonts w:ascii="Arial" w:cs="Arial" w:eastAsia="Arial" w:hAnsi="Arial"/>
                <w:sz w:val="16"/>
                <w:szCs w:val="16"/>
                <w:color w:val="0000EE"/>
                <w:w w:val="98"/>
              </w:rPr>
              <w:t>Philosophy and Objectives</w:t>
            </w:r>
          </w:p>
        </w:tc>
        <w:tc>
          <w:tcPr>
            <w:tcW w:w="1440" w:type="dxa"/>
            <w:vAlign w:val="bottom"/>
            <w:tcBorders>
              <w:top w:val="single" w:sz="8" w:color="CBECD5"/>
              <w:bottom w:val="single" w:sz="8" w:color="CBECD5"/>
            </w:tcBorders>
            <w:gridSpan w:val="15"/>
            <w:shd w:val="clear" w:color="auto" w:fill="CBECD5"/>
          </w:tcPr>
          <w:p>
            <w:pPr>
              <w:spacing w:after="0"/>
              <w:rPr>
                <w:sz w:val="17"/>
                <w:szCs w:val="17"/>
                <w:color w:val="auto"/>
              </w:rPr>
            </w:pPr>
          </w:p>
        </w:tc>
        <w:tc>
          <w:tcPr>
            <w:tcW w:w="420" w:type="dxa"/>
            <w:vAlign w:val="bottom"/>
            <w:tcBorders>
              <w:top w:val="single" w:sz="8" w:color="CBECD5"/>
              <w:bottom w:val="single" w:sz="8" w:color="CBECD5"/>
            </w:tcBorders>
            <w:shd w:val="clear" w:color="auto" w:fill="CBECD5"/>
          </w:tcPr>
          <w:p>
            <w:pPr>
              <w:spacing w:after="0"/>
              <w:rPr>
                <w:sz w:val="17"/>
                <w:szCs w:val="17"/>
                <w:color w:val="auto"/>
              </w:rPr>
            </w:pPr>
          </w:p>
        </w:tc>
        <w:tc>
          <w:tcPr>
            <w:tcW w:w="260" w:type="dxa"/>
            <w:vAlign w:val="bottom"/>
            <w:tcBorders>
              <w:top w:val="single" w:sz="8" w:color="0000EE"/>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41</w:t>
            </w:r>
          </w:p>
        </w:tc>
      </w:tr>
      <w:tr>
        <w:trPr>
          <w:trHeight w:val="209"/>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5"/>
            <w:shd w:val="clear" w:color="auto" w:fill="CBECD5"/>
          </w:tcPr>
          <w:p>
            <w:pPr>
              <w:spacing w:after="0"/>
              <w:rPr>
                <w:sz w:val="20"/>
                <w:szCs w:val="20"/>
                <w:color w:val="auto"/>
              </w:rPr>
            </w:pPr>
            <w:r>
              <w:rPr>
                <w:rFonts w:ascii="Arial" w:cs="Arial" w:eastAsia="Arial" w:hAnsi="Arial"/>
                <w:sz w:val="16"/>
                <w:szCs w:val="16"/>
                <w:color w:val="0000EE"/>
              </w:rPr>
              <w:t>2023 Advisory Vote on Executive</w:t>
            </w:r>
          </w:p>
        </w:tc>
        <w:tc>
          <w:tcPr>
            <w:tcW w:w="420" w:type="dxa"/>
            <w:vAlign w:val="bottom"/>
            <w:shd w:val="clear" w:color="auto" w:fill="CBECD5"/>
          </w:tcPr>
          <w:p>
            <w:pPr>
              <w:spacing w:after="0"/>
              <w:rPr>
                <w:sz w:val="18"/>
                <w:szCs w:val="18"/>
                <w:color w:val="auto"/>
              </w:rPr>
            </w:pPr>
          </w:p>
        </w:tc>
        <w:tc>
          <w:tcPr>
            <w:tcW w:w="260" w:type="dxa"/>
            <w:vAlign w:val="bottom"/>
            <w:tcBorders>
              <w:right w:val="single" w:sz="8" w:color="53C072"/>
            </w:tcBorders>
            <w:shd w:val="clear" w:color="auto" w:fill="CBECD5"/>
          </w:tcPr>
          <w:p>
            <w:pPr>
              <w:spacing w:after="0"/>
              <w:rPr>
                <w:sz w:val="18"/>
                <w:szCs w:val="18"/>
                <w:color w:val="auto"/>
              </w:rPr>
            </w:pPr>
          </w:p>
        </w:tc>
      </w:tr>
      <w:tr>
        <w:trPr>
          <w:trHeight w:val="176"/>
        </w:trPr>
        <w:tc>
          <w:tcPr>
            <w:tcW w:w="120" w:type="dxa"/>
            <w:vAlign w:val="bottom"/>
            <w:tcBorders>
              <w:top w:val="single" w:sz="8" w:color="CBECD5"/>
              <w:left w:val="single" w:sz="8" w:color="53C072"/>
              <w:bottom w:val="single" w:sz="8" w:color="CBECD5"/>
            </w:tcBorders>
            <w:shd w:val="clear" w:color="auto" w:fill="CBECD5"/>
          </w:tcPr>
          <w:p>
            <w:pPr>
              <w:spacing w:after="0"/>
              <w:rPr>
                <w:sz w:val="15"/>
                <w:szCs w:val="15"/>
                <w:color w:val="auto"/>
              </w:rPr>
            </w:pPr>
          </w:p>
        </w:tc>
        <w:tc>
          <w:tcPr>
            <w:tcW w:w="160" w:type="dxa"/>
            <w:vAlign w:val="bottom"/>
            <w:tcBorders>
              <w:top w:val="single" w:sz="8" w:color="CBECD5"/>
              <w:bottom w:val="single" w:sz="8" w:color="CBECD5"/>
            </w:tcBorders>
            <w:shd w:val="clear" w:color="auto" w:fill="CBECD5"/>
          </w:tcPr>
          <w:p>
            <w:pPr>
              <w:spacing w:after="0"/>
              <w:rPr>
                <w:sz w:val="15"/>
                <w:szCs w:val="15"/>
                <w:color w:val="auto"/>
              </w:rPr>
            </w:pPr>
          </w:p>
        </w:tc>
        <w:tc>
          <w:tcPr>
            <w:tcW w:w="1380" w:type="dxa"/>
            <w:vAlign w:val="bottom"/>
            <w:tcBorders>
              <w:top w:val="single" w:sz="8" w:color="0000EE"/>
              <w:bottom w:val="single" w:sz="8" w:color="0000EE"/>
              <w:right w:val="single" w:sz="8" w:color="CBECD5"/>
            </w:tcBorders>
            <w:gridSpan w:val="6"/>
            <w:shd w:val="clear" w:color="auto" w:fill="CBECD5"/>
          </w:tcPr>
          <w:p>
            <w:pPr>
              <w:spacing w:after="0" w:line="155" w:lineRule="exact"/>
              <w:rPr>
                <w:sz w:val="20"/>
                <w:szCs w:val="20"/>
                <w:color w:val="auto"/>
              </w:rPr>
            </w:pPr>
            <w:r>
              <w:rPr>
                <w:rFonts w:ascii="Arial" w:cs="Arial" w:eastAsia="Arial" w:hAnsi="Arial"/>
                <w:sz w:val="16"/>
                <w:szCs w:val="16"/>
                <w:color w:val="0000EE"/>
              </w:rPr>
              <w:t>Compensation</w:t>
            </w:r>
          </w:p>
        </w:tc>
        <w:tc>
          <w:tcPr>
            <w:tcW w:w="960" w:type="dxa"/>
            <w:vAlign w:val="bottom"/>
            <w:tcBorders>
              <w:top w:val="single" w:sz="8" w:color="0000EE"/>
              <w:bottom w:val="single" w:sz="8" w:color="CBECD5"/>
            </w:tcBorders>
            <w:gridSpan w:val="8"/>
            <w:shd w:val="clear" w:color="auto" w:fill="CBECD5"/>
          </w:tcPr>
          <w:p>
            <w:pPr>
              <w:spacing w:after="0"/>
              <w:rPr>
                <w:sz w:val="15"/>
                <w:szCs w:val="15"/>
                <w:color w:val="auto"/>
              </w:rPr>
            </w:pPr>
          </w:p>
        </w:tc>
        <w:tc>
          <w:tcPr>
            <w:tcW w:w="20" w:type="dxa"/>
            <w:vAlign w:val="bottom"/>
            <w:tcBorders>
              <w:top w:val="single" w:sz="8" w:color="CBECD5"/>
              <w:bottom w:val="single" w:sz="8" w:color="CBECD5"/>
            </w:tcBorders>
            <w:shd w:val="clear" w:color="auto" w:fill="CBECD5"/>
          </w:tcPr>
          <w:p>
            <w:pPr>
              <w:spacing w:after="0"/>
              <w:rPr>
                <w:sz w:val="15"/>
                <w:szCs w:val="15"/>
                <w:color w:val="auto"/>
              </w:rPr>
            </w:pPr>
          </w:p>
        </w:tc>
        <w:tc>
          <w:tcPr>
            <w:tcW w:w="20" w:type="dxa"/>
            <w:vAlign w:val="bottom"/>
            <w:tcBorders>
              <w:top w:val="single" w:sz="8" w:color="CBECD5"/>
              <w:bottom w:val="single" w:sz="8" w:color="CBECD5"/>
            </w:tcBorders>
            <w:shd w:val="clear" w:color="auto" w:fill="CBECD5"/>
          </w:tcPr>
          <w:p>
            <w:pPr>
              <w:spacing w:after="0"/>
              <w:rPr>
                <w:sz w:val="15"/>
                <w:szCs w:val="15"/>
                <w:color w:val="auto"/>
              </w:rPr>
            </w:pPr>
          </w:p>
        </w:tc>
        <w:tc>
          <w:tcPr>
            <w:tcW w:w="100" w:type="dxa"/>
            <w:vAlign w:val="bottom"/>
            <w:tcBorders>
              <w:top w:val="single" w:sz="8" w:color="CBECD5"/>
              <w:bottom w:val="single" w:sz="8" w:color="CBECD5"/>
            </w:tcBorders>
            <w:gridSpan w:val="2"/>
            <w:shd w:val="clear" w:color="auto" w:fill="CBECD5"/>
          </w:tcPr>
          <w:p>
            <w:pPr>
              <w:spacing w:after="0"/>
              <w:rPr>
                <w:sz w:val="15"/>
                <w:szCs w:val="15"/>
                <w:color w:val="auto"/>
              </w:rPr>
            </w:pPr>
          </w:p>
        </w:tc>
        <w:tc>
          <w:tcPr>
            <w:tcW w:w="160" w:type="dxa"/>
            <w:vAlign w:val="bottom"/>
            <w:tcBorders>
              <w:top w:val="single" w:sz="8" w:color="CBECD5"/>
              <w:bottom w:val="single" w:sz="8" w:color="CBECD5"/>
            </w:tcBorders>
            <w:shd w:val="clear" w:color="auto" w:fill="CBECD5"/>
          </w:tcPr>
          <w:p>
            <w:pPr>
              <w:spacing w:after="0"/>
              <w:rPr>
                <w:sz w:val="15"/>
                <w:szCs w:val="15"/>
                <w:color w:val="auto"/>
              </w:rPr>
            </w:pPr>
          </w:p>
        </w:tc>
        <w:tc>
          <w:tcPr>
            <w:tcW w:w="20" w:type="dxa"/>
            <w:vAlign w:val="bottom"/>
            <w:tcBorders>
              <w:top w:val="single" w:sz="8" w:color="CBECD5"/>
              <w:bottom w:val="single" w:sz="8" w:color="CBECD5"/>
            </w:tcBorders>
            <w:shd w:val="clear" w:color="auto" w:fill="CBECD5"/>
          </w:tcPr>
          <w:p>
            <w:pPr>
              <w:spacing w:after="0"/>
              <w:rPr>
                <w:sz w:val="15"/>
                <w:szCs w:val="15"/>
                <w:color w:val="auto"/>
              </w:rPr>
            </w:pPr>
          </w:p>
        </w:tc>
        <w:tc>
          <w:tcPr>
            <w:tcW w:w="120" w:type="dxa"/>
            <w:vAlign w:val="bottom"/>
            <w:tcBorders>
              <w:top w:val="single" w:sz="8" w:color="CBECD5"/>
              <w:bottom w:val="single" w:sz="8" w:color="CBECD5"/>
            </w:tcBorders>
            <w:shd w:val="clear" w:color="auto" w:fill="CBECD5"/>
          </w:tcPr>
          <w:p>
            <w:pPr>
              <w:spacing w:after="0"/>
              <w:rPr>
                <w:sz w:val="15"/>
                <w:szCs w:val="15"/>
                <w:color w:val="auto"/>
              </w:rPr>
            </w:pPr>
          </w:p>
        </w:tc>
        <w:tc>
          <w:tcPr>
            <w:tcW w:w="100" w:type="dxa"/>
            <w:vAlign w:val="bottom"/>
            <w:tcBorders>
              <w:top w:val="single" w:sz="8" w:color="CBECD5"/>
              <w:bottom w:val="single" w:sz="8" w:color="CBECD5"/>
            </w:tcBorders>
            <w:shd w:val="clear" w:color="auto" w:fill="CBECD5"/>
          </w:tcPr>
          <w:p>
            <w:pPr>
              <w:spacing w:after="0"/>
              <w:rPr>
                <w:sz w:val="15"/>
                <w:szCs w:val="15"/>
                <w:color w:val="auto"/>
              </w:rPr>
            </w:pPr>
          </w:p>
        </w:tc>
        <w:tc>
          <w:tcPr>
            <w:tcW w:w="340" w:type="dxa"/>
            <w:vAlign w:val="bottom"/>
            <w:tcBorders>
              <w:top w:val="single" w:sz="8" w:color="CBECD5"/>
              <w:bottom w:val="single" w:sz="8" w:color="CBECD5"/>
            </w:tcBorders>
            <w:gridSpan w:val="2"/>
            <w:shd w:val="clear" w:color="auto" w:fill="CBECD5"/>
          </w:tcPr>
          <w:p>
            <w:pPr>
              <w:spacing w:after="0"/>
              <w:rPr>
                <w:sz w:val="15"/>
                <w:szCs w:val="15"/>
                <w:color w:val="auto"/>
              </w:rPr>
            </w:pPr>
          </w:p>
        </w:tc>
        <w:tc>
          <w:tcPr>
            <w:tcW w:w="100" w:type="dxa"/>
            <w:vAlign w:val="bottom"/>
            <w:tcBorders>
              <w:top w:val="single" w:sz="8" w:color="CBECD5"/>
              <w:bottom w:val="single" w:sz="8" w:color="CBECD5"/>
            </w:tcBorders>
            <w:shd w:val="clear" w:color="auto" w:fill="CBECD5"/>
          </w:tcPr>
          <w:p>
            <w:pPr>
              <w:spacing w:after="0"/>
              <w:rPr>
                <w:sz w:val="15"/>
                <w:szCs w:val="15"/>
                <w:color w:val="auto"/>
              </w:rPr>
            </w:pPr>
          </w:p>
        </w:tc>
        <w:tc>
          <w:tcPr>
            <w:tcW w:w="420" w:type="dxa"/>
            <w:vAlign w:val="bottom"/>
            <w:tcBorders>
              <w:top w:val="single" w:sz="8" w:color="CBECD5"/>
              <w:bottom w:val="single" w:sz="8" w:color="CBECD5"/>
            </w:tcBorders>
            <w:shd w:val="clear" w:color="auto" w:fill="CBECD5"/>
          </w:tcPr>
          <w:p>
            <w:pPr>
              <w:spacing w:after="0"/>
              <w:rPr>
                <w:sz w:val="15"/>
                <w:szCs w:val="15"/>
                <w:color w:val="auto"/>
              </w:rPr>
            </w:pPr>
          </w:p>
        </w:tc>
        <w:tc>
          <w:tcPr>
            <w:tcW w:w="260" w:type="dxa"/>
            <w:vAlign w:val="bottom"/>
            <w:tcBorders>
              <w:top w:val="single" w:sz="8" w:color="CBECD5"/>
              <w:bottom w:val="single" w:sz="8" w:color="0000EE"/>
              <w:right w:val="single" w:sz="8" w:color="53C072"/>
            </w:tcBorders>
            <w:shd w:val="clear" w:color="auto" w:fill="CBECD5"/>
          </w:tcPr>
          <w:p>
            <w:pPr>
              <w:jc w:val="right"/>
              <w:spacing w:after="0" w:line="155" w:lineRule="exact"/>
              <w:rPr>
                <w:sz w:val="20"/>
                <w:szCs w:val="20"/>
                <w:color w:val="auto"/>
              </w:rPr>
            </w:pPr>
            <w:r>
              <w:rPr>
                <w:rFonts w:ascii="Arial" w:cs="Arial" w:eastAsia="Arial" w:hAnsi="Arial"/>
                <w:sz w:val="16"/>
                <w:szCs w:val="16"/>
                <w:color w:val="0000EE"/>
                <w:w w:val="89"/>
              </w:rPr>
              <w:t>41</w:t>
            </w:r>
          </w:p>
        </w:tc>
      </w:tr>
      <w:tr>
        <w:trPr>
          <w:trHeight w:val="216"/>
        </w:trPr>
        <w:tc>
          <w:tcPr>
            <w:tcW w:w="120" w:type="dxa"/>
            <w:vAlign w:val="bottom"/>
            <w:tcBorders>
              <w:left w:val="single" w:sz="8" w:color="53C072"/>
              <w:bottom w:val="single" w:sz="8" w:color="CBECD5"/>
            </w:tcBorders>
            <w:shd w:val="clear" w:color="auto" w:fill="CBECD5"/>
          </w:tcPr>
          <w:p>
            <w:pPr>
              <w:spacing w:after="0"/>
              <w:rPr>
                <w:sz w:val="18"/>
                <w:szCs w:val="18"/>
                <w:color w:val="auto"/>
              </w:rPr>
            </w:pPr>
          </w:p>
        </w:tc>
        <w:tc>
          <w:tcPr>
            <w:tcW w:w="160" w:type="dxa"/>
            <w:vAlign w:val="bottom"/>
            <w:tcBorders>
              <w:bottom w:val="single" w:sz="8" w:color="CBECD5"/>
            </w:tcBorders>
            <w:shd w:val="clear" w:color="auto" w:fill="CBECD5"/>
          </w:tcPr>
          <w:p>
            <w:pPr>
              <w:spacing w:after="0"/>
              <w:rPr>
                <w:sz w:val="18"/>
                <w:szCs w:val="18"/>
                <w:color w:val="auto"/>
              </w:rPr>
            </w:pPr>
          </w:p>
        </w:tc>
        <w:tc>
          <w:tcPr>
            <w:tcW w:w="2080" w:type="dxa"/>
            <w:vAlign w:val="bottom"/>
            <w:tcBorders>
              <w:bottom w:val="single" w:sz="8" w:color="0000EE"/>
            </w:tcBorders>
            <w:gridSpan w:val="13"/>
            <w:shd w:val="clear" w:color="auto" w:fill="CBECD5"/>
          </w:tcPr>
          <w:p>
            <w:pPr>
              <w:spacing w:after="0"/>
              <w:rPr>
                <w:sz w:val="20"/>
                <w:szCs w:val="20"/>
                <w:color w:val="auto"/>
              </w:rPr>
            </w:pPr>
            <w:r>
              <w:rPr>
                <w:rFonts w:ascii="Arial" w:cs="Arial" w:eastAsia="Arial" w:hAnsi="Arial"/>
                <w:sz w:val="16"/>
                <w:szCs w:val="16"/>
                <w:color w:val="0000EE"/>
                <w:w w:val="98"/>
              </w:rPr>
              <w:t>Shareholder Outreach Efforts</w:t>
            </w:r>
          </w:p>
        </w:tc>
        <w:tc>
          <w:tcPr>
            <w:tcW w:w="1240" w:type="dxa"/>
            <w:vAlign w:val="bottom"/>
            <w:tcBorders>
              <w:bottom w:val="single" w:sz="8" w:color="CBECD5"/>
            </w:tcBorders>
            <w:gridSpan w:val="12"/>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41</w:t>
            </w:r>
          </w:p>
        </w:tc>
      </w:tr>
      <w:tr>
        <w:trPr>
          <w:trHeight w:val="209"/>
        </w:trPr>
        <w:tc>
          <w:tcPr>
            <w:tcW w:w="120" w:type="dxa"/>
            <w:vAlign w:val="bottom"/>
            <w:tcBorders>
              <w:left w:val="single" w:sz="8" w:color="53C072"/>
            </w:tcBorders>
            <w:shd w:val="clear" w:color="auto" w:fill="CBECD5"/>
          </w:tcPr>
          <w:p>
            <w:pPr>
              <w:spacing w:after="0"/>
              <w:rPr>
                <w:sz w:val="18"/>
                <w:szCs w:val="18"/>
                <w:color w:val="auto"/>
              </w:rPr>
            </w:pPr>
          </w:p>
        </w:tc>
        <w:tc>
          <w:tcPr>
            <w:tcW w:w="3480" w:type="dxa"/>
            <w:vAlign w:val="bottom"/>
            <w:gridSpan w:val="26"/>
            <w:shd w:val="clear" w:color="auto" w:fill="CBECD5"/>
          </w:tcPr>
          <w:p>
            <w:pPr>
              <w:spacing w:after="0"/>
              <w:rPr>
                <w:sz w:val="20"/>
                <w:szCs w:val="20"/>
                <w:color w:val="auto"/>
              </w:rPr>
            </w:pPr>
            <w:r>
              <w:rPr>
                <w:rFonts w:ascii="Arial" w:cs="Arial" w:eastAsia="Arial" w:hAnsi="Arial"/>
                <w:sz w:val="16"/>
                <w:szCs w:val="16"/>
                <w:b w:val="1"/>
                <w:bCs w:val="1"/>
                <w:color w:val="0000EE"/>
              </w:rPr>
              <w:t>Compensation Governance and Process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42</w:t>
            </w:r>
          </w:p>
        </w:tc>
      </w:tr>
      <w:tr>
        <w:trPr>
          <w:trHeight w:val="210"/>
        </w:trPr>
        <w:tc>
          <w:tcPr>
            <w:tcW w:w="120" w:type="dxa"/>
            <w:vAlign w:val="bottom"/>
            <w:tcBorders>
              <w:top w:val="single" w:sz="8" w:color="CBECD5"/>
              <w:left w:val="single" w:sz="8" w:color="53C072"/>
              <w:bottom w:val="single" w:sz="8" w:color="CBECD5"/>
            </w:tcBorders>
            <w:shd w:val="clear" w:color="auto" w:fill="CBECD5"/>
          </w:tcPr>
          <w:p>
            <w:pPr>
              <w:spacing w:after="0"/>
              <w:rPr>
                <w:sz w:val="18"/>
                <w:szCs w:val="18"/>
                <w:color w:val="auto"/>
              </w:rPr>
            </w:pPr>
          </w:p>
        </w:tc>
        <w:tc>
          <w:tcPr>
            <w:tcW w:w="160" w:type="dxa"/>
            <w:vAlign w:val="bottom"/>
            <w:tcBorders>
              <w:top w:val="single" w:sz="8" w:color="0000EE"/>
              <w:bottom w:val="single" w:sz="8" w:color="CBECD5"/>
            </w:tcBorders>
            <w:shd w:val="clear" w:color="auto" w:fill="CBECD5"/>
          </w:tcPr>
          <w:p>
            <w:pPr>
              <w:spacing w:after="0"/>
              <w:rPr>
                <w:sz w:val="18"/>
                <w:szCs w:val="18"/>
                <w:color w:val="auto"/>
              </w:rPr>
            </w:pPr>
          </w:p>
        </w:tc>
        <w:tc>
          <w:tcPr>
            <w:tcW w:w="2380" w:type="dxa"/>
            <w:vAlign w:val="bottom"/>
            <w:tcBorders>
              <w:top w:val="single" w:sz="8" w:color="0000EE"/>
              <w:bottom w:val="single" w:sz="8" w:color="0000EE"/>
            </w:tcBorders>
            <w:gridSpan w:val="16"/>
            <w:shd w:val="clear" w:color="auto" w:fill="CBECD5"/>
          </w:tcPr>
          <w:p>
            <w:pPr>
              <w:spacing w:after="0"/>
              <w:rPr>
                <w:sz w:val="20"/>
                <w:szCs w:val="20"/>
                <w:color w:val="auto"/>
              </w:rPr>
            </w:pPr>
            <w:r>
              <w:rPr>
                <w:rFonts w:ascii="Arial" w:cs="Arial" w:eastAsia="Arial" w:hAnsi="Arial"/>
                <w:sz w:val="16"/>
                <w:szCs w:val="16"/>
                <w:color w:val="0000EE"/>
                <w:w w:val="99"/>
              </w:rPr>
              <w:t>Role of the Committee and Board</w:t>
            </w:r>
          </w:p>
        </w:tc>
        <w:tc>
          <w:tcPr>
            <w:tcW w:w="500" w:type="dxa"/>
            <w:vAlign w:val="bottom"/>
            <w:tcBorders>
              <w:top w:val="single" w:sz="8" w:color="0000EE"/>
              <w:bottom w:val="single" w:sz="8" w:color="CBECD5"/>
            </w:tcBorders>
            <w:gridSpan w:val="6"/>
            <w:shd w:val="clear" w:color="auto" w:fill="CBECD5"/>
          </w:tcPr>
          <w:p>
            <w:pPr>
              <w:spacing w:after="0"/>
              <w:rPr>
                <w:sz w:val="18"/>
                <w:szCs w:val="18"/>
                <w:color w:val="auto"/>
              </w:rPr>
            </w:pPr>
          </w:p>
        </w:tc>
        <w:tc>
          <w:tcPr>
            <w:tcW w:w="440" w:type="dxa"/>
            <w:vAlign w:val="bottom"/>
            <w:tcBorders>
              <w:top w:val="single" w:sz="8" w:color="CBECD5"/>
              <w:bottom w:val="single" w:sz="8" w:color="CBECD5"/>
            </w:tcBorders>
            <w:gridSpan w:val="3"/>
            <w:shd w:val="clear" w:color="auto" w:fill="CBECD5"/>
          </w:tcPr>
          <w:p>
            <w:pPr>
              <w:spacing w:after="0"/>
              <w:rPr>
                <w:sz w:val="18"/>
                <w:szCs w:val="18"/>
                <w:color w:val="auto"/>
              </w:rPr>
            </w:pPr>
          </w:p>
        </w:tc>
        <w:tc>
          <w:tcPr>
            <w:tcW w:w="420" w:type="dxa"/>
            <w:vAlign w:val="bottom"/>
            <w:tcBorders>
              <w:top w:val="single" w:sz="8" w:color="CBECD5"/>
              <w:bottom w:val="single" w:sz="8" w:color="CBECD5"/>
            </w:tcBorders>
            <w:shd w:val="clear" w:color="auto" w:fill="CBECD5"/>
          </w:tcPr>
          <w:p>
            <w:pPr>
              <w:spacing w:after="0"/>
              <w:rPr>
                <w:sz w:val="18"/>
                <w:szCs w:val="18"/>
                <w:color w:val="auto"/>
              </w:rPr>
            </w:pPr>
          </w:p>
        </w:tc>
        <w:tc>
          <w:tcPr>
            <w:tcW w:w="260" w:type="dxa"/>
            <w:vAlign w:val="bottom"/>
            <w:tcBorders>
              <w:top w:val="single" w:sz="8" w:color="0000EE"/>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42</w:t>
            </w:r>
          </w:p>
        </w:tc>
      </w:tr>
      <w:tr>
        <w:trPr>
          <w:trHeight w:val="209"/>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5"/>
            <w:shd w:val="clear" w:color="auto" w:fill="CBECD5"/>
          </w:tcPr>
          <w:p>
            <w:pPr>
              <w:spacing w:after="0"/>
              <w:rPr>
                <w:sz w:val="20"/>
                <w:szCs w:val="20"/>
                <w:color w:val="auto"/>
              </w:rPr>
            </w:pPr>
            <w:r>
              <w:rPr>
                <w:rFonts w:ascii="Arial" w:cs="Arial" w:eastAsia="Arial" w:hAnsi="Arial"/>
                <w:sz w:val="16"/>
                <w:szCs w:val="16"/>
                <w:color w:val="0000EE"/>
              </w:rPr>
              <w:t>Role of Management</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42</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CBECD5"/>
            </w:tcBorders>
            <w:shd w:val="clear" w:color="auto" w:fill="0000EE"/>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160" w:type="dxa"/>
            <w:vAlign w:val="bottom"/>
            <w:gridSpan w:val="3"/>
            <w:shd w:val="clear" w:color="auto" w:fill="CBECD5"/>
          </w:tcPr>
          <w:p>
            <w:pPr>
              <w:spacing w:after="0" w:line="20" w:lineRule="exact"/>
              <w:rPr>
                <w:sz w:val="1"/>
                <w:szCs w:val="1"/>
                <w:color w:val="auto"/>
              </w:rPr>
            </w:pPr>
          </w:p>
        </w:tc>
        <w:tc>
          <w:tcPr>
            <w:tcW w:w="360" w:type="dxa"/>
            <w:vAlign w:val="bottom"/>
            <w:gridSpan w:val="3"/>
            <w:shd w:val="clear" w:color="auto" w:fill="CBECD5"/>
          </w:tcPr>
          <w:p>
            <w:pPr>
              <w:spacing w:after="0" w:line="20" w:lineRule="exact"/>
              <w:rPr>
                <w:sz w:val="1"/>
                <w:szCs w:val="1"/>
                <w:color w:val="auto"/>
              </w:rPr>
            </w:pPr>
          </w:p>
        </w:tc>
        <w:tc>
          <w:tcPr>
            <w:tcW w:w="120" w:type="dxa"/>
            <w:vAlign w:val="bottom"/>
            <w:gridSpan w:val="3"/>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120" w:type="dxa"/>
            <w:vAlign w:val="bottom"/>
            <w:shd w:val="clear" w:color="auto" w:fill="CBECD5"/>
          </w:tcPr>
          <w:p>
            <w:pPr>
              <w:spacing w:after="0" w:line="20" w:lineRule="exact"/>
              <w:rPr>
                <w:sz w:val="1"/>
                <w:szCs w:val="1"/>
                <w:color w:val="auto"/>
              </w:rPr>
            </w:pPr>
          </w:p>
        </w:tc>
        <w:tc>
          <w:tcPr>
            <w:tcW w:w="440" w:type="dxa"/>
            <w:vAlign w:val="bottom"/>
            <w:gridSpan w:val="3"/>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09"/>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5"/>
            <w:shd w:val="clear" w:color="auto" w:fill="CBECD5"/>
          </w:tcPr>
          <w:p>
            <w:pPr>
              <w:spacing w:after="0"/>
              <w:rPr>
                <w:sz w:val="20"/>
                <w:szCs w:val="20"/>
                <w:color w:val="auto"/>
              </w:rPr>
            </w:pPr>
            <w:r>
              <w:rPr>
                <w:rFonts w:ascii="Arial" w:cs="Arial" w:eastAsia="Arial" w:hAnsi="Arial"/>
                <w:sz w:val="16"/>
                <w:szCs w:val="16"/>
                <w:color w:val="0000EE"/>
              </w:rPr>
              <w:t>Role of the Independent Compensation</w:t>
            </w:r>
          </w:p>
        </w:tc>
        <w:tc>
          <w:tcPr>
            <w:tcW w:w="420" w:type="dxa"/>
            <w:vAlign w:val="bottom"/>
            <w:shd w:val="clear" w:color="auto" w:fill="CBECD5"/>
          </w:tcPr>
          <w:p>
            <w:pPr>
              <w:spacing w:after="0"/>
              <w:rPr>
                <w:sz w:val="18"/>
                <w:szCs w:val="18"/>
                <w:color w:val="auto"/>
              </w:rPr>
            </w:pPr>
          </w:p>
        </w:tc>
        <w:tc>
          <w:tcPr>
            <w:tcW w:w="260" w:type="dxa"/>
            <w:vAlign w:val="bottom"/>
            <w:tcBorders>
              <w:right w:val="single" w:sz="8" w:color="53C072"/>
            </w:tcBorders>
            <w:shd w:val="clear" w:color="auto" w:fill="CBECD5"/>
          </w:tcPr>
          <w:p>
            <w:pPr>
              <w:spacing w:after="0"/>
              <w:rPr>
                <w:sz w:val="18"/>
                <w:szCs w:val="18"/>
                <w:color w:val="auto"/>
              </w:rPr>
            </w:pPr>
          </w:p>
        </w:tc>
      </w:tr>
      <w:tr>
        <w:trPr>
          <w:trHeight w:val="176"/>
        </w:trPr>
        <w:tc>
          <w:tcPr>
            <w:tcW w:w="120" w:type="dxa"/>
            <w:vAlign w:val="bottom"/>
            <w:tcBorders>
              <w:top w:val="single" w:sz="8" w:color="CBECD5"/>
              <w:left w:val="single" w:sz="8" w:color="53C072"/>
              <w:bottom w:val="single" w:sz="8" w:color="CBECD5"/>
            </w:tcBorders>
            <w:shd w:val="clear" w:color="auto" w:fill="CBECD5"/>
          </w:tcPr>
          <w:p>
            <w:pPr>
              <w:spacing w:after="0"/>
              <w:rPr>
                <w:sz w:val="15"/>
                <w:szCs w:val="15"/>
                <w:color w:val="auto"/>
              </w:rPr>
            </w:pPr>
          </w:p>
        </w:tc>
        <w:tc>
          <w:tcPr>
            <w:tcW w:w="160" w:type="dxa"/>
            <w:vAlign w:val="bottom"/>
            <w:tcBorders>
              <w:top w:val="single" w:sz="8" w:color="CBECD5"/>
              <w:bottom w:val="single" w:sz="8" w:color="CBECD5"/>
            </w:tcBorders>
            <w:shd w:val="clear" w:color="auto" w:fill="CBECD5"/>
          </w:tcPr>
          <w:p>
            <w:pPr>
              <w:spacing w:after="0"/>
              <w:rPr>
                <w:sz w:val="15"/>
                <w:szCs w:val="15"/>
                <w:color w:val="auto"/>
              </w:rPr>
            </w:pPr>
          </w:p>
        </w:tc>
        <w:tc>
          <w:tcPr>
            <w:tcW w:w="860" w:type="dxa"/>
            <w:vAlign w:val="bottom"/>
            <w:tcBorders>
              <w:top w:val="single" w:sz="8" w:color="0000EE"/>
              <w:bottom w:val="single" w:sz="8" w:color="0000EE"/>
            </w:tcBorders>
            <w:gridSpan w:val="3"/>
            <w:shd w:val="clear" w:color="auto" w:fill="CBECD5"/>
          </w:tcPr>
          <w:p>
            <w:pPr>
              <w:spacing w:after="0" w:line="155" w:lineRule="exact"/>
              <w:rPr>
                <w:sz w:val="20"/>
                <w:szCs w:val="20"/>
                <w:color w:val="auto"/>
              </w:rPr>
            </w:pPr>
            <w:r>
              <w:rPr>
                <w:rFonts w:ascii="Arial" w:cs="Arial" w:eastAsia="Arial" w:hAnsi="Arial"/>
                <w:sz w:val="16"/>
                <w:szCs w:val="16"/>
                <w:color w:val="0000EE"/>
              </w:rPr>
              <w:t>Consultant</w:t>
            </w:r>
          </w:p>
        </w:tc>
        <w:tc>
          <w:tcPr>
            <w:tcW w:w="1920" w:type="dxa"/>
            <w:vAlign w:val="bottom"/>
            <w:tcBorders>
              <w:top w:val="single" w:sz="8" w:color="0000EE"/>
              <w:bottom w:val="single" w:sz="8" w:color="CBECD5"/>
            </w:tcBorders>
            <w:gridSpan w:val="18"/>
            <w:shd w:val="clear" w:color="auto" w:fill="CBECD5"/>
          </w:tcPr>
          <w:p>
            <w:pPr>
              <w:spacing w:after="0"/>
              <w:rPr>
                <w:sz w:val="15"/>
                <w:szCs w:val="15"/>
                <w:color w:val="auto"/>
              </w:rPr>
            </w:pPr>
          </w:p>
        </w:tc>
        <w:tc>
          <w:tcPr>
            <w:tcW w:w="440" w:type="dxa"/>
            <w:vAlign w:val="bottom"/>
            <w:tcBorders>
              <w:top w:val="single" w:sz="8" w:color="CBECD5"/>
              <w:bottom w:val="single" w:sz="8" w:color="CBECD5"/>
            </w:tcBorders>
            <w:gridSpan w:val="3"/>
            <w:shd w:val="clear" w:color="auto" w:fill="CBECD5"/>
          </w:tcPr>
          <w:p>
            <w:pPr>
              <w:spacing w:after="0"/>
              <w:rPr>
                <w:sz w:val="15"/>
                <w:szCs w:val="15"/>
                <w:color w:val="auto"/>
              </w:rPr>
            </w:pPr>
          </w:p>
        </w:tc>
        <w:tc>
          <w:tcPr>
            <w:tcW w:w="100" w:type="dxa"/>
            <w:vAlign w:val="bottom"/>
            <w:tcBorders>
              <w:top w:val="single" w:sz="8" w:color="CBECD5"/>
              <w:bottom w:val="single" w:sz="8" w:color="CBECD5"/>
            </w:tcBorders>
            <w:shd w:val="clear" w:color="auto" w:fill="CBECD5"/>
          </w:tcPr>
          <w:p>
            <w:pPr>
              <w:spacing w:after="0"/>
              <w:rPr>
                <w:sz w:val="15"/>
                <w:szCs w:val="15"/>
                <w:color w:val="auto"/>
              </w:rPr>
            </w:pPr>
          </w:p>
        </w:tc>
        <w:tc>
          <w:tcPr>
            <w:tcW w:w="420" w:type="dxa"/>
            <w:vAlign w:val="bottom"/>
            <w:tcBorders>
              <w:top w:val="single" w:sz="8" w:color="CBECD5"/>
              <w:bottom w:val="single" w:sz="8" w:color="CBECD5"/>
            </w:tcBorders>
            <w:shd w:val="clear" w:color="auto" w:fill="CBECD5"/>
          </w:tcPr>
          <w:p>
            <w:pPr>
              <w:spacing w:after="0"/>
              <w:rPr>
                <w:sz w:val="15"/>
                <w:szCs w:val="15"/>
                <w:color w:val="auto"/>
              </w:rPr>
            </w:pPr>
          </w:p>
        </w:tc>
        <w:tc>
          <w:tcPr>
            <w:tcW w:w="260" w:type="dxa"/>
            <w:vAlign w:val="bottom"/>
            <w:tcBorders>
              <w:top w:val="single" w:sz="8" w:color="CBECD5"/>
              <w:bottom w:val="single" w:sz="8" w:color="0000EE"/>
              <w:right w:val="single" w:sz="8" w:color="53C072"/>
            </w:tcBorders>
            <w:shd w:val="clear" w:color="auto" w:fill="CBECD5"/>
          </w:tcPr>
          <w:p>
            <w:pPr>
              <w:jc w:val="right"/>
              <w:spacing w:after="0" w:line="155" w:lineRule="exact"/>
              <w:rPr>
                <w:sz w:val="20"/>
                <w:szCs w:val="20"/>
                <w:color w:val="auto"/>
              </w:rPr>
            </w:pPr>
            <w:r>
              <w:rPr>
                <w:rFonts w:ascii="Arial" w:cs="Arial" w:eastAsia="Arial" w:hAnsi="Arial"/>
                <w:sz w:val="16"/>
                <w:szCs w:val="16"/>
                <w:color w:val="0000EE"/>
                <w:w w:val="89"/>
              </w:rPr>
              <w:t>43</w:t>
            </w:r>
          </w:p>
        </w:tc>
      </w:tr>
      <w:tr>
        <w:trPr>
          <w:trHeight w:val="216"/>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5"/>
            <w:shd w:val="clear" w:color="auto" w:fill="CBECD5"/>
          </w:tcPr>
          <w:p>
            <w:pPr>
              <w:spacing w:after="0"/>
              <w:rPr>
                <w:sz w:val="20"/>
                <w:szCs w:val="20"/>
                <w:color w:val="auto"/>
              </w:rPr>
            </w:pPr>
            <w:r>
              <w:rPr>
                <w:rFonts w:ascii="Arial" w:cs="Arial" w:eastAsia="Arial" w:hAnsi="Arial"/>
                <w:sz w:val="16"/>
                <w:szCs w:val="16"/>
                <w:color w:val="0000EE"/>
              </w:rPr>
              <w:t>Benchmarking</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43</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right w:val="single" w:sz="8" w:color="CBECD5"/>
            </w:tcBorders>
            <w:gridSpan w:val="2"/>
            <w:shd w:val="clear" w:color="auto" w:fill="CBECD5"/>
          </w:tcPr>
          <w:p>
            <w:pPr>
              <w:spacing w:after="0" w:line="20" w:lineRule="exact"/>
              <w:rPr>
                <w:sz w:val="1"/>
                <w:szCs w:val="1"/>
                <w:color w:val="auto"/>
              </w:rPr>
            </w:pPr>
          </w:p>
        </w:tc>
        <w:tc>
          <w:tcPr>
            <w:tcW w:w="220" w:type="dxa"/>
            <w:vAlign w:val="bottom"/>
            <w:tcBorders>
              <w:right w:val="single" w:sz="8" w:color="CBECD5"/>
            </w:tcBorders>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160" w:type="dxa"/>
            <w:vAlign w:val="bottom"/>
            <w:gridSpan w:val="3"/>
            <w:shd w:val="clear" w:color="auto" w:fill="CBECD5"/>
          </w:tcPr>
          <w:p>
            <w:pPr>
              <w:spacing w:after="0" w:line="20" w:lineRule="exact"/>
              <w:rPr>
                <w:sz w:val="1"/>
                <w:szCs w:val="1"/>
                <w:color w:val="auto"/>
              </w:rPr>
            </w:pPr>
          </w:p>
        </w:tc>
        <w:tc>
          <w:tcPr>
            <w:tcW w:w="360" w:type="dxa"/>
            <w:vAlign w:val="bottom"/>
            <w:gridSpan w:val="3"/>
            <w:shd w:val="clear" w:color="auto" w:fill="CBECD5"/>
          </w:tcPr>
          <w:p>
            <w:pPr>
              <w:spacing w:after="0" w:line="20" w:lineRule="exact"/>
              <w:rPr>
                <w:sz w:val="1"/>
                <w:szCs w:val="1"/>
                <w:color w:val="auto"/>
              </w:rPr>
            </w:pPr>
          </w:p>
        </w:tc>
        <w:tc>
          <w:tcPr>
            <w:tcW w:w="120" w:type="dxa"/>
            <w:vAlign w:val="bottom"/>
            <w:gridSpan w:val="3"/>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560" w:type="dxa"/>
            <w:vAlign w:val="bottom"/>
            <w:gridSpan w:val="4"/>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3480" w:type="dxa"/>
            <w:vAlign w:val="bottom"/>
            <w:gridSpan w:val="26"/>
            <w:shd w:val="clear" w:color="auto" w:fill="CBECD5"/>
          </w:tcPr>
          <w:p>
            <w:pPr>
              <w:spacing w:after="0"/>
              <w:rPr>
                <w:sz w:val="20"/>
                <w:szCs w:val="20"/>
                <w:color w:val="auto"/>
              </w:rPr>
            </w:pPr>
            <w:r>
              <w:rPr>
                <w:rFonts w:ascii="Arial" w:cs="Arial" w:eastAsia="Arial" w:hAnsi="Arial"/>
                <w:sz w:val="16"/>
                <w:szCs w:val="16"/>
                <w:b w:val="1"/>
                <w:bCs w:val="1"/>
                <w:color w:val="0000EE"/>
              </w:rPr>
              <w:t>Overview of Pay Programs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44</w:t>
            </w:r>
          </w:p>
        </w:tc>
      </w:tr>
      <w:tr>
        <w:trPr>
          <w:trHeight w:val="210"/>
        </w:trPr>
        <w:tc>
          <w:tcPr>
            <w:tcW w:w="120" w:type="dxa"/>
            <w:vAlign w:val="bottom"/>
            <w:tcBorders>
              <w:top w:val="single" w:sz="8" w:color="CBECD5"/>
              <w:left w:val="single" w:sz="8" w:color="53C072"/>
            </w:tcBorders>
            <w:shd w:val="clear" w:color="auto" w:fill="CBECD5"/>
          </w:tcPr>
          <w:p>
            <w:pPr>
              <w:spacing w:after="0"/>
              <w:rPr>
                <w:sz w:val="18"/>
                <w:szCs w:val="18"/>
                <w:color w:val="auto"/>
              </w:rPr>
            </w:pPr>
          </w:p>
        </w:tc>
        <w:tc>
          <w:tcPr>
            <w:tcW w:w="160" w:type="dxa"/>
            <w:vAlign w:val="bottom"/>
            <w:tcBorders>
              <w:top w:val="single" w:sz="8" w:color="0000EE"/>
            </w:tcBorders>
            <w:shd w:val="clear" w:color="auto" w:fill="CBECD5"/>
          </w:tcPr>
          <w:p>
            <w:pPr>
              <w:spacing w:after="0"/>
              <w:rPr>
                <w:sz w:val="18"/>
                <w:szCs w:val="18"/>
                <w:color w:val="auto"/>
              </w:rPr>
            </w:pPr>
          </w:p>
        </w:tc>
        <w:tc>
          <w:tcPr>
            <w:tcW w:w="1840" w:type="dxa"/>
            <w:vAlign w:val="bottom"/>
            <w:tcBorders>
              <w:top w:val="single" w:sz="8" w:color="0000EE"/>
            </w:tcBorders>
            <w:gridSpan w:val="9"/>
            <w:shd w:val="clear" w:color="auto" w:fill="CBECD5"/>
          </w:tcPr>
          <w:p>
            <w:pPr>
              <w:spacing w:after="0"/>
              <w:rPr>
                <w:sz w:val="20"/>
                <w:szCs w:val="20"/>
                <w:color w:val="auto"/>
              </w:rPr>
            </w:pPr>
            <w:r>
              <w:rPr>
                <w:rFonts w:ascii="Arial" w:cs="Arial" w:eastAsia="Arial" w:hAnsi="Arial"/>
                <w:sz w:val="16"/>
                <w:szCs w:val="16"/>
                <w:color w:val="0000EE"/>
              </w:rPr>
              <w:t>Pay Mix</w:t>
            </w:r>
          </w:p>
        </w:tc>
        <w:tc>
          <w:tcPr>
            <w:tcW w:w="1480" w:type="dxa"/>
            <w:vAlign w:val="bottom"/>
            <w:tcBorders>
              <w:top w:val="single" w:sz="8" w:color="CBECD5"/>
            </w:tcBorders>
            <w:gridSpan w:val="16"/>
            <w:shd w:val="clear" w:color="auto" w:fill="CBECD5"/>
          </w:tcPr>
          <w:p>
            <w:pPr>
              <w:spacing w:after="0"/>
              <w:rPr>
                <w:sz w:val="18"/>
                <w:szCs w:val="18"/>
                <w:color w:val="auto"/>
              </w:rPr>
            </w:pPr>
          </w:p>
        </w:tc>
        <w:tc>
          <w:tcPr>
            <w:tcW w:w="420" w:type="dxa"/>
            <w:vAlign w:val="bottom"/>
            <w:tcBorders>
              <w:top w:val="single" w:sz="8" w:color="CBECD5"/>
            </w:tcBorders>
            <w:shd w:val="clear" w:color="auto" w:fill="CBECD5"/>
          </w:tcPr>
          <w:p>
            <w:pPr>
              <w:spacing w:after="0"/>
              <w:rPr>
                <w:sz w:val="18"/>
                <w:szCs w:val="18"/>
                <w:color w:val="auto"/>
              </w:rPr>
            </w:pPr>
          </w:p>
        </w:tc>
        <w:tc>
          <w:tcPr>
            <w:tcW w:w="260" w:type="dxa"/>
            <w:vAlign w:val="bottom"/>
            <w:tcBorders>
              <w:top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45</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shd w:val="clear" w:color="auto" w:fill="CBECD5"/>
          </w:tcPr>
          <w:p>
            <w:pPr>
              <w:spacing w:after="0" w:line="20" w:lineRule="exact"/>
              <w:rPr>
                <w:sz w:val="1"/>
                <w:szCs w:val="1"/>
                <w:color w:val="auto"/>
              </w:rPr>
            </w:pPr>
          </w:p>
        </w:tc>
        <w:tc>
          <w:tcPr>
            <w:tcW w:w="520" w:type="dxa"/>
            <w:vAlign w:val="bottom"/>
            <w:tcBorders>
              <w:right w:val="single" w:sz="8" w:color="CBECD5"/>
            </w:tcBorders>
            <w:gridSpan w:val="3"/>
            <w:shd w:val="clear" w:color="auto" w:fill="CBECD5"/>
          </w:tcPr>
          <w:p>
            <w:pPr>
              <w:spacing w:after="0" w:line="20" w:lineRule="exact"/>
              <w:rPr>
                <w:sz w:val="1"/>
                <w:szCs w:val="1"/>
                <w:color w:val="auto"/>
              </w:rPr>
            </w:pPr>
          </w:p>
        </w:tc>
        <w:tc>
          <w:tcPr>
            <w:tcW w:w="220" w:type="dxa"/>
            <w:vAlign w:val="bottom"/>
            <w:tcBorders>
              <w:right w:val="single" w:sz="8" w:color="CBECD5"/>
            </w:tcBorders>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320" w:type="dxa"/>
            <w:vAlign w:val="bottom"/>
            <w:gridSpan w:val="4"/>
            <w:shd w:val="clear" w:color="auto" w:fill="CBECD5"/>
          </w:tcPr>
          <w:p>
            <w:pPr>
              <w:spacing w:after="0" w:line="20" w:lineRule="exact"/>
              <w:rPr>
                <w:sz w:val="1"/>
                <w:szCs w:val="1"/>
                <w:color w:val="auto"/>
              </w:rPr>
            </w:pPr>
          </w:p>
        </w:tc>
        <w:tc>
          <w:tcPr>
            <w:tcW w:w="360" w:type="dxa"/>
            <w:vAlign w:val="bottom"/>
            <w:gridSpan w:val="3"/>
            <w:shd w:val="clear" w:color="auto" w:fill="CBECD5"/>
          </w:tcPr>
          <w:p>
            <w:pPr>
              <w:spacing w:after="0" w:line="20" w:lineRule="exact"/>
              <w:rPr>
                <w:sz w:val="1"/>
                <w:szCs w:val="1"/>
                <w:color w:val="auto"/>
              </w:rPr>
            </w:pPr>
          </w:p>
        </w:tc>
        <w:tc>
          <w:tcPr>
            <w:tcW w:w="120" w:type="dxa"/>
            <w:vAlign w:val="bottom"/>
            <w:gridSpan w:val="3"/>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20" w:type="dxa"/>
            <w:vAlign w:val="bottom"/>
            <w:shd w:val="clear" w:color="auto" w:fill="CBECD5"/>
          </w:tcPr>
          <w:p>
            <w:pPr>
              <w:spacing w:after="0" w:line="20" w:lineRule="exact"/>
              <w:rPr>
                <w:sz w:val="1"/>
                <w:szCs w:val="1"/>
                <w:color w:val="auto"/>
              </w:rPr>
            </w:pPr>
          </w:p>
        </w:tc>
        <w:tc>
          <w:tcPr>
            <w:tcW w:w="560" w:type="dxa"/>
            <w:vAlign w:val="bottom"/>
            <w:gridSpan w:val="4"/>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5"/>
            <w:shd w:val="clear" w:color="auto" w:fill="CBECD5"/>
          </w:tcPr>
          <w:p>
            <w:pPr>
              <w:spacing w:after="0"/>
              <w:rPr>
                <w:sz w:val="20"/>
                <w:szCs w:val="20"/>
                <w:color w:val="auto"/>
              </w:rPr>
            </w:pPr>
            <w:r>
              <w:rPr>
                <w:rFonts w:ascii="Arial" w:cs="Arial" w:eastAsia="Arial" w:hAnsi="Arial"/>
                <w:sz w:val="16"/>
                <w:szCs w:val="16"/>
                <w:color w:val="0000EE"/>
              </w:rPr>
              <w:t>Compensation Governance Practices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46</w:t>
            </w:r>
          </w:p>
        </w:tc>
      </w:tr>
      <w:tr>
        <w:trPr>
          <w:trHeight w:val="209"/>
        </w:trPr>
        <w:tc>
          <w:tcPr>
            <w:tcW w:w="120" w:type="dxa"/>
            <w:vAlign w:val="bottom"/>
            <w:tcBorders>
              <w:top w:val="single" w:sz="8" w:color="CBECD5"/>
              <w:left w:val="single" w:sz="8" w:color="53C072"/>
            </w:tcBorders>
            <w:shd w:val="clear" w:color="auto" w:fill="CBECD5"/>
          </w:tcPr>
          <w:p>
            <w:pPr>
              <w:spacing w:after="0"/>
              <w:rPr>
                <w:sz w:val="18"/>
                <w:szCs w:val="18"/>
                <w:color w:val="auto"/>
              </w:rPr>
            </w:pPr>
          </w:p>
        </w:tc>
        <w:tc>
          <w:tcPr>
            <w:tcW w:w="160" w:type="dxa"/>
            <w:vAlign w:val="bottom"/>
            <w:tcBorders>
              <w:top w:val="single" w:sz="8" w:color="CBECD5"/>
            </w:tcBorders>
            <w:shd w:val="clear" w:color="auto" w:fill="CBECD5"/>
          </w:tcPr>
          <w:p>
            <w:pPr>
              <w:spacing w:after="0"/>
              <w:rPr>
                <w:sz w:val="18"/>
                <w:szCs w:val="18"/>
                <w:color w:val="auto"/>
              </w:rPr>
            </w:pPr>
          </w:p>
        </w:tc>
        <w:tc>
          <w:tcPr>
            <w:tcW w:w="2640" w:type="dxa"/>
            <w:vAlign w:val="bottom"/>
            <w:tcBorders>
              <w:top w:val="single" w:sz="8" w:color="0000EE"/>
            </w:tcBorders>
            <w:gridSpan w:val="19"/>
            <w:shd w:val="clear" w:color="auto" w:fill="CBECD5"/>
          </w:tcPr>
          <w:p>
            <w:pPr>
              <w:spacing w:after="0"/>
              <w:rPr>
                <w:sz w:val="20"/>
                <w:szCs w:val="20"/>
                <w:color w:val="auto"/>
              </w:rPr>
            </w:pPr>
            <w:r>
              <w:rPr>
                <w:rFonts w:ascii="Arial" w:cs="Arial" w:eastAsia="Arial" w:hAnsi="Arial"/>
                <w:sz w:val="16"/>
                <w:szCs w:val="16"/>
                <w:color w:val="0000EE"/>
              </w:rPr>
              <w:t>Compensation Risk Management</w:t>
            </w:r>
          </w:p>
        </w:tc>
        <w:tc>
          <w:tcPr>
            <w:tcW w:w="680" w:type="dxa"/>
            <w:vAlign w:val="bottom"/>
            <w:tcBorders>
              <w:top w:val="single" w:sz="8" w:color="CBECD5"/>
            </w:tcBorders>
            <w:gridSpan w:val="6"/>
            <w:shd w:val="clear" w:color="auto" w:fill="CBECD5"/>
          </w:tcPr>
          <w:p>
            <w:pPr>
              <w:spacing w:after="0"/>
              <w:rPr>
                <w:sz w:val="18"/>
                <w:szCs w:val="18"/>
                <w:color w:val="auto"/>
              </w:rPr>
            </w:pPr>
          </w:p>
        </w:tc>
        <w:tc>
          <w:tcPr>
            <w:tcW w:w="420" w:type="dxa"/>
            <w:vAlign w:val="bottom"/>
            <w:tcBorders>
              <w:top w:val="single" w:sz="8" w:color="CBECD5"/>
            </w:tcBorders>
            <w:shd w:val="clear" w:color="auto" w:fill="CBECD5"/>
          </w:tcPr>
          <w:p>
            <w:pPr>
              <w:spacing w:after="0"/>
              <w:rPr>
                <w:sz w:val="18"/>
                <w:szCs w:val="18"/>
                <w:color w:val="auto"/>
              </w:rPr>
            </w:pPr>
          </w:p>
        </w:tc>
        <w:tc>
          <w:tcPr>
            <w:tcW w:w="260" w:type="dxa"/>
            <w:vAlign w:val="bottom"/>
            <w:tcBorders>
              <w:top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47</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CBECD5"/>
          </w:tcPr>
          <w:p>
            <w:pPr>
              <w:spacing w:after="0" w:line="20" w:lineRule="exact"/>
              <w:rPr>
                <w:sz w:val="1"/>
                <w:szCs w:val="1"/>
                <w:color w:val="auto"/>
              </w:rPr>
            </w:pPr>
          </w:p>
        </w:tc>
        <w:tc>
          <w:tcPr>
            <w:tcW w:w="180" w:type="dxa"/>
            <w:vAlign w:val="bottom"/>
            <w:gridSpan w:val="2"/>
            <w:shd w:val="clear" w:color="auto" w:fill="CBECD5"/>
          </w:tcPr>
          <w:p>
            <w:pPr>
              <w:spacing w:after="0" w:line="20" w:lineRule="exact"/>
              <w:rPr>
                <w:sz w:val="1"/>
                <w:szCs w:val="1"/>
                <w:color w:val="auto"/>
              </w:rPr>
            </w:pPr>
          </w:p>
        </w:tc>
        <w:tc>
          <w:tcPr>
            <w:tcW w:w="560" w:type="dxa"/>
            <w:vAlign w:val="bottom"/>
            <w:gridSpan w:val="4"/>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3480" w:type="dxa"/>
            <w:vAlign w:val="bottom"/>
            <w:gridSpan w:val="26"/>
            <w:shd w:val="clear" w:color="auto" w:fill="CBECD5"/>
          </w:tcPr>
          <w:p>
            <w:pPr>
              <w:spacing w:after="0"/>
              <w:rPr>
                <w:sz w:val="20"/>
                <w:szCs w:val="20"/>
                <w:color w:val="auto"/>
              </w:rPr>
            </w:pPr>
            <w:r>
              <w:rPr>
                <w:rFonts w:ascii="Arial" w:cs="Arial" w:eastAsia="Arial" w:hAnsi="Arial"/>
                <w:sz w:val="16"/>
                <w:szCs w:val="16"/>
                <w:b w:val="1"/>
                <w:bCs w:val="1"/>
                <w:color w:val="0000EE"/>
              </w:rPr>
              <w:t>Elements of Executive Compensation</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47</w:t>
            </w:r>
          </w:p>
        </w:tc>
      </w:tr>
      <w:tr>
        <w:trPr>
          <w:trHeight w:val="210"/>
        </w:trPr>
        <w:tc>
          <w:tcPr>
            <w:tcW w:w="120" w:type="dxa"/>
            <w:vAlign w:val="bottom"/>
            <w:tcBorders>
              <w:top w:val="single" w:sz="8" w:color="CBECD5"/>
              <w:left w:val="single" w:sz="8" w:color="53C072"/>
            </w:tcBorders>
            <w:shd w:val="clear" w:color="auto" w:fill="CBECD5"/>
          </w:tcPr>
          <w:p>
            <w:pPr>
              <w:spacing w:after="0"/>
              <w:rPr>
                <w:sz w:val="18"/>
                <w:szCs w:val="18"/>
                <w:color w:val="auto"/>
              </w:rPr>
            </w:pPr>
          </w:p>
        </w:tc>
        <w:tc>
          <w:tcPr>
            <w:tcW w:w="160" w:type="dxa"/>
            <w:vAlign w:val="bottom"/>
            <w:tcBorders>
              <w:top w:val="single" w:sz="8" w:color="0000EE"/>
            </w:tcBorders>
            <w:shd w:val="clear" w:color="auto" w:fill="CBECD5"/>
          </w:tcPr>
          <w:p>
            <w:pPr>
              <w:spacing w:after="0"/>
              <w:rPr>
                <w:sz w:val="18"/>
                <w:szCs w:val="18"/>
                <w:color w:val="auto"/>
              </w:rPr>
            </w:pPr>
          </w:p>
        </w:tc>
        <w:tc>
          <w:tcPr>
            <w:tcW w:w="2660" w:type="dxa"/>
            <w:vAlign w:val="bottom"/>
            <w:tcBorders>
              <w:top w:val="single" w:sz="8" w:color="0000EE"/>
            </w:tcBorders>
            <w:gridSpan w:val="20"/>
            <w:shd w:val="clear" w:color="auto" w:fill="CBECD5"/>
          </w:tcPr>
          <w:p>
            <w:pPr>
              <w:spacing w:after="0"/>
              <w:rPr>
                <w:sz w:val="20"/>
                <w:szCs w:val="20"/>
                <w:color w:val="auto"/>
              </w:rPr>
            </w:pPr>
            <w:r>
              <w:rPr>
                <w:rFonts w:ascii="Arial" w:cs="Arial" w:eastAsia="Arial" w:hAnsi="Arial"/>
                <w:sz w:val="16"/>
                <w:szCs w:val="16"/>
                <w:color w:val="0000EE"/>
              </w:rPr>
              <w:t>Base Salary</w:t>
            </w:r>
          </w:p>
        </w:tc>
        <w:tc>
          <w:tcPr>
            <w:tcW w:w="660" w:type="dxa"/>
            <w:vAlign w:val="bottom"/>
            <w:tcBorders>
              <w:top w:val="single" w:sz="8" w:color="CBECD5"/>
            </w:tcBorders>
            <w:gridSpan w:val="5"/>
            <w:shd w:val="clear" w:color="auto" w:fill="CBECD5"/>
          </w:tcPr>
          <w:p>
            <w:pPr>
              <w:spacing w:after="0"/>
              <w:rPr>
                <w:sz w:val="18"/>
                <w:szCs w:val="18"/>
                <w:color w:val="auto"/>
              </w:rPr>
            </w:pPr>
          </w:p>
        </w:tc>
        <w:tc>
          <w:tcPr>
            <w:tcW w:w="420" w:type="dxa"/>
            <w:vAlign w:val="bottom"/>
            <w:tcBorders>
              <w:top w:val="single" w:sz="8" w:color="CBECD5"/>
            </w:tcBorders>
            <w:shd w:val="clear" w:color="auto" w:fill="CBECD5"/>
          </w:tcPr>
          <w:p>
            <w:pPr>
              <w:spacing w:after="0"/>
              <w:rPr>
                <w:sz w:val="18"/>
                <w:szCs w:val="18"/>
                <w:color w:val="auto"/>
              </w:rPr>
            </w:pPr>
          </w:p>
        </w:tc>
        <w:tc>
          <w:tcPr>
            <w:tcW w:w="260" w:type="dxa"/>
            <w:vAlign w:val="bottom"/>
            <w:tcBorders>
              <w:top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47</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CBECD5"/>
            </w:tcBorders>
            <w:gridSpan w:val="3"/>
            <w:shd w:val="clear" w:color="auto" w:fill="CBECD5"/>
          </w:tcPr>
          <w:p>
            <w:pPr>
              <w:spacing w:after="0" w:line="20" w:lineRule="exact"/>
              <w:rPr>
                <w:sz w:val="1"/>
                <w:szCs w:val="1"/>
                <w:color w:val="auto"/>
              </w:rPr>
            </w:pPr>
          </w:p>
        </w:tc>
        <w:tc>
          <w:tcPr>
            <w:tcW w:w="220" w:type="dxa"/>
            <w:vAlign w:val="bottom"/>
            <w:tcBorders>
              <w:right w:val="single" w:sz="8" w:color="CBECD5"/>
            </w:tcBorders>
            <w:shd w:val="clear" w:color="auto" w:fill="CBECD5"/>
          </w:tcPr>
          <w:p>
            <w:pPr>
              <w:spacing w:after="0" w:line="20" w:lineRule="exact"/>
              <w:rPr>
                <w:sz w:val="1"/>
                <w:szCs w:val="1"/>
                <w:color w:val="auto"/>
              </w:rPr>
            </w:pPr>
          </w:p>
        </w:tc>
        <w:tc>
          <w:tcPr>
            <w:tcW w:w="80" w:type="dxa"/>
            <w:vAlign w:val="bottom"/>
            <w:shd w:val="clear" w:color="auto" w:fill="CBECD5"/>
          </w:tcPr>
          <w:p>
            <w:pPr>
              <w:spacing w:after="0" w:line="20" w:lineRule="exact"/>
              <w:rPr>
                <w:sz w:val="1"/>
                <w:szCs w:val="1"/>
                <w:color w:val="auto"/>
              </w:rPr>
            </w:pPr>
          </w:p>
        </w:tc>
        <w:tc>
          <w:tcPr>
            <w:tcW w:w="320" w:type="dxa"/>
            <w:vAlign w:val="bottom"/>
            <w:gridSpan w:val="4"/>
            <w:shd w:val="clear" w:color="auto" w:fill="CBECD5"/>
          </w:tcPr>
          <w:p>
            <w:pPr>
              <w:spacing w:after="0" w:line="20" w:lineRule="exact"/>
              <w:rPr>
                <w:sz w:val="1"/>
                <w:szCs w:val="1"/>
                <w:color w:val="auto"/>
              </w:rPr>
            </w:pPr>
          </w:p>
        </w:tc>
        <w:tc>
          <w:tcPr>
            <w:tcW w:w="480" w:type="dxa"/>
            <w:vAlign w:val="bottom"/>
            <w:gridSpan w:val="6"/>
            <w:shd w:val="clear" w:color="auto" w:fill="CBECD5"/>
          </w:tcPr>
          <w:p>
            <w:pPr>
              <w:spacing w:after="0" w:line="20" w:lineRule="exact"/>
              <w:rPr>
                <w:sz w:val="1"/>
                <w:szCs w:val="1"/>
                <w:color w:val="auto"/>
              </w:rPr>
            </w:pPr>
          </w:p>
        </w:tc>
        <w:tc>
          <w:tcPr>
            <w:tcW w:w="740" w:type="dxa"/>
            <w:vAlign w:val="bottom"/>
            <w:gridSpan w:val="6"/>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bottom w:val="single" w:sz="8" w:color="CBECD5"/>
            </w:tcBorders>
            <w:shd w:val="clear" w:color="auto" w:fill="CBECD5"/>
          </w:tcPr>
          <w:p>
            <w:pPr>
              <w:spacing w:after="0"/>
              <w:rPr>
                <w:sz w:val="18"/>
                <w:szCs w:val="18"/>
                <w:color w:val="auto"/>
              </w:rPr>
            </w:pPr>
          </w:p>
        </w:tc>
        <w:tc>
          <w:tcPr>
            <w:tcW w:w="160" w:type="dxa"/>
            <w:vAlign w:val="bottom"/>
            <w:tcBorders>
              <w:bottom w:val="single" w:sz="8" w:color="CBECD5"/>
            </w:tcBorders>
            <w:shd w:val="clear" w:color="auto" w:fill="CBECD5"/>
          </w:tcPr>
          <w:p>
            <w:pPr>
              <w:spacing w:after="0"/>
              <w:rPr>
                <w:sz w:val="18"/>
                <w:szCs w:val="18"/>
                <w:color w:val="auto"/>
              </w:rPr>
            </w:pPr>
          </w:p>
        </w:tc>
        <w:tc>
          <w:tcPr>
            <w:tcW w:w="1680" w:type="dxa"/>
            <w:vAlign w:val="bottom"/>
            <w:tcBorders>
              <w:bottom w:val="single" w:sz="8" w:color="0000EE"/>
            </w:tcBorders>
            <w:gridSpan w:val="8"/>
            <w:shd w:val="clear" w:color="auto" w:fill="CBECD5"/>
          </w:tcPr>
          <w:p>
            <w:pPr>
              <w:spacing w:after="0"/>
              <w:rPr>
                <w:sz w:val="20"/>
                <w:szCs w:val="20"/>
                <w:color w:val="auto"/>
              </w:rPr>
            </w:pPr>
            <w:r>
              <w:rPr>
                <w:rFonts w:ascii="Arial" w:cs="Arial" w:eastAsia="Arial" w:hAnsi="Arial"/>
                <w:sz w:val="16"/>
                <w:szCs w:val="16"/>
                <w:color w:val="0000EE"/>
                <w:w w:val="98"/>
              </w:rPr>
              <w:t>Annual Cash Incentives</w:t>
            </w:r>
          </w:p>
        </w:tc>
        <w:tc>
          <w:tcPr>
            <w:tcW w:w="1640" w:type="dxa"/>
            <w:vAlign w:val="bottom"/>
            <w:tcBorders>
              <w:bottom w:val="single" w:sz="8" w:color="CBECD5"/>
            </w:tcBorders>
            <w:gridSpan w:val="17"/>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48</w:t>
            </w:r>
          </w:p>
        </w:tc>
      </w:tr>
      <w:tr>
        <w:trPr>
          <w:trHeight w:val="209"/>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5"/>
            <w:shd w:val="clear" w:color="auto" w:fill="CBECD5"/>
          </w:tcPr>
          <w:p>
            <w:pPr>
              <w:spacing w:after="0"/>
              <w:rPr>
                <w:sz w:val="20"/>
                <w:szCs w:val="20"/>
                <w:color w:val="auto"/>
              </w:rPr>
            </w:pPr>
            <w:r>
              <w:rPr>
                <w:rFonts w:ascii="Arial" w:cs="Arial" w:eastAsia="Arial" w:hAnsi="Arial"/>
                <w:sz w:val="16"/>
                <w:szCs w:val="16"/>
                <w:color w:val="0000EE"/>
              </w:rPr>
              <w:t>Long-Term Incentives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51</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138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5"/>
            <w:shd w:val="clear" w:color="auto" w:fill="CBECD5"/>
          </w:tcPr>
          <w:p>
            <w:pPr>
              <w:spacing w:after="0" w:line="20" w:lineRule="exact"/>
              <w:rPr>
                <w:sz w:val="1"/>
                <w:szCs w:val="1"/>
                <w:color w:val="auto"/>
              </w:rPr>
            </w:pPr>
          </w:p>
        </w:tc>
        <w:tc>
          <w:tcPr>
            <w:tcW w:w="480" w:type="dxa"/>
            <w:vAlign w:val="bottom"/>
            <w:gridSpan w:val="6"/>
            <w:shd w:val="clear" w:color="auto" w:fill="CBECD5"/>
          </w:tcPr>
          <w:p>
            <w:pPr>
              <w:spacing w:after="0" w:line="20" w:lineRule="exact"/>
              <w:rPr>
                <w:sz w:val="1"/>
                <w:szCs w:val="1"/>
                <w:color w:val="auto"/>
              </w:rPr>
            </w:pPr>
          </w:p>
        </w:tc>
        <w:tc>
          <w:tcPr>
            <w:tcW w:w="740" w:type="dxa"/>
            <w:vAlign w:val="bottom"/>
            <w:gridSpan w:val="6"/>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5"/>
            <w:shd w:val="clear" w:color="auto" w:fill="CBECD5"/>
          </w:tcPr>
          <w:p>
            <w:pPr>
              <w:spacing w:after="0"/>
              <w:rPr>
                <w:sz w:val="20"/>
                <w:szCs w:val="20"/>
                <w:color w:val="auto"/>
              </w:rPr>
            </w:pPr>
            <w:r>
              <w:rPr>
                <w:rFonts w:ascii="Arial" w:cs="Arial" w:eastAsia="Arial" w:hAnsi="Arial"/>
                <w:sz w:val="16"/>
                <w:szCs w:val="16"/>
                <w:color w:val="0000EE"/>
              </w:rPr>
              <w:t>Additional Compensation Elements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53</w:t>
            </w:r>
          </w:p>
        </w:tc>
      </w:tr>
      <w:tr>
        <w:trPr>
          <w:trHeight w:val="20"/>
        </w:trPr>
        <w:tc>
          <w:tcPr>
            <w:tcW w:w="120" w:type="dxa"/>
            <w:vAlign w:val="bottom"/>
            <w:tcBorders>
              <w:left w:val="single" w:sz="8" w:color="53C072"/>
            </w:tcBorders>
            <w:shd w:val="clear" w:color="auto" w:fill="CBECD5"/>
          </w:tcPr>
          <w:p>
            <w:pPr>
              <w:spacing w:after="0" w:line="20" w:lineRule="exact"/>
              <w:rPr>
                <w:sz w:val="1"/>
                <w:szCs w:val="1"/>
                <w:color w:val="auto"/>
              </w:rPr>
            </w:pPr>
          </w:p>
        </w:tc>
        <w:tc>
          <w:tcPr>
            <w:tcW w:w="160" w:type="dxa"/>
            <w:vAlign w:val="bottom"/>
            <w:shd w:val="clear" w:color="auto" w:fill="CBECD5"/>
          </w:tcPr>
          <w:p>
            <w:pPr>
              <w:spacing w:after="0" w:line="20" w:lineRule="exact"/>
              <w:rPr>
                <w:sz w:val="1"/>
                <w:szCs w:val="1"/>
                <w:color w:val="auto"/>
              </w:rPr>
            </w:pPr>
          </w:p>
        </w:tc>
        <w:tc>
          <w:tcPr>
            <w:tcW w:w="138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740" w:type="dxa"/>
            <w:vAlign w:val="bottom"/>
            <w:gridSpan w:val="6"/>
            <w:shd w:val="clear" w:color="auto" w:fill="CBECD5"/>
          </w:tcPr>
          <w:p>
            <w:pPr>
              <w:spacing w:after="0" w:line="20" w:lineRule="exact"/>
              <w:rPr>
                <w:sz w:val="1"/>
                <w:szCs w:val="1"/>
                <w:color w:val="auto"/>
              </w:rPr>
            </w:pPr>
          </w:p>
        </w:tc>
        <w:tc>
          <w:tcPr>
            <w:tcW w:w="100" w:type="dxa"/>
            <w:vAlign w:val="bottom"/>
            <w:shd w:val="clear" w:color="auto" w:fill="CBECD5"/>
          </w:tcPr>
          <w:p>
            <w:pPr>
              <w:spacing w:after="0" w:line="20" w:lineRule="exact"/>
              <w:rPr>
                <w:sz w:val="1"/>
                <w:szCs w:val="1"/>
                <w:color w:val="auto"/>
              </w:rPr>
            </w:pPr>
          </w:p>
        </w:tc>
        <w:tc>
          <w:tcPr>
            <w:tcW w:w="420" w:type="dxa"/>
            <w:vAlign w:val="bottom"/>
            <w:shd w:val="clear" w:color="auto" w:fill="CBECD5"/>
          </w:tcPr>
          <w:p>
            <w:pPr>
              <w:spacing w:after="0" w:line="20" w:lineRule="exact"/>
              <w:rPr>
                <w:sz w:val="1"/>
                <w:szCs w:val="1"/>
                <w:color w:val="auto"/>
              </w:rPr>
            </w:pPr>
          </w:p>
        </w:tc>
        <w:tc>
          <w:tcPr>
            <w:tcW w:w="260" w:type="dxa"/>
            <w:vAlign w:val="bottom"/>
            <w:tcBorders>
              <w:right w:val="single" w:sz="8" w:color="53C072"/>
            </w:tcBorders>
            <w:shd w:val="clear" w:color="auto" w:fill="0000EE"/>
          </w:tcPr>
          <w:p>
            <w:pPr>
              <w:spacing w:after="0" w:line="20" w:lineRule="exact"/>
              <w:rPr>
                <w:sz w:val="1"/>
                <w:szCs w:val="1"/>
                <w:color w:val="auto"/>
              </w:rPr>
            </w:pPr>
          </w:p>
        </w:tc>
      </w:tr>
      <w:tr>
        <w:trPr>
          <w:trHeight w:val="210"/>
        </w:trPr>
        <w:tc>
          <w:tcPr>
            <w:tcW w:w="120" w:type="dxa"/>
            <w:vAlign w:val="bottom"/>
            <w:tcBorders>
              <w:left w:val="single" w:sz="8" w:color="53C072"/>
              <w:bottom w:val="single" w:sz="8" w:color="CBECD5"/>
            </w:tcBorders>
            <w:shd w:val="clear" w:color="auto" w:fill="CBECD5"/>
          </w:tcPr>
          <w:p>
            <w:pPr>
              <w:spacing w:after="0"/>
              <w:rPr>
                <w:sz w:val="18"/>
                <w:szCs w:val="18"/>
                <w:color w:val="auto"/>
              </w:rPr>
            </w:pPr>
          </w:p>
        </w:tc>
        <w:tc>
          <w:tcPr>
            <w:tcW w:w="3380" w:type="dxa"/>
            <w:vAlign w:val="bottom"/>
            <w:tcBorders>
              <w:bottom w:val="single" w:sz="8" w:color="0000EE"/>
            </w:tcBorders>
            <w:gridSpan w:val="25"/>
            <w:shd w:val="clear" w:color="auto" w:fill="CBECD5"/>
          </w:tcPr>
          <w:p>
            <w:pPr>
              <w:spacing w:after="0"/>
              <w:rPr>
                <w:sz w:val="20"/>
                <w:szCs w:val="20"/>
                <w:color w:val="auto"/>
              </w:rPr>
            </w:pPr>
            <w:r>
              <w:rPr>
                <w:rFonts w:ascii="Arial" w:cs="Arial" w:eastAsia="Arial" w:hAnsi="Arial"/>
                <w:sz w:val="16"/>
                <w:szCs w:val="16"/>
                <w:b w:val="1"/>
                <w:bCs w:val="1"/>
                <w:color w:val="0000EE"/>
                <w:w w:val="98"/>
              </w:rPr>
              <w:t>Additional Practices, Policies and Guidelines</w:t>
            </w:r>
          </w:p>
        </w:tc>
        <w:tc>
          <w:tcPr>
            <w:tcW w:w="100" w:type="dxa"/>
            <w:vAlign w:val="bottom"/>
            <w:tcBorders>
              <w:bottom w:val="single" w:sz="8" w:color="CBECD5"/>
            </w:tcBorders>
            <w:shd w:val="clear" w:color="auto" w:fill="CBECD5"/>
          </w:tcPr>
          <w:p>
            <w:pPr>
              <w:spacing w:after="0"/>
              <w:rPr>
                <w:sz w:val="18"/>
                <w:szCs w:val="18"/>
                <w:color w:val="auto"/>
              </w:rPr>
            </w:pPr>
          </w:p>
        </w:tc>
        <w:tc>
          <w:tcPr>
            <w:tcW w:w="420" w:type="dxa"/>
            <w:vAlign w:val="bottom"/>
            <w:tcBorders>
              <w:bottom w:val="single" w:sz="8" w:color="CBECD5"/>
            </w:tcBorders>
            <w:shd w:val="clear" w:color="auto" w:fill="CBECD5"/>
          </w:tcPr>
          <w:p>
            <w:pPr>
              <w:spacing w:after="0"/>
              <w:rPr>
                <w:sz w:val="18"/>
                <w:szCs w:val="18"/>
                <w:color w:val="auto"/>
              </w:rPr>
            </w:pPr>
          </w:p>
        </w:tc>
        <w:tc>
          <w:tcPr>
            <w:tcW w:w="260" w:type="dxa"/>
            <w:vAlign w:val="bottom"/>
            <w:tcBorders>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54</w:t>
            </w: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5"/>
            <w:shd w:val="clear" w:color="auto" w:fill="CBECD5"/>
          </w:tcPr>
          <w:p>
            <w:pPr>
              <w:spacing w:after="0"/>
              <w:rPr>
                <w:sz w:val="20"/>
                <w:szCs w:val="20"/>
                <w:color w:val="auto"/>
              </w:rPr>
            </w:pPr>
            <w:r>
              <w:rPr>
                <w:rFonts w:ascii="Arial" w:cs="Arial" w:eastAsia="Arial" w:hAnsi="Arial"/>
                <w:sz w:val="16"/>
                <w:szCs w:val="16"/>
                <w:color w:val="0000EE"/>
              </w:rPr>
              <w:t>Stock Ownership Guidelines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54</w:t>
            </w:r>
          </w:p>
        </w:tc>
      </w:tr>
      <w:tr>
        <w:trPr>
          <w:trHeight w:val="209"/>
        </w:trPr>
        <w:tc>
          <w:tcPr>
            <w:tcW w:w="120" w:type="dxa"/>
            <w:vAlign w:val="bottom"/>
            <w:tcBorders>
              <w:top w:val="single" w:sz="8" w:color="CBECD5"/>
              <w:left w:val="single" w:sz="8" w:color="53C072"/>
              <w:bottom w:val="single" w:sz="8" w:color="CBECD5"/>
            </w:tcBorders>
            <w:shd w:val="clear" w:color="auto" w:fill="CBECD5"/>
          </w:tcPr>
          <w:p>
            <w:pPr>
              <w:spacing w:after="0"/>
              <w:rPr>
                <w:sz w:val="18"/>
                <w:szCs w:val="18"/>
                <w:color w:val="auto"/>
              </w:rPr>
            </w:pPr>
          </w:p>
        </w:tc>
        <w:tc>
          <w:tcPr>
            <w:tcW w:w="160" w:type="dxa"/>
            <w:vAlign w:val="bottom"/>
            <w:tcBorders>
              <w:top w:val="single" w:sz="8" w:color="CBECD5"/>
              <w:bottom w:val="single" w:sz="8" w:color="CBECD5"/>
            </w:tcBorders>
            <w:shd w:val="clear" w:color="auto" w:fill="CBECD5"/>
          </w:tcPr>
          <w:p>
            <w:pPr>
              <w:spacing w:after="0"/>
              <w:rPr>
                <w:sz w:val="18"/>
                <w:szCs w:val="18"/>
                <w:color w:val="auto"/>
              </w:rPr>
            </w:pPr>
          </w:p>
        </w:tc>
        <w:tc>
          <w:tcPr>
            <w:tcW w:w="1380" w:type="dxa"/>
            <w:vAlign w:val="bottom"/>
            <w:tcBorders>
              <w:top w:val="single" w:sz="8" w:color="0000EE"/>
              <w:bottom w:val="single" w:sz="8" w:color="0000EE"/>
              <w:right w:val="single" w:sz="8" w:color="CBECD5"/>
            </w:tcBorders>
            <w:gridSpan w:val="6"/>
            <w:shd w:val="clear" w:color="auto" w:fill="CBECD5"/>
          </w:tcPr>
          <w:p>
            <w:pPr>
              <w:spacing w:after="0"/>
              <w:rPr>
                <w:sz w:val="20"/>
                <w:szCs w:val="20"/>
                <w:color w:val="auto"/>
              </w:rPr>
            </w:pPr>
            <w:r>
              <w:rPr>
                <w:rFonts w:ascii="Arial" w:cs="Arial" w:eastAsia="Arial" w:hAnsi="Arial"/>
                <w:sz w:val="16"/>
                <w:szCs w:val="16"/>
                <w:color w:val="0000EE"/>
                <w:w w:val="97"/>
              </w:rPr>
              <w:t>Recoupment Policy</w:t>
            </w:r>
          </w:p>
        </w:tc>
        <w:tc>
          <w:tcPr>
            <w:tcW w:w="620" w:type="dxa"/>
            <w:vAlign w:val="bottom"/>
            <w:tcBorders>
              <w:top w:val="single" w:sz="8" w:color="0000EE"/>
              <w:bottom w:val="single" w:sz="8" w:color="CBECD5"/>
            </w:tcBorders>
            <w:gridSpan w:val="6"/>
            <w:shd w:val="clear" w:color="auto" w:fill="CBECD5"/>
          </w:tcPr>
          <w:p>
            <w:pPr>
              <w:spacing w:after="0"/>
              <w:rPr>
                <w:sz w:val="18"/>
                <w:szCs w:val="18"/>
                <w:color w:val="auto"/>
              </w:rPr>
            </w:pPr>
          </w:p>
        </w:tc>
        <w:tc>
          <w:tcPr>
            <w:tcW w:w="1320" w:type="dxa"/>
            <w:vAlign w:val="bottom"/>
            <w:tcBorders>
              <w:top w:val="single" w:sz="8" w:color="CBECD5"/>
              <w:bottom w:val="single" w:sz="8" w:color="CBECD5"/>
            </w:tcBorders>
            <w:gridSpan w:val="13"/>
            <w:shd w:val="clear" w:color="auto" w:fill="CBECD5"/>
          </w:tcPr>
          <w:p>
            <w:pPr>
              <w:spacing w:after="0"/>
              <w:rPr>
                <w:sz w:val="18"/>
                <w:szCs w:val="18"/>
                <w:color w:val="auto"/>
              </w:rPr>
            </w:pPr>
          </w:p>
        </w:tc>
        <w:tc>
          <w:tcPr>
            <w:tcW w:w="420" w:type="dxa"/>
            <w:vAlign w:val="bottom"/>
            <w:tcBorders>
              <w:top w:val="single" w:sz="8" w:color="CBECD5"/>
              <w:bottom w:val="single" w:sz="8" w:color="CBECD5"/>
            </w:tcBorders>
            <w:shd w:val="clear" w:color="auto" w:fill="CBECD5"/>
          </w:tcPr>
          <w:p>
            <w:pPr>
              <w:spacing w:after="0"/>
              <w:rPr>
                <w:sz w:val="18"/>
                <w:szCs w:val="18"/>
                <w:color w:val="auto"/>
              </w:rPr>
            </w:pPr>
          </w:p>
        </w:tc>
        <w:tc>
          <w:tcPr>
            <w:tcW w:w="260" w:type="dxa"/>
            <w:vAlign w:val="bottom"/>
            <w:tcBorders>
              <w:top w:val="single" w:sz="8" w:color="0000EE"/>
              <w:bottom w:val="single" w:sz="8" w:color="0000EE"/>
              <w:right w:val="single" w:sz="8" w:color="53C072"/>
            </w:tcBorders>
            <w:shd w:val="clear" w:color="auto" w:fill="CBECD5"/>
          </w:tcPr>
          <w:p>
            <w:pPr>
              <w:jc w:val="right"/>
              <w:spacing w:after="0"/>
              <w:rPr>
                <w:sz w:val="20"/>
                <w:szCs w:val="20"/>
                <w:color w:val="auto"/>
              </w:rPr>
            </w:pPr>
            <w:r>
              <w:rPr>
                <w:rFonts w:ascii="Arial" w:cs="Arial" w:eastAsia="Arial" w:hAnsi="Arial"/>
                <w:sz w:val="16"/>
                <w:szCs w:val="16"/>
                <w:color w:val="0000EE"/>
                <w:w w:val="89"/>
              </w:rPr>
              <w:t>55</w:t>
            </w:r>
          </w:p>
        </w:tc>
      </w:tr>
      <w:tr>
        <w:trPr>
          <w:trHeight w:val="210"/>
        </w:trPr>
        <w:tc>
          <w:tcPr>
            <w:tcW w:w="120" w:type="dxa"/>
            <w:vAlign w:val="bottom"/>
            <w:tcBorders>
              <w:left w:val="single" w:sz="8" w:color="53C072"/>
            </w:tcBorders>
            <w:shd w:val="clear" w:color="auto" w:fill="CBECD5"/>
          </w:tcPr>
          <w:p>
            <w:pPr>
              <w:spacing w:after="0"/>
              <w:rPr>
                <w:sz w:val="18"/>
                <w:szCs w:val="18"/>
                <w:color w:val="auto"/>
              </w:rPr>
            </w:pPr>
          </w:p>
        </w:tc>
        <w:tc>
          <w:tcPr>
            <w:tcW w:w="160" w:type="dxa"/>
            <w:vAlign w:val="bottom"/>
            <w:shd w:val="clear" w:color="auto" w:fill="CBECD5"/>
          </w:tcPr>
          <w:p>
            <w:pPr>
              <w:spacing w:after="0"/>
              <w:rPr>
                <w:sz w:val="18"/>
                <w:szCs w:val="18"/>
                <w:color w:val="auto"/>
              </w:rPr>
            </w:pPr>
          </w:p>
        </w:tc>
        <w:tc>
          <w:tcPr>
            <w:tcW w:w="3320" w:type="dxa"/>
            <w:vAlign w:val="bottom"/>
            <w:gridSpan w:val="25"/>
            <w:shd w:val="clear" w:color="auto" w:fill="CBECD5"/>
          </w:tcPr>
          <w:p>
            <w:pPr>
              <w:spacing w:after="0"/>
              <w:rPr>
                <w:sz w:val="20"/>
                <w:szCs w:val="20"/>
                <w:color w:val="auto"/>
              </w:rPr>
            </w:pPr>
            <w:r>
              <w:rPr>
                <w:rFonts w:ascii="Arial" w:cs="Arial" w:eastAsia="Arial" w:hAnsi="Arial"/>
                <w:sz w:val="16"/>
                <w:szCs w:val="16"/>
                <w:color w:val="0000EE"/>
              </w:rPr>
              <w:t>Equity Grant Practices</w:t>
            </w:r>
          </w:p>
        </w:tc>
        <w:tc>
          <w:tcPr>
            <w:tcW w:w="680" w:type="dxa"/>
            <w:vAlign w:val="bottom"/>
            <w:tcBorders>
              <w:right w:val="single" w:sz="8" w:color="53C072"/>
            </w:tcBorders>
            <w:gridSpan w:val="2"/>
            <w:shd w:val="clear" w:color="auto" w:fill="CBECD5"/>
          </w:tcPr>
          <w:p>
            <w:pPr>
              <w:jc w:val="right"/>
              <w:spacing w:after="0"/>
              <w:rPr>
                <w:sz w:val="20"/>
                <w:szCs w:val="20"/>
                <w:color w:val="auto"/>
              </w:rPr>
            </w:pPr>
            <w:r>
              <w:rPr>
                <w:rFonts w:ascii="Arial" w:cs="Arial" w:eastAsia="Arial" w:hAnsi="Arial"/>
                <w:sz w:val="16"/>
                <w:szCs w:val="16"/>
                <w:color w:val="0000EE"/>
              </w:rPr>
              <w:t>55</w:t>
            </w:r>
          </w:p>
        </w:tc>
      </w:tr>
      <w:tr>
        <w:trPr>
          <w:trHeight w:val="61"/>
        </w:trPr>
        <w:tc>
          <w:tcPr>
            <w:tcW w:w="120" w:type="dxa"/>
            <w:vAlign w:val="bottom"/>
            <w:tcBorders>
              <w:top w:val="single" w:sz="8" w:color="CBECD5"/>
              <w:left w:val="single" w:sz="8" w:color="53C072"/>
              <w:bottom w:val="single" w:sz="8" w:color="53C072"/>
            </w:tcBorders>
            <w:shd w:val="clear" w:color="auto" w:fill="CBECD5"/>
          </w:tcPr>
          <w:p>
            <w:pPr>
              <w:spacing w:after="0"/>
              <w:rPr>
                <w:sz w:val="5"/>
                <w:szCs w:val="5"/>
                <w:color w:val="auto"/>
              </w:rPr>
            </w:pPr>
          </w:p>
        </w:tc>
        <w:tc>
          <w:tcPr>
            <w:tcW w:w="160" w:type="dxa"/>
            <w:vAlign w:val="bottom"/>
            <w:tcBorders>
              <w:top w:val="single" w:sz="8" w:color="CBECD5"/>
              <w:bottom w:val="single" w:sz="8" w:color="53C072"/>
            </w:tcBorders>
            <w:shd w:val="clear" w:color="auto" w:fill="CBECD5"/>
          </w:tcPr>
          <w:p>
            <w:pPr>
              <w:spacing w:after="0"/>
              <w:rPr>
                <w:sz w:val="5"/>
                <w:szCs w:val="5"/>
                <w:color w:val="auto"/>
              </w:rPr>
            </w:pPr>
          </w:p>
        </w:tc>
        <w:tc>
          <w:tcPr>
            <w:tcW w:w="560" w:type="dxa"/>
            <w:vAlign w:val="bottom"/>
            <w:tcBorders>
              <w:top w:val="single" w:sz="8" w:color="0000EE"/>
              <w:bottom w:val="single" w:sz="8" w:color="53C072"/>
            </w:tcBorders>
            <w:shd w:val="clear" w:color="auto" w:fill="CBECD5"/>
          </w:tcPr>
          <w:p>
            <w:pPr>
              <w:spacing w:after="0"/>
              <w:rPr>
                <w:sz w:val="5"/>
                <w:szCs w:val="5"/>
                <w:color w:val="auto"/>
              </w:rPr>
            </w:pPr>
          </w:p>
        </w:tc>
        <w:tc>
          <w:tcPr>
            <w:tcW w:w="200" w:type="dxa"/>
            <w:vAlign w:val="bottom"/>
            <w:tcBorders>
              <w:top w:val="single" w:sz="8" w:color="0000EE"/>
              <w:bottom w:val="single" w:sz="8" w:color="53C072"/>
            </w:tcBorders>
            <w:shd w:val="clear" w:color="auto" w:fill="CBECD5"/>
          </w:tcPr>
          <w:p>
            <w:pPr>
              <w:spacing w:after="0"/>
              <w:rPr>
                <w:sz w:val="5"/>
                <w:szCs w:val="5"/>
                <w:color w:val="auto"/>
              </w:rPr>
            </w:pPr>
          </w:p>
        </w:tc>
        <w:tc>
          <w:tcPr>
            <w:tcW w:w="100" w:type="dxa"/>
            <w:vAlign w:val="bottom"/>
            <w:tcBorders>
              <w:top w:val="single" w:sz="8" w:color="0000EE"/>
              <w:bottom w:val="single" w:sz="8" w:color="53C072"/>
            </w:tcBorders>
            <w:shd w:val="clear" w:color="auto" w:fill="CBECD5"/>
          </w:tcPr>
          <w:p>
            <w:pPr>
              <w:spacing w:after="0"/>
              <w:rPr>
                <w:sz w:val="5"/>
                <w:szCs w:val="5"/>
                <w:color w:val="auto"/>
              </w:rPr>
            </w:pPr>
          </w:p>
        </w:tc>
        <w:tc>
          <w:tcPr>
            <w:tcW w:w="160" w:type="dxa"/>
            <w:vAlign w:val="bottom"/>
            <w:tcBorders>
              <w:top w:val="single" w:sz="8" w:color="0000EE"/>
              <w:bottom w:val="single" w:sz="8" w:color="53C072"/>
            </w:tcBorders>
            <w:shd w:val="clear" w:color="auto" w:fill="CBECD5"/>
          </w:tcPr>
          <w:p>
            <w:pPr>
              <w:spacing w:after="0"/>
              <w:rPr>
                <w:sz w:val="5"/>
                <w:szCs w:val="5"/>
                <w:color w:val="auto"/>
              </w:rPr>
            </w:pPr>
          </w:p>
        </w:tc>
        <w:tc>
          <w:tcPr>
            <w:tcW w:w="20" w:type="dxa"/>
            <w:vAlign w:val="bottom"/>
            <w:tcBorders>
              <w:top w:val="single" w:sz="8" w:color="0000EE"/>
              <w:bottom w:val="single" w:sz="8" w:color="53C072"/>
            </w:tcBorders>
            <w:shd w:val="clear" w:color="auto" w:fill="CBECD5"/>
          </w:tcPr>
          <w:p>
            <w:pPr>
              <w:spacing w:after="0"/>
              <w:rPr>
                <w:sz w:val="5"/>
                <w:szCs w:val="5"/>
                <w:color w:val="auto"/>
              </w:rPr>
            </w:pPr>
          </w:p>
        </w:tc>
        <w:tc>
          <w:tcPr>
            <w:tcW w:w="340" w:type="dxa"/>
            <w:vAlign w:val="bottom"/>
            <w:tcBorders>
              <w:top w:val="single" w:sz="8" w:color="0000EE"/>
              <w:bottom w:val="single" w:sz="8" w:color="53C072"/>
              <w:right w:val="single" w:sz="8" w:color="CBECD5"/>
            </w:tcBorders>
            <w:shd w:val="clear" w:color="auto" w:fill="CBECD5"/>
          </w:tcPr>
          <w:p>
            <w:pPr>
              <w:spacing w:after="0"/>
              <w:rPr>
                <w:sz w:val="5"/>
                <w:szCs w:val="5"/>
                <w:color w:val="auto"/>
              </w:rPr>
            </w:pPr>
          </w:p>
        </w:tc>
        <w:tc>
          <w:tcPr>
            <w:tcW w:w="220" w:type="dxa"/>
            <w:vAlign w:val="bottom"/>
            <w:tcBorders>
              <w:top w:val="single" w:sz="8" w:color="0000EE"/>
              <w:bottom w:val="single" w:sz="8" w:color="53C072"/>
              <w:right w:val="single" w:sz="8" w:color="CBECD5"/>
            </w:tcBorders>
            <w:shd w:val="clear" w:color="auto" w:fill="CBECD5"/>
          </w:tcPr>
          <w:p>
            <w:pPr>
              <w:spacing w:after="0"/>
              <w:rPr>
                <w:sz w:val="5"/>
                <w:szCs w:val="5"/>
                <w:color w:val="auto"/>
              </w:rPr>
            </w:pPr>
          </w:p>
        </w:tc>
        <w:tc>
          <w:tcPr>
            <w:tcW w:w="80" w:type="dxa"/>
            <w:vAlign w:val="bottom"/>
            <w:tcBorders>
              <w:top w:val="single" w:sz="8" w:color="CBECD5"/>
              <w:bottom w:val="single" w:sz="8" w:color="53C072"/>
            </w:tcBorders>
            <w:shd w:val="clear" w:color="auto" w:fill="CBECD5"/>
          </w:tcPr>
          <w:p>
            <w:pPr>
              <w:spacing w:after="0"/>
              <w:rPr>
                <w:sz w:val="5"/>
                <w:szCs w:val="5"/>
                <w:color w:val="auto"/>
              </w:rPr>
            </w:pPr>
          </w:p>
        </w:tc>
        <w:tc>
          <w:tcPr>
            <w:tcW w:w="160" w:type="dxa"/>
            <w:vAlign w:val="bottom"/>
            <w:tcBorders>
              <w:top w:val="single" w:sz="8" w:color="CBECD5"/>
              <w:bottom w:val="single" w:sz="8" w:color="53C072"/>
            </w:tcBorders>
            <w:shd w:val="clear" w:color="auto" w:fill="CBECD5"/>
          </w:tcPr>
          <w:p>
            <w:pPr>
              <w:spacing w:after="0"/>
              <w:rPr>
                <w:sz w:val="5"/>
                <w:szCs w:val="5"/>
                <w:color w:val="auto"/>
              </w:rPr>
            </w:pPr>
          </w:p>
        </w:tc>
        <w:tc>
          <w:tcPr>
            <w:tcW w:w="40" w:type="dxa"/>
            <w:vAlign w:val="bottom"/>
            <w:tcBorders>
              <w:top w:val="single" w:sz="8" w:color="CBECD5"/>
              <w:bottom w:val="single" w:sz="8" w:color="53C072"/>
            </w:tcBorders>
            <w:shd w:val="clear" w:color="auto" w:fill="CBECD5"/>
          </w:tcPr>
          <w:p>
            <w:pPr>
              <w:spacing w:after="0"/>
              <w:rPr>
                <w:sz w:val="5"/>
                <w:szCs w:val="5"/>
                <w:color w:val="auto"/>
              </w:rPr>
            </w:pPr>
          </w:p>
        </w:tc>
        <w:tc>
          <w:tcPr>
            <w:tcW w:w="100" w:type="dxa"/>
            <w:vAlign w:val="bottom"/>
            <w:tcBorders>
              <w:top w:val="single" w:sz="8" w:color="CBECD5"/>
              <w:bottom w:val="single" w:sz="8" w:color="53C072"/>
            </w:tcBorders>
            <w:shd w:val="clear" w:color="auto" w:fill="CBECD5"/>
          </w:tcPr>
          <w:p>
            <w:pPr>
              <w:spacing w:after="0"/>
              <w:rPr>
                <w:sz w:val="5"/>
                <w:szCs w:val="5"/>
                <w:color w:val="auto"/>
              </w:rPr>
            </w:pPr>
          </w:p>
        </w:tc>
        <w:tc>
          <w:tcPr>
            <w:tcW w:w="20" w:type="dxa"/>
            <w:vAlign w:val="bottom"/>
            <w:tcBorders>
              <w:top w:val="single" w:sz="8" w:color="CBECD5"/>
              <w:bottom w:val="single" w:sz="8" w:color="53C072"/>
            </w:tcBorders>
            <w:shd w:val="clear" w:color="auto" w:fill="CBECD5"/>
          </w:tcPr>
          <w:p>
            <w:pPr>
              <w:spacing w:after="0"/>
              <w:rPr>
                <w:sz w:val="5"/>
                <w:szCs w:val="5"/>
                <w:color w:val="auto"/>
              </w:rPr>
            </w:pPr>
          </w:p>
        </w:tc>
        <w:tc>
          <w:tcPr>
            <w:tcW w:w="80" w:type="dxa"/>
            <w:vAlign w:val="bottom"/>
            <w:tcBorders>
              <w:top w:val="single" w:sz="8" w:color="CBECD5"/>
              <w:bottom w:val="single" w:sz="8" w:color="53C072"/>
            </w:tcBorders>
            <w:shd w:val="clear" w:color="auto" w:fill="CBECD5"/>
          </w:tcPr>
          <w:p>
            <w:pPr>
              <w:spacing w:after="0"/>
              <w:rPr>
                <w:sz w:val="5"/>
                <w:szCs w:val="5"/>
                <w:color w:val="auto"/>
              </w:rPr>
            </w:pPr>
          </w:p>
        </w:tc>
        <w:tc>
          <w:tcPr>
            <w:tcW w:w="260" w:type="dxa"/>
            <w:vAlign w:val="bottom"/>
            <w:tcBorders>
              <w:top w:val="single" w:sz="8" w:color="CBECD5"/>
              <w:bottom w:val="single" w:sz="8" w:color="53C072"/>
            </w:tcBorders>
            <w:shd w:val="clear" w:color="auto" w:fill="CBECD5"/>
          </w:tcPr>
          <w:p>
            <w:pPr>
              <w:spacing w:after="0"/>
              <w:rPr>
                <w:sz w:val="5"/>
                <w:szCs w:val="5"/>
                <w:color w:val="auto"/>
              </w:rPr>
            </w:pPr>
          </w:p>
        </w:tc>
        <w:tc>
          <w:tcPr>
            <w:tcW w:w="20" w:type="dxa"/>
            <w:vAlign w:val="bottom"/>
            <w:tcBorders>
              <w:top w:val="single" w:sz="8" w:color="CBECD5"/>
              <w:bottom w:val="single" w:sz="8" w:color="53C072"/>
            </w:tcBorders>
            <w:shd w:val="clear" w:color="auto" w:fill="CBECD5"/>
          </w:tcPr>
          <w:p>
            <w:pPr>
              <w:spacing w:after="0"/>
              <w:rPr>
                <w:sz w:val="5"/>
                <w:szCs w:val="5"/>
                <w:color w:val="auto"/>
              </w:rPr>
            </w:pPr>
          </w:p>
        </w:tc>
        <w:tc>
          <w:tcPr>
            <w:tcW w:w="20" w:type="dxa"/>
            <w:vAlign w:val="bottom"/>
            <w:tcBorders>
              <w:top w:val="single" w:sz="8" w:color="CBECD5"/>
              <w:bottom w:val="single" w:sz="8" w:color="53C072"/>
            </w:tcBorders>
            <w:shd w:val="clear" w:color="auto" w:fill="CBECD5"/>
          </w:tcPr>
          <w:p>
            <w:pPr>
              <w:spacing w:after="0"/>
              <w:rPr>
                <w:sz w:val="5"/>
                <w:szCs w:val="5"/>
                <w:color w:val="auto"/>
              </w:rPr>
            </w:pPr>
          </w:p>
        </w:tc>
        <w:tc>
          <w:tcPr>
            <w:tcW w:w="40" w:type="dxa"/>
            <w:vAlign w:val="bottom"/>
            <w:tcBorders>
              <w:top w:val="single" w:sz="8" w:color="CBECD5"/>
              <w:bottom w:val="single" w:sz="8" w:color="53C072"/>
            </w:tcBorders>
            <w:shd w:val="clear" w:color="auto" w:fill="CBECD5"/>
          </w:tcPr>
          <w:p>
            <w:pPr>
              <w:spacing w:after="0"/>
              <w:rPr>
                <w:sz w:val="5"/>
                <w:szCs w:val="5"/>
                <w:color w:val="auto"/>
              </w:rPr>
            </w:pPr>
          </w:p>
        </w:tc>
        <w:tc>
          <w:tcPr>
            <w:tcW w:w="60" w:type="dxa"/>
            <w:vAlign w:val="bottom"/>
            <w:tcBorders>
              <w:top w:val="single" w:sz="8" w:color="CBECD5"/>
              <w:bottom w:val="single" w:sz="8" w:color="53C072"/>
            </w:tcBorders>
            <w:shd w:val="clear" w:color="auto" w:fill="CBECD5"/>
          </w:tcPr>
          <w:p>
            <w:pPr>
              <w:spacing w:after="0"/>
              <w:rPr>
                <w:sz w:val="5"/>
                <w:szCs w:val="5"/>
                <w:color w:val="auto"/>
              </w:rPr>
            </w:pPr>
          </w:p>
        </w:tc>
        <w:tc>
          <w:tcPr>
            <w:tcW w:w="160" w:type="dxa"/>
            <w:vAlign w:val="bottom"/>
            <w:tcBorders>
              <w:top w:val="single" w:sz="8" w:color="CBECD5"/>
              <w:bottom w:val="single" w:sz="8" w:color="53C072"/>
            </w:tcBorders>
            <w:shd w:val="clear" w:color="auto" w:fill="CBECD5"/>
          </w:tcPr>
          <w:p>
            <w:pPr>
              <w:spacing w:after="0"/>
              <w:rPr>
                <w:sz w:val="5"/>
                <w:szCs w:val="5"/>
                <w:color w:val="auto"/>
              </w:rPr>
            </w:pPr>
          </w:p>
        </w:tc>
        <w:tc>
          <w:tcPr>
            <w:tcW w:w="20" w:type="dxa"/>
            <w:vAlign w:val="bottom"/>
            <w:tcBorders>
              <w:top w:val="single" w:sz="8" w:color="CBECD5"/>
              <w:bottom w:val="single" w:sz="8" w:color="53C072"/>
            </w:tcBorders>
            <w:shd w:val="clear" w:color="auto" w:fill="CBECD5"/>
          </w:tcPr>
          <w:p>
            <w:pPr>
              <w:spacing w:after="0"/>
              <w:rPr>
                <w:sz w:val="5"/>
                <w:szCs w:val="5"/>
                <w:color w:val="auto"/>
              </w:rPr>
            </w:pPr>
          </w:p>
        </w:tc>
        <w:tc>
          <w:tcPr>
            <w:tcW w:w="120" w:type="dxa"/>
            <w:vAlign w:val="bottom"/>
            <w:tcBorders>
              <w:top w:val="single" w:sz="8" w:color="CBECD5"/>
              <w:bottom w:val="single" w:sz="8" w:color="53C072"/>
            </w:tcBorders>
            <w:shd w:val="clear" w:color="auto" w:fill="CBECD5"/>
          </w:tcPr>
          <w:p>
            <w:pPr>
              <w:spacing w:after="0"/>
              <w:rPr>
                <w:sz w:val="5"/>
                <w:szCs w:val="5"/>
                <w:color w:val="auto"/>
              </w:rPr>
            </w:pPr>
          </w:p>
        </w:tc>
        <w:tc>
          <w:tcPr>
            <w:tcW w:w="100" w:type="dxa"/>
            <w:vAlign w:val="bottom"/>
            <w:tcBorders>
              <w:top w:val="single" w:sz="8" w:color="CBECD5"/>
              <w:bottom w:val="single" w:sz="8" w:color="53C072"/>
            </w:tcBorders>
            <w:shd w:val="clear" w:color="auto" w:fill="CBECD5"/>
          </w:tcPr>
          <w:p>
            <w:pPr>
              <w:spacing w:after="0"/>
              <w:rPr>
                <w:sz w:val="5"/>
                <w:szCs w:val="5"/>
                <w:color w:val="auto"/>
              </w:rPr>
            </w:pPr>
          </w:p>
        </w:tc>
        <w:tc>
          <w:tcPr>
            <w:tcW w:w="280" w:type="dxa"/>
            <w:vAlign w:val="bottom"/>
            <w:tcBorders>
              <w:top w:val="single" w:sz="8" w:color="CBECD5"/>
              <w:bottom w:val="single" w:sz="8" w:color="53C072"/>
            </w:tcBorders>
            <w:shd w:val="clear" w:color="auto" w:fill="CBECD5"/>
          </w:tcPr>
          <w:p>
            <w:pPr>
              <w:spacing w:after="0"/>
              <w:rPr>
                <w:sz w:val="5"/>
                <w:szCs w:val="5"/>
                <w:color w:val="auto"/>
              </w:rPr>
            </w:pPr>
          </w:p>
        </w:tc>
        <w:tc>
          <w:tcPr>
            <w:tcW w:w="60" w:type="dxa"/>
            <w:vAlign w:val="bottom"/>
            <w:tcBorders>
              <w:top w:val="single" w:sz="8" w:color="CBECD5"/>
              <w:bottom w:val="single" w:sz="8" w:color="53C072"/>
            </w:tcBorders>
            <w:shd w:val="clear" w:color="auto" w:fill="CBECD5"/>
          </w:tcPr>
          <w:p>
            <w:pPr>
              <w:spacing w:after="0"/>
              <w:rPr>
                <w:sz w:val="5"/>
                <w:szCs w:val="5"/>
                <w:color w:val="auto"/>
              </w:rPr>
            </w:pPr>
          </w:p>
        </w:tc>
        <w:tc>
          <w:tcPr>
            <w:tcW w:w="100" w:type="dxa"/>
            <w:vAlign w:val="bottom"/>
            <w:tcBorders>
              <w:top w:val="single" w:sz="8" w:color="CBECD5"/>
              <w:bottom w:val="single" w:sz="8" w:color="53C072"/>
            </w:tcBorders>
            <w:shd w:val="clear" w:color="auto" w:fill="CBECD5"/>
          </w:tcPr>
          <w:p>
            <w:pPr>
              <w:spacing w:after="0"/>
              <w:rPr>
                <w:sz w:val="5"/>
                <w:szCs w:val="5"/>
                <w:color w:val="auto"/>
              </w:rPr>
            </w:pPr>
          </w:p>
        </w:tc>
        <w:tc>
          <w:tcPr>
            <w:tcW w:w="420" w:type="dxa"/>
            <w:vAlign w:val="bottom"/>
            <w:tcBorders>
              <w:top w:val="single" w:sz="8" w:color="CBECD5"/>
              <w:bottom w:val="single" w:sz="8" w:color="53C072"/>
            </w:tcBorders>
            <w:shd w:val="clear" w:color="auto" w:fill="CBECD5"/>
          </w:tcPr>
          <w:p>
            <w:pPr>
              <w:spacing w:after="0"/>
              <w:rPr>
                <w:sz w:val="5"/>
                <w:szCs w:val="5"/>
                <w:color w:val="auto"/>
              </w:rPr>
            </w:pPr>
          </w:p>
        </w:tc>
        <w:tc>
          <w:tcPr>
            <w:tcW w:w="260" w:type="dxa"/>
            <w:vAlign w:val="bottom"/>
            <w:tcBorders>
              <w:top w:val="single" w:sz="8" w:color="0000EE"/>
              <w:bottom w:val="single" w:sz="8" w:color="53C072"/>
              <w:right w:val="single" w:sz="8" w:color="53C072"/>
            </w:tcBorders>
            <w:shd w:val="clear" w:color="auto" w:fill="CBECD5"/>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-4208145</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3C072"/>
        </w:rPr>
        <w:t>EXECUTIVE SUMMARY</w:t>
      </w:r>
    </w:p>
    <w:p>
      <w:pPr>
        <w:spacing w:after="0" w:line="148" w:lineRule="exact"/>
        <w:rPr>
          <w:sz w:val="20"/>
          <w:szCs w:val="20"/>
          <w:color w:val="auto"/>
        </w:rPr>
      </w:pPr>
    </w:p>
    <w:p>
      <w:pPr>
        <w:ind w:right="179"/>
        <w:spacing w:after="0" w:line="263" w:lineRule="auto"/>
        <w:rPr>
          <w:sz w:val="20"/>
          <w:szCs w:val="20"/>
          <w:color w:val="auto"/>
        </w:rPr>
      </w:pPr>
      <w:r>
        <w:rPr>
          <w:rFonts w:ascii="Arial" w:cs="Arial" w:eastAsia="Arial" w:hAnsi="Arial"/>
          <w:sz w:val="18"/>
          <w:szCs w:val="18"/>
          <w:color w:val="auto"/>
        </w:rPr>
        <w:t>The Company designs its compensation programs and practices around a pay-for-performance philosophy geared toward the achievement of short-and long-term goals. Senior executives are encouraged to think and behave like owners of the business and to consider the impact of their decisions and performance on the aggregate success of the Company as reflected in its total shareholder return (“TSR”). This section explains how the Compensation and Leadership Development Committee (“Compensation Committee” or “Committee”) made its compensation decisions for fiscal 2024 for the named executive officers (“NEOs”). The compensation awarded to the NEOs for fiscal 2024 is set forth in the Summary Compensation Table in this Proxy Statement.</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Named Executive Officers (NEOs)</w:t>
      </w:r>
    </w:p>
    <w:p>
      <w:pPr>
        <w:spacing w:after="0" w:line="153" w:lineRule="exact"/>
        <w:rPr>
          <w:sz w:val="20"/>
          <w:szCs w:val="20"/>
          <w:color w:val="auto"/>
        </w:rPr>
      </w:pPr>
    </w:p>
    <w:p>
      <w:pPr>
        <w:ind w:right="339"/>
        <w:spacing w:after="0" w:line="294" w:lineRule="auto"/>
        <w:rPr>
          <w:sz w:val="20"/>
          <w:szCs w:val="20"/>
          <w:color w:val="auto"/>
        </w:rPr>
      </w:pPr>
      <w:r>
        <w:rPr>
          <w:rFonts w:ascii="Arial" w:cs="Arial" w:eastAsia="Arial" w:hAnsi="Arial"/>
          <w:sz w:val="17"/>
          <w:szCs w:val="17"/>
          <w:color w:val="auto"/>
        </w:rPr>
        <w:t>The NEOs for fiscal 2024 are listed below. The titles represent their current position with the Company. Please see “Executive Officers of the Company” for additional information on current officers’ roles.</w:t>
      </w:r>
    </w:p>
    <w:p>
      <w:pPr>
        <w:spacing w:after="0" w:line="1367" w:lineRule="exact"/>
        <w:rPr>
          <w:sz w:val="20"/>
          <w:szCs w:val="20"/>
          <w:color w:val="auto"/>
        </w:rPr>
      </w:pPr>
    </w:p>
    <w:p>
      <w:pPr>
        <w:sectPr>
          <w:pgSz w:w="11900" w:h="16838" w:orient="portrait"/>
          <w:cols w:equalWidth="0" w:num="2">
            <w:col w:w="5260" w:space="220"/>
            <w:col w:w="4399"/>
          </w:cols>
          <w:pgMar w:left="580" w:top="97" w:right="1440" w:bottom="1440" w:gutter="0" w:footer="0" w:header="0"/>
          <w:type w:val="continuous"/>
        </w:sectPr>
      </w:pPr>
    </w:p>
    <w:p>
      <w:pPr>
        <w:spacing w:after="0" w:line="124"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226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FFFFF"/>
              </w:rPr>
              <w:t>NEOs</w:t>
            </w:r>
          </w:p>
        </w:tc>
        <w:tc>
          <w:tcPr>
            <w:tcW w:w="6500" w:type="dxa"/>
            <w:vAlign w:val="bottom"/>
            <w:shd w:val="clear" w:color="auto" w:fill="53C072"/>
          </w:tcPr>
          <w:p>
            <w:pPr>
              <w:ind w:left="460"/>
              <w:spacing w:after="0"/>
              <w:rPr>
                <w:sz w:val="20"/>
                <w:szCs w:val="20"/>
                <w:color w:val="auto"/>
              </w:rPr>
            </w:pPr>
            <w:r>
              <w:rPr>
                <w:rFonts w:ascii="Arial" w:cs="Arial" w:eastAsia="Arial" w:hAnsi="Arial"/>
                <w:sz w:val="14"/>
                <w:szCs w:val="14"/>
                <w:b w:val="1"/>
                <w:bCs w:val="1"/>
                <w:color w:val="FFFFFF"/>
              </w:rPr>
              <w:t>Position</w:t>
            </w:r>
          </w:p>
        </w:tc>
      </w:tr>
      <w:tr>
        <w:trPr>
          <w:trHeight w:val="243"/>
        </w:trPr>
        <w:tc>
          <w:tcPr>
            <w:tcW w:w="2260" w:type="dxa"/>
            <w:vAlign w:val="bottom"/>
          </w:tcPr>
          <w:p>
            <w:pPr>
              <w:ind w:left="120"/>
              <w:spacing w:after="0"/>
              <w:rPr>
                <w:sz w:val="20"/>
                <w:szCs w:val="20"/>
                <w:color w:val="auto"/>
              </w:rPr>
            </w:pPr>
            <w:r>
              <w:rPr>
                <w:rFonts w:ascii="Arial" w:cs="Arial" w:eastAsia="Arial" w:hAnsi="Arial"/>
                <w:sz w:val="18"/>
                <w:szCs w:val="18"/>
                <w:color w:val="auto"/>
              </w:rPr>
              <w:t>Philip R. Gallagher</w:t>
            </w:r>
          </w:p>
        </w:tc>
        <w:tc>
          <w:tcPr>
            <w:tcW w:w="6500" w:type="dxa"/>
            <w:vAlign w:val="bottom"/>
          </w:tcPr>
          <w:p>
            <w:pPr>
              <w:ind w:left="460"/>
              <w:spacing w:after="0"/>
              <w:rPr>
                <w:sz w:val="20"/>
                <w:szCs w:val="20"/>
                <w:color w:val="auto"/>
              </w:rPr>
            </w:pPr>
            <w:r>
              <w:rPr>
                <w:rFonts w:ascii="Arial" w:cs="Arial" w:eastAsia="Arial" w:hAnsi="Arial"/>
                <w:sz w:val="18"/>
                <w:szCs w:val="18"/>
                <w:color w:val="auto"/>
              </w:rPr>
              <w:t>Chief Executive Officer (“CEO”) and President, Electronic Components</w:t>
            </w:r>
          </w:p>
        </w:tc>
      </w:tr>
      <w:tr>
        <w:trPr>
          <w:trHeight w:val="243"/>
        </w:trPr>
        <w:tc>
          <w:tcPr>
            <w:tcW w:w="22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Kenneth A. Jacobson</w:t>
            </w:r>
          </w:p>
        </w:tc>
        <w:tc>
          <w:tcPr>
            <w:tcW w:w="6500" w:type="dxa"/>
            <w:vAlign w:val="bottom"/>
            <w:shd w:val="clear" w:color="auto" w:fill="CBECD5"/>
          </w:tcPr>
          <w:p>
            <w:pPr>
              <w:ind w:left="460"/>
              <w:spacing w:after="0"/>
              <w:rPr>
                <w:sz w:val="20"/>
                <w:szCs w:val="20"/>
                <w:color w:val="auto"/>
              </w:rPr>
            </w:pPr>
            <w:r>
              <w:rPr>
                <w:rFonts w:ascii="Arial" w:cs="Arial" w:eastAsia="Arial" w:hAnsi="Arial"/>
                <w:sz w:val="18"/>
                <w:szCs w:val="18"/>
                <w:color w:val="auto"/>
              </w:rPr>
              <w:t>Chief Financial Officer (“CFO”)</w:t>
            </w:r>
          </w:p>
        </w:tc>
      </w:tr>
      <w:tr>
        <w:trPr>
          <w:trHeight w:val="243"/>
        </w:trPr>
        <w:tc>
          <w:tcPr>
            <w:tcW w:w="2260" w:type="dxa"/>
            <w:vAlign w:val="bottom"/>
          </w:tcPr>
          <w:p>
            <w:pPr>
              <w:ind w:left="120"/>
              <w:spacing w:after="0"/>
              <w:rPr>
                <w:sz w:val="20"/>
                <w:szCs w:val="20"/>
                <w:color w:val="auto"/>
              </w:rPr>
            </w:pPr>
            <w:r>
              <w:rPr>
                <w:rFonts w:ascii="Arial" w:cs="Arial" w:eastAsia="Arial" w:hAnsi="Arial"/>
                <w:sz w:val="18"/>
                <w:szCs w:val="18"/>
                <w:color w:val="auto"/>
              </w:rPr>
              <w:t>Ken E. Arnold</w:t>
            </w:r>
          </w:p>
        </w:tc>
        <w:tc>
          <w:tcPr>
            <w:tcW w:w="6500" w:type="dxa"/>
            <w:vAlign w:val="bottom"/>
          </w:tcPr>
          <w:p>
            <w:pPr>
              <w:ind w:left="460"/>
              <w:spacing w:after="0"/>
              <w:rPr>
                <w:sz w:val="20"/>
                <w:szCs w:val="20"/>
                <w:color w:val="auto"/>
              </w:rPr>
            </w:pPr>
            <w:r>
              <w:rPr>
                <w:rFonts w:ascii="Arial" w:cs="Arial" w:eastAsia="Arial" w:hAnsi="Arial"/>
                <w:sz w:val="18"/>
                <w:szCs w:val="18"/>
                <w:color w:val="auto"/>
              </w:rPr>
              <w:t>Senior Vice President, Chief People Officer</w:t>
            </w:r>
          </w:p>
        </w:tc>
      </w:tr>
      <w:tr>
        <w:trPr>
          <w:trHeight w:val="243"/>
        </w:trPr>
        <w:tc>
          <w:tcPr>
            <w:tcW w:w="22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Leng Jin (Max) Chan</w:t>
            </w:r>
          </w:p>
        </w:tc>
        <w:tc>
          <w:tcPr>
            <w:tcW w:w="6500" w:type="dxa"/>
            <w:vAlign w:val="bottom"/>
            <w:shd w:val="clear" w:color="auto" w:fill="CBECD5"/>
          </w:tcPr>
          <w:p>
            <w:pPr>
              <w:ind w:left="460"/>
              <w:spacing w:after="0"/>
              <w:rPr>
                <w:sz w:val="20"/>
                <w:szCs w:val="20"/>
                <w:color w:val="auto"/>
              </w:rPr>
            </w:pPr>
            <w:r>
              <w:rPr>
                <w:rFonts w:ascii="Arial" w:cs="Arial" w:eastAsia="Arial" w:hAnsi="Arial"/>
                <w:sz w:val="18"/>
                <w:szCs w:val="18"/>
                <w:color w:val="auto"/>
              </w:rPr>
              <w:t>Senior Vice President, Chief Information Officer</w:t>
            </w:r>
          </w:p>
        </w:tc>
      </w:tr>
      <w:tr>
        <w:trPr>
          <w:trHeight w:val="260"/>
        </w:trPr>
        <w:tc>
          <w:tcPr>
            <w:tcW w:w="2260" w:type="dxa"/>
            <w:vAlign w:val="bottom"/>
          </w:tcPr>
          <w:p>
            <w:pPr>
              <w:ind w:left="120"/>
              <w:spacing w:after="0"/>
              <w:rPr>
                <w:sz w:val="20"/>
                <w:szCs w:val="20"/>
                <w:color w:val="auto"/>
              </w:rPr>
            </w:pPr>
            <w:r>
              <w:rPr>
                <w:rFonts w:ascii="Arial" w:cs="Arial" w:eastAsia="Arial" w:hAnsi="Arial"/>
                <w:sz w:val="18"/>
                <w:szCs w:val="18"/>
                <w:color w:val="auto"/>
              </w:rPr>
              <w:t>Michael R. McCoy</w:t>
            </w:r>
          </w:p>
        </w:tc>
        <w:tc>
          <w:tcPr>
            <w:tcW w:w="6500" w:type="dxa"/>
            <w:vAlign w:val="bottom"/>
          </w:tcPr>
          <w:p>
            <w:pPr>
              <w:ind w:left="460"/>
              <w:spacing w:after="0"/>
              <w:rPr>
                <w:sz w:val="20"/>
                <w:szCs w:val="20"/>
                <w:color w:val="auto"/>
              </w:rPr>
            </w:pPr>
            <w:r>
              <w:rPr>
                <w:rFonts w:ascii="Arial" w:cs="Arial" w:eastAsia="Arial" w:hAnsi="Arial"/>
                <w:sz w:val="18"/>
                <w:szCs w:val="18"/>
                <w:color w:val="auto"/>
              </w:rPr>
              <w:t>Senior Vice President, General Counsel and Chief Legal Officer</w:t>
            </w:r>
          </w:p>
        </w:tc>
      </w:tr>
      <w:tr>
        <w:trPr>
          <w:trHeight w:val="30"/>
        </w:trPr>
        <w:tc>
          <w:tcPr>
            <w:tcW w:w="2260" w:type="dxa"/>
            <w:vAlign w:val="bottom"/>
            <w:tcBorders>
              <w:bottom w:val="single" w:sz="8" w:color="53C072"/>
            </w:tcBorders>
          </w:tcPr>
          <w:p>
            <w:pPr>
              <w:spacing w:after="0"/>
              <w:rPr>
                <w:sz w:val="2"/>
                <w:szCs w:val="2"/>
                <w:color w:val="auto"/>
              </w:rPr>
            </w:pPr>
          </w:p>
        </w:tc>
        <w:tc>
          <w:tcPr>
            <w:tcW w:w="6500" w:type="dxa"/>
            <w:vAlign w:val="bottom"/>
            <w:tcBorders>
              <w:bottom w:val="single" w:sz="8" w:color="53C072"/>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Business Performance</w:t>
      </w:r>
    </w:p>
    <w:p>
      <w:pPr>
        <w:spacing w:after="0" w:line="153" w:lineRule="exact"/>
        <w:rPr>
          <w:sz w:val="20"/>
          <w:szCs w:val="20"/>
          <w:color w:val="auto"/>
        </w:rPr>
      </w:pPr>
    </w:p>
    <w:p>
      <w:pPr>
        <w:ind w:left="1000" w:right="459"/>
        <w:spacing w:after="0" w:line="287" w:lineRule="auto"/>
        <w:rPr>
          <w:sz w:val="20"/>
          <w:szCs w:val="20"/>
          <w:color w:val="auto"/>
        </w:rPr>
      </w:pPr>
      <w:r>
        <w:rPr>
          <w:rFonts w:ascii="Arial" w:cs="Arial" w:eastAsia="Arial" w:hAnsi="Arial"/>
          <w:sz w:val="18"/>
          <w:szCs w:val="18"/>
          <w:color w:val="auto"/>
        </w:rPr>
        <w:t>The Company’s performance, including some of the financial performance metrics utilized in the Company’s incentive plans payable for fiscal 2024, is detailed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92075</wp:posOffset>
            </wp:positionV>
            <wp:extent cx="555498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54980" cy="1460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​Sales</w:t>
      </w:r>
    </w:p>
    <w:p>
      <w:pPr>
        <w:spacing w:after="0" w:line="5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​Gross profit dollars</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​Operating income</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​Adjusted operating income</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​Operating income margin</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​Adjusted operating income margin</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​Diluted earnings per share</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​Adjusted diluted earnings per share</w:t>
      </w:r>
    </w:p>
    <w:p>
      <w:pPr>
        <w:spacing w:after="0" w:line="6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​Net working capital days</w:t>
      </w:r>
    </w:p>
    <w:p>
      <w:pPr>
        <w:ind w:left="1040"/>
        <w:spacing w:after="0" w:line="198" w:lineRule="auto"/>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Return on Working Capital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60" w:type="dxa"/>
            <w:vAlign w:val="bottom"/>
          </w:tcPr>
          <w:p>
            <w:pPr>
              <w:spacing w:after="0"/>
              <w:rPr>
                <w:sz w:val="16"/>
                <w:szCs w:val="16"/>
                <w:color w:val="auto"/>
              </w:rPr>
            </w:pPr>
          </w:p>
        </w:tc>
        <w:tc>
          <w:tcPr>
            <w:tcW w:w="1000" w:type="dxa"/>
            <w:vAlign w:val="bottom"/>
          </w:tcPr>
          <w:p>
            <w:pPr>
              <w:jc w:val="right"/>
              <w:ind w:right="113"/>
              <w:spacing w:after="0"/>
              <w:rPr>
                <w:sz w:val="20"/>
                <w:szCs w:val="20"/>
                <w:color w:val="auto"/>
              </w:rPr>
            </w:pPr>
            <w:r>
              <w:rPr>
                <w:rFonts w:ascii="Arial" w:cs="Arial" w:eastAsia="Arial" w:hAnsi="Arial"/>
                <w:sz w:val="14"/>
                <w:szCs w:val="14"/>
                <w:b w:val="1"/>
                <w:bCs w:val="1"/>
                <w:color w:val="FEFEFE"/>
              </w:rPr>
              <w:t>Fiscal 2023</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FEFEFE"/>
              </w:rPr>
              <w:t>Fiscal 2024</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FEFEFE"/>
              </w:rPr>
              <w:t>% Change</w:t>
            </w:r>
          </w:p>
        </w:tc>
      </w:tr>
      <w:tr>
        <w:trPr>
          <w:trHeight w:val="247"/>
        </w:trPr>
        <w:tc>
          <w:tcPr>
            <w:tcW w:w="160" w:type="dxa"/>
            <w:vAlign w:val="bottom"/>
          </w:tcPr>
          <w:p>
            <w:pPr>
              <w:spacing w:after="0"/>
              <w:rPr>
                <w:sz w:val="21"/>
                <w:szCs w:val="21"/>
                <w:color w:val="auto"/>
              </w:rPr>
            </w:pPr>
          </w:p>
        </w:tc>
        <w:tc>
          <w:tcPr>
            <w:tcW w:w="27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 in millions, except per share data</w:t>
            </w:r>
            <w:r>
              <w:rPr>
                <w:rFonts w:ascii="Arial" w:cs="Arial" w:eastAsia="Arial" w:hAnsi="Arial"/>
                <w:sz w:val="17"/>
                <w:szCs w:val="17"/>
                <w:b w:val="1"/>
                <w:bCs w:val="1"/>
                <w:color w:val="auto"/>
              </w:rPr>
              <w:t>​</w:t>
            </w:r>
          </w:p>
        </w:tc>
      </w:tr>
      <w:tr>
        <w:trPr>
          <w:trHeight w:val="293"/>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26,536.9</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​$23,757.1</w:t>
            </w: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3,182.1</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2,766.4</w:t>
            </w:r>
          </w:p>
        </w:tc>
        <w:tc>
          <w:tcPr>
            <w:tcW w:w="7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1,186.8</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844.4</w:t>
            </w: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1,220.9</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900.0</w:t>
            </w:r>
          </w:p>
        </w:tc>
        <w:tc>
          <w:tcPr>
            <w:tcW w:w="72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3.55%</w:t>
            </w:r>
          </w:p>
        </w:tc>
        <w:tc>
          <w:tcPr>
            <w:tcW w:w="720" w:type="dxa"/>
            <w:vAlign w:val="bottom"/>
          </w:tcPr>
          <w:p>
            <w:pPr>
              <w:jc w:val="right"/>
              <w:spacing w:after="0"/>
              <w:rPr>
                <w:sz w:val="20"/>
                <w:szCs w:val="20"/>
                <w:color w:val="auto"/>
              </w:rPr>
            </w:pPr>
            <w:r>
              <w:rPr>
                <w:rFonts w:ascii="Arial" w:cs="Arial" w:eastAsia="Arial" w:hAnsi="Arial"/>
                <w:sz w:val="18"/>
                <w:szCs w:val="18"/>
                <w:color w:val="auto"/>
              </w:rPr>
              <w:t>-92 bps</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3.79%</w:t>
            </w:r>
          </w:p>
        </w:tc>
        <w:tc>
          <w:tcPr>
            <w:tcW w:w="720" w:type="dxa"/>
            <w:vAlign w:val="bottom"/>
          </w:tcPr>
          <w:p>
            <w:pPr>
              <w:jc w:val="right"/>
              <w:spacing w:after="0"/>
              <w:rPr>
                <w:sz w:val="20"/>
                <w:szCs w:val="20"/>
                <w:color w:val="auto"/>
              </w:rPr>
            </w:pPr>
            <w:r>
              <w:rPr>
                <w:rFonts w:ascii="Arial" w:cs="Arial" w:eastAsia="Arial" w:hAnsi="Arial"/>
                <w:sz w:val="18"/>
                <w:szCs w:val="18"/>
                <w:color w:val="auto"/>
              </w:rPr>
              <w:t>-81 bps</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8.26</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5.43</w:t>
            </w:r>
          </w:p>
        </w:tc>
        <w:tc>
          <w:tcPr>
            <w:tcW w:w="72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8.06</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5.34</w:t>
            </w: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86.19</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106.96</w:t>
            </w:r>
          </w:p>
        </w:tc>
        <w:tc>
          <w:tcPr>
            <w:tcW w:w="7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93"/>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19.51%</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13.08% -643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-1664970</wp:posOffset>
            </wp:positionV>
            <wp:extent cx="5554980"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54980" cy="16256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-1339215</wp:posOffset>
            </wp:positionV>
            <wp:extent cx="555498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54980" cy="163195"/>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-1013460</wp:posOffset>
            </wp:positionV>
            <wp:extent cx="5554980" cy="162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54980" cy="16256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-687705</wp:posOffset>
            </wp:positionV>
            <wp:extent cx="5554980"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54980" cy="163195"/>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-361950</wp:posOffset>
            </wp:positionV>
            <wp:extent cx="5554980"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54980" cy="163195"/>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-19050</wp:posOffset>
            </wp:positionV>
            <wp:extent cx="555498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5980" w:space="720"/>
            <w:col w:w="3179"/>
          </w:cols>
          <w:pgMar w:left="580" w:top="97" w:right="1440" w:bottom="1440" w:gutter="0" w:footer="0" w:header="0"/>
          <w:type w:val="continuous"/>
        </w:sectPr>
      </w:pPr>
    </w:p>
    <w:p>
      <w:pPr>
        <w:ind w:left="1000" w:right="199"/>
        <w:spacing w:after="0" w:line="271" w:lineRule="auto"/>
        <w:rPr>
          <w:sz w:val="20"/>
          <w:szCs w:val="20"/>
          <w:color w:val="auto"/>
        </w:rPr>
      </w:pPr>
      <w:r>
        <w:rPr>
          <w:rFonts w:ascii="Arial" w:cs="Arial" w:eastAsia="Arial" w:hAnsi="Arial"/>
          <w:sz w:val="17"/>
          <w:szCs w:val="17"/>
          <w:color w:val="auto"/>
        </w:rPr>
        <w:t xml:space="preserve">In addition to presenting financial results that are determined in accordance with generally accepted accounting principles in the United States (“GAAP”), the Company also discloses certain non-GAAP financial information, including adjusted operating income, adjusted operating income margin, adjusted income from operations, and adjusted diluted earnings per share from operations to exclude certain items in the table above. The Company believes that these metrics, adjusted for the impact of certain items, are useful measures to help shareholders better assess and understand the Company’s performance, especially when comparing results with previous periods, primarily because management views the excluded items to be outside of the Company’s normal operating results. 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88" w:lineRule="exact"/>
        <w:rPr>
          <w:sz w:val="20"/>
          <w:szCs w:val="20"/>
          <w:color w:val="auto"/>
        </w:rPr>
      </w:pPr>
    </w:p>
    <w:p>
      <w:pPr>
        <w:ind w:left="1000" w:right="339"/>
        <w:spacing w:after="0" w:line="268" w:lineRule="auto"/>
        <w:rPr>
          <w:sz w:val="20"/>
          <w:szCs w:val="20"/>
          <w:color w:val="auto"/>
        </w:rPr>
      </w:pPr>
      <w:r>
        <w:rPr>
          <w:rFonts w:ascii="Arial" w:cs="Arial" w:eastAsia="Arial" w:hAnsi="Arial"/>
          <w:sz w:val="18"/>
          <w:szCs w:val="18"/>
          <w:color w:val="auto"/>
        </w:rPr>
        <w:t>For more details on the Company’s performance, please see the Company’s Annual Report on Form 10-K for the fiscal year ending June 29, 2024, including the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102870</wp:posOffset>
            </wp:positionV>
            <wp:extent cx="3540125" cy="12001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4012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40     </w:t>
      </w:r>
      <w:r>
        <w:rPr>
          <w:sz w:val="1"/>
          <w:szCs w:val="1"/>
          <w:color w:val="auto"/>
        </w:rPr>
        <w:drawing>
          <wp:inline distT="0" distB="0" distL="0" distR="0">
            <wp:extent cx="1242695" cy="24003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Summary of Incentive Compensation Design and Payouts for Fiscal 2024</w:t>
      </w:r>
    </w:p>
    <w:p>
      <w:pPr>
        <w:spacing w:after="0" w:line="153" w:lineRule="exact"/>
        <w:rPr>
          <w:sz w:val="20"/>
          <w:szCs w:val="20"/>
          <w:color w:val="auto"/>
        </w:rPr>
      </w:pPr>
    </w:p>
    <w:p>
      <w:pPr>
        <w:ind w:left="1000" w:right="219"/>
        <w:spacing w:after="0" w:line="255" w:lineRule="auto"/>
        <w:rPr>
          <w:sz w:val="20"/>
          <w:szCs w:val="20"/>
          <w:color w:val="auto"/>
        </w:rPr>
      </w:pPr>
      <w:r>
        <w:rPr>
          <w:rFonts w:ascii="Arial" w:cs="Arial" w:eastAsia="Arial" w:hAnsi="Arial"/>
          <w:sz w:val="18"/>
          <w:szCs w:val="18"/>
          <w:b w:val="1"/>
          <w:bCs w:val="1"/>
          <w:i w:val="1"/>
          <w:iCs w:val="1"/>
          <w:color w:val="auto"/>
        </w:rPr>
        <w:t xml:space="preserve">Annual Cash Incentive Design and Payout: </w:t>
      </w:r>
      <w:r>
        <w:rPr>
          <w:rFonts w:ascii="Arial" w:cs="Arial" w:eastAsia="Arial" w:hAnsi="Arial"/>
          <w:sz w:val="18"/>
          <w:szCs w:val="18"/>
          <w:color w:val="auto"/>
        </w:rPr>
        <w:t>The annual cash incentive plan for fiscal 2024 consisted of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components — financial performance metrics and non-financial performance metrics, weighted 80% and 20%, respectively. The financial performance metrics had three performance goals: (1) adjusted operating income dollars (OI$), weighted 40%; (2) return on working capital (ROWC), weighted 40%; and (3) relative market share, weighted 20%. Relative market share measures the Company’s ability to increase market share against its main competitor in its Core business. The non-financial performance metric was comprised of goals related to talent acquisition, retention, and diversity and employee engagement. Each NEO’s achievement was determined on an individualized basis, which provided the opportunity to recognize each NEO’s individual contributions to the Company’s diversity and engagement goals. </w:t>
      </w:r>
      <w:r>
        <w:rPr>
          <w:rFonts w:ascii="Arial" w:cs="Arial" w:eastAsia="Arial" w:hAnsi="Arial"/>
          <w:sz w:val="18"/>
          <w:szCs w:val="18"/>
          <w:b w:val="1"/>
          <w:bCs w:val="1"/>
          <w:color w:val="auto"/>
        </w:rPr>
        <w:t>The payout for the fiscal 2024 annual cash</w:t>
      </w:r>
      <w:r>
        <w:rPr>
          <w:rFonts w:ascii="Arial" w:cs="Arial" w:eastAsia="Arial" w:hAnsi="Arial"/>
          <w:sz w:val="18"/>
          <w:szCs w:val="18"/>
          <w:color w:val="auto"/>
        </w:rPr>
        <w:t xml:space="preserve"> </w:t>
      </w:r>
      <w:r>
        <w:rPr>
          <w:rFonts w:ascii="Arial" w:cs="Arial" w:eastAsia="Arial" w:hAnsi="Arial"/>
          <w:sz w:val="18"/>
          <w:szCs w:val="18"/>
          <w:b w:val="1"/>
          <w:bCs w:val="1"/>
          <w:color w:val="auto"/>
        </w:rPr>
        <w:t>incentive awards was 52% of target for the CEO and for other NEOs</w:t>
      </w:r>
      <w:r>
        <w:rPr>
          <w:rFonts w:ascii="Arial" w:cs="Arial" w:eastAsia="Arial" w:hAnsi="Arial"/>
          <w:sz w:val="18"/>
          <w:szCs w:val="18"/>
          <w:color w:val="auto"/>
        </w:rPr>
        <w:t>.</w:t>
      </w:r>
    </w:p>
    <w:p>
      <w:pPr>
        <w:spacing w:after="0" w:line="109" w:lineRule="exact"/>
        <w:rPr>
          <w:sz w:val="20"/>
          <w:szCs w:val="20"/>
          <w:color w:val="auto"/>
        </w:rPr>
      </w:pPr>
    </w:p>
    <w:p>
      <w:pPr>
        <w:ind w:left="1000" w:right="199"/>
        <w:spacing w:after="0" w:line="268" w:lineRule="auto"/>
        <w:rPr>
          <w:sz w:val="20"/>
          <w:szCs w:val="20"/>
          <w:color w:val="auto"/>
        </w:rPr>
      </w:pPr>
      <w:r>
        <w:rPr>
          <w:rFonts w:ascii="Arial" w:cs="Arial" w:eastAsia="Arial" w:hAnsi="Arial"/>
          <w:sz w:val="17"/>
          <w:szCs w:val="17"/>
          <w:b w:val="1"/>
          <w:bCs w:val="1"/>
          <w:i w:val="1"/>
          <w:iCs w:val="1"/>
          <w:color w:val="auto"/>
        </w:rPr>
        <w:t xml:space="preserve">Long-Term Incentive Design: </w:t>
      </w:r>
      <w:r>
        <w:rPr>
          <w:rFonts w:ascii="Arial" w:cs="Arial" w:eastAsia="Arial" w:hAnsi="Arial"/>
          <w:sz w:val="17"/>
          <w:szCs w:val="17"/>
          <w:color w:val="auto"/>
        </w:rPr>
        <w:t>The long-term equity incentive plan for fiscal 2024 consisted of 50%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share units (“PSUs”) and 50% time-based restricted stock units (“RSUs”). The PSUs were divided equally into three tranches, each with a different one-fiscal year performance period, which collectively vest at the end of the third fiscal year. PSUs earned under each tranche will be based on (1) adjusted return on invested capital exceeding weighted average cost of capital (“ROIC&gt;WACC”), weighted 50%, and (2) relative adjusted earnings per share growth, weighted 50%, with relative total shareholder return (“rTSR”) as a modifier.</w:t>
      </w:r>
    </w:p>
    <w:p>
      <w:pPr>
        <w:spacing w:after="0" w:line="4" w:lineRule="exact"/>
        <w:rPr>
          <w:sz w:val="20"/>
          <w:szCs w:val="20"/>
          <w:color w:val="auto"/>
        </w:rPr>
      </w:pPr>
    </w:p>
    <w:p>
      <w:pPr>
        <w:ind w:left="1000" w:right="219"/>
        <w:spacing w:after="0" w:line="275" w:lineRule="auto"/>
        <w:rPr>
          <w:sz w:val="20"/>
          <w:szCs w:val="20"/>
          <w:color w:val="auto"/>
        </w:rPr>
      </w:pPr>
      <w:r>
        <w:rPr>
          <w:rFonts w:ascii="Arial" w:cs="Arial" w:eastAsia="Arial" w:hAnsi="Arial"/>
          <w:sz w:val="18"/>
          <w:szCs w:val="18"/>
          <w:b w:val="1"/>
          <w:bCs w:val="1"/>
          <w:color w:val="auto"/>
        </w:rPr>
        <w:t>PSUs earned (but not yet vested) for all NEOs in fiscal 2024 were 41.76% of target, both under the first tranche for the fiscal 2024 to 2026 plan and the second tranche of the fiscal 2023 to 2025 plan</w:t>
      </w:r>
      <w:r>
        <w:rPr>
          <w:rFonts w:ascii="Arial" w:cs="Arial" w:eastAsia="Arial" w:hAnsi="Arial"/>
          <w:sz w:val="18"/>
          <w:szCs w:val="18"/>
          <w:color w:val="auto"/>
        </w:rPr>
        <w:t>.</w:t>
      </w:r>
    </w:p>
    <w:p>
      <w:pPr>
        <w:spacing w:after="0" w:line="8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5546090" cy="660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4609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0" w:right="159"/>
        <w:spacing w:after="0" w:line="256" w:lineRule="auto"/>
        <w:rPr>
          <w:sz w:val="20"/>
          <w:szCs w:val="20"/>
          <w:color w:val="auto"/>
        </w:rPr>
      </w:pPr>
      <w:r>
        <w:rPr>
          <w:rFonts w:ascii="Arial" w:cs="Arial" w:eastAsia="Arial" w:hAnsi="Arial"/>
          <w:sz w:val="18"/>
          <w:szCs w:val="18"/>
          <w:color w:val="auto"/>
        </w:rPr>
        <w:t>The Committee’s objective is to approve and oversee a compensation program that supports the Company’s business objectives and aligns executives’ interests with shareholders’ interests by rewarding short- and long-term performance that enhances shareholder value. The Company’s short-term incentive program employs multiple performance measures to ensure focus is on the entire business. The long-term incentive program included awards that vest over several different and overlapping periods to help ensure that performance during any one period was not maximized to the detriment of other periods. Equity awards vest over periods ranging from three to four years depending on the award type.</w:t>
      </w:r>
    </w:p>
    <w:p>
      <w:pPr>
        <w:spacing w:after="0" w:line="9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2023 Advisory Vote on Executive Compensation</w:t>
      </w:r>
    </w:p>
    <w:p>
      <w:pPr>
        <w:spacing w:after="0" w:line="153" w:lineRule="exact"/>
        <w:rPr>
          <w:sz w:val="20"/>
          <w:szCs w:val="20"/>
          <w:color w:val="auto"/>
        </w:rPr>
      </w:pPr>
    </w:p>
    <w:p>
      <w:pPr>
        <w:ind w:left="1000" w:right="399"/>
        <w:spacing w:after="0" w:line="291" w:lineRule="auto"/>
        <w:rPr>
          <w:sz w:val="20"/>
          <w:szCs w:val="20"/>
          <w:color w:val="auto"/>
        </w:rPr>
      </w:pPr>
      <w:r>
        <w:rPr>
          <w:rFonts w:ascii="Arial" w:cs="Arial" w:eastAsia="Arial" w:hAnsi="Arial"/>
          <w:sz w:val="17"/>
          <w:szCs w:val="17"/>
          <w:color w:val="auto"/>
        </w:rPr>
        <w:t>At the Company’s annual shareholder meeting on November 16, 2023, the Company submitted its executive compensation program to an advisory vote of its shareholders (also known as the “say on pay vote”). This advisory vote received support from approximately 97.83% of the total votes cast at the annual meeting.</w:t>
      </w:r>
    </w:p>
    <w:p>
      <w:pPr>
        <w:spacing w:after="0" w:line="8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Shareholder Outreach Efforts</w:t>
      </w:r>
    </w:p>
    <w:p>
      <w:pPr>
        <w:spacing w:after="0" w:line="153" w:lineRule="exact"/>
        <w:rPr>
          <w:sz w:val="20"/>
          <w:szCs w:val="20"/>
          <w:color w:val="auto"/>
        </w:rPr>
      </w:pPr>
    </w:p>
    <w:p>
      <w:pPr>
        <w:ind w:left="1000" w:right="199"/>
        <w:spacing w:after="0" w:line="257" w:lineRule="auto"/>
        <w:rPr>
          <w:sz w:val="20"/>
          <w:szCs w:val="20"/>
          <w:color w:val="auto"/>
        </w:rPr>
      </w:pPr>
      <w:r>
        <w:rPr>
          <w:rFonts w:ascii="Arial" w:cs="Arial" w:eastAsia="Arial" w:hAnsi="Arial"/>
          <w:sz w:val="18"/>
          <w:szCs w:val="18"/>
          <w:color w:val="auto"/>
        </w:rPr>
        <w:t>The Company carefully considers feedback received from its shareholders, including the say on pay vote, in its decision making regarding governance practices and executive compensation. As has been its practice for several years, in fiscal 2024, the Company contacted its largest registered shareholders to seek their feedback on the Company’s corporate governance and executive compensation practices (“2024 Outreach”). There were no concerns expressed during the 2024 Outreach that led the Committee to make material changes to the Company’s compensation programs.</w:t>
      </w:r>
    </w:p>
    <w:p>
      <w:pPr>
        <w:spacing w:after="0" w:line="31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COMPENSATION GOVERNANCE AND PROCESS</w:t>
      </w:r>
    </w:p>
    <w:p>
      <w:pPr>
        <w:spacing w:after="0" w:line="15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Role of the Compensation Committee and Board</w:t>
      </w:r>
    </w:p>
    <w:p>
      <w:pPr>
        <w:spacing w:after="0" w:line="11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setting and implementing the Company’s executive compensation program:</w:t>
      </w:r>
    </w:p>
    <w:p>
      <w:pPr>
        <w:spacing w:after="0" w:line="117" w:lineRule="exact"/>
        <w:rPr>
          <w:sz w:val="20"/>
          <w:szCs w:val="20"/>
          <w:color w:val="auto"/>
        </w:rPr>
      </w:pPr>
    </w:p>
    <w:p>
      <w:pPr>
        <w:ind w:left="1720" w:right="379" w:hanging="370"/>
        <w:spacing w:after="0" w:line="281" w:lineRule="auto"/>
        <w:tabs>
          <w:tab w:leader="none" w:pos="1720" w:val="left"/>
        </w:tabs>
        <w:numPr>
          <w:ilvl w:val="0"/>
          <w:numId w:val="40"/>
        </w:numPr>
        <w:rPr>
          <w:rFonts w:ascii="MS PGothic" w:cs="MS PGothic" w:eastAsia="MS PGothic" w:hAnsi="MS PGothic"/>
          <w:sz w:val="18"/>
          <w:szCs w:val="18"/>
          <w:color w:val="53C072"/>
        </w:rPr>
      </w:pPr>
      <w:r>
        <w:rPr>
          <w:rFonts w:ascii="Arial" w:cs="Arial" w:eastAsia="Arial" w:hAnsi="Arial"/>
          <w:sz w:val="18"/>
          <w:szCs w:val="18"/>
          <w:color w:val="auto"/>
        </w:rPr>
        <w:t>The Committee oversees overall compensation structure, policies, and programs, and assesses the appropriateness of incentives for management and employees</w:t>
      </w:r>
    </w:p>
    <w:p>
      <w:pPr>
        <w:spacing w:after="0" w:line="41" w:lineRule="exact"/>
        <w:rPr>
          <w:rFonts w:ascii="MS PGothic" w:cs="MS PGothic" w:eastAsia="MS PGothic" w:hAnsi="MS PGothic"/>
          <w:sz w:val="18"/>
          <w:szCs w:val="18"/>
          <w:color w:val="53C072"/>
        </w:rPr>
      </w:pPr>
    </w:p>
    <w:p>
      <w:pPr>
        <w:ind w:left="1720" w:right="219" w:hanging="370"/>
        <w:spacing w:after="0" w:line="287" w:lineRule="auto"/>
        <w:tabs>
          <w:tab w:leader="none" w:pos="1720" w:val="left"/>
        </w:tabs>
        <w:numPr>
          <w:ilvl w:val="0"/>
          <w:numId w:val="40"/>
        </w:numPr>
        <w:rPr>
          <w:rFonts w:ascii="MS PGothic" w:cs="MS PGothic" w:eastAsia="MS PGothic" w:hAnsi="MS PGothic"/>
          <w:sz w:val="18"/>
          <w:szCs w:val="18"/>
          <w:color w:val="53C072"/>
        </w:rPr>
      </w:pPr>
      <w:r>
        <w:rPr>
          <w:rFonts w:ascii="Arial" w:cs="Arial" w:eastAsia="Arial" w:hAnsi="Arial"/>
          <w:sz w:val="18"/>
          <w:szCs w:val="18"/>
          <w:color w:val="auto"/>
        </w:rPr>
        <w:t>The Committee serves as the administrator of short-term and long-term incentive plans and all equity-based compensation plans</w:t>
      </w:r>
    </w:p>
    <w:p>
      <w:pPr>
        <w:spacing w:after="0" w:line="44" w:lineRule="exact"/>
        <w:rPr>
          <w:rFonts w:ascii="MS PGothic" w:cs="MS PGothic" w:eastAsia="MS PGothic" w:hAnsi="MS PGothic"/>
          <w:sz w:val="18"/>
          <w:szCs w:val="18"/>
          <w:color w:val="53C072"/>
        </w:rPr>
      </w:pPr>
    </w:p>
    <w:p>
      <w:pPr>
        <w:ind w:left="1720" w:right="459" w:hanging="370"/>
        <w:spacing w:after="0" w:line="281" w:lineRule="auto"/>
        <w:tabs>
          <w:tab w:leader="none" w:pos="1720" w:val="left"/>
        </w:tabs>
        <w:numPr>
          <w:ilvl w:val="0"/>
          <w:numId w:val="40"/>
        </w:numPr>
        <w:rPr>
          <w:rFonts w:ascii="MS PGothic" w:cs="MS PGothic" w:eastAsia="MS PGothic" w:hAnsi="MS PGothic"/>
          <w:sz w:val="18"/>
          <w:szCs w:val="18"/>
          <w:color w:val="53C072"/>
        </w:rPr>
      </w:pPr>
      <w:r>
        <w:rPr>
          <w:rFonts w:ascii="Arial" w:cs="Arial" w:eastAsia="Arial" w:hAnsi="Arial"/>
          <w:sz w:val="18"/>
          <w:szCs w:val="18"/>
          <w:color w:val="auto"/>
        </w:rPr>
        <w:t>The Committee oversees performance evaluations and reviews and approves compensation for all executive officers except the CEO</w:t>
      </w:r>
    </w:p>
    <w:p>
      <w:pPr>
        <w:spacing w:after="0" w:line="41" w:lineRule="exact"/>
        <w:rPr>
          <w:rFonts w:ascii="MS PGothic" w:cs="MS PGothic" w:eastAsia="MS PGothic" w:hAnsi="MS PGothic"/>
          <w:sz w:val="18"/>
          <w:szCs w:val="18"/>
          <w:color w:val="53C072"/>
        </w:rPr>
      </w:pPr>
    </w:p>
    <w:p>
      <w:pPr>
        <w:ind w:left="1720" w:right="399" w:hanging="370"/>
        <w:spacing w:after="0" w:line="287" w:lineRule="auto"/>
        <w:tabs>
          <w:tab w:leader="none" w:pos="1720" w:val="left"/>
        </w:tabs>
        <w:numPr>
          <w:ilvl w:val="0"/>
          <w:numId w:val="40"/>
        </w:numPr>
        <w:rPr>
          <w:rFonts w:ascii="MS PGothic" w:cs="MS PGothic" w:eastAsia="MS PGothic" w:hAnsi="MS PGothic"/>
          <w:sz w:val="18"/>
          <w:szCs w:val="18"/>
          <w:color w:val="53C072"/>
        </w:rPr>
      </w:pPr>
      <w:r>
        <w:rPr>
          <w:rFonts w:ascii="Arial" w:cs="Arial" w:eastAsia="Arial" w:hAnsi="Arial"/>
          <w:sz w:val="18"/>
          <w:szCs w:val="18"/>
          <w:color w:val="auto"/>
        </w:rPr>
        <w:t>The Committee reviews and evaluates the CEO’s performance and makes recommendations to the Independent Directors regarding the CEO’s compensation</w:t>
      </w:r>
    </w:p>
    <w:p>
      <w:pPr>
        <w:spacing w:after="0" w:line="44" w:lineRule="exact"/>
        <w:rPr>
          <w:rFonts w:ascii="MS PGothic" w:cs="MS PGothic" w:eastAsia="MS PGothic" w:hAnsi="MS PGothic"/>
          <w:sz w:val="18"/>
          <w:szCs w:val="18"/>
          <w:color w:val="53C072"/>
        </w:rPr>
      </w:pPr>
    </w:p>
    <w:p>
      <w:pPr>
        <w:ind w:left="1720" w:right="1099" w:hanging="370"/>
        <w:spacing w:after="0" w:line="287" w:lineRule="auto"/>
        <w:tabs>
          <w:tab w:leader="none" w:pos="1720" w:val="left"/>
        </w:tabs>
        <w:numPr>
          <w:ilvl w:val="0"/>
          <w:numId w:val="40"/>
        </w:numPr>
        <w:rPr>
          <w:rFonts w:ascii="MS PGothic" w:cs="MS PGothic" w:eastAsia="MS PGothic" w:hAnsi="MS PGothic"/>
          <w:sz w:val="18"/>
          <w:szCs w:val="18"/>
          <w:color w:val="53C072"/>
        </w:rPr>
      </w:pPr>
      <w:r>
        <w:rPr>
          <w:rFonts w:ascii="Arial" w:cs="Arial" w:eastAsia="Arial" w:hAnsi="Arial"/>
          <w:sz w:val="18"/>
          <w:szCs w:val="18"/>
          <w:color w:val="auto"/>
        </w:rPr>
        <w:t>The Committee recommends the CEO’s target opportunity and actual compensation to the Independent Directors of the Board for their consideration and approval</w:t>
      </w:r>
    </w:p>
    <w:p>
      <w:pPr>
        <w:spacing w:after="0" w:line="44" w:lineRule="exact"/>
        <w:rPr>
          <w:rFonts w:ascii="MS PGothic" w:cs="MS PGothic" w:eastAsia="MS PGothic" w:hAnsi="MS PGothic"/>
          <w:sz w:val="18"/>
          <w:szCs w:val="18"/>
          <w:color w:val="53C072"/>
        </w:rPr>
      </w:pPr>
    </w:p>
    <w:p>
      <w:pPr>
        <w:ind w:left="1720" w:right="299" w:hanging="370"/>
        <w:spacing w:after="0" w:line="281" w:lineRule="auto"/>
        <w:tabs>
          <w:tab w:leader="none" w:pos="1720" w:val="left"/>
        </w:tabs>
        <w:numPr>
          <w:ilvl w:val="0"/>
          <w:numId w:val="40"/>
        </w:numPr>
        <w:rPr>
          <w:rFonts w:ascii="MS PGothic" w:cs="MS PGothic" w:eastAsia="MS PGothic" w:hAnsi="MS PGothic"/>
          <w:sz w:val="18"/>
          <w:szCs w:val="18"/>
          <w:color w:val="53C072"/>
        </w:rPr>
      </w:pPr>
      <w:r>
        <w:rPr>
          <w:rFonts w:ascii="Arial" w:cs="Arial" w:eastAsia="Arial" w:hAnsi="Arial"/>
          <w:sz w:val="18"/>
          <w:szCs w:val="18"/>
          <w:color w:val="auto"/>
        </w:rPr>
        <w:t>The Committee reviews the compensation arrangements for executive officers to ensure that they do not encourage excessive risk-taking</w:t>
      </w:r>
    </w:p>
    <w:p>
      <w:pPr>
        <w:spacing w:after="0" w:line="41"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40"/>
        </w:numPr>
        <w:rPr>
          <w:rFonts w:ascii="MS PGothic" w:cs="MS PGothic" w:eastAsia="MS PGothic" w:hAnsi="MS PGothic"/>
          <w:sz w:val="18"/>
          <w:szCs w:val="18"/>
          <w:color w:val="53C072"/>
        </w:rPr>
      </w:pPr>
      <w:r>
        <w:rPr>
          <w:rFonts w:ascii="Arial" w:cs="Arial" w:eastAsia="Arial" w:hAnsi="Arial"/>
          <w:sz w:val="18"/>
          <w:szCs w:val="18"/>
          <w:color w:val="auto"/>
        </w:rPr>
        <w:t>The Independent Directors of the Board approve the compensation of the CEO</w:t>
      </w:r>
    </w:p>
    <w:p>
      <w:pPr>
        <w:spacing w:after="0" w:line="117" w:lineRule="exact"/>
        <w:rPr>
          <w:sz w:val="20"/>
          <w:szCs w:val="20"/>
          <w:color w:val="auto"/>
        </w:rPr>
      </w:pPr>
    </w:p>
    <w:p>
      <w:pPr>
        <w:ind w:left="1000" w:right="199"/>
        <w:spacing w:after="0" w:line="248" w:lineRule="auto"/>
        <w:rPr>
          <w:sz w:val="20"/>
          <w:szCs w:val="20"/>
          <w:color w:val="auto"/>
        </w:rPr>
      </w:pPr>
      <w:r>
        <w:rPr>
          <w:rFonts w:ascii="Arial" w:cs="Arial" w:eastAsia="Arial" w:hAnsi="Arial"/>
          <w:sz w:val="18"/>
          <w:szCs w:val="18"/>
          <w:color w:val="auto"/>
        </w:rPr>
        <w:t>The Board utilizes a decision-making framework regarding CEO compensation. As part of this framework, the Board Chair leads the Board in conducting an annual evaluation of CEO performance relative to the performance goals and objectives previously established for the Company and the CEO for the fiscal year recently ended. The CEO’s performance objectives include goals relating to enterprise performance, market share improvement, growth in high service and new market segments, and creating a high-performance culture with a focus on people, talent, and diversity and inclusion.</w:t>
      </w:r>
    </w:p>
    <w:p>
      <w:pPr>
        <w:spacing w:after="0" w:line="67" w:lineRule="exact"/>
        <w:rPr>
          <w:sz w:val="20"/>
          <w:szCs w:val="20"/>
          <w:color w:val="auto"/>
        </w:rPr>
      </w:pPr>
    </w:p>
    <w:p>
      <w:pPr>
        <w:ind w:left="1000" w:right="179"/>
        <w:spacing w:after="0" w:line="246" w:lineRule="auto"/>
        <w:rPr>
          <w:sz w:val="20"/>
          <w:szCs w:val="20"/>
          <w:color w:val="auto"/>
        </w:rPr>
      </w:pPr>
      <w:r>
        <w:rPr>
          <w:rFonts w:ascii="Arial" w:cs="Arial" w:eastAsia="Arial" w:hAnsi="Arial"/>
          <w:sz w:val="18"/>
          <w:szCs w:val="18"/>
          <w:color w:val="auto"/>
        </w:rPr>
        <w:t>When setting compensation for all executive officers, the Committee determines or recommends, as applicable, target compensation and performance goals by: (1) evaluating factors such as value of the job in the market and within the Company, the executive officer’s past performance, overall experience and time in the position, and expected future contributions; and (2) reviewing compensation summaries that tally the dollar value of the base salary, target annual cash incentive, target long-term incentives, and target total direct compensation. These summaries include benchmarking data comparing each of those elements to those of the peer group, which is further described below. For executive officers other than the CEO, the Committee also considers the CEO’s recommendations on compensation for the other executive officers.</w:t>
      </w:r>
    </w:p>
    <w:p>
      <w:pPr>
        <w:spacing w:after="0" w:line="71" w:lineRule="exact"/>
        <w:rPr>
          <w:sz w:val="20"/>
          <w:szCs w:val="20"/>
          <w:color w:val="auto"/>
        </w:rPr>
      </w:pPr>
    </w:p>
    <w:p>
      <w:pPr>
        <w:ind w:left="1000" w:right="399"/>
        <w:spacing w:after="0" w:line="271" w:lineRule="auto"/>
        <w:rPr>
          <w:sz w:val="20"/>
          <w:szCs w:val="20"/>
          <w:color w:val="auto"/>
        </w:rPr>
      </w:pPr>
      <w:r>
        <w:rPr>
          <w:rFonts w:ascii="Arial" w:cs="Arial" w:eastAsia="Arial" w:hAnsi="Arial"/>
          <w:sz w:val="18"/>
          <w:szCs w:val="18"/>
          <w:color w:val="auto"/>
        </w:rPr>
        <w:t>After the end of the fiscal year, the Committee reviews the prior year’s performance by each executive officer and either approves or recommends, as applicable, incentive plan payouts for all executive officers.</w:t>
      </w:r>
    </w:p>
    <w:p>
      <w:pPr>
        <w:spacing w:after="0" w:line="8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Role of Management</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 aid in determining the compensation for the Company’s executive officers other than the CEO:</w:t>
      </w:r>
    </w:p>
    <w:p>
      <w:pPr>
        <w:spacing w:after="0" w:line="158" w:lineRule="exact"/>
        <w:rPr>
          <w:sz w:val="20"/>
          <w:szCs w:val="20"/>
          <w:color w:val="auto"/>
        </w:rPr>
      </w:pPr>
    </w:p>
    <w:p>
      <w:pPr>
        <w:ind w:left="1720" w:hanging="370"/>
        <w:spacing w:after="0"/>
        <w:tabs>
          <w:tab w:leader="none" w:pos="1720" w:val="left"/>
        </w:tabs>
        <w:numPr>
          <w:ilvl w:val="0"/>
          <w:numId w:val="41"/>
        </w:numPr>
        <w:rPr>
          <w:rFonts w:ascii="MS PGothic" w:cs="MS PGothic" w:eastAsia="MS PGothic" w:hAnsi="MS PGothic"/>
          <w:sz w:val="18"/>
          <w:szCs w:val="18"/>
          <w:color w:val="53C072"/>
        </w:rPr>
      </w:pPr>
      <w:r>
        <w:rPr>
          <w:rFonts w:ascii="Arial" w:cs="Arial" w:eastAsia="Arial" w:hAnsi="Arial"/>
          <w:sz w:val="18"/>
          <w:szCs w:val="18"/>
          <w:color w:val="auto"/>
        </w:rPr>
        <w:t>The CEO discusses the performance of each executive officer with the Committee</w:t>
      </w:r>
    </w:p>
    <w:p>
      <w:pPr>
        <w:spacing w:after="0" w:line="144" w:lineRule="exact"/>
        <w:rPr>
          <w:rFonts w:ascii="MS PGothic" w:cs="MS PGothic" w:eastAsia="MS PGothic" w:hAnsi="MS PGothic"/>
          <w:sz w:val="18"/>
          <w:szCs w:val="18"/>
          <w:color w:val="53C072"/>
        </w:rPr>
      </w:pPr>
    </w:p>
    <w:p>
      <w:pPr>
        <w:ind w:left="1720" w:right="419" w:hanging="370"/>
        <w:spacing w:after="0" w:line="287" w:lineRule="auto"/>
        <w:tabs>
          <w:tab w:leader="none" w:pos="1720" w:val="left"/>
        </w:tabs>
        <w:numPr>
          <w:ilvl w:val="0"/>
          <w:numId w:val="41"/>
        </w:numPr>
        <w:rPr>
          <w:rFonts w:ascii="MS PGothic" w:cs="MS PGothic" w:eastAsia="MS PGothic" w:hAnsi="MS PGothic"/>
          <w:sz w:val="18"/>
          <w:szCs w:val="18"/>
          <w:color w:val="53C072"/>
        </w:rPr>
      </w:pPr>
      <w:r>
        <w:rPr>
          <w:rFonts w:ascii="Arial" w:cs="Arial" w:eastAsia="Arial" w:hAnsi="Arial"/>
          <w:sz w:val="18"/>
          <w:szCs w:val="18"/>
          <w:color w:val="auto"/>
        </w:rPr>
        <w:t>The CEO provides recommendations on the compensation levels for each executive officer (except the CEO) to the Committee</w:t>
      </w:r>
    </w:p>
    <w:p>
      <w:pPr>
        <w:spacing w:after="0" w:line="71"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41"/>
        </w:numPr>
        <w:rPr>
          <w:rFonts w:ascii="MS PGothic" w:cs="MS PGothic" w:eastAsia="MS PGothic" w:hAnsi="MS PGothic"/>
          <w:sz w:val="18"/>
          <w:szCs w:val="18"/>
          <w:color w:val="53C072"/>
        </w:rPr>
      </w:pPr>
      <w:r>
        <w:rPr>
          <w:rFonts w:ascii="Arial" w:cs="Arial" w:eastAsia="Arial" w:hAnsi="Arial"/>
          <w:sz w:val="18"/>
          <w:szCs w:val="18"/>
          <w:color w:val="auto"/>
        </w:rPr>
        <w:t>When making compensation recommendations, the CEO considers various items including:</w:t>
      </w:r>
    </w:p>
    <w:p>
      <w:pPr>
        <w:spacing w:after="0" w:line="157" w:lineRule="exact"/>
        <w:rPr>
          <w:rFonts w:ascii="MS PGothic" w:cs="MS PGothic" w:eastAsia="MS PGothic" w:hAnsi="MS PGothic"/>
          <w:sz w:val="18"/>
          <w:szCs w:val="18"/>
          <w:color w:val="53C072"/>
        </w:rPr>
      </w:pPr>
    </w:p>
    <w:p>
      <w:pPr>
        <w:ind w:left="2080" w:hanging="370"/>
        <w:spacing w:after="0"/>
        <w:tabs>
          <w:tab w:leader="none" w:pos="2080" w:val="left"/>
        </w:tabs>
        <w:numPr>
          <w:ilvl w:val="1"/>
          <w:numId w:val="41"/>
        </w:numPr>
        <w:rPr>
          <w:rFonts w:ascii="MS PGothic" w:cs="MS PGothic" w:eastAsia="MS PGothic" w:hAnsi="MS PGothic"/>
          <w:sz w:val="18"/>
          <w:szCs w:val="18"/>
          <w:color w:val="53C072"/>
        </w:rPr>
      </w:pPr>
      <w:r>
        <w:rPr>
          <w:rFonts w:ascii="Arial" w:cs="Arial" w:eastAsia="Arial" w:hAnsi="Arial"/>
          <w:sz w:val="18"/>
          <w:szCs w:val="18"/>
          <w:color w:val="auto"/>
        </w:rPr>
        <w:t>value of the job in the market and within the Company</w:t>
      </w:r>
    </w:p>
    <w:p>
      <w:pPr>
        <w:spacing w:after="0" w:line="144" w:lineRule="exact"/>
        <w:rPr>
          <w:rFonts w:ascii="MS PGothic" w:cs="MS PGothic" w:eastAsia="MS PGothic" w:hAnsi="MS PGothic"/>
          <w:sz w:val="18"/>
          <w:szCs w:val="18"/>
          <w:color w:val="53C072"/>
        </w:rPr>
      </w:pPr>
    </w:p>
    <w:p>
      <w:pPr>
        <w:ind w:left="2080" w:hanging="370"/>
        <w:spacing w:after="0"/>
        <w:tabs>
          <w:tab w:leader="none" w:pos="2080" w:val="left"/>
        </w:tabs>
        <w:numPr>
          <w:ilvl w:val="1"/>
          <w:numId w:val="41"/>
        </w:numPr>
        <w:rPr>
          <w:rFonts w:ascii="MS PGothic" w:cs="MS PGothic" w:eastAsia="MS PGothic" w:hAnsi="MS PGothic"/>
          <w:sz w:val="18"/>
          <w:szCs w:val="18"/>
          <w:color w:val="53C072"/>
        </w:rPr>
      </w:pPr>
      <w:r>
        <w:rPr>
          <w:rFonts w:ascii="Arial" w:cs="Arial" w:eastAsia="Arial" w:hAnsi="Arial"/>
          <w:sz w:val="18"/>
          <w:szCs w:val="18"/>
          <w:color w:val="auto"/>
        </w:rPr>
        <w:t>the executive officer’s performance</w:t>
      </w:r>
    </w:p>
    <w:p>
      <w:pPr>
        <w:spacing w:after="0" w:line="157" w:lineRule="exact"/>
        <w:rPr>
          <w:rFonts w:ascii="MS PGothic" w:cs="MS PGothic" w:eastAsia="MS PGothic" w:hAnsi="MS PGothic"/>
          <w:sz w:val="18"/>
          <w:szCs w:val="18"/>
          <w:color w:val="53C072"/>
        </w:rPr>
      </w:pPr>
    </w:p>
    <w:p>
      <w:pPr>
        <w:ind w:left="2080" w:hanging="370"/>
        <w:spacing w:after="0"/>
        <w:tabs>
          <w:tab w:leader="none" w:pos="2080" w:val="left"/>
        </w:tabs>
        <w:numPr>
          <w:ilvl w:val="1"/>
          <w:numId w:val="41"/>
        </w:numPr>
        <w:rPr>
          <w:rFonts w:ascii="MS PGothic" w:cs="MS PGothic" w:eastAsia="MS PGothic" w:hAnsi="MS PGothic"/>
          <w:sz w:val="18"/>
          <w:szCs w:val="18"/>
          <w:color w:val="53C072"/>
        </w:rPr>
      </w:pPr>
      <w:r>
        <w:rPr>
          <w:rFonts w:ascii="Arial" w:cs="Arial" w:eastAsia="Arial" w:hAnsi="Arial"/>
          <w:sz w:val="18"/>
          <w:szCs w:val="18"/>
          <w:color w:val="auto"/>
        </w:rPr>
        <w:t>overall experience and time in the position</w:t>
      </w:r>
    </w:p>
    <w:p>
      <w:pPr>
        <w:spacing w:after="0" w:line="144" w:lineRule="exact"/>
        <w:rPr>
          <w:rFonts w:ascii="MS PGothic" w:cs="MS PGothic" w:eastAsia="MS PGothic" w:hAnsi="MS PGothic"/>
          <w:sz w:val="18"/>
          <w:szCs w:val="18"/>
          <w:color w:val="53C072"/>
        </w:rPr>
      </w:pPr>
    </w:p>
    <w:p>
      <w:pPr>
        <w:ind w:left="2080" w:hanging="370"/>
        <w:spacing w:after="0"/>
        <w:tabs>
          <w:tab w:leader="none" w:pos="2080" w:val="left"/>
        </w:tabs>
        <w:numPr>
          <w:ilvl w:val="1"/>
          <w:numId w:val="41"/>
        </w:numPr>
        <w:rPr>
          <w:rFonts w:ascii="MS PGothic" w:cs="MS PGothic" w:eastAsia="MS PGothic" w:hAnsi="MS PGothic"/>
          <w:sz w:val="18"/>
          <w:szCs w:val="18"/>
          <w:color w:val="53C072"/>
        </w:rPr>
      </w:pPr>
      <w:r>
        <w:rPr>
          <w:rFonts w:ascii="Arial" w:cs="Arial" w:eastAsia="Arial" w:hAnsi="Arial"/>
          <w:sz w:val="18"/>
          <w:szCs w:val="18"/>
          <w:color w:val="auto"/>
        </w:rPr>
        <w:t>expected future contributions</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42     </w:t>
      </w:r>
      <w:r>
        <w:rPr>
          <w:sz w:val="1"/>
          <w:szCs w:val="1"/>
          <w:color w:val="auto"/>
        </w:rPr>
        <w:drawing>
          <wp:inline distT="0" distB="0" distL="0" distR="0">
            <wp:extent cx="1242695" cy="24003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Role of the Independent Compensation Consultant</w:t>
      </w:r>
    </w:p>
    <w:p>
      <w:pPr>
        <w:spacing w:after="0" w:line="153" w:lineRule="exact"/>
        <w:rPr>
          <w:sz w:val="20"/>
          <w:szCs w:val="20"/>
          <w:color w:val="auto"/>
        </w:rPr>
      </w:pPr>
    </w:p>
    <w:p>
      <w:pPr>
        <w:ind w:left="1720" w:right="799" w:hanging="370"/>
        <w:spacing w:after="0" w:line="287" w:lineRule="auto"/>
        <w:tabs>
          <w:tab w:leader="none" w:pos="1720" w:val="left"/>
        </w:tabs>
        <w:numPr>
          <w:ilvl w:val="0"/>
          <w:numId w:val="42"/>
        </w:numPr>
        <w:rPr>
          <w:rFonts w:ascii="MS PGothic" w:cs="MS PGothic" w:eastAsia="MS PGothic" w:hAnsi="MS PGothic"/>
          <w:sz w:val="18"/>
          <w:szCs w:val="18"/>
          <w:color w:val="53C072"/>
        </w:rPr>
      </w:pPr>
      <w:r>
        <w:rPr>
          <w:rFonts w:ascii="Arial" w:cs="Arial" w:eastAsia="Arial" w:hAnsi="Arial"/>
          <w:sz w:val="18"/>
          <w:szCs w:val="18"/>
          <w:color w:val="auto"/>
        </w:rPr>
        <w:t>Provides independent and objective advice to the Committee on the Company’s executive pay programs</w:t>
      </w:r>
    </w:p>
    <w:p>
      <w:pPr>
        <w:spacing w:after="0" w:line="71"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42"/>
        </w:numPr>
        <w:rPr>
          <w:rFonts w:ascii="MS PGothic" w:cs="MS PGothic" w:eastAsia="MS PGothic" w:hAnsi="MS PGothic"/>
          <w:sz w:val="18"/>
          <w:szCs w:val="18"/>
          <w:color w:val="53C072"/>
        </w:rPr>
      </w:pPr>
      <w:r>
        <w:rPr>
          <w:rFonts w:ascii="Arial" w:cs="Arial" w:eastAsia="Arial" w:hAnsi="Arial"/>
          <w:sz w:val="18"/>
          <w:szCs w:val="18"/>
          <w:color w:val="auto"/>
        </w:rPr>
        <w:t>Apprises the Committee of compensation-related trends in the marketplace</w:t>
      </w:r>
    </w:p>
    <w:p>
      <w:pPr>
        <w:spacing w:after="0" w:line="144"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42"/>
        </w:numPr>
        <w:rPr>
          <w:rFonts w:ascii="MS PGothic" w:cs="MS PGothic" w:eastAsia="MS PGothic" w:hAnsi="MS PGothic"/>
          <w:sz w:val="18"/>
          <w:szCs w:val="18"/>
          <w:color w:val="53C072"/>
        </w:rPr>
      </w:pPr>
      <w:r>
        <w:rPr>
          <w:rFonts w:ascii="Arial" w:cs="Arial" w:eastAsia="Arial" w:hAnsi="Arial"/>
          <w:sz w:val="18"/>
          <w:szCs w:val="18"/>
          <w:color w:val="auto"/>
        </w:rPr>
        <w:t>Informs the Committee on compensation-related regulatory developments</w:t>
      </w:r>
    </w:p>
    <w:p>
      <w:pPr>
        <w:spacing w:after="0" w:line="130" w:lineRule="exact"/>
        <w:rPr>
          <w:rFonts w:ascii="MS PGothic" w:cs="MS PGothic" w:eastAsia="MS PGothic" w:hAnsi="MS PGothic"/>
          <w:sz w:val="18"/>
          <w:szCs w:val="18"/>
          <w:color w:val="53C072"/>
        </w:rPr>
      </w:pPr>
    </w:p>
    <w:p>
      <w:pPr>
        <w:ind w:left="1720" w:right="719" w:hanging="370"/>
        <w:spacing w:after="0" w:line="287" w:lineRule="auto"/>
        <w:tabs>
          <w:tab w:leader="none" w:pos="1720" w:val="left"/>
        </w:tabs>
        <w:numPr>
          <w:ilvl w:val="0"/>
          <w:numId w:val="42"/>
        </w:numPr>
        <w:rPr>
          <w:rFonts w:ascii="MS PGothic" w:cs="MS PGothic" w:eastAsia="MS PGothic" w:hAnsi="MS PGothic"/>
          <w:sz w:val="18"/>
          <w:szCs w:val="18"/>
          <w:color w:val="53C072"/>
        </w:rPr>
      </w:pPr>
      <w:r>
        <w:rPr>
          <w:rFonts w:ascii="Arial" w:cs="Arial" w:eastAsia="Arial" w:hAnsi="Arial"/>
          <w:sz w:val="18"/>
          <w:szCs w:val="18"/>
          <w:color w:val="auto"/>
        </w:rPr>
        <w:t>Assists with benchmarking peer group development and related market data for the Company’s officers</w:t>
      </w:r>
    </w:p>
    <w:p>
      <w:pPr>
        <w:spacing w:after="0" w:line="71"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42"/>
        </w:numPr>
        <w:rPr>
          <w:rFonts w:ascii="MS PGothic" w:cs="MS PGothic" w:eastAsia="MS PGothic" w:hAnsi="MS PGothic"/>
          <w:sz w:val="18"/>
          <w:szCs w:val="18"/>
          <w:color w:val="53C072"/>
        </w:rPr>
      </w:pPr>
      <w:r>
        <w:rPr>
          <w:rFonts w:ascii="Arial" w:cs="Arial" w:eastAsia="Arial" w:hAnsi="Arial"/>
          <w:sz w:val="18"/>
          <w:szCs w:val="18"/>
          <w:color w:val="auto"/>
        </w:rPr>
        <w:t>Advises on the design of the Company’s incentive compensation programs</w:t>
      </w:r>
    </w:p>
    <w:p>
      <w:pPr>
        <w:spacing w:after="0" w:line="130" w:lineRule="exact"/>
        <w:rPr>
          <w:rFonts w:ascii="MS PGothic" w:cs="MS PGothic" w:eastAsia="MS PGothic" w:hAnsi="MS PGothic"/>
          <w:sz w:val="18"/>
          <w:szCs w:val="18"/>
          <w:color w:val="53C072"/>
        </w:rPr>
      </w:pPr>
    </w:p>
    <w:p>
      <w:pPr>
        <w:ind w:left="1720" w:hanging="370"/>
        <w:spacing w:after="0"/>
        <w:tabs>
          <w:tab w:leader="none" w:pos="1720" w:val="left"/>
        </w:tabs>
        <w:numPr>
          <w:ilvl w:val="0"/>
          <w:numId w:val="42"/>
        </w:numPr>
        <w:rPr>
          <w:rFonts w:ascii="MS PGothic" w:cs="MS PGothic" w:eastAsia="MS PGothic" w:hAnsi="MS PGothic"/>
          <w:sz w:val="18"/>
          <w:szCs w:val="18"/>
          <w:color w:val="53C072"/>
        </w:rPr>
      </w:pPr>
      <w:r>
        <w:rPr>
          <w:rFonts w:ascii="Arial" w:cs="Arial" w:eastAsia="Arial" w:hAnsi="Arial"/>
          <w:sz w:val="18"/>
          <w:szCs w:val="18"/>
          <w:color w:val="auto"/>
        </w:rPr>
        <w:t>Provides such additional reports and analyses as requested by the Committee from time-to-time</w:t>
      </w:r>
    </w:p>
    <w:p>
      <w:pPr>
        <w:spacing w:after="0" w:line="158" w:lineRule="exact"/>
        <w:rPr>
          <w:sz w:val="20"/>
          <w:szCs w:val="20"/>
          <w:color w:val="auto"/>
        </w:rPr>
      </w:pPr>
    </w:p>
    <w:p>
      <w:pPr>
        <w:ind w:left="1000" w:right="239"/>
        <w:spacing w:after="0" w:line="252" w:lineRule="auto"/>
        <w:rPr>
          <w:sz w:val="20"/>
          <w:szCs w:val="20"/>
          <w:color w:val="auto"/>
        </w:rPr>
      </w:pPr>
      <w:r>
        <w:rPr>
          <w:rFonts w:ascii="Arial" w:cs="Arial" w:eastAsia="Arial" w:hAnsi="Arial"/>
          <w:sz w:val="18"/>
          <w:szCs w:val="18"/>
          <w:color w:val="auto"/>
        </w:rPr>
        <w:t>The Committee has retained Meridian Compensation Partners, LLC (“Meridian”) to serve as the independent compensation consultant. The terms of Meridian’s engagement are set forth in an engagement agreement that provides, among other things, that Meridian is engaged by, and reports only to, the Committee and will perform the compensation advisory services requested by the Committee.</w:t>
      </w:r>
    </w:p>
    <w:p>
      <w:pPr>
        <w:spacing w:after="0" w:line="103" w:lineRule="exact"/>
        <w:rPr>
          <w:sz w:val="20"/>
          <w:szCs w:val="20"/>
          <w:color w:val="auto"/>
        </w:rPr>
      </w:pPr>
    </w:p>
    <w:p>
      <w:pPr>
        <w:ind w:left="1000" w:right="239"/>
        <w:spacing w:after="0" w:line="252" w:lineRule="auto"/>
        <w:rPr>
          <w:sz w:val="20"/>
          <w:szCs w:val="20"/>
          <w:color w:val="auto"/>
        </w:rPr>
      </w:pPr>
      <w:r>
        <w:rPr>
          <w:rFonts w:ascii="Arial" w:cs="Arial" w:eastAsia="Arial" w:hAnsi="Arial"/>
          <w:sz w:val="18"/>
          <w:szCs w:val="18"/>
          <w:color w:val="auto"/>
        </w:rPr>
        <w:t>Meridian did not provide any separate services to the Company during fiscal 2024 other than its services to the Committee. The Committee conducted its annual assessment of Meridian’s independence pursuant to applicable SEC and Nasdaq rules and concluded that Meridian’s work for the Committee during fiscal 2024 did not raise any conflicts of interest.</w:t>
      </w:r>
    </w:p>
    <w:p>
      <w:pPr>
        <w:spacing w:after="0" w:line="98"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Benchmarking</w:t>
      </w:r>
    </w:p>
    <w:p>
      <w:pPr>
        <w:spacing w:after="0" w:line="153" w:lineRule="exact"/>
        <w:rPr>
          <w:sz w:val="20"/>
          <w:szCs w:val="20"/>
          <w:color w:val="auto"/>
        </w:rPr>
      </w:pPr>
    </w:p>
    <w:p>
      <w:pPr>
        <w:jc w:val="both"/>
        <w:ind w:left="1000" w:right="159"/>
        <w:spacing w:after="0" w:line="253" w:lineRule="auto"/>
        <w:rPr>
          <w:sz w:val="20"/>
          <w:szCs w:val="20"/>
          <w:color w:val="auto"/>
        </w:rPr>
      </w:pPr>
      <w:r>
        <w:rPr>
          <w:rFonts w:ascii="Arial" w:cs="Arial" w:eastAsia="Arial" w:hAnsi="Arial"/>
          <w:sz w:val="18"/>
          <w:szCs w:val="18"/>
          <w:color w:val="auto"/>
        </w:rPr>
        <w:t>To ensure the Committee has the information necessary to set appropriate compensation levels, the Committee approves the overall approach for executive officer benchmarking, including selection of the benchmarking peer group.</w:t>
      </w:r>
    </w:p>
    <w:p>
      <w:pPr>
        <w:sectPr>
          <w:pgSz w:w="11900" w:h="16838" w:orient="portrait"/>
          <w:cols w:equalWidth="0" w:num="1">
            <w:col w:w="9879"/>
          </w:cols>
          <w:pgMar w:left="580" w:top="97" w:right="1440" w:bottom="1440" w:gutter="0" w:footer="0" w:header="0"/>
        </w:sectPr>
      </w:pPr>
    </w:p>
    <w:p>
      <w:pPr>
        <w:spacing w:after="0" w:line="109" w:lineRule="exact"/>
        <w:rPr>
          <w:sz w:val="20"/>
          <w:szCs w:val="20"/>
          <w:color w:val="auto"/>
        </w:rPr>
      </w:pPr>
    </w:p>
    <w:p>
      <w:pPr>
        <w:ind w:left="1140" w:hanging="128"/>
        <w:spacing w:after="0"/>
        <w:tabs>
          <w:tab w:leader="none" w:pos="1140" w:val="left"/>
        </w:tabs>
        <w:numPr>
          <w:ilvl w:val="0"/>
          <w:numId w:val="43"/>
        </w:numPr>
        <w:rPr>
          <w:rFonts w:ascii="Arial" w:cs="Arial" w:eastAsia="Arial" w:hAnsi="Arial"/>
          <w:sz w:val="29"/>
          <w:szCs w:val="29"/>
          <w:b w:val="1"/>
          <w:bCs w:val="1"/>
          <w:color w:val="FEFEFE"/>
          <w:vertAlign w:val="subscript"/>
        </w:rPr>
      </w:pPr>
      <w:r>
        <w:rPr>
          <w:rFonts w:ascii="Arial" w:cs="Arial" w:eastAsia="Arial" w:hAnsi="Arial"/>
          <w:sz w:val="14"/>
          <w:szCs w:val="14"/>
          <w:b w:val="1"/>
          <w:bCs w:val="1"/>
          <w:color w:val="FEFEFE"/>
        </w:rPr>
        <w:t>FY24 Considerations for Benchmarking Peer Group Development:</w:t>
      </w:r>
    </w:p>
    <w:p>
      <w:pPr>
        <w:spacing w:after="0" w:line="67" w:lineRule="exact"/>
        <w:rPr>
          <w:rFonts w:ascii="Arial" w:cs="Arial" w:eastAsia="Arial" w:hAnsi="Arial"/>
          <w:sz w:val="29"/>
          <w:szCs w:val="29"/>
          <w:b w:val="1"/>
          <w:bCs w:val="1"/>
          <w:color w:val="FEFEFE"/>
          <w:vertAlign w:val="subscript"/>
        </w:rPr>
      </w:pPr>
    </w:p>
    <w:p>
      <w:pPr>
        <w:ind w:left="1140" w:hanging="128"/>
        <w:spacing w:after="0" w:line="259" w:lineRule="exact"/>
        <w:tabs>
          <w:tab w:leader="none" w:pos="1140" w:val="left"/>
        </w:tabs>
        <w:numPr>
          <w:ilvl w:val="0"/>
          <w:numId w:val="43"/>
        </w:numPr>
        <w:rPr>
          <w:rFonts w:ascii="Arial" w:cs="Arial" w:eastAsia="Arial" w:hAnsi="Arial"/>
          <w:sz w:val="30"/>
          <w:szCs w:val="30"/>
          <w:color w:val="auto"/>
          <w:vertAlign w:val="superscript"/>
        </w:rPr>
      </w:pPr>
      <w:r>
        <w:rPr>
          <w:rFonts w:ascii="MS PGothic" w:cs="MS PGothic" w:eastAsia="MS PGothic" w:hAnsi="MS PGothic"/>
          <w:sz w:val="16"/>
          <w:szCs w:val="16"/>
          <w:color w:val="53C072"/>
        </w:rPr>
        <w:t>✓</w:t>
      </w:r>
      <w:r>
        <w:rPr>
          <w:rFonts w:ascii="Arial" w:cs="Arial" w:eastAsia="Arial" w:hAnsi="Arial"/>
          <w:sz w:val="16"/>
          <w:szCs w:val="16"/>
          <w:color w:val="auto"/>
        </w:rPr>
        <w:t xml:space="preserve">  A distribution, product, or related service company</w:t>
      </w:r>
    </w:p>
    <w:p>
      <w:pPr>
        <w:spacing w:after="0" w:line="133" w:lineRule="exact"/>
        <w:rPr>
          <w:rFonts w:ascii="Arial" w:cs="Arial" w:eastAsia="Arial" w:hAnsi="Arial"/>
          <w:sz w:val="30"/>
          <w:szCs w:val="30"/>
          <w:color w:val="auto"/>
          <w:vertAlign w:val="superscript"/>
        </w:rPr>
      </w:pPr>
    </w:p>
    <w:p>
      <w:pPr>
        <w:ind w:left="1500" w:hanging="366"/>
        <w:spacing w:after="0"/>
        <w:tabs>
          <w:tab w:leader="none" w:pos="1500" w:val="left"/>
        </w:tabs>
        <w:numPr>
          <w:ilvl w:val="1"/>
          <w:numId w:val="43"/>
        </w:numPr>
        <w:rPr>
          <w:rFonts w:ascii="MS PGothic" w:cs="MS PGothic" w:eastAsia="MS PGothic" w:hAnsi="MS PGothic"/>
          <w:sz w:val="18"/>
          <w:szCs w:val="18"/>
          <w:color w:val="53C072"/>
        </w:rPr>
      </w:pPr>
      <w:r>
        <w:rPr>
          <w:rFonts w:ascii="Arial" w:cs="Arial" w:eastAsia="Arial" w:hAnsi="Arial"/>
          <w:sz w:val="18"/>
          <w:szCs w:val="18"/>
          <w:color w:val="auto"/>
        </w:rPr>
        <w:t>Revenues within range of Company revenues</w:t>
      </w:r>
    </w:p>
    <w:p>
      <w:pPr>
        <w:spacing w:after="0" w:line="166" w:lineRule="exact"/>
        <w:rPr>
          <w:rFonts w:ascii="MS PGothic" w:cs="MS PGothic" w:eastAsia="MS PGothic" w:hAnsi="MS PGothic"/>
          <w:sz w:val="18"/>
          <w:szCs w:val="18"/>
          <w:color w:val="53C072"/>
        </w:rPr>
      </w:pPr>
    </w:p>
    <w:p>
      <w:pPr>
        <w:ind w:left="1500" w:hanging="366"/>
        <w:spacing w:after="0" w:line="287" w:lineRule="auto"/>
        <w:tabs>
          <w:tab w:leader="none" w:pos="1500" w:val="left"/>
        </w:tabs>
        <w:numPr>
          <w:ilvl w:val="1"/>
          <w:numId w:val="43"/>
        </w:numPr>
        <w:rPr>
          <w:rFonts w:ascii="MS PGothic" w:cs="MS PGothic" w:eastAsia="MS PGothic" w:hAnsi="MS PGothic"/>
          <w:sz w:val="18"/>
          <w:szCs w:val="18"/>
          <w:color w:val="53C072"/>
        </w:rPr>
      </w:pPr>
      <w:r>
        <w:rPr>
          <w:rFonts w:ascii="Arial" w:cs="Arial" w:eastAsia="Arial" w:hAnsi="Arial"/>
          <w:sz w:val="18"/>
          <w:szCs w:val="18"/>
          <w:color w:val="auto"/>
        </w:rPr>
        <w:t>Market capitalization within range of Company market capitalization</w:t>
      </w:r>
    </w:p>
    <w:p>
      <w:pPr>
        <w:spacing w:after="0" w:line="125" w:lineRule="exact"/>
        <w:rPr>
          <w:rFonts w:ascii="MS PGothic" w:cs="MS PGothic" w:eastAsia="MS PGothic" w:hAnsi="MS PGothic"/>
          <w:sz w:val="18"/>
          <w:szCs w:val="18"/>
          <w:color w:val="53C072"/>
        </w:rPr>
      </w:pPr>
    </w:p>
    <w:p>
      <w:pPr>
        <w:ind w:left="1500" w:hanging="366"/>
        <w:spacing w:after="0"/>
        <w:tabs>
          <w:tab w:leader="none" w:pos="1500" w:val="left"/>
        </w:tabs>
        <w:numPr>
          <w:ilvl w:val="1"/>
          <w:numId w:val="43"/>
        </w:numPr>
        <w:rPr>
          <w:rFonts w:ascii="MS PGothic" w:cs="MS PGothic" w:eastAsia="MS PGothic" w:hAnsi="MS PGothic"/>
          <w:sz w:val="18"/>
          <w:szCs w:val="18"/>
          <w:color w:val="53C072"/>
        </w:rPr>
      </w:pPr>
      <w:r>
        <w:rPr>
          <w:rFonts w:ascii="Arial" w:cs="Arial" w:eastAsia="Arial" w:hAnsi="Arial"/>
          <w:sz w:val="18"/>
          <w:szCs w:val="18"/>
          <w:color w:val="auto"/>
        </w:rPr>
        <w:t>Global footprint</w:t>
      </w:r>
    </w:p>
    <w:p>
      <w:pPr>
        <w:spacing w:after="0" w:line="171" w:lineRule="exact"/>
        <w:rPr>
          <w:rFonts w:ascii="MS PGothic" w:cs="MS PGothic" w:eastAsia="MS PGothic" w:hAnsi="MS PGothic"/>
          <w:sz w:val="18"/>
          <w:szCs w:val="18"/>
          <w:color w:val="53C072"/>
        </w:rPr>
      </w:pPr>
    </w:p>
    <w:p>
      <w:pPr>
        <w:ind w:left="1500" w:hanging="366"/>
        <w:spacing w:after="0"/>
        <w:tabs>
          <w:tab w:leader="none" w:pos="1500" w:val="left"/>
        </w:tabs>
        <w:numPr>
          <w:ilvl w:val="1"/>
          <w:numId w:val="43"/>
        </w:numPr>
        <w:rPr>
          <w:rFonts w:ascii="MS PGothic" w:cs="MS PGothic" w:eastAsia="MS PGothic" w:hAnsi="MS PGothic"/>
          <w:sz w:val="18"/>
          <w:szCs w:val="18"/>
          <w:color w:val="53C072"/>
        </w:rPr>
      </w:pPr>
      <w:r>
        <w:rPr>
          <w:rFonts w:ascii="Arial" w:cs="Arial" w:eastAsia="Arial" w:hAnsi="Arial"/>
          <w:sz w:val="18"/>
          <w:szCs w:val="18"/>
          <w:color w:val="auto"/>
        </w:rPr>
        <w:t>Historical Company peer group</w:t>
      </w:r>
    </w:p>
    <w:p>
      <w:pPr>
        <w:spacing w:after="0" w:line="171" w:lineRule="exact"/>
        <w:rPr>
          <w:rFonts w:ascii="MS PGothic" w:cs="MS PGothic" w:eastAsia="MS PGothic" w:hAnsi="MS PGothic"/>
          <w:sz w:val="18"/>
          <w:szCs w:val="18"/>
          <w:color w:val="53C072"/>
        </w:rPr>
      </w:pPr>
    </w:p>
    <w:p>
      <w:pPr>
        <w:ind w:left="1500" w:hanging="366"/>
        <w:spacing w:after="0"/>
        <w:tabs>
          <w:tab w:leader="none" w:pos="1500" w:val="left"/>
        </w:tabs>
        <w:numPr>
          <w:ilvl w:val="1"/>
          <w:numId w:val="43"/>
        </w:numPr>
        <w:rPr>
          <w:rFonts w:ascii="MS PGothic" w:cs="MS PGothic" w:eastAsia="MS PGothic" w:hAnsi="MS PGothic"/>
          <w:sz w:val="18"/>
          <w:szCs w:val="18"/>
          <w:color w:val="53C072"/>
        </w:rPr>
      </w:pPr>
      <w:r>
        <w:rPr>
          <w:rFonts w:ascii="Arial" w:cs="Arial" w:eastAsia="Arial" w:hAnsi="Arial"/>
          <w:sz w:val="18"/>
          <w:szCs w:val="18"/>
          <w:color w:val="auto"/>
        </w:rPr>
        <w:t>Disclosed peer of a peer company</w:t>
      </w:r>
    </w:p>
    <w:p>
      <w:pPr>
        <w:spacing w:after="0" w:line="171" w:lineRule="exact"/>
        <w:rPr>
          <w:rFonts w:ascii="MS PGothic" w:cs="MS PGothic" w:eastAsia="MS PGothic" w:hAnsi="MS PGothic"/>
          <w:sz w:val="18"/>
          <w:szCs w:val="18"/>
          <w:color w:val="53C072"/>
        </w:rPr>
      </w:pPr>
    </w:p>
    <w:p>
      <w:pPr>
        <w:ind w:left="1500" w:hanging="366"/>
        <w:spacing w:after="0"/>
        <w:tabs>
          <w:tab w:leader="none" w:pos="1500" w:val="left"/>
        </w:tabs>
        <w:numPr>
          <w:ilvl w:val="1"/>
          <w:numId w:val="43"/>
        </w:numPr>
        <w:rPr>
          <w:rFonts w:ascii="MS PGothic" w:cs="MS PGothic" w:eastAsia="MS PGothic" w:hAnsi="MS PGothic"/>
          <w:sz w:val="18"/>
          <w:szCs w:val="18"/>
          <w:color w:val="53C072"/>
        </w:rPr>
      </w:pPr>
      <w:r>
        <w:rPr>
          <w:rFonts w:ascii="Arial" w:cs="Arial" w:eastAsia="Arial" w:hAnsi="Arial"/>
          <w:sz w:val="18"/>
          <w:szCs w:val="18"/>
          <w:color w:val="auto"/>
        </w:rPr>
        <w:t>Disclosed Company as a benchmarking peer</w:t>
      </w:r>
    </w:p>
    <w:p>
      <w:pPr>
        <w:spacing w:after="0" w:line="157" w:lineRule="exact"/>
        <w:rPr>
          <w:rFonts w:ascii="MS PGothic" w:cs="MS PGothic" w:eastAsia="MS PGothic" w:hAnsi="MS PGothic"/>
          <w:sz w:val="18"/>
          <w:szCs w:val="18"/>
          <w:color w:val="53C072"/>
        </w:rPr>
      </w:pPr>
    </w:p>
    <w:p>
      <w:pPr>
        <w:ind w:left="1500" w:hanging="366"/>
        <w:spacing w:after="0"/>
        <w:tabs>
          <w:tab w:leader="none" w:pos="1500" w:val="left"/>
        </w:tabs>
        <w:numPr>
          <w:ilvl w:val="1"/>
          <w:numId w:val="43"/>
        </w:numPr>
        <w:rPr>
          <w:rFonts w:ascii="MS PGothic" w:cs="MS PGothic" w:eastAsia="MS PGothic" w:hAnsi="MS PGothic"/>
          <w:sz w:val="18"/>
          <w:szCs w:val="18"/>
          <w:color w:val="53C072"/>
        </w:rPr>
      </w:pPr>
      <w:r>
        <w:rPr>
          <w:rFonts w:ascii="Arial" w:cs="Arial" w:eastAsia="Arial" w:hAnsi="Arial"/>
          <w:sz w:val="18"/>
          <w:szCs w:val="18"/>
          <w:color w:val="auto"/>
        </w:rPr>
        <w:t>In proxy advisors’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-2185035</wp:posOffset>
            </wp:positionV>
            <wp:extent cx="5537835" cy="3488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37835" cy="3488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1"/>
        </w:trPr>
        <w:tc>
          <w:tcPr>
            <w:tcW w:w="120" w:type="dxa"/>
            <w:vAlign w:val="bottom"/>
          </w:tcPr>
          <w:p>
            <w:pPr>
              <w:spacing w:after="0"/>
              <w:rPr>
                <w:sz w:val="20"/>
                <w:szCs w:val="20"/>
                <w:color w:val="auto"/>
              </w:rPr>
            </w:pPr>
            <w:r>
              <w:rPr>
                <w:rFonts w:ascii="Arial" w:cs="Arial" w:eastAsia="Arial" w:hAnsi="Arial"/>
                <w:sz w:val="14"/>
                <w:szCs w:val="14"/>
                <w:b w:val="1"/>
                <w:bCs w:val="1"/>
                <w:color w:val="FEFEFE"/>
              </w:rPr>
              <w:t>​</w:t>
            </w:r>
          </w:p>
        </w:tc>
        <w:tc>
          <w:tcPr>
            <w:tcW w:w="3020" w:type="dxa"/>
            <w:vAlign w:val="bottom"/>
            <w:shd w:val="clear" w:color="auto" w:fill="53C072"/>
          </w:tcPr>
          <w:p>
            <w:pPr>
              <w:spacing w:after="0"/>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 xml:space="preserve"> FY24 Benchmarking Peer Group:</w:t>
            </w:r>
          </w:p>
        </w:tc>
        <w:tc>
          <w:tcPr>
            <w:tcW w:w="460" w:type="dxa"/>
            <w:vAlign w:val="bottom"/>
            <w:shd w:val="clear" w:color="auto" w:fill="53C072"/>
          </w:tcPr>
          <w:p>
            <w:pPr>
              <w:ind w:left="320"/>
              <w:spacing w:after="0"/>
              <w:rPr>
                <w:sz w:val="20"/>
                <w:szCs w:val="20"/>
                <w:color w:val="auto"/>
              </w:rPr>
            </w:pPr>
            <w:r>
              <w:rPr>
                <w:rFonts w:ascii="Arial" w:cs="Arial" w:eastAsia="Arial" w:hAnsi="Arial"/>
                <w:sz w:val="14"/>
                <w:szCs w:val="14"/>
                <w:b w:val="1"/>
                <w:bCs w:val="1"/>
                <w:color w:val="FEFEFE"/>
              </w:rPr>
              <w:t>​</w:t>
            </w:r>
          </w:p>
        </w:tc>
      </w:tr>
      <w:tr>
        <w:trPr>
          <w:trHeight w:val="239"/>
        </w:trPr>
        <w:tc>
          <w:tcPr>
            <w:tcW w:w="120" w:type="dxa"/>
            <w:vAlign w:val="bottom"/>
            <w:tcBorders>
              <w:right w:val="single" w:sz="8" w:color="53C072"/>
            </w:tcBorders>
          </w:tcPr>
          <w:p>
            <w:pPr>
              <w:spacing w:after="0"/>
              <w:rPr>
                <w:sz w:val="20"/>
                <w:szCs w:val="20"/>
                <w:color w:val="auto"/>
              </w:rPr>
            </w:pPr>
            <w:r>
              <w:rPr>
                <w:rFonts w:ascii="Arial" w:cs="Arial" w:eastAsia="Arial" w:hAnsi="Arial"/>
                <w:sz w:val="18"/>
                <w:szCs w:val="18"/>
                <w:color w:val="auto"/>
              </w:rPr>
              <w:t>​</w:t>
            </w:r>
          </w:p>
        </w:tc>
        <w:tc>
          <w:tcPr>
            <w:tcW w:w="3020" w:type="dxa"/>
            <w:vAlign w:val="bottom"/>
          </w:tcPr>
          <w:p>
            <w:pPr>
              <w:spacing w:after="0"/>
              <w:rPr>
                <w:sz w:val="20"/>
                <w:szCs w:val="20"/>
                <w:color w:val="auto"/>
              </w:rPr>
            </w:pPr>
            <w:r>
              <w:rPr>
                <w:rFonts w:ascii="Arial" w:cs="Arial" w:eastAsia="Arial" w:hAnsi="Arial"/>
                <w:sz w:val="18"/>
                <w:szCs w:val="18"/>
                <w:color w:val="auto"/>
              </w:rPr>
              <w:t>​ Arrow Electronics, Inc.</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373"/>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Celestica Inc.</w:t>
            </w:r>
          </w:p>
        </w:tc>
        <w:tc>
          <w:tcPr>
            <w:tcW w:w="46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CDW Corporation</w:t>
            </w:r>
          </w:p>
        </w:tc>
        <w:tc>
          <w:tcPr>
            <w:tcW w:w="46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Flex Ltd.</w:t>
            </w:r>
          </w:p>
        </w:tc>
        <w:tc>
          <w:tcPr>
            <w:tcW w:w="46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Genuine Parts Company</w:t>
            </w:r>
          </w:p>
        </w:tc>
        <w:tc>
          <w:tcPr>
            <w:tcW w:w="46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Insight Enterprises, Inc.</w:t>
            </w:r>
          </w:p>
        </w:tc>
        <w:tc>
          <w:tcPr>
            <w:tcW w:w="46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Jabil, Inc.</w:t>
            </w:r>
          </w:p>
        </w:tc>
        <w:tc>
          <w:tcPr>
            <w:tcW w:w="46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Sanmina Corporation</w:t>
            </w:r>
          </w:p>
        </w:tc>
        <w:tc>
          <w:tcPr>
            <w:tcW w:w="46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Seagate Technology Holdings plc</w:t>
            </w:r>
          </w:p>
        </w:tc>
        <w:tc>
          <w:tcPr>
            <w:tcW w:w="46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TD SYNNEX Corporation</w:t>
            </w:r>
          </w:p>
        </w:tc>
        <w:tc>
          <w:tcPr>
            <w:tcW w:w="46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TE Connectivity Ltd.</w:t>
            </w:r>
          </w:p>
        </w:tc>
        <w:tc>
          <w:tcPr>
            <w:tcW w:w="46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W.W. Grainger, Inc.</w:t>
            </w:r>
          </w:p>
        </w:tc>
        <w:tc>
          <w:tcPr>
            <w:tcW w:w="46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WESCO International, Inc.</w:t>
            </w:r>
          </w:p>
        </w:tc>
        <w:tc>
          <w:tcPr>
            <w:tcW w:w="460" w:type="dxa"/>
            <w:vAlign w:val="bottom"/>
          </w:tcPr>
          <w:p>
            <w:pPr>
              <w:spacing w:after="0"/>
              <w:rPr>
                <w:sz w:val="24"/>
                <w:szCs w:val="24"/>
                <w:color w:val="auto"/>
              </w:rPr>
            </w:pPr>
          </w:p>
        </w:tc>
      </w:tr>
      <w:tr>
        <w:trPr>
          <w:trHeight w:val="378"/>
        </w:trPr>
        <w:tc>
          <w:tcPr>
            <w:tcW w:w="120" w:type="dxa"/>
            <w:vAlign w:val="bottom"/>
            <w:tcBorders>
              <w:right w:val="single" w:sz="8" w:color="53C072"/>
            </w:tcBorders>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Western Digital Corporation</w:t>
            </w:r>
          </w:p>
        </w:tc>
        <w:tc>
          <w:tcPr>
            <w:tcW w:w="460" w:type="dxa"/>
            <w:vAlign w:val="bottom"/>
          </w:tcPr>
          <w:p>
            <w:pPr>
              <w:spacing w:after="0"/>
              <w:rPr>
                <w:sz w:val="24"/>
                <w:szCs w:val="24"/>
                <w:color w:val="auto"/>
              </w:rPr>
            </w:pPr>
          </w:p>
        </w:tc>
      </w:tr>
      <w:tr>
        <w:trPr>
          <w:trHeight w:val="23"/>
        </w:trPr>
        <w:tc>
          <w:tcPr>
            <w:tcW w:w="120" w:type="dxa"/>
            <w:vAlign w:val="bottom"/>
            <w:tcBorders>
              <w:right w:val="single" w:sz="8" w:color="53C072"/>
            </w:tcBorders>
          </w:tcPr>
          <w:p>
            <w:pPr>
              <w:spacing w:after="0"/>
              <w:rPr>
                <w:sz w:val="2"/>
                <w:szCs w:val="2"/>
                <w:color w:val="auto"/>
              </w:rPr>
            </w:pPr>
          </w:p>
        </w:tc>
        <w:tc>
          <w:tcPr>
            <w:tcW w:w="3020" w:type="dxa"/>
            <w:vAlign w:val="bottom"/>
          </w:tcPr>
          <w:p>
            <w:pPr>
              <w:spacing w:after="0"/>
              <w:rPr>
                <w:sz w:val="2"/>
                <w:szCs w:val="2"/>
                <w:color w:val="auto"/>
              </w:rPr>
            </w:pPr>
          </w:p>
        </w:tc>
        <w:tc>
          <w:tcPr>
            <w:tcW w:w="4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700" w:space="420"/>
            <w:col w:w="3759"/>
          </w:cols>
          <w:pgMar w:left="580" w:top="97" w:right="1440" w:bottom="1440" w:gutter="0" w:footer="0" w:header="0"/>
          <w:type w:val="continuous"/>
        </w:sectPr>
      </w:pPr>
    </w:p>
    <w:p>
      <w:pPr>
        <w:spacing w:after="0" w:line="9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319"/>
        <w:spacing w:after="0" w:line="287" w:lineRule="auto"/>
        <w:rPr>
          <w:sz w:val="20"/>
          <w:szCs w:val="20"/>
          <w:color w:val="auto"/>
        </w:rPr>
      </w:pPr>
      <w:r>
        <w:rPr>
          <w:rFonts w:ascii="Arial" w:cs="Arial" w:eastAsia="Arial" w:hAnsi="Arial"/>
          <w:sz w:val="18"/>
          <w:szCs w:val="18"/>
          <w:color w:val="auto"/>
        </w:rPr>
        <w:t>The revenue and market capitalization for the benchmarking peer group median and the Company are shown in the table below.</w:t>
      </w:r>
    </w:p>
    <w:p>
      <w:pPr>
        <w:spacing w:after="0" w:line="118" w:lineRule="exact"/>
        <w:rPr>
          <w:sz w:val="20"/>
          <w:szCs w:val="20"/>
          <w:color w:val="auto"/>
        </w:rPr>
      </w:pPr>
    </w:p>
    <w:tbl>
      <w:tblPr>
        <w:tblLayout w:type="fixed"/>
        <w:tblInd w:w="980" w:type="dxa"/>
        <w:tblCellMar>
          <w:top w:w="0" w:type="dxa"/>
          <w:left w:w="0" w:type="dxa"/>
          <w:bottom w:w="0" w:type="dxa"/>
          <w:right w:w="0" w:type="dxa"/>
        </w:tblCellMar>
      </w:tblPr>
      <w:tr>
        <w:trPr>
          <w:trHeight w:val="236"/>
        </w:trPr>
        <w:tc>
          <w:tcPr>
            <w:tcW w:w="6280" w:type="dxa"/>
            <w:vAlign w:val="bottom"/>
            <w:tcBorders>
              <w:bottom w:val="single" w:sz="8" w:color="53C072"/>
            </w:tcBorders>
            <w:shd w:val="clear" w:color="auto" w:fill="53C072"/>
          </w:tcPr>
          <w:p>
            <w:pPr>
              <w:spacing w:after="0"/>
              <w:rPr>
                <w:sz w:val="20"/>
                <w:szCs w:val="20"/>
                <w:color w:val="auto"/>
              </w:rPr>
            </w:pPr>
          </w:p>
        </w:tc>
        <w:tc>
          <w:tcPr>
            <w:tcW w:w="2360" w:type="dxa"/>
            <w:vAlign w:val="bottom"/>
            <w:tcBorders>
              <w:bottom w:val="single" w:sz="8" w:color="auto"/>
            </w:tcBorders>
            <w:gridSpan w:val="4"/>
            <w:shd w:val="clear" w:color="auto" w:fill="53C072"/>
          </w:tcPr>
          <w:p>
            <w:pPr>
              <w:ind w:left="340"/>
              <w:spacing w:after="0"/>
              <w:rPr>
                <w:sz w:val="20"/>
                <w:szCs w:val="20"/>
                <w:color w:val="auto"/>
              </w:rPr>
            </w:pPr>
            <w:r>
              <w:rPr>
                <w:rFonts w:ascii="Arial" w:cs="Arial" w:eastAsia="Arial" w:hAnsi="Arial"/>
                <w:sz w:val="14"/>
                <w:szCs w:val="14"/>
                <w:b w:val="1"/>
                <w:bCs w:val="1"/>
                <w:color w:val="FEFEFE"/>
              </w:rPr>
              <w:t>Fiscal 2023 ($ in billions)</w:t>
            </w:r>
          </w:p>
        </w:tc>
        <w:tc>
          <w:tcPr>
            <w:tcW w:w="120" w:type="dxa"/>
            <w:vAlign w:val="bottom"/>
            <w:tcBorders>
              <w:bottom w:val="single" w:sz="8" w:color="53C072"/>
            </w:tcBorders>
            <w:shd w:val="clear" w:color="auto" w:fill="53C072"/>
          </w:tcPr>
          <w:p>
            <w:pPr>
              <w:spacing w:after="0"/>
              <w:rPr>
                <w:sz w:val="20"/>
                <w:szCs w:val="20"/>
                <w:color w:val="auto"/>
              </w:rPr>
            </w:pPr>
          </w:p>
        </w:tc>
      </w:tr>
      <w:tr>
        <w:trPr>
          <w:trHeight w:val="230"/>
        </w:trPr>
        <w:tc>
          <w:tcPr>
            <w:tcW w:w="6280" w:type="dxa"/>
            <w:vAlign w:val="bottom"/>
            <w:shd w:val="clear" w:color="auto" w:fill="53C072"/>
          </w:tcPr>
          <w:p>
            <w:pPr>
              <w:spacing w:after="0"/>
              <w:rPr>
                <w:sz w:val="19"/>
                <w:szCs w:val="19"/>
                <w:color w:val="auto"/>
              </w:rPr>
            </w:pPr>
          </w:p>
        </w:tc>
        <w:tc>
          <w:tcPr>
            <w:tcW w:w="66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w w:val="99"/>
              </w:rPr>
              <w:t>Revenue</w:t>
            </w:r>
          </w:p>
        </w:tc>
        <w:tc>
          <w:tcPr>
            <w:tcW w:w="120" w:type="dxa"/>
            <w:vAlign w:val="bottom"/>
            <w:tcBorders>
              <w:right w:val="single" w:sz="8" w:color="FEFEFE"/>
            </w:tcBorders>
            <w:shd w:val="clear" w:color="auto" w:fill="53C072"/>
          </w:tcPr>
          <w:p>
            <w:pPr>
              <w:spacing w:after="0"/>
              <w:rPr>
                <w:sz w:val="19"/>
                <w:szCs w:val="19"/>
                <w:color w:val="auto"/>
              </w:rPr>
            </w:pPr>
          </w:p>
        </w:tc>
        <w:tc>
          <w:tcPr>
            <w:tcW w:w="120" w:type="dxa"/>
            <w:vAlign w:val="bottom"/>
            <w:shd w:val="clear" w:color="auto" w:fill="53C072"/>
          </w:tcPr>
          <w:p>
            <w:pPr>
              <w:spacing w:after="0"/>
              <w:rPr>
                <w:sz w:val="19"/>
                <w:szCs w:val="19"/>
                <w:color w:val="auto"/>
              </w:rPr>
            </w:pPr>
          </w:p>
        </w:tc>
        <w:tc>
          <w:tcPr>
            <w:tcW w:w="146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Market Capitalization</w:t>
            </w:r>
          </w:p>
        </w:tc>
        <w:tc>
          <w:tcPr>
            <w:tcW w:w="120" w:type="dxa"/>
            <w:vAlign w:val="bottom"/>
            <w:shd w:val="clear" w:color="auto" w:fill="53C072"/>
          </w:tcPr>
          <w:p>
            <w:pPr>
              <w:spacing w:after="0"/>
              <w:rPr>
                <w:sz w:val="19"/>
                <w:szCs w:val="19"/>
                <w:color w:val="auto"/>
              </w:rPr>
            </w:pPr>
          </w:p>
        </w:tc>
      </w:tr>
      <w:tr>
        <w:trPr>
          <w:trHeight w:val="257"/>
        </w:trPr>
        <w:tc>
          <w:tcPr>
            <w:tcW w:w="6280" w:type="dxa"/>
            <w:vAlign w:val="bottom"/>
          </w:tcPr>
          <w:p>
            <w:pPr>
              <w:ind w:left="60"/>
              <w:spacing w:after="0"/>
              <w:rPr>
                <w:sz w:val="20"/>
                <w:szCs w:val="20"/>
                <w:color w:val="auto"/>
              </w:rPr>
            </w:pPr>
            <w:r>
              <w:rPr>
                <w:rFonts w:ascii="Arial" w:cs="Arial" w:eastAsia="Arial" w:hAnsi="Arial"/>
                <w:sz w:val="18"/>
                <w:szCs w:val="18"/>
                <w:color w:val="auto"/>
              </w:rPr>
              <w:t>​Peer Group Median</w:t>
            </w:r>
          </w:p>
        </w:tc>
        <w:tc>
          <w:tcPr>
            <w:tcW w:w="660" w:type="dxa"/>
            <w:vAlign w:val="bottom"/>
          </w:tcPr>
          <w:p>
            <w:pPr>
              <w:ind w:left="80"/>
              <w:spacing w:after="0"/>
              <w:rPr>
                <w:sz w:val="20"/>
                <w:szCs w:val="20"/>
                <w:color w:val="auto"/>
              </w:rPr>
            </w:pPr>
            <w:r>
              <w:rPr>
                <w:rFonts w:ascii="Arial" w:cs="Arial" w:eastAsia="Arial" w:hAnsi="Arial"/>
                <w:sz w:val="18"/>
                <w:szCs w:val="18"/>
                <w:color w:val="auto"/>
              </w:rPr>
              <w:t>​$ 18.9</w:t>
            </w:r>
          </w:p>
        </w:tc>
        <w:tc>
          <w:tcPr>
            <w:tcW w:w="120" w:type="dxa"/>
            <w:vAlign w:val="bottom"/>
            <w:tcBorders>
              <w:right w:val="single" w:sz="8" w:color="FEFEFE"/>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rPr>
              <w:t>​$ 12.1</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290"/>
        </w:trPr>
        <w:tc>
          <w:tcPr>
            <w:tcW w:w="6280" w:type="dxa"/>
            <w:vAlign w:val="bottom"/>
            <w:tcBorders>
              <w:bottom w:val="single" w:sz="8" w:color="53C072"/>
            </w:tcBorders>
            <w:shd w:val="clear" w:color="auto" w:fill="CBECD5"/>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The Company</w:t>
            </w:r>
          </w:p>
        </w:tc>
        <w:tc>
          <w:tcPr>
            <w:tcW w:w="660" w:type="dxa"/>
            <w:vAlign w:val="bottom"/>
            <w:tcBorders>
              <w:bottom w:val="single" w:sz="8" w:color="53C072"/>
            </w:tcBorders>
            <w:shd w:val="clear" w:color="auto" w:fill="CBECD5"/>
          </w:tcPr>
          <w:p>
            <w:pPr>
              <w:ind w:left="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$ 26.5</w:t>
            </w:r>
          </w:p>
        </w:tc>
        <w:tc>
          <w:tcPr>
            <w:tcW w:w="120" w:type="dxa"/>
            <w:vAlign w:val="bottom"/>
            <w:tcBorders>
              <w:bottom w:val="single" w:sz="8" w:color="53C072"/>
              <w:right w:val="single" w:sz="8" w:color="FEFEFE"/>
            </w:tcBorders>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53C072"/>
            </w:tcBorders>
            <w:shd w:val="clear" w:color="auto" w:fill="CBECD5"/>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4.6</w:t>
            </w:r>
          </w:p>
        </w:tc>
        <w:tc>
          <w:tcPr>
            <w:tcW w:w="12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ind w:left="1000" w:right="199"/>
        <w:spacing w:after="0" w:line="246" w:lineRule="auto"/>
        <w:rPr>
          <w:sz w:val="20"/>
          <w:szCs w:val="20"/>
          <w:color w:val="auto"/>
        </w:rPr>
      </w:pPr>
      <w:r>
        <w:rPr>
          <w:rFonts w:ascii="Arial" w:cs="Arial" w:eastAsia="Arial" w:hAnsi="Arial"/>
          <w:sz w:val="18"/>
          <w:szCs w:val="18"/>
          <w:color w:val="auto"/>
        </w:rPr>
        <w:t>For the CEO and CFO, the primary market data is sourced from the most recent proxy statements of the Company’s benchmarking peer group, as may be updated by additional SEC filings. Secondary market data is sourced from general industry surveys covering executive positions. For the remaining executive officers, the primary market data is sourced from the peer group’s proxy statement data, when available, or general industry surveys covering executive positions. The Committee reviews general industry survey data for similar roles at companies with comparable revenue and market capitalization. For fiscal 2024, the survey data came from the Willis Towers Watson 2022 U.S. General Industry Executive Survey aged appropriately.</w:t>
      </w:r>
    </w:p>
    <w:p>
      <w:pPr>
        <w:spacing w:after="0" w:line="108" w:lineRule="exact"/>
        <w:rPr>
          <w:sz w:val="20"/>
          <w:szCs w:val="20"/>
          <w:color w:val="auto"/>
        </w:rPr>
      </w:pPr>
    </w:p>
    <w:p>
      <w:pPr>
        <w:ind w:left="1000" w:right="279"/>
        <w:spacing w:after="0" w:line="261" w:lineRule="auto"/>
        <w:rPr>
          <w:sz w:val="20"/>
          <w:szCs w:val="20"/>
          <w:color w:val="auto"/>
        </w:rPr>
      </w:pPr>
      <w:r>
        <w:rPr>
          <w:rFonts w:ascii="Arial" w:cs="Arial" w:eastAsia="Arial" w:hAnsi="Arial"/>
          <w:sz w:val="18"/>
          <w:szCs w:val="18"/>
          <w:color w:val="auto"/>
        </w:rPr>
        <w:t>As part of this benchmarking process, each executive officer’s proposed individual target compensation is evaluated against the market data, as are individual compensation elements such as base salary, annual cash incentives, long-term incentives, and total direct compensation.</w:t>
      </w:r>
    </w:p>
    <w:p>
      <w:pPr>
        <w:spacing w:after="0" w:line="94" w:lineRule="exact"/>
        <w:rPr>
          <w:sz w:val="20"/>
          <w:szCs w:val="20"/>
          <w:color w:val="auto"/>
        </w:rPr>
      </w:pPr>
    </w:p>
    <w:p>
      <w:pPr>
        <w:ind w:left="1000" w:right="139"/>
        <w:spacing w:after="0" w:line="248" w:lineRule="auto"/>
        <w:rPr>
          <w:sz w:val="20"/>
          <w:szCs w:val="20"/>
          <w:color w:val="auto"/>
        </w:rPr>
      </w:pPr>
      <w:r>
        <w:rPr>
          <w:rFonts w:ascii="Arial" w:cs="Arial" w:eastAsia="Arial" w:hAnsi="Arial"/>
          <w:sz w:val="18"/>
          <w:szCs w:val="18"/>
          <w:color w:val="auto"/>
        </w:rPr>
        <w:t>The Committee does not view benchmarking as a prescriptive determinant of individual compensation. Rather, the Committee uses the market median as a general guide in its decisions on the target amount and mix of each element of compensation. The Committee also considers other factors, such as experience in the position and long-term performance of the individual. An executive officer’s actual compensation may be above or below target compensation and will vary from year to year based on financial results, future stock performance, as well as individual performance, reinforcing the Company’s pay-for-performance culture.</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OVERVIEW OF PAY PROGRAMS</w:t>
      </w:r>
    </w:p>
    <w:p>
      <w:pPr>
        <w:spacing w:after="0" w:line="148" w:lineRule="exact"/>
        <w:rPr>
          <w:sz w:val="20"/>
          <w:szCs w:val="20"/>
          <w:color w:val="auto"/>
        </w:rPr>
      </w:pPr>
    </w:p>
    <w:p>
      <w:pPr>
        <w:ind w:left="1000" w:right="299"/>
        <w:spacing w:after="0" w:line="287" w:lineRule="auto"/>
        <w:rPr>
          <w:sz w:val="20"/>
          <w:szCs w:val="20"/>
          <w:color w:val="auto"/>
        </w:rPr>
      </w:pPr>
      <w:r>
        <w:rPr>
          <w:rFonts w:ascii="Arial" w:cs="Arial" w:eastAsia="Arial" w:hAnsi="Arial"/>
          <w:sz w:val="18"/>
          <w:szCs w:val="18"/>
          <w:color w:val="auto"/>
        </w:rPr>
        <w:t>The primary components of the Company’s compensation program and the objectives of each component are set forth in the table below:</w:t>
      </w:r>
    </w:p>
    <w:p>
      <w:pPr>
        <w:spacing w:after="0" w:line="118"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92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FFFFF"/>
              </w:rPr>
              <w:t>Pay Component</w:t>
            </w:r>
          </w:p>
        </w:tc>
        <w:tc>
          <w:tcPr>
            <w:tcW w:w="288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FFFFF"/>
              </w:rPr>
              <w:t>Objectives</w:t>
            </w:r>
          </w:p>
        </w:tc>
        <w:tc>
          <w:tcPr>
            <w:tcW w:w="2960" w:type="dxa"/>
            <w:vAlign w:val="bottom"/>
            <w:shd w:val="clear" w:color="auto" w:fill="53C072"/>
          </w:tcPr>
          <w:p>
            <w:pPr>
              <w:ind w:left="140"/>
              <w:spacing w:after="0"/>
              <w:rPr>
                <w:sz w:val="20"/>
                <w:szCs w:val="20"/>
                <w:color w:val="auto"/>
              </w:rPr>
            </w:pPr>
            <w:r>
              <w:rPr>
                <w:rFonts w:ascii="Arial" w:cs="Arial" w:eastAsia="Arial" w:hAnsi="Arial"/>
                <w:sz w:val="14"/>
                <w:szCs w:val="14"/>
                <w:b w:val="1"/>
                <w:bCs w:val="1"/>
                <w:color w:val="FFFFFF"/>
              </w:rPr>
              <w:t>Key Features</w:t>
            </w:r>
          </w:p>
        </w:tc>
      </w:tr>
      <w:tr>
        <w:trPr>
          <w:trHeight w:val="224"/>
        </w:trPr>
        <w:tc>
          <w:tcPr>
            <w:tcW w:w="2920" w:type="dxa"/>
            <w:vAlign w:val="bottom"/>
            <w:shd w:val="clear" w:color="auto" w:fill="98D9AA"/>
          </w:tcPr>
          <w:p>
            <w:pPr>
              <w:ind w:left="120"/>
              <w:spacing w:after="0"/>
              <w:rPr>
                <w:sz w:val="20"/>
                <w:szCs w:val="20"/>
                <w:color w:val="auto"/>
              </w:rPr>
            </w:pPr>
            <w:r>
              <w:rPr>
                <w:rFonts w:ascii="Arial" w:cs="Arial" w:eastAsia="Arial" w:hAnsi="Arial"/>
                <w:sz w:val="18"/>
                <w:szCs w:val="18"/>
                <w:b w:val="1"/>
                <w:bCs w:val="1"/>
                <w:color w:val="auto"/>
              </w:rPr>
              <w:t>Base Salary</w:t>
            </w: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Attract and retain executive talent</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Reflects skills, contributions, and</w:t>
            </w:r>
          </w:p>
        </w:tc>
      </w:tr>
      <w:tr>
        <w:trPr>
          <w:trHeight w:val="239"/>
        </w:trPr>
        <w:tc>
          <w:tcPr>
            <w:tcW w:w="2920" w:type="dxa"/>
            <w:vAlign w:val="bottom"/>
            <w:shd w:val="clear" w:color="auto" w:fill="98D9AA"/>
          </w:tcPr>
          <w:p>
            <w:pPr>
              <w:spacing w:after="0"/>
              <w:rPr>
                <w:sz w:val="20"/>
                <w:szCs w:val="20"/>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in a competitive marketplace.</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success over time in role.</w:t>
            </w:r>
          </w:p>
        </w:tc>
      </w:tr>
      <w:tr>
        <w:trPr>
          <w:trHeight w:val="247"/>
        </w:trPr>
        <w:tc>
          <w:tcPr>
            <w:tcW w:w="2920" w:type="dxa"/>
            <w:vAlign w:val="bottom"/>
            <w:shd w:val="clear" w:color="auto" w:fill="98D9AA"/>
          </w:tcPr>
          <w:p>
            <w:pPr>
              <w:spacing w:after="0"/>
              <w:rPr>
                <w:sz w:val="21"/>
                <w:szCs w:val="21"/>
                <w:color w:val="auto"/>
              </w:rPr>
            </w:pPr>
          </w:p>
        </w:tc>
        <w:tc>
          <w:tcPr>
            <w:tcW w:w="2880" w:type="dxa"/>
            <w:vAlign w:val="bottom"/>
            <w:shd w:val="clear" w:color="auto" w:fill="98D9AA"/>
          </w:tcPr>
          <w:p>
            <w:pPr>
              <w:spacing w:after="0"/>
              <w:rPr>
                <w:sz w:val="21"/>
                <w:szCs w:val="21"/>
                <w:color w:val="auto"/>
              </w:rPr>
            </w:pP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Reviewed annually to ensure</w:t>
            </w:r>
          </w:p>
        </w:tc>
      </w:tr>
      <w:tr>
        <w:trPr>
          <w:trHeight w:val="216"/>
        </w:trPr>
        <w:tc>
          <w:tcPr>
            <w:tcW w:w="2920" w:type="dxa"/>
            <w:vAlign w:val="bottom"/>
            <w:shd w:val="clear" w:color="auto" w:fill="98D9AA"/>
          </w:tcPr>
          <w:p>
            <w:pPr>
              <w:spacing w:after="0"/>
              <w:rPr>
                <w:sz w:val="18"/>
                <w:szCs w:val="18"/>
                <w:color w:val="auto"/>
              </w:rPr>
            </w:pPr>
          </w:p>
        </w:tc>
        <w:tc>
          <w:tcPr>
            <w:tcW w:w="2880" w:type="dxa"/>
            <w:vAlign w:val="bottom"/>
            <w:shd w:val="clear" w:color="auto" w:fill="98D9AA"/>
          </w:tcPr>
          <w:p>
            <w:pPr>
              <w:spacing w:after="0"/>
              <w:rPr>
                <w:sz w:val="18"/>
                <w:szCs w:val="18"/>
                <w:color w:val="auto"/>
              </w:rPr>
            </w:pP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competitiveness and alignment</w:t>
            </w:r>
          </w:p>
        </w:tc>
      </w:tr>
      <w:tr>
        <w:trPr>
          <w:trHeight w:val="253"/>
        </w:trPr>
        <w:tc>
          <w:tcPr>
            <w:tcW w:w="2920" w:type="dxa"/>
            <w:vAlign w:val="bottom"/>
            <w:shd w:val="clear" w:color="auto" w:fill="98D9AA"/>
          </w:tcPr>
          <w:p>
            <w:pPr>
              <w:spacing w:after="0"/>
              <w:rPr>
                <w:sz w:val="21"/>
                <w:szCs w:val="21"/>
                <w:color w:val="auto"/>
              </w:rPr>
            </w:pPr>
          </w:p>
        </w:tc>
        <w:tc>
          <w:tcPr>
            <w:tcW w:w="2880" w:type="dxa"/>
            <w:vAlign w:val="bottom"/>
            <w:shd w:val="clear" w:color="auto" w:fill="98D9AA"/>
          </w:tcPr>
          <w:p>
            <w:pPr>
              <w:spacing w:after="0"/>
              <w:rPr>
                <w:sz w:val="21"/>
                <w:szCs w:val="21"/>
                <w:color w:val="auto"/>
              </w:rPr>
            </w:pP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with individual performance.</w:t>
            </w:r>
          </w:p>
        </w:tc>
      </w:tr>
      <w:tr>
        <w:trPr>
          <w:trHeight w:val="233"/>
        </w:trPr>
        <w:tc>
          <w:tcPr>
            <w:tcW w:w="2920" w:type="dxa"/>
            <w:vAlign w:val="bottom"/>
            <w:shd w:val="clear" w:color="auto" w:fill="CBECD5"/>
          </w:tcPr>
          <w:p>
            <w:pPr>
              <w:ind w:left="120"/>
              <w:spacing w:after="0"/>
              <w:rPr>
                <w:sz w:val="20"/>
                <w:szCs w:val="20"/>
                <w:color w:val="auto"/>
              </w:rPr>
            </w:pPr>
            <w:r>
              <w:rPr>
                <w:rFonts w:ascii="Arial" w:cs="Arial" w:eastAsia="Arial" w:hAnsi="Arial"/>
                <w:sz w:val="18"/>
                <w:szCs w:val="18"/>
                <w:b w:val="1"/>
                <w:bCs w:val="1"/>
                <w:color w:val="auto"/>
              </w:rPr>
              <w:t>Annual Cash Incentives</w:t>
            </w:r>
          </w:p>
        </w:tc>
        <w:tc>
          <w:tcPr>
            <w:tcW w:w="2880" w:type="dxa"/>
            <w:vAlign w:val="bottom"/>
            <w:shd w:val="clear" w:color="auto" w:fill="CBECD5"/>
          </w:tcPr>
          <w:p>
            <w:pPr>
              <w:ind w:left="100"/>
              <w:spacing w:after="0"/>
              <w:rPr>
                <w:sz w:val="20"/>
                <w:szCs w:val="20"/>
                <w:color w:val="auto"/>
              </w:rPr>
            </w:pPr>
            <w:r>
              <w:rPr>
                <w:rFonts w:ascii="Arial" w:cs="Arial" w:eastAsia="Arial" w:hAnsi="Arial"/>
                <w:sz w:val="18"/>
                <w:szCs w:val="18"/>
                <w:color w:val="auto"/>
              </w:rPr>
              <w:t>Link variable compensation to</w:t>
            </w: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Key financial measures used to</w:t>
            </w:r>
          </w:p>
        </w:tc>
      </w:tr>
      <w:tr>
        <w:trPr>
          <w:trHeight w:val="216"/>
        </w:trPr>
        <w:tc>
          <w:tcPr>
            <w:tcW w:w="2920" w:type="dxa"/>
            <w:vAlign w:val="bottom"/>
            <w:shd w:val="clear" w:color="auto" w:fill="CBECD5"/>
          </w:tcPr>
          <w:p>
            <w:pPr>
              <w:spacing w:after="0"/>
              <w:rPr>
                <w:sz w:val="18"/>
                <w:szCs w:val="18"/>
                <w:color w:val="auto"/>
              </w:rPr>
            </w:pPr>
          </w:p>
        </w:tc>
        <w:tc>
          <w:tcPr>
            <w:tcW w:w="2880" w:type="dxa"/>
            <w:vAlign w:val="bottom"/>
            <w:shd w:val="clear" w:color="auto" w:fill="CBECD5"/>
          </w:tcPr>
          <w:p>
            <w:pPr>
              <w:ind w:left="100"/>
              <w:spacing w:after="0"/>
              <w:rPr>
                <w:sz w:val="20"/>
                <w:szCs w:val="20"/>
                <w:color w:val="auto"/>
              </w:rPr>
            </w:pPr>
            <w:r>
              <w:rPr>
                <w:rFonts w:ascii="Arial" w:cs="Arial" w:eastAsia="Arial" w:hAnsi="Arial"/>
                <w:sz w:val="18"/>
                <w:szCs w:val="18"/>
                <w:color w:val="auto"/>
              </w:rPr>
              <w:t>short-term performance and</w:t>
            </w: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assess performance and align</w:t>
            </w:r>
          </w:p>
        </w:tc>
      </w:tr>
      <w:tr>
        <w:trPr>
          <w:trHeight w:val="216"/>
        </w:trPr>
        <w:tc>
          <w:tcPr>
            <w:tcW w:w="2920" w:type="dxa"/>
            <w:vAlign w:val="bottom"/>
            <w:shd w:val="clear" w:color="auto" w:fill="CBECD5"/>
          </w:tcPr>
          <w:p>
            <w:pPr>
              <w:spacing w:after="0"/>
              <w:rPr>
                <w:sz w:val="18"/>
                <w:szCs w:val="18"/>
                <w:color w:val="auto"/>
              </w:rPr>
            </w:pPr>
          </w:p>
        </w:tc>
        <w:tc>
          <w:tcPr>
            <w:tcW w:w="2880" w:type="dxa"/>
            <w:vAlign w:val="bottom"/>
            <w:shd w:val="clear" w:color="auto" w:fill="CBECD5"/>
          </w:tcPr>
          <w:p>
            <w:pPr>
              <w:ind w:left="100"/>
              <w:spacing w:after="0"/>
              <w:rPr>
                <w:sz w:val="20"/>
                <w:szCs w:val="20"/>
                <w:color w:val="auto"/>
              </w:rPr>
            </w:pPr>
            <w:r>
              <w:rPr>
                <w:rFonts w:ascii="Arial" w:cs="Arial" w:eastAsia="Arial" w:hAnsi="Arial"/>
                <w:sz w:val="18"/>
                <w:szCs w:val="18"/>
                <w:color w:val="auto"/>
              </w:rPr>
              <w:t>strategic goals.</w:t>
            </w: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executives’ interest with</w:t>
            </w:r>
          </w:p>
        </w:tc>
      </w:tr>
      <w:tr>
        <w:trPr>
          <w:trHeight w:val="239"/>
        </w:trPr>
        <w:tc>
          <w:tcPr>
            <w:tcW w:w="2920" w:type="dxa"/>
            <w:vAlign w:val="bottom"/>
            <w:shd w:val="clear" w:color="auto" w:fill="CBECD5"/>
          </w:tcPr>
          <w:p>
            <w:pPr>
              <w:spacing w:after="0"/>
              <w:rPr>
                <w:sz w:val="20"/>
                <w:szCs w:val="20"/>
                <w:color w:val="auto"/>
              </w:rPr>
            </w:pPr>
          </w:p>
        </w:tc>
        <w:tc>
          <w:tcPr>
            <w:tcW w:w="2880" w:type="dxa"/>
            <w:vAlign w:val="bottom"/>
            <w:shd w:val="clear" w:color="auto" w:fill="CBECD5"/>
          </w:tcPr>
          <w:p>
            <w:pPr>
              <w:spacing w:after="0"/>
              <w:rPr>
                <w:sz w:val="20"/>
                <w:szCs w:val="20"/>
                <w:color w:val="auto"/>
              </w:rPr>
            </w:pP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shareholders’ interests.</w:t>
            </w:r>
          </w:p>
        </w:tc>
      </w:tr>
      <w:tr>
        <w:trPr>
          <w:trHeight w:val="247"/>
        </w:trPr>
        <w:tc>
          <w:tcPr>
            <w:tcW w:w="2920" w:type="dxa"/>
            <w:vAlign w:val="bottom"/>
            <w:shd w:val="clear" w:color="auto" w:fill="CBECD5"/>
          </w:tcPr>
          <w:p>
            <w:pPr>
              <w:spacing w:after="0"/>
              <w:rPr>
                <w:sz w:val="21"/>
                <w:szCs w:val="21"/>
                <w:color w:val="auto"/>
              </w:rPr>
            </w:pPr>
          </w:p>
        </w:tc>
        <w:tc>
          <w:tcPr>
            <w:tcW w:w="2880" w:type="dxa"/>
            <w:vAlign w:val="bottom"/>
            <w:shd w:val="clear" w:color="auto" w:fill="CBECD5"/>
          </w:tcPr>
          <w:p>
            <w:pPr>
              <w:spacing w:after="0"/>
              <w:rPr>
                <w:sz w:val="21"/>
                <w:szCs w:val="21"/>
                <w:color w:val="auto"/>
              </w:rPr>
            </w:pP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Payouts depend on meeting</w:t>
            </w:r>
          </w:p>
        </w:tc>
      </w:tr>
      <w:tr>
        <w:trPr>
          <w:trHeight w:val="216"/>
        </w:trPr>
        <w:tc>
          <w:tcPr>
            <w:tcW w:w="2920" w:type="dxa"/>
            <w:vAlign w:val="bottom"/>
            <w:shd w:val="clear" w:color="auto" w:fill="CBECD5"/>
          </w:tcPr>
          <w:p>
            <w:pPr>
              <w:spacing w:after="0"/>
              <w:rPr>
                <w:sz w:val="18"/>
                <w:szCs w:val="18"/>
                <w:color w:val="auto"/>
              </w:rPr>
            </w:pPr>
          </w:p>
        </w:tc>
        <w:tc>
          <w:tcPr>
            <w:tcW w:w="2880" w:type="dxa"/>
            <w:vAlign w:val="bottom"/>
            <w:shd w:val="clear" w:color="auto" w:fill="CBECD5"/>
          </w:tcPr>
          <w:p>
            <w:pPr>
              <w:spacing w:after="0"/>
              <w:rPr>
                <w:sz w:val="18"/>
                <w:szCs w:val="18"/>
                <w:color w:val="auto"/>
              </w:rPr>
            </w:pP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financial and non-financial</w:t>
            </w:r>
          </w:p>
        </w:tc>
      </w:tr>
      <w:tr>
        <w:trPr>
          <w:trHeight w:val="253"/>
        </w:trPr>
        <w:tc>
          <w:tcPr>
            <w:tcW w:w="2920" w:type="dxa"/>
            <w:vAlign w:val="bottom"/>
            <w:shd w:val="clear" w:color="auto" w:fill="CBECD5"/>
          </w:tcPr>
          <w:p>
            <w:pPr>
              <w:spacing w:after="0"/>
              <w:rPr>
                <w:sz w:val="21"/>
                <w:szCs w:val="21"/>
                <w:color w:val="auto"/>
              </w:rPr>
            </w:pPr>
          </w:p>
        </w:tc>
        <w:tc>
          <w:tcPr>
            <w:tcW w:w="2880" w:type="dxa"/>
            <w:vAlign w:val="bottom"/>
            <w:shd w:val="clear" w:color="auto" w:fill="CBECD5"/>
          </w:tcPr>
          <w:p>
            <w:pPr>
              <w:spacing w:after="0"/>
              <w:rPr>
                <w:sz w:val="21"/>
                <w:szCs w:val="21"/>
                <w:color w:val="auto"/>
              </w:rPr>
            </w:pPr>
          </w:p>
        </w:tc>
        <w:tc>
          <w:tcPr>
            <w:tcW w:w="29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performance goals.</w:t>
            </w:r>
          </w:p>
        </w:tc>
      </w:tr>
      <w:tr>
        <w:trPr>
          <w:trHeight w:val="233"/>
        </w:trPr>
        <w:tc>
          <w:tcPr>
            <w:tcW w:w="2920" w:type="dxa"/>
            <w:vAlign w:val="bottom"/>
            <w:shd w:val="clear" w:color="auto" w:fill="98D9AA"/>
          </w:tcPr>
          <w:p>
            <w:pPr>
              <w:ind w:left="120"/>
              <w:spacing w:after="0"/>
              <w:rPr>
                <w:sz w:val="20"/>
                <w:szCs w:val="20"/>
                <w:color w:val="auto"/>
              </w:rPr>
            </w:pPr>
            <w:r>
              <w:rPr>
                <w:rFonts w:ascii="Arial" w:cs="Arial" w:eastAsia="Arial" w:hAnsi="Arial"/>
                <w:sz w:val="18"/>
                <w:szCs w:val="18"/>
                <w:b w:val="1"/>
                <w:bCs w:val="1"/>
                <w:color w:val="auto"/>
              </w:rPr>
              <w:t>Long-Term Equity Incentives</w:t>
            </w: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Align executives with</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Encourages retention through</w:t>
            </w:r>
          </w:p>
        </w:tc>
      </w:tr>
      <w:tr>
        <w:trPr>
          <w:trHeight w:val="216"/>
        </w:trPr>
        <w:tc>
          <w:tcPr>
            <w:tcW w:w="2920" w:type="dxa"/>
            <w:vAlign w:val="bottom"/>
            <w:shd w:val="clear" w:color="auto" w:fill="98D9AA"/>
          </w:tcPr>
          <w:p>
            <w:pPr>
              <w:spacing w:after="0"/>
              <w:rPr>
                <w:sz w:val="18"/>
                <w:szCs w:val="18"/>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shareholders by rewarding long-</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multi-year vesting (three to</w:t>
            </w:r>
          </w:p>
        </w:tc>
      </w:tr>
      <w:tr>
        <w:trPr>
          <w:trHeight w:val="216"/>
        </w:trPr>
        <w:tc>
          <w:tcPr>
            <w:tcW w:w="2920" w:type="dxa"/>
            <w:vAlign w:val="bottom"/>
            <w:shd w:val="clear" w:color="auto" w:fill="98D9AA"/>
          </w:tcPr>
          <w:p>
            <w:pPr>
              <w:spacing w:after="0"/>
              <w:rPr>
                <w:sz w:val="18"/>
                <w:szCs w:val="18"/>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term shareholder value creation.</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four years) and rewards share</w:t>
            </w:r>
          </w:p>
        </w:tc>
      </w:tr>
      <w:tr>
        <w:trPr>
          <w:trHeight w:val="270"/>
        </w:trPr>
        <w:tc>
          <w:tcPr>
            <w:tcW w:w="2920" w:type="dxa"/>
            <w:vAlign w:val="bottom"/>
            <w:shd w:val="clear" w:color="auto" w:fill="98D9AA"/>
          </w:tcPr>
          <w:p>
            <w:pPr>
              <w:spacing w:after="0"/>
              <w:rPr>
                <w:sz w:val="23"/>
                <w:szCs w:val="23"/>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Reward stock price appreciation</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price appreciation.</w:t>
            </w:r>
          </w:p>
        </w:tc>
      </w:tr>
      <w:tr>
        <w:trPr>
          <w:trHeight w:val="216"/>
        </w:trPr>
        <w:tc>
          <w:tcPr>
            <w:tcW w:w="2920" w:type="dxa"/>
            <w:vAlign w:val="bottom"/>
            <w:shd w:val="clear" w:color="auto" w:fill="98D9AA"/>
          </w:tcPr>
          <w:p>
            <w:pPr>
              <w:spacing w:after="0"/>
              <w:rPr>
                <w:sz w:val="18"/>
                <w:szCs w:val="18"/>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and tie executive wealth</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Performance Share Units (PSUs)</w:t>
            </w:r>
          </w:p>
        </w:tc>
      </w:tr>
      <w:tr>
        <w:trPr>
          <w:trHeight w:val="216"/>
        </w:trPr>
        <w:tc>
          <w:tcPr>
            <w:tcW w:w="2920" w:type="dxa"/>
            <w:vAlign w:val="bottom"/>
            <w:shd w:val="clear" w:color="auto" w:fill="98D9AA"/>
          </w:tcPr>
          <w:p>
            <w:pPr>
              <w:spacing w:after="0"/>
              <w:rPr>
                <w:sz w:val="18"/>
                <w:szCs w:val="18"/>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accumulation to long-term</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vest, if at all, at the end of a three-</w:t>
            </w:r>
          </w:p>
        </w:tc>
      </w:tr>
      <w:tr>
        <w:trPr>
          <w:trHeight w:val="216"/>
        </w:trPr>
        <w:tc>
          <w:tcPr>
            <w:tcW w:w="2920" w:type="dxa"/>
            <w:vAlign w:val="bottom"/>
            <w:shd w:val="clear" w:color="auto" w:fill="98D9AA"/>
          </w:tcPr>
          <w:p>
            <w:pPr>
              <w:spacing w:after="0"/>
              <w:rPr>
                <w:sz w:val="18"/>
                <w:szCs w:val="18"/>
                <w:color w:val="auto"/>
              </w:rPr>
            </w:pPr>
          </w:p>
        </w:tc>
        <w:tc>
          <w:tcPr>
            <w:tcW w:w="2880" w:type="dxa"/>
            <w:vAlign w:val="bottom"/>
            <w:shd w:val="clear" w:color="auto" w:fill="98D9AA"/>
          </w:tcPr>
          <w:p>
            <w:pPr>
              <w:ind w:left="100"/>
              <w:spacing w:after="0"/>
              <w:rPr>
                <w:sz w:val="20"/>
                <w:szCs w:val="20"/>
                <w:color w:val="auto"/>
              </w:rPr>
            </w:pPr>
            <w:r>
              <w:rPr>
                <w:rFonts w:ascii="Arial" w:cs="Arial" w:eastAsia="Arial" w:hAnsi="Arial"/>
                <w:sz w:val="18"/>
                <w:szCs w:val="18"/>
                <w:color w:val="auto"/>
              </w:rPr>
              <w:t>performance.</w:t>
            </w: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year period depending on meeting</w:t>
            </w:r>
          </w:p>
        </w:tc>
      </w:tr>
      <w:tr>
        <w:trPr>
          <w:trHeight w:val="262"/>
        </w:trPr>
        <w:tc>
          <w:tcPr>
            <w:tcW w:w="2920" w:type="dxa"/>
            <w:vAlign w:val="bottom"/>
            <w:shd w:val="clear" w:color="auto" w:fill="98D9AA"/>
          </w:tcPr>
          <w:p>
            <w:pPr>
              <w:spacing w:after="0"/>
              <w:rPr>
                <w:sz w:val="22"/>
                <w:szCs w:val="22"/>
                <w:color w:val="auto"/>
              </w:rPr>
            </w:pPr>
          </w:p>
        </w:tc>
        <w:tc>
          <w:tcPr>
            <w:tcW w:w="2880" w:type="dxa"/>
            <w:vAlign w:val="bottom"/>
            <w:shd w:val="clear" w:color="auto" w:fill="98D9AA"/>
          </w:tcPr>
          <w:p>
            <w:pPr>
              <w:spacing w:after="0"/>
              <w:rPr>
                <w:sz w:val="22"/>
                <w:szCs w:val="22"/>
                <w:color w:val="auto"/>
              </w:rPr>
            </w:pPr>
          </w:p>
        </w:tc>
        <w:tc>
          <w:tcPr>
            <w:tcW w:w="2960" w:type="dxa"/>
            <w:vAlign w:val="bottom"/>
            <w:shd w:val="clear" w:color="auto" w:fill="98D9AA"/>
          </w:tcPr>
          <w:p>
            <w:pPr>
              <w:ind w:left="140"/>
              <w:spacing w:after="0"/>
              <w:rPr>
                <w:sz w:val="20"/>
                <w:szCs w:val="20"/>
                <w:color w:val="auto"/>
              </w:rPr>
            </w:pPr>
            <w:r>
              <w:rPr>
                <w:rFonts w:ascii="Arial" w:cs="Arial" w:eastAsia="Arial" w:hAnsi="Arial"/>
                <w:sz w:val="18"/>
                <w:szCs w:val="18"/>
                <w:color w:val="auto"/>
              </w:rPr>
              <w:t>performance goals.</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44     </w:t>
      </w:r>
      <w:r>
        <w:rPr>
          <w:sz w:val="1"/>
          <w:szCs w:val="1"/>
          <w:color w:val="auto"/>
        </w:rPr>
        <w:drawing>
          <wp:inline distT="0" distB="0" distL="0" distR="0">
            <wp:extent cx="1242695" cy="24003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439"/>
        <w:spacing w:after="0" w:line="287" w:lineRule="auto"/>
        <w:rPr>
          <w:sz w:val="20"/>
          <w:szCs w:val="20"/>
          <w:color w:val="auto"/>
        </w:rPr>
      </w:pPr>
      <w:r>
        <w:rPr>
          <w:rFonts w:ascii="Arial" w:cs="Arial" w:eastAsia="Arial" w:hAnsi="Arial"/>
          <w:sz w:val="18"/>
          <w:szCs w:val="18"/>
          <w:color w:val="auto"/>
        </w:rPr>
        <w:t>In addition, each NEO may be eligible to receive certain other benefits summarized below. See “Elements of Executive Compensation — Additional Compensation Elements” for more information.</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3360" w:type="dxa"/>
            <w:vAlign w:val="bottom"/>
            <w:tcBorders>
              <w:right w:val="single" w:sz="8" w:color="FEFEFE"/>
            </w:tcBorders>
            <w:shd w:val="clear" w:color="auto" w:fill="53C072"/>
          </w:tcPr>
          <w:p>
            <w:pPr>
              <w:ind w:left="120"/>
              <w:spacing w:after="0"/>
              <w:rPr>
                <w:sz w:val="20"/>
                <w:szCs w:val="20"/>
                <w:color w:val="auto"/>
              </w:rPr>
            </w:pPr>
            <w:r>
              <w:rPr>
                <w:rFonts w:ascii="Arial" w:cs="Arial" w:eastAsia="Arial" w:hAnsi="Arial"/>
                <w:sz w:val="14"/>
                <w:szCs w:val="14"/>
                <w:b w:val="1"/>
                <w:bCs w:val="1"/>
                <w:color w:val="FFFFFF"/>
              </w:rPr>
              <w:t>Pay Component</w:t>
            </w:r>
          </w:p>
        </w:tc>
        <w:tc>
          <w:tcPr>
            <w:tcW w:w="540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FFFFF"/>
              </w:rPr>
              <w:t>Brief Description</w:t>
            </w:r>
          </w:p>
        </w:tc>
      </w:tr>
      <w:tr>
        <w:trPr>
          <w:trHeight w:val="247"/>
        </w:trPr>
        <w:tc>
          <w:tcPr>
            <w:tcW w:w="3360" w:type="dxa"/>
            <w:vAlign w:val="bottom"/>
            <w:tcBorders>
              <w:right w:val="single" w:sz="8" w:color="FEFEFE"/>
            </w:tcBorders>
            <w:shd w:val="clear" w:color="auto" w:fill="98D9AA"/>
          </w:tcPr>
          <w:p>
            <w:pPr>
              <w:ind w:left="120"/>
              <w:spacing w:after="0"/>
              <w:rPr>
                <w:sz w:val="20"/>
                <w:szCs w:val="20"/>
                <w:color w:val="auto"/>
              </w:rPr>
            </w:pPr>
            <w:r>
              <w:rPr>
                <w:rFonts w:ascii="Arial" w:cs="Arial" w:eastAsia="Arial" w:hAnsi="Arial"/>
                <w:sz w:val="18"/>
                <w:szCs w:val="18"/>
                <w:b w:val="1"/>
                <w:bCs w:val="1"/>
                <w:color w:val="auto"/>
              </w:rPr>
              <w:t>Retirement Benefits</w:t>
            </w: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53C072"/>
              </w:rPr>
              <w:t xml:space="preserve">• </w:t>
            </w:r>
            <w:r>
              <w:rPr>
                <w:rFonts w:ascii="Arial" w:cs="Arial" w:eastAsia="Arial" w:hAnsi="Arial"/>
                <w:sz w:val="18"/>
                <w:szCs w:val="18"/>
                <w:color w:val="000000"/>
              </w:rPr>
              <w:t>Qualified cash balance plan (Pension Plan)</w:t>
            </w:r>
          </w:p>
        </w:tc>
      </w:tr>
      <w:tr>
        <w:trPr>
          <w:trHeight w:val="243"/>
        </w:trPr>
        <w:tc>
          <w:tcPr>
            <w:tcW w:w="3360" w:type="dxa"/>
            <w:vAlign w:val="bottom"/>
            <w:tcBorders>
              <w:right w:val="single" w:sz="8" w:color="FEFEFE"/>
            </w:tcBorders>
            <w:shd w:val="clear" w:color="auto" w:fill="98D9AA"/>
          </w:tcPr>
          <w:p>
            <w:pPr>
              <w:spacing w:after="0"/>
              <w:rPr>
                <w:sz w:val="21"/>
                <w:szCs w:val="21"/>
                <w:color w:val="auto"/>
              </w:rPr>
            </w:pP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53C072"/>
              </w:rPr>
              <w:t xml:space="preserve">• </w:t>
            </w:r>
            <w:r>
              <w:rPr>
                <w:rFonts w:ascii="Arial" w:cs="Arial" w:eastAsia="Arial" w:hAnsi="Arial"/>
                <w:sz w:val="18"/>
                <w:szCs w:val="18"/>
                <w:color w:val="000000"/>
              </w:rPr>
              <w:t>Qualified defined contribution plan (401(k) Plan)</w:t>
            </w:r>
          </w:p>
        </w:tc>
      </w:tr>
      <w:tr>
        <w:trPr>
          <w:trHeight w:val="285"/>
        </w:trPr>
        <w:tc>
          <w:tcPr>
            <w:tcW w:w="3360" w:type="dxa"/>
            <w:vAlign w:val="bottom"/>
            <w:tcBorders>
              <w:right w:val="single" w:sz="8" w:color="FEFEFE"/>
            </w:tcBorders>
            <w:shd w:val="clear" w:color="auto" w:fill="98D9AA"/>
          </w:tcPr>
          <w:p>
            <w:pPr>
              <w:spacing w:after="0"/>
              <w:rPr>
                <w:sz w:val="24"/>
                <w:szCs w:val="24"/>
                <w:color w:val="auto"/>
              </w:rPr>
            </w:pP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53C072"/>
              </w:rPr>
              <w:t xml:space="preserve">• </w:t>
            </w:r>
            <w:r>
              <w:rPr>
                <w:rFonts w:ascii="Arial" w:cs="Arial" w:eastAsia="Arial" w:hAnsi="Arial"/>
                <w:sz w:val="18"/>
                <w:szCs w:val="18"/>
                <w:color w:val="000000"/>
              </w:rPr>
              <w:t>Nonqualified retirement plans</w:t>
            </w:r>
          </w:p>
        </w:tc>
      </w:tr>
      <w:tr>
        <w:trPr>
          <w:trHeight w:val="244"/>
        </w:trPr>
        <w:tc>
          <w:tcPr>
            <w:tcW w:w="3360" w:type="dxa"/>
            <w:vAlign w:val="bottom"/>
            <w:tcBorders>
              <w:right w:val="single" w:sz="8" w:color="FEFEFE"/>
            </w:tcBorders>
            <w:shd w:val="clear" w:color="auto" w:fill="CBECD5"/>
          </w:tcPr>
          <w:p>
            <w:pPr>
              <w:ind w:left="120"/>
              <w:spacing w:after="0"/>
              <w:rPr>
                <w:sz w:val="20"/>
                <w:szCs w:val="20"/>
                <w:color w:val="auto"/>
              </w:rPr>
            </w:pPr>
            <w:r>
              <w:rPr>
                <w:rFonts w:ascii="Arial" w:cs="Arial" w:eastAsia="Arial" w:hAnsi="Arial"/>
                <w:sz w:val="18"/>
                <w:szCs w:val="18"/>
                <w:b w:val="1"/>
                <w:bCs w:val="1"/>
                <w:color w:val="auto"/>
              </w:rPr>
              <w:t>Executive Benefits</w:t>
            </w:r>
          </w:p>
        </w:tc>
        <w:tc>
          <w:tcPr>
            <w:tcW w:w="5400" w:type="dxa"/>
            <w:vAlign w:val="bottom"/>
            <w:shd w:val="clear" w:color="auto" w:fill="CBECD5"/>
          </w:tcPr>
          <w:p>
            <w:pPr>
              <w:ind w:left="100"/>
              <w:spacing w:after="0"/>
              <w:rPr>
                <w:sz w:val="20"/>
                <w:szCs w:val="20"/>
                <w:color w:val="auto"/>
              </w:rPr>
            </w:pPr>
            <w:r>
              <w:rPr>
                <w:rFonts w:ascii="Arial" w:cs="Arial" w:eastAsia="Arial" w:hAnsi="Arial"/>
                <w:sz w:val="18"/>
                <w:szCs w:val="18"/>
                <w:color w:val="auto"/>
              </w:rPr>
              <w:t>Limited perquisites</w:t>
            </w:r>
          </w:p>
        </w:tc>
      </w:tr>
      <w:tr>
        <w:trPr>
          <w:trHeight w:val="217"/>
        </w:trPr>
        <w:tc>
          <w:tcPr>
            <w:tcW w:w="3360" w:type="dxa"/>
            <w:vAlign w:val="bottom"/>
            <w:tcBorders>
              <w:right w:val="single" w:sz="8" w:color="FEFEFE"/>
            </w:tcBorders>
            <w:shd w:val="clear" w:color="auto" w:fill="98D9AA"/>
          </w:tcPr>
          <w:p>
            <w:pPr>
              <w:ind w:left="120"/>
              <w:spacing w:after="0"/>
              <w:rPr>
                <w:sz w:val="20"/>
                <w:szCs w:val="20"/>
                <w:color w:val="auto"/>
              </w:rPr>
            </w:pPr>
            <w:r>
              <w:rPr>
                <w:rFonts w:ascii="Arial" w:cs="Arial" w:eastAsia="Arial" w:hAnsi="Arial"/>
                <w:sz w:val="18"/>
                <w:szCs w:val="18"/>
                <w:b w:val="1"/>
                <w:bCs w:val="1"/>
                <w:color w:val="auto"/>
              </w:rPr>
              <w:t>Change of Control Agreements</w:t>
            </w: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auto"/>
              </w:rPr>
              <w:t>Individual agreements providing enhanced severance for a</w:t>
            </w:r>
          </w:p>
        </w:tc>
      </w:tr>
      <w:tr>
        <w:trPr>
          <w:trHeight w:val="216"/>
        </w:trPr>
        <w:tc>
          <w:tcPr>
            <w:tcW w:w="3360" w:type="dxa"/>
            <w:vAlign w:val="bottom"/>
            <w:tcBorders>
              <w:right w:val="single" w:sz="8" w:color="FEFEFE"/>
            </w:tcBorders>
            <w:shd w:val="clear" w:color="auto" w:fill="98D9AA"/>
          </w:tcPr>
          <w:p>
            <w:pPr>
              <w:spacing w:after="0"/>
              <w:rPr>
                <w:sz w:val="18"/>
                <w:szCs w:val="18"/>
                <w:color w:val="auto"/>
              </w:rPr>
            </w:pP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auto"/>
              </w:rPr>
              <w:t>qualifying termination following a change of control of the</w:t>
            </w:r>
          </w:p>
        </w:tc>
      </w:tr>
      <w:tr>
        <w:trPr>
          <w:trHeight w:val="242"/>
        </w:trPr>
        <w:tc>
          <w:tcPr>
            <w:tcW w:w="3360" w:type="dxa"/>
            <w:vAlign w:val="bottom"/>
            <w:tcBorders>
              <w:right w:val="single" w:sz="8" w:color="FEFEFE"/>
            </w:tcBorders>
            <w:shd w:val="clear" w:color="auto" w:fill="98D9AA"/>
          </w:tcPr>
          <w:p>
            <w:pPr>
              <w:spacing w:after="0"/>
              <w:rPr>
                <w:sz w:val="21"/>
                <w:szCs w:val="21"/>
                <w:color w:val="auto"/>
              </w:rPr>
            </w:pP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auto"/>
              </w:rPr>
              <w:t>Company</w:t>
            </w:r>
          </w:p>
        </w:tc>
      </w:tr>
      <w:tr>
        <w:trPr>
          <w:trHeight w:val="217"/>
        </w:trPr>
        <w:tc>
          <w:tcPr>
            <w:tcW w:w="3360" w:type="dxa"/>
            <w:vAlign w:val="bottom"/>
            <w:tcBorders>
              <w:right w:val="single" w:sz="8" w:color="FEFEFE"/>
            </w:tcBorders>
            <w:shd w:val="clear" w:color="auto" w:fill="CBECD5"/>
          </w:tcPr>
          <w:p>
            <w:pPr>
              <w:ind w:left="120"/>
              <w:spacing w:after="0"/>
              <w:rPr>
                <w:sz w:val="20"/>
                <w:szCs w:val="20"/>
                <w:color w:val="auto"/>
              </w:rPr>
            </w:pPr>
            <w:r>
              <w:rPr>
                <w:rFonts w:ascii="Arial" w:cs="Arial" w:eastAsia="Arial" w:hAnsi="Arial"/>
                <w:sz w:val="18"/>
                <w:szCs w:val="18"/>
                <w:b w:val="1"/>
                <w:bCs w:val="1"/>
                <w:color w:val="auto"/>
              </w:rPr>
              <w:t>Executive Severance Plan</w:t>
            </w:r>
          </w:p>
        </w:tc>
        <w:tc>
          <w:tcPr>
            <w:tcW w:w="5400" w:type="dxa"/>
            <w:vAlign w:val="bottom"/>
            <w:shd w:val="clear" w:color="auto" w:fill="CBECD5"/>
          </w:tcPr>
          <w:p>
            <w:pPr>
              <w:ind w:left="100"/>
              <w:spacing w:after="0"/>
              <w:rPr>
                <w:sz w:val="20"/>
                <w:szCs w:val="20"/>
                <w:color w:val="auto"/>
              </w:rPr>
            </w:pPr>
            <w:r>
              <w:rPr>
                <w:rFonts w:ascii="Arial" w:cs="Arial" w:eastAsia="Arial" w:hAnsi="Arial"/>
                <w:sz w:val="18"/>
                <w:szCs w:val="18"/>
                <w:color w:val="auto"/>
              </w:rPr>
              <w:t>Plan providing severance benefits for executives, except for those</w:t>
            </w:r>
          </w:p>
        </w:tc>
      </w:tr>
      <w:tr>
        <w:trPr>
          <w:trHeight w:val="242"/>
        </w:trPr>
        <w:tc>
          <w:tcPr>
            <w:tcW w:w="3360" w:type="dxa"/>
            <w:vAlign w:val="bottom"/>
            <w:tcBorders>
              <w:right w:val="single" w:sz="8" w:color="FEFEFE"/>
            </w:tcBorders>
            <w:shd w:val="clear" w:color="auto" w:fill="CBECD5"/>
          </w:tcPr>
          <w:p>
            <w:pPr>
              <w:spacing w:after="0"/>
              <w:rPr>
                <w:sz w:val="21"/>
                <w:szCs w:val="21"/>
                <w:color w:val="auto"/>
              </w:rPr>
            </w:pPr>
          </w:p>
        </w:tc>
        <w:tc>
          <w:tcPr>
            <w:tcW w:w="5400" w:type="dxa"/>
            <w:vAlign w:val="bottom"/>
            <w:shd w:val="clear" w:color="auto" w:fill="CBECD5"/>
          </w:tcPr>
          <w:p>
            <w:pPr>
              <w:ind w:left="100"/>
              <w:spacing w:after="0"/>
              <w:rPr>
                <w:sz w:val="20"/>
                <w:szCs w:val="20"/>
                <w:color w:val="auto"/>
              </w:rPr>
            </w:pPr>
            <w:r>
              <w:rPr>
                <w:rFonts w:ascii="Arial" w:cs="Arial" w:eastAsia="Arial" w:hAnsi="Arial"/>
                <w:sz w:val="18"/>
                <w:szCs w:val="18"/>
                <w:color w:val="auto"/>
              </w:rPr>
              <w:t>covered by their employment agreements</w:t>
            </w:r>
          </w:p>
        </w:tc>
      </w:tr>
      <w:tr>
        <w:trPr>
          <w:trHeight w:val="217"/>
        </w:trPr>
        <w:tc>
          <w:tcPr>
            <w:tcW w:w="3360" w:type="dxa"/>
            <w:vAlign w:val="bottom"/>
            <w:tcBorders>
              <w:right w:val="single" w:sz="8" w:color="FEFEFE"/>
            </w:tcBorders>
            <w:shd w:val="clear" w:color="auto" w:fill="98D9AA"/>
          </w:tcPr>
          <w:p>
            <w:pPr>
              <w:ind w:left="120"/>
              <w:spacing w:after="0"/>
              <w:rPr>
                <w:sz w:val="20"/>
                <w:szCs w:val="20"/>
                <w:color w:val="auto"/>
              </w:rPr>
            </w:pPr>
            <w:r>
              <w:rPr>
                <w:rFonts w:ascii="Arial" w:cs="Arial" w:eastAsia="Arial" w:hAnsi="Arial"/>
                <w:sz w:val="18"/>
                <w:szCs w:val="18"/>
                <w:b w:val="1"/>
                <w:bCs w:val="1"/>
                <w:color w:val="auto"/>
              </w:rPr>
              <w:t>Employee Stock Purchase Plan</w:t>
            </w: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auto"/>
              </w:rPr>
              <w:t>Qualified plan permitting Company stock purchases at a 5%</w:t>
            </w:r>
          </w:p>
        </w:tc>
      </w:tr>
      <w:tr>
        <w:trPr>
          <w:trHeight w:val="248"/>
        </w:trPr>
        <w:tc>
          <w:tcPr>
            <w:tcW w:w="3360" w:type="dxa"/>
            <w:vAlign w:val="bottom"/>
            <w:tcBorders>
              <w:right w:val="single" w:sz="8" w:color="FEFEFE"/>
            </w:tcBorders>
            <w:shd w:val="clear" w:color="auto" w:fill="98D9AA"/>
          </w:tcPr>
          <w:p>
            <w:pPr>
              <w:spacing w:after="0"/>
              <w:rPr>
                <w:sz w:val="21"/>
                <w:szCs w:val="21"/>
                <w:color w:val="auto"/>
              </w:rPr>
            </w:pPr>
          </w:p>
        </w:tc>
        <w:tc>
          <w:tcPr>
            <w:tcW w:w="5400" w:type="dxa"/>
            <w:vAlign w:val="bottom"/>
            <w:shd w:val="clear" w:color="auto" w:fill="98D9AA"/>
          </w:tcPr>
          <w:p>
            <w:pPr>
              <w:ind w:left="100"/>
              <w:spacing w:after="0"/>
              <w:rPr>
                <w:sz w:val="20"/>
                <w:szCs w:val="20"/>
                <w:color w:val="auto"/>
              </w:rPr>
            </w:pPr>
            <w:r>
              <w:rPr>
                <w:rFonts w:ascii="Arial" w:cs="Arial" w:eastAsia="Arial" w:hAnsi="Arial"/>
                <w:sz w:val="18"/>
                <w:szCs w:val="18"/>
                <w:color w:val="auto"/>
              </w:rPr>
              <w:t>discount, subject to plan limits</w:t>
            </w:r>
          </w:p>
        </w:tc>
      </w:tr>
    </w:tbl>
    <w:p>
      <w:pPr>
        <w:spacing w:after="0" w:line="11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Pay Mix</w:t>
      </w:r>
    </w:p>
    <w:p>
      <w:pPr>
        <w:spacing w:after="0" w:line="153" w:lineRule="exact"/>
        <w:rPr>
          <w:sz w:val="20"/>
          <w:szCs w:val="20"/>
          <w:color w:val="auto"/>
        </w:rPr>
      </w:pPr>
    </w:p>
    <w:p>
      <w:pPr>
        <w:jc w:val="both"/>
        <w:ind w:left="1000" w:right="159"/>
        <w:spacing w:after="0" w:line="287" w:lineRule="auto"/>
        <w:rPr>
          <w:sz w:val="20"/>
          <w:szCs w:val="20"/>
          <w:color w:val="auto"/>
        </w:rPr>
      </w:pPr>
      <w:r>
        <w:rPr>
          <w:rFonts w:ascii="Arial" w:cs="Arial" w:eastAsia="Arial" w:hAnsi="Arial"/>
          <w:sz w:val="18"/>
          <w:szCs w:val="18"/>
          <w:color w:val="auto"/>
        </w:rPr>
        <w:t>For fiscal 2024, the compensation mix at target for the CEO and the other NEOs demonstrates that a significant portion of their pay is based on variable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92075</wp:posOffset>
            </wp:positionV>
            <wp:extent cx="5117465" cy="27343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1746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Compensation Governance Practices</w:t>
      </w:r>
    </w:p>
    <w:p>
      <w:pPr>
        <w:spacing w:after="0" w:line="153" w:lineRule="exact"/>
        <w:rPr>
          <w:sz w:val="20"/>
          <w:szCs w:val="20"/>
          <w:color w:val="auto"/>
        </w:rPr>
      </w:pPr>
    </w:p>
    <w:p>
      <w:pPr>
        <w:ind w:left="1000" w:right="799"/>
        <w:spacing w:after="0" w:line="303" w:lineRule="auto"/>
        <w:rPr>
          <w:sz w:val="20"/>
          <w:szCs w:val="20"/>
          <w:color w:val="auto"/>
        </w:rPr>
      </w:pPr>
      <w:r>
        <w:rPr>
          <w:rFonts w:ascii="Arial" w:cs="Arial" w:eastAsia="Arial" w:hAnsi="Arial"/>
          <w:sz w:val="18"/>
          <w:szCs w:val="18"/>
          <w:color w:val="auto"/>
        </w:rPr>
        <w:t>The Company’s executive compensation programs incorporate the following compensation governance practices:</w:t>
      </w:r>
    </w:p>
    <w:p>
      <w:pPr>
        <w:sectPr>
          <w:pgSz w:w="11900" w:h="16838" w:orient="portrait"/>
          <w:cols w:equalWidth="0" w:num="1">
            <w:col w:w="9879"/>
          </w:cols>
          <w:pgMar w:left="580" w:top="97" w:right="1440" w:bottom="1440" w:gutter="0" w:footer="0" w:header="0"/>
        </w:sectPr>
      </w:pPr>
    </w:p>
    <w:p>
      <w:pPr>
        <w:ind w:left="1840" w:hanging="117"/>
        <w:spacing w:after="0" w:line="215" w:lineRule="auto"/>
        <w:tabs>
          <w:tab w:leader="none" w:pos="1840" w:val="left"/>
        </w:tabs>
        <w:numPr>
          <w:ilvl w:val="0"/>
          <w:numId w:val="44"/>
        </w:numPr>
        <w:rPr>
          <w:rFonts w:ascii="Arial" w:cs="Arial" w:eastAsia="Arial" w:hAnsi="Arial"/>
          <w:sz w:val="36"/>
          <w:szCs w:val="36"/>
          <w:b w:val="1"/>
          <w:bCs w:val="1"/>
          <w:color w:val="FEFEFE"/>
          <w:vertAlign w:val="superscript"/>
        </w:rPr>
      </w:pPr>
      <w:r>
        <w:rPr>
          <w:rFonts w:ascii="Arial" w:cs="Arial" w:eastAsia="Arial" w:hAnsi="Arial"/>
          <w:sz w:val="18"/>
          <w:szCs w:val="18"/>
          <w:b w:val="1"/>
          <w:bCs w:val="1"/>
          <w:color w:val="FEFEFE"/>
        </w:rPr>
        <w:t>What the Company Does:</w:t>
      </w:r>
    </w:p>
    <w:p>
      <w:pPr>
        <w:spacing w:after="0" w:line="2" w:lineRule="exact"/>
        <w:rPr>
          <w:rFonts w:ascii="Arial" w:cs="Arial" w:eastAsia="Arial" w:hAnsi="Arial"/>
          <w:sz w:val="36"/>
          <w:szCs w:val="36"/>
          <w:b w:val="1"/>
          <w:bCs w:val="1"/>
          <w:color w:val="FEFEFE"/>
          <w:vertAlign w:val="superscript"/>
        </w:rPr>
      </w:pPr>
    </w:p>
    <w:p>
      <w:pPr>
        <w:ind w:left="2340" w:hanging="617"/>
        <w:spacing w:after="0" w:line="265" w:lineRule="auto"/>
        <w:tabs>
          <w:tab w:leader="none" w:pos="21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Aligns Pay-for-Performance.</w:t>
      </w:r>
      <w:r>
        <w:rPr>
          <w:rFonts w:ascii="Arial" w:cs="Arial" w:eastAsia="Arial" w:hAnsi="Arial"/>
          <w:sz w:val="17"/>
          <w:szCs w:val="17"/>
          <w:color w:val="auto"/>
        </w:rPr>
        <w:t xml:space="preserve"> Historically, a significant portion of total compensation depended on achieving short- and long-term financial and operational goals that were designed to increase shareholder value over time. As executives gain responsibility and seniority and exercise more direct influence over the Company’s financial and operational performance, typically base salary as</w:t>
      </w:r>
    </w:p>
    <w:p>
      <w:pPr>
        <w:ind w:left="2340" w:right="580"/>
        <w:spacing w:after="0" w:line="255" w:lineRule="auto"/>
        <w:rPr>
          <w:rFonts w:ascii="Arial" w:cs="Arial" w:eastAsia="Arial" w:hAnsi="Arial"/>
          <w:sz w:val="17"/>
          <w:szCs w:val="17"/>
          <w:color w:val="auto"/>
        </w:rPr>
      </w:pPr>
      <w:r>
        <w:rPr>
          <w:rFonts w:ascii="Arial" w:cs="Arial" w:eastAsia="Arial" w:hAnsi="Arial"/>
          <w:sz w:val="18"/>
          <w:szCs w:val="18"/>
          <w:color w:val="auto"/>
        </w:rPr>
        <w:t>a percentage of total compensation decreases and performance-based pay increases.</w:t>
      </w:r>
    </w:p>
    <w:p>
      <w:pPr>
        <w:spacing w:after="0" w:line="1" w:lineRule="exact"/>
        <w:rPr>
          <w:rFonts w:ascii="Arial" w:cs="Arial" w:eastAsia="Arial" w:hAnsi="Arial"/>
          <w:sz w:val="17"/>
          <w:szCs w:val="17"/>
          <w:color w:val="auto"/>
        </w:rPr>
      </w:pPr>
    </w:p>
    <w:p>
      <w:pPr>
        <w:ind w:left="2340" w:hanging="617"/>
        <w:spacing w:after="0" w:line="259" w:lineRule="auto"/>
        <w:tabs>
          <w:tab w:leader="none" w:pos="21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Focuses on Long-Term Incentive Compensation.</w:t>
      </w:r>
      <w:r>
        <w:rPr>
          <w:rFonts w:ascii="Arial" w:cs="Arial" w:eastAsia="Arial" w:hAnsi="Arial"/>
          <w:sz w:val="18"/>
          <w:szCs w:val="18"/>
          <w:color w:val="auto"/>
        </w:rPr>
        <w:t xml:space="preserve"> The long-term incentive compensation program is designed to provide a meaningful portion of compensation with the goal of having executive officers think and behave like owners over the long term. Long-term incentives, in the form of equity awards, vest over periods ranging from three to four years depending on the award type.</w:t>
      </w:r>
    </w:p>
    <w:p>
      <w:pPr>
        <w:spacing w:after="0" w:line="3" w:lineRule="exact"/>
        <w:rPr>
          <w:rFonts w:ascii="Arial" w:cs="Arial" w:eastAsia="Arial" w:hAnsi="Arial"/>
          <w:sz w:val="18"/>
          <w:szCs w:val="18"/>
          <w:color w:val="auto"/>
        </w:rPr>
      </w:pPr>
    </w:p>
    <w:p>
      <w:pPr>
        <w:ind w:left="2340" w:hanging="617"/>
        <w:spacing w:after="0"/>
        <w:tabs>
          <w:tab w:leader="none" w:pos="1836" w:val="left"/>
        </w:tabs>
        <w:numPr>
          <w:ilvl w:val="0"/>
          <w:numId w:val="44"/>
        </w:numPr>
        <w:rPr>
          <w:rFonts w:ascii="Arial" w:cs="Arial" w:eastAsia="Arial" w:hAnsi="Arial"/>
          <w:sz w:val="36"/>
          <w:szCs w:val="36"/>
          <w:color w:val="auto"/>
          <w:vertAlign w:val="superscript"/>
        </w:rPr>
      </w:pPr>
      <w:r>
        <w:rPr>
          <w:sz w:val="1"/>
          <w:szCs w:val="1"/>
          <w:color w:val="auto"/>
        </w:rPr>
        <w:drawing>
          <wp:inline distT="0" distB="0" distL="0" distR="0">
            <wp:extent cx="179705" cy="17145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36"/>
          <w:szCs w:val="36"/>
          <w:color w:val="auto"/>
          <w:vertAlign w:val="superscript"/>
        </w:rPr>
        <w:t xml:space="preserve">​ ​ </w:t>
      </w:r>
      <w:r>
        <w:rPr>
          <w:rFonts w:ascii="Arial" w:cs="Arial" w:eastAsia="Arial" w:hAnsi="Arial"/>
          <w:sz w:val="36"/>
          <w:szCs w:val="36"/>
          <w:b w:val="1"/>
          <w:bCs w:val="1"/>
          <w:color w:val="auto"/>
        </w:rPr>
        <w:t>Uses Multiple Metrics in Incentive Plans.</w:t>
      </w:r>
      <w:r>
        <w:rPr>
          <w:rFonts w:ascii="Arial" w:cs="Arial" w:eastAsia="Arial" w:hAnsi="Arial"/>
          <w:sz w:val="36"/>
          <w:szCs w:val="36"/>
          <w:color w:val="auto"/>
        </w:rPr>
        <w:t xml:space="preserve"> </w:t>
      </w:r>
      <w:r>
        <w:rPr>
          <w:rFonts w:ascii="Arial" w:cs="Arial" w:eastAsia="Arial" w:hAnsi="Arial"/>
          <w:sz w:val="17"/>
          <w:szCs w:val="17"/>
          <w:color w:val="auto"/>
        </w:rPr>
        <w:t>The annual cash and long-term</w:t>
      </w:r>
      <w:r>
        <w:rPr>
          <w:rFonts w:ascii="Arial" w:cs="Arial" w:eastAsia="Arial" w:hAnsi="Arial"/>
          <w:sz w:val="36"/>
          <w:szCs w:val="36"/>
          <w:color w:val="auto"/>
        </w:rPr>
        <w:t xml:space="preserve"> </w:t>
      </w:r>
      <w:r>
        <w:rPr>
          <w:rFonts w:ascii="Arial" w:cs="Arial" w:eastAsia="Arial" w:hAnsi="Arial"/>
          <w:sz w:val="17"/>
          <w:szCs w:val="17"/>
          <w:color w:val="auto"/>
        </w:rPr>
        <w:t>incentive programs employ multiple performance measures to assure focus is on the entire business. Further, long-term incentive programs include awards that vest over several different and overlapping periods to help ensure that performance during any one period is not maximized to the detriment of other periods.</w:t>
      </w:r>
    </w:p>
    <w:p>
      <w:pPr>
        <w:spacing w:after="0" w:line="112" w:lineRule="exact"/>
        <w:rPr>
          <w:rFonts w:ascii="Arial" w:cs="Arial" w:eastAsia="Arial" w:hAnsi="Arial"/>
          <w:sz w:val="36"/>
          <w:szCs w:val="36"/>
          <w:color w:val="auto"/>
          <w:vertAlign w:val="superscript"/>
        </w:rPr>
      </w:pPr>
    </w:p>
    <w:p>
      <w:pPr>
        <w:ind w:left="2340" w:right="380" w:hanging="617"/>
        <w:spacing w:after="0" w:line="273" w:lineRule="auto"/>
        <w:tabs>
          <w:tab w:leader="none" w:pos="21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Uses Award Caps.</w:t>
      </w:r>
      <w:r>
        <w:rPr>
          <w:rFonts w:ascii="Arial" w:cs="Arial" w:eastAsia="Arial" w:hAnsi="Arial"/>
          <w:sz w:val="18"/>
          <w:szCs w:val="18"/>
          <w:color w:val="auto"/>
        </w:rPr>
        <w:t xml:space="preserve"> Annual cash incentives and PSUs are capped at 200% of target to discourage excessive risk-taking.</w:t>
      </w:r>
    </w:p>
    <w:p>
      <w:pPr>
        <w:spacing w:after="0" w:line="1" w:lineRule="exact"/>
        <w:rPr>
          <w:rFonts w:ascii="Arial" w:cs="Arial" w:eastAsia="Arial" w:hAnsi="Arial"/>
          <w:sz w:val="18"/>
          <w:szCs w:val="18"/>
          <w:color w:val="auto"/>
        </w:rPr>
      </w:pPr>
    </w:p>
    <w:p>
      <w:pPr>
        <w:ind w:left="2340" w:right="300" w:hanging="617"/>
        <w:spacing w:after="0" w:line="262" w:lineRule="auto"/>
        <w:tabs>
          <w:tab w:leader="none" w:pos="21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Maintains Clawback Policy.</w:t>
      </w:r>
      <w:r>
        <w:rPr>
          <w:rFonts w:ascii="Arial" w:cs="Arial" w:eastAsia="Arial" w:hAnsi="Arial"/>
          <w:sz w:val="18"/>
          <w:szCs w:val="18"/>
          <w:color w:val="auto"/>
        </w:rPr>
        <w:t xml:space="preserve"> The Company’s Incentive-Based Compensation Recoupment Policy, also known as a clawback policy, requires the Company to recoup incentive-based compensation erroneously awarded due to a financial restatement and allows recoupment for employee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-3578860</wp:posOffset>
            </wp:positionV>
            <wp:extent cx="4637405" cy="5974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637405" cy="5974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FEFEFE"/>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97" w:lineRule="exact"/>
        <w:rPr>
          <w:sz w:val="20"/>
          <w:szCs w:val="20"/>
          <w:color w:val="auto"/>
        </w:rPr>
      </w:pPr>
    </w:p>
    <w:p>
      <w:pPr>
        <w:sectPr>
          <w:pgSz w:w="11900" w:h="16838" w:orient="portrait"/>
          <w:cols w:equalWidth="0" w:num="2">
            <w:col w:w="8820" w:space="40"/>
            <w:col w:w="1019"/>
          </w:cols>
          <w:pgMar w:left="580" w:top="97" w:right="1440"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0" w:lineRule="exact"/>
        <w:rPr>
          <w:sz w:val="20"/>
          <w:szCs w:val="20"/>
          <w:color w:val="auto"/>
        </w:rPr>
      </w:pPr>
    </w:p>
    <w:p>
      <w:pPr>
        <w:spacing w:after="0" w:line="39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38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ind w:right="959"/>
        <w:spacing w:after="0" w:line="262" w:lineRule="auto"/>
        <w:rPr>
          <w:sz w:val="20"/>
          <w:szCs w:val="20"/>
          <w:color w:val="auto"/>
        </w:rPr>
      </w:pPr>
      <w:r>
        <w:rPr>
          <w:rFonts w:ascii="Arial" w:cs="Arial" w:eastAsia="Arial" w:hAnsi="Arial"/>
          <w:sz w:val="18"/>
          <w:szCs w:val="18"/>
          <w:b w:val="1"/>
          <w:bCs w:val="1"/>
          <w:color w:val="auto"/>
        </w:rPr>
        <w:t xml:space="preserve">Conducts Annual Compensation Risk Assessment. </w:t>
      </w:r>
      <w:r>
        <w:rPr>
          <w:rFonts w:ascii="Arial" w:cs="Arial" w:eastAsia="Arial" w:hAnsi="Arial"/>
          <w:sz w:val="18"/>
          <w:szCs w:val="18"/>
          <w:color w:val="auto"/>
        </w:rPr>
        <w:t>The Committee annually ​</w:t>
      </w:r>
      <w:r>
        <w:rPr>
          <w:rFonts w:ascii="Arial" w:cs="Arial" w:eastAsia="Arial" w:hAnsi="Arial"/>
          <w:sz w:val="18"/>
          <w:szCs w:val="18"/>
          <w:b w:val="1"/>
          <w:bCs w:val="1"/>
          <w:color w:val="auto"/>
        </w:rPr>
        <w:t xml:space="preserve"> </w:t>
      </w:r>
      <w:r>
        <w:rPr>
          <w:rFonts w:ascii="Arial" w:cs="Arial" w:eastAsia="Arial" w:hAnsi="Arial"/>
          <w:sz w:val="18"/>
          <w:szCs w:val="18"/>
          <w:color w:val="auto"/>
        </w:rPr>
        <w:t>assesses the Company’s compensation programs and determines whether the Company’s policies and practices create risks that are reasonably likely to have a material adverse effect on the Company.</w:t>
      </w:r>
    </w:p>
    <w:p>
      <w:pPr>
        <w:spacing w:after="0" w:line="1" w:lineRule="exact"/>
        <w:rPr>
          <w:sz w:val="20"/>
          <w:szCs w:val="20"/>
          <w:color w:val="auto"/>
        </w:rPr>
      </w:pPr>
    </w:p>
    <w:p>
      <w:pPr>
        <w:ind w:right="959"/>
        <w:spacing w:after="0" w:line="266" w:lineRule="auto"/>
        <w:rPr>
          <w:sz w:val="20"/>
          <w:szCs w:val="20"/>
          <w:color w:val="auto"/>
        </w:rPr>
      </w:pPr>
      <w:r>
        <w:rPr>
          <w:rFonts w:ascii="Arial" w:cs="Arial" w:eastAsia="Arial" w:hAnsi="Arial"/>
          <w:sz w:val="18"/>
          <w:szCs w:val="18"/>
          <w:b w:val="1"/>
          <w:bCs w:val="1"/>
          <w:color w:val="auto"/>
        </w:rPr>
        <w:t xml:space="preserve">Maintains Stock Ownership Guidelines. </w:t>
      </w:r>
      <w:r>
        <w:rPr>
          <w:rFonts w:ascii="Arial" w:cs="Arial" w:eastAsia="Arial" w:hAnsi="Arial"/>
          <w:sz w:val="18"/>
          <w:szCs w:val="18"/>
          <w:color w:val="auto"/>
        </w:rPr>
        <w:t>The Company has stock ownership ​</w:t>
      </w:r>
      <w:r>
        <w:rPr>
          <w:rFonts w:ascii="Arial" w:cs="Arial" w:eastAsia="Arial" w:hAnsi="Arial"/>
          <w:sz w:val="18"/>
          <w:szCs w:val="18"/>
          <w:b w:val="1"/>
          <w:bCs w:val="1"/>
          <w:color w:val="auto"/>
        </w:rPr>
        <w:t xml:space="preserve"> </w:t>
      </w:r>
      <w:r>
        <w:rPr>
          <w:rFonts w:ascii="Arial" w:cs="Arial" w:eastAsia="Arial" w:hAnsi="Arial"/>
          <w:sz w:val="18"/>
          <w:szCs w:val="18"/>
          <w:color w:val="auto"/>
        </w:rPr>
        <w:t>guidelines for its executive officers and, as of June 29, 2024, each executive officer was in compliance.</w:t>
      </w:r>
    </w:p>
    <w:p>
      <w:pPr>
        <w:ind w:right="959"/>
        <w:spacing w:after="0" w:line="266" w:lineRule="auto"/>
        <w:rPr>
          <w:sz w:val="20"/>
          <w:szCs w:val="20"/>
          <w:color w:val="auto"/>
        </w:rPr>
      </w:pPr>
      <w:r>
        <w:rPr>
          <w:rFonts w:ascii="Arial" w:cs="Arial" w:eastAsia="Arial" w:hAnsi="Arial"/>
          <w:sz w:val="18"/>
          <w:szCs w:val="18"/>
          <w:b w:val="1"/>
          <w:bCs w:val="1"/>
          <w:color w:val="auto"/>
        </w:rPr>
        <w:t xml:space="preserve">Grants Stock Options at Fair Market Value. </w:t>
      </w:r>
      <w:r>
        <w:rPr>
          <w:rFonts w:ascii="Arial" w:cs="Arial" w:eastAsia="Arial" w:hAnsi="Arial"/>
          <w:sz w:val="18"/>
          <w:szCs w:val="18"/>
          <w:color w:val="auto"/>
        </w:rPr>
        <w:t>When the Company grants stock ​</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the options are granted with an exercise price at the fair market value of the Company’s Common Stock on the date of the grant.</w:t>
      </w:r>
    </w:p>
    <w:p>
      <w:pPr>
        <w:spacing w:after="0" w:line="1" w:lineRule="exact"/>
        <w:rPr>
          <w:sz w:val="20"/>
          <w:szCs w:val="20"/>
          <w:color w:val="auto"/>
        </w:rPr>
      </w:pPr>
    </w:p>
    <w:p>
      <w:pPr>
        <w:sectPr>
          <w:pgSz w:w="11900" w:h="16838" w:orient="portrait"/>
          <w:cols w:equalWidth="0" w:num="2">
            <w:col w:w="2280" w:space="60"/>
            <w:col w:w="7539"/>
          </w:cols>
          <w:pgMar w:left="580" w:top="97" w:right="1440"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Maintains Compensation Committee Independence. </w:t>
            </w:r>
            <w:r>
              <w:rPr>
                <w:rFonts w:ascii="Arial" w:cs="Arial" w:eastAsia="Arial" w:hAnsi="Arial"/>
                <w:sz w:val="18"/>
                <w:szCs w:val="18"/>
                <w:color w:val="auto"/>
              </w:rPr>
              <w:t>The Compensation</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9"/>
        </w:trPr>
        <w:tc>
          <w:tcPr>
            <w:tcW w:w="6500" w:type="dxa"/>
            <w:vAlign w:val="bottom"/>
          </w:tcPr>
          <w:p>
            <w:pPr>
              <w:spacing w:after="0"/>
              <w:rPr>
                <w:sz w:val="20"/>
                <w:szCs w:val="20"/>
                <w:color w:val="auto"/>
              </w:rPr>
            </w:pPr>
            <w:r>
              <w:rPr>
                <w:rFonts w:ascii="Arial" w:cs="Arial" w:eastAsia="Arial" w:hAnsi="Arial"/>
                <w:sz w:val="18"/>
                <w:szCs w:val="18"/>
                <w:color w:val="auto"/>
              </w:rPr>
              <w:t>Committee is made up entirely of Independent Directors.</w:t>
            </w:r>
          </w:p>
        </w:tc>
        <w:tc>
          <w:tcPr>
            <w:tcW w:w="80" w:type="dxa"/>
            <w:vAlign w:val="bottom"/>
          </w:tcPr>
          <w:p>
            <w:pPr>
              <w:spacing w:after="0"/>
              <w:rPr>
                <w:sz w:val="20"/>
                <w:szCs w:val="20"/>
                <w:color w:val="auto"/>
              </w:rPr>
            </w:pPr>
          </w:p>
        </w:tc>
      </w:tr>
      <w:tr>
        <w:trPr>
          <w:trHeight w:val="274"/>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Maintains Compensation Consultant Independence. </w:t>
            </w:r>
            <w:r>
              <w:rPr>
                <w:rFonts w:ascii="Arial" w:cs="Arial" w:eastAsia="Arial" w:hAnsi="Arial"/>
                <w:sz w:val="18"/>
                <w:szCs w:val="18"/>
                <w:color w:val="auto"/>
              </w:rPr>
              <w:t>The Compensation</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w w:val="98"/>
              </w:rPr>
              <w:t>Consultant does not provide any services to management other than its services to</w:t>
            </w:r>
          </w:p>
        </w:tc>
        <w:tc>
          <w:tcPr>
            <w:tcW w:w="8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the Committee, and the Committee annually assesses the independence of the</w:t>
            </w:r>
          </w:p>
        </w:tc>
        <w:tc>
          <w:tcPr>
            <w:tcW w:w="80" w:type="dxa"/>
            <w:vAlign w:val="bottom"/>
          </w:tcPr>
          <w:p>
            <w:pPr>
              <w:spacing w:after="0"/>
              <w:rPr>
                <w:sz w:val="18"/>
                <w:szCs w:val="18"/>
                <w:color w:val="auto"/>
              </w:rPr>
            </w:pPr>
          </w:p>
        </w:tc>
      </w:tr>
      <w:tr>
        <w:trPr>
          <w:trHeight w:val="239"/>
        </w:trPr>
        <w:tc>
          <w:tcPr>
            <w:tcW w:w="6500" w:type="dxa"/>
            <w:vAlign w:val="bottom"/>
          </w:tcPr>
          <w:p>
            <w:pPr>
              <w:spacing w:after="0"/>
              <w:rPr>
                <w:sz w:val="20"/>
                <w:szCs w:val="20"/>
                <w:color w:val="auto"/>
              </w:rPr>
            </w:pPr>
            <w:r>
              <w:rPr>
                <w:rFonts w:ascii="Arial" w:cs="Arial" w:eastAsia="Arial" w:hAnsi="Arial"/>
                <w:sz w:val="18"/>
                <w:szCs w:val="18"/>
                <w:color w:val="auto"/>
              </w:rPr>
              <w:t>Compensation Consultant.</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280" w:space="60"/>
            <w:col w:w="75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46     </w:t>
      </w:r>
      <w:r>
        <w:rPr>
          <w:sz w:val="1"/>
          <w:szCs w:val="1"/>
          <w:color w:val="auto"/>
        </w:rPr>
        <w:drawing>
          <wp:inline distT="0" distB="0" distL="0" distR="0">
            <wp:extent cx="1242695" cy="24003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81" w:lineRule="exact"/>
        <w:rPr>
          <w:sz w:val="20"/>
          <w:szCs w:val="20"/>
          <w:color w:val="auto"/>
        </w:rPr>
      </w:pPr>
    </w:p>
    <w:tbl>
      <w:tblPr>
        <w:tblLayout w:type="fixed"/>
        <w:tblInd w:w="1000" w:type="dxa"/>
        <w:tblCellMar>
          <w:top w:w="0" w:type="dxa"/>
          <w:left w:w="0" w:type="dxa"/>
          <w:bottom w:w="0" w:type="dxa"/>
          <w:right w:w="0" w:type="dxa"/>
        </w:tblCellMar>
      </w:tblPr>
      <w:tr>
        <w:trPr>
          <w:trHeight w:val="196"/>
        </w:trPr>
        <w:tc>
          <w:tcPr>
            <w:tcW w:w="3820" w:type="dxa"/>
            <w:vAlign w:val="bottom"/>
          </w:tcPr>
          <w:p>
            <w:pPr>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309880</wp:posOffset>
            </wp:positionV>
            <wp:extent cx="4637405" cy="36258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637405" cy="36258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257"/>
        </w:trPr>
        <w:tc>
          <w:tcPr>
            <w:tcW w:w="7140" w:type="dxa"/>
            <w:vAlign w:val="bottom"/>
            <w:gridSpan w:val="2"/>
            <w:shd w:val="clear" w:color="auto" w:fill="EB0028"/>
          </w:tcPr>
          <w:p>
            <w:pPr>
              <w:spacing w:after="0"/>
              <w:rPr>
                <w:sz w:val="20"/>
                <w:szCs w:val="20"/>
                <w:color w:val="auto"/>
              </w:rPr>
            </w:pPr>
            <w:r>
              <w:rPr>
                <w:rFonts w:ascii="Arial" w:cs="Arial" w:eastAsia="Arial" w:hAnsi="Arial"/>
                <w:sz w:val="18"/>
                <w:szCs w:val="18"/>
                <w:b w:val="1"/>
                <w:bCs w:val="1"/>
                <w:color w:val="FEFEFE"/>
              </w:rPr>
              <w:t>​ What the Company Doesn’t Do:</w:t>
            </w:r>
          </w:p>
        </w:tc>
        <w:tc>
          <w:tcPr>
            <w:tcW w:w="140" w:type="dxa"/>
            <w:vAlign w:val="bottom"/>
            <w:shd w:val="clear" w:color="auto" w:fill="EB0028"/>
          </w:tcPr>
          <w:p>
            <w:pPr>
              <w:spacing w:after="0"/>
              <w:rPr>
                <w:sz w:val="20"/>
                <w:szCs w:val="20"/>
                <w:color w:val="auto"/>
              </w:rPr>
            </w:pPr>
            <w:r>
              <w:rPr>
                <w:rFonts w:ascii="Arial" w:cs="Arial" w:eastAsia="Arial" w:hAnsi="Arial"/>
                <w:sz w:val="18"/>
                <w:szCs w:val="18"/>
                <w:b w:val="1"/>
                <w:bCs w:val="1"/>
                <w:color w:val="FEFEFE"/>
              </w:rPr>
              <w:t>​</w:t>
            </w:r>
          </w:p>
        </w:tc>
      </w:tr>
      <w:tr>
        <w:trPr>
          <w:trHeight w:val="23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920" w:type="dxa"/>
            <w:vAlign w:val="bottom"/>
          </w:tcPr>
          <w:p>
            <w:pPr>
              <w:ind w:left="180"/>
              <w:spacing w:after="0" w:line="237"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5"/>
                <w:szCs w:val="15"/>
                <w:b w:val="1"/>
                <w:bCs w:val="1"/>
                <w:color w:val="auto"/>
              </w:rPr>
              <w:t xml:space="preserve"> Doesn’t Provide for Excise Tax Gross-Ups. </w:t>
            </w:r>
            <w:r>
              <w:rPr>
                <w:rFonts w:ascii="Arial" w:cs="Arial" w:eastAsia="Arial" w:hAnsi="Arial"/>
                <w:sz w:val="15"/>
                <w:szCs w:val="15"/>
                <w:color w:val="auto"/>
              </w:rPr>
              <w:t>The Company’s change of control</w:t>
            </w:r>
          </w:p>
        </w:tc>
        <w:tc>
          <w:tcPr>
            <w:tcW w:w="1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w w:val="98"/>
              </w:rPr>
              <w:t>agreements do not provide for excise tax reimbursements to any of the Company’s</w:t>
            </w:r>
          </w:p>
        </w:tc>
        <w:tc>
          <w:tcPr>
            <w:tcW w:w="14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executive officers.</w:t>
            </w:r>
          </w:p>
        </w:tc>
        <w:tc>
          <w:tcPr>
            <w:tcW w:w="140" w:type="dxa"/>
            <w:vAlign w:val="bottom"/>
          </w:tcPr>
          <w:p>
            <w:pPr>
              <w:spacing w:after="0"/>
              <w:rPr>
                <w:sz w:val="19"/>
                <w:szCs w:val="19"/>
                <w:color w:val="auto"/>
              </w:rPr>
            </w:pP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920" w:type="dxa"/>
            <w:vAlign w:val="bottom"/>
          </w:tcPr>
          <w:p>
            <w:pPr>
              <w:ind w:left="18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Doesn’t Pay Dividends or Dividend Equivalents on Equity Awards. </w:t>
            </w:r>
            <w:r>
              <w:rPr>
                <w:rFonts w:ascii="Arial" w:cs="Arial" w:eastAsia="Arial" w:hAnsi="Arial"/>
                <w:sz w:val="16"/>
                <w:szCs w:val="16"/>
                <w:color w:val="auto"/>
              </w:rPr>
              <w:t>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w w:val="97"/>
              </w:rPr>
              <w:t>awards may provide for the accrual of dividends or dividends equivalents during the</w:t>
            </w:r>
          </w:p>
        </w:tc>
        <w:tc>
          <w:tcPr>
            <w:tcW w:w="1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vesting period, which are paid solely to the extent the underlying equity awards</w:t>
            </w:r>
          </w:p>
        </w:tc>
        <w:tc>
          <w:tcPr>
            <w:tcW w:w="14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vest. Dividends or dividend equivalents are not paid on unearned PSUs.</w:t>
            </w:r>
          </w:p>
        </w:tc>
        <w:tc>
          <w:tcPr>
            <w:tcW w:w="140" w:type="dxa"/>
            <w:vAlign w:val="bottom"/>
          </w:tcPr>
          <w:p>
            <w:pPr>
              <w:spacing w:after="0"/>
              <w:rPr>
                <w:sz w:val="19"/>
                <w:szCs w:val="19"/>
                <w:color w:val="auto"/>
              </w:rPr>
            </w:pP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920" w:type="dxa"/>
            <w:vAlign w:val="bottom"/>
          </w:tcPr>
          <w:p>
            <w:pPr>
              <w:ind w:left="18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Doesn’t Permit Hedging or Pledging of Company Shares. </w:t>
            </w:r>
            <w:r>
              <w:rPr>
                <w:rFonts w:ascii="Arial" w:cs="Arial" w:eastAsia="Arial" w:hAnsi="Arial"/>
                <w:sz w:val="16"/>
                <w:szCs w:val="16"/>
                <w:color w:val="auto"/>
              </w:rPr>
              <w:t>The Company’s</w:t>
            </w:r>
          </w:p>
        </w:tc>
        <w:tc>
          <w:tcPr>
            <w:tcW w:w="1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Insider Trading Policy prohibits Directors and executive officers from hedging the</w:t>
            </w:r>
          </w:p>
        </w:tc>
        <w:tc>
          <w:tcPr>
            <w:tcW w:w="1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Company’s securities and prohibits them from pledging the Company’s securities</w:t>
            </w:r>
          </w:p>
        </w:tc>
        <w:tc>
          <w:tcPr>
            <w:tcW w:w="14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without advance approval.</w:t>
            </w:r>
          </w:p>
        </w:tc>
        <w:tc>
          <w:tcPr>
            <w:tcW w:w="140" w:type="dxa"/>
            <w:vAlign w:val="bottom"/>
          </w:tcPr>
          <w:p>
            <w:pPr>
              <w:spacing w:after="0"/>
              <w:rPr>
                <w:sz w:val="19"/>
                <w:szCs w:val="19"/>
                <w:color w:val="auto"/>
              </w:rPr>
            </w:pP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920" w:type="dxa"/>
            <w:vAlign w:val="bottom"/>
          </w:tcPr>
          <w:p>
            <w:pPr>
              <w:ind w:left="18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Doesn’t Provide Above-Market Returns. </w:t>
            </w:r>
            <w:r>
              <w:rPr>
                <w:rFonts w:ascii="Arial" w:cs="Arial" w:eastAsia="Arial" w:hAnsi="Arial"/>
                <w:sz w:val="16"/>
                <w:szCs w:val="16"/>
                <w:color w:val="auto"/>
              </w:rPr>
              <w:t>The Company does not offer</w:t>
            </w:r>
          </w:p>
        </w:tc>
        <w:tc>
          <w:tcPr>
            <w:tcW w:w="140" w:type="dxa"/>
            <w:vAlign w:val="bottom"/>
          </w:tcPr>
          <w:p>
            <w:pPr>
              <w:spacing w:after="0"/>
              <w:rPr>
                <w:sz w:val="20"/>
                <w:szCs w:val="20"/>
                <w:color w:val="auto"/>
              </w:rPr>
            </w:pPr>
            <w:r>
              <w:rPr>
                <w:rFonts w:ascii="Arial" w:cs="Arial" w:eastAsia="Arial" w:hAnsi="Arial"/>
                <w:sz w:val="18"/>
                <w:szCs w:val="18"/>
                <w:color w:val="auto"/>
              </w:rPr>
              <w:t>​</w:t>
            </w:r>
          </w:p>
        </w:tc>
      </w:tr>
      <w:tr>
        <w:trPr>
          <w:trHeight w:val="239"/>
        </w:trPr>
        <w:tc>
          <w:tcPr>
            <w:tcW w:w="220" w:type="dxa"/>
            <w:vAlign w:val="bottom"/>
          </w:tcPr>
          <w:p>
            <w:pPr>
              <w:spacing w:after="0"/>
              <w:rPr>
                <w:sz w:val="20"/>
                <w:szCs w:val="20"/>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preferential or above-market returns on deferred compensation.</w:t>
            </w:r>
          </w:p>
        </w:tc>
        <w:tc>
          <w:tcPr>
            <w:tcW w:w="14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0720"/>
          </w:cols>
          <w:pgMar w:left="580" w:top="97" w:right="599" w:bottom="1440" w:gutter="0" w:footer="0" w:header="0"/>
        </w:sect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1450" cy="1714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38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1450" cy="1714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17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1450" cy="1714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ind w:right="1800"/>
        <w:spacing w:after="0" w:line="206" w:lineRule="auto"/>
        <w:rPr>
          <w:sz w:val="20"/>
          <w:szCs w:val="20"/>
          <w:color w:val="auto"/>
        </w:rPr>
      </w:pPr>
      <w:r>
        <w:rPr>
          <w:rFonts w:ascii="Arial" w:cs="Arial" w:eastAsia="Arial" w:hAnsi="Arial"/>
          <w:sz w:val="18"/>
          <w:szCs w:val="18"/>
          <w:b w:val="1"/>
          <w:bCs w:val="1"/>
          <w:color w:val="auto"/>
        </w:rPr>
        <w:t xml:space="preserve">Doesn’t Reprice Awards. </w:t>
      </w:r>
      <w:r>
        <w:rPr>
          <w:rFonts w:ascii="Arial" w:cs="Arial" w:eastAsia="Arial" w:hAnsi="Arial"/>
          <w:sz w:val="18"/>
          <w:szCs w:val="18"/>
          <w:color w:val="auto"/>
        </w:rPr>
        <w:t>Repricing of stock options and stock appreciation rights</w:t>
      </w:r>
      <w:r>
        <w:rPr>
          <w:rFonts w:ascii="Arial" w:cs="Arial" w:eastAsia="Arial" w:hAnsi="Arial"/>
          <w:sz w:val="18"/>
          <w:szCs w:val="18"/>
          <w:b w:val="1"/>
          <w:bCs w:val="1"/>
          <w:color w:val="auto"/>
        </w:rPr>
        <w:t xml:space="preserve"> </w:t>
      </w:r>
      <w:r>
        <w:rPr>
          <w:rFonts w:ascii="Arial" w:cs="Arial" w:eastAsia="Arial" w:hAnsi="Arial"/>
          <w:sz w:val="35"/>
          <w:szCs w:val="3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 prohibited without shareholder approval. The Company does not have a history of repricing equity awards.</w:t>
      </w:r>
    </w:p>
    <w:p>
      <w:pPr>
        <w:spacing w:after="0" w:line="1" w:lineRule="exact"/>
        <w:rPr>
          <w:sz w:val="20"/>
          <w:szCs w:val="20"/>
          <w:color w:val="auto"/>
        </w:rPr>
      </w:pPr>
    </w:p>
    <w:p>
      <w:pPr>
        <w:ind w:right="1800"/>
        <w:spacing w:after="0" w:line="191" w:lineRule="auto"/>
        <w:rPr>
          <w:sz w:val="20"/>
          <w:szCs w:val="20"/>
          <w:color w:val="auto"/>
        </w:rPr>
      </w:pPr>
      <w:r>
        <w:rPr>
          <w:rFonts w:ascii="Arial" w:cs="Arial" w:eastAsia="Arial" w:hAnsi="Arial"/>
          <w:sz w:val="18"/>
          <w:szCs w:val="18"/>
          <w:b w:val="1"/>
          <w:bCs w:val="1"/>
          <w:color w:val="auto"/>
        </w:rPr>
        <w:t xml:space="preserve">Doesn’t Provide Excessive Severance Benefits or Perquisites. </w:t>
      </w:r>
      <w:r>
        <w:rPr>
          <w:rFonts w:ascii="Arial" w:cs="Arial" w:eastAsia="Arial" w:hAnsi="Arial"/>
          <w:sz w:val="18"/>
          <w:szCs w:val="18"/>
          <w:color w:val="auto"/>
        </w:rPr>
        <w:t>The Company</w:t>
      </w:r>
      <w:r>
        <w:rPr>
          <w:rFonts w:ascii="Arial" w:cs="Arial" w:eastAsia="Arial" w:hAnsi="Arial"/>
          <w:sz w:val="18"/>
          <w:szCs w:val="18"/>
          <w:b w:val="1"/>
          <w:bCs w:val="1"/>
          <w:color w:val="auto"/>
        </w:rPr>
        <w:t xml:space="preserve"> </w:t>
      </w:r>
      <w:r>
        <w:rPr>
          <w:rFonts w:ascii="Arial" w:cs="Arial" w:eastAsia="Arial" w:hAnsi="Arial"/>
          <w:sz w:val="35"/>
          <w:szCs w:val="3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only limited severance benefits and perquisites to executives.</w:t>
      </w:r>
    </w:p>
    <w:p>
      <w:pPr>
        <w:spacing w:after="0" w:line="185" w:lineRule="auto"/>
        <w:tabs>
          <w:tab w:leader="none" w:pos="6500" w:val="left"/>
        </w:tabs>
        <w:rPr>
          <w:sz w:val="20"/>
          <w:szCs w:val="20"/>
          <w:color w:val="auto"/>
        </w:rPr>
      </w:pPr>
      <w:r>
        <w:rPr>
          <w:rFonts w:ascii="Arial" w:cs="Arial" w:eastAsia="Arial" w:hAnsi="Arial"/>
          <w:sz w:val="18"/>
          <w:szCs w:val="18"/>
          <w:b w:val="1"/>
          <w:bCs w:val="1"/>
          <w:color w:val="auto"/>
        </w:rPr>
        <w:t>Doesn’t Reimburse or Indemnify Against Recouped Incentive-Based</w:t>
      </w:r>
      <w:r>
        <w:rPr>
          <w:sz w:val="20"/>
          <w:szCs w:val="20"/>
          <w:color w:val="auto"/>
        </w:rPr>
        <w:tab/>
      </w:r>
      <w:r>
        <w:rPr>
          <w:rFonts w:ascii="Arial" w:cs="Arial" w:eastAsia="Arial" w:hAnsi="Arial"/>
          <w:sz w:val="30"/>
          <w:szCs w:val="30"/>
          <w:color w:val="auto"/>
          <w:vertAlign w:val="superscript"/>
        </w:rPr>
        <w:t>​</w:t>
      </w:r>
    </w:p>
    <w:p>
      <w:pPr>
        <w:ind w:right="1920"/>
        <w:spacing w:after="0" w:line="255" w:lineRule="auto"/>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The Company does not reimburse executive officers for recouped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incentive-based compensation or indemnify or insure executive officers in connection with recoupment of incentive-based compensation under its clawback policy.</w:t>
      </w:r>
    </w:p>
    <w:p>
      <w:pPr>
        <w:spacing w:after="0" w:line="200" w:lineRule="exact"/>
        <w:rPr>
          <w:sz w:val="20"/>
          <w:szCs w:val="20"/>
          <w:color w:val="auto"/>
        </w:rPr>
      </w:pPr>
    </w:p>
    <w:p>
      <w:pPr>
        <w:sectPr>
          <w:pgSz w:w="11900" w:h="16838" w:orient="portrait"/>
          <w:cols w:equalWidth="0" w:num="2">
            <w:col w:w="2280" w:space="60"/>
            <w:col w:w="8380"/>
          </w:cols>
          <w:pgMar w:left="580" w:top="97" w:right="599" w:bottom="1440" w:gutter="0" w:footer="0" w:header="0"/>
          <w:type w:val="continuous"/>
        </w:sectPr>
      </w:pPr>
    </w:p>
    <w:p>
      <w:pPr>
        <w:spacing w:after="0" w:line="45"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Compensation Risk Management</w:t>
      </w:r>
    </w:p>
    <w:p>
      <w:pPr>
        <w:spacing w:after="0" w:line="153" w:lineRule="exact"/>
        <w:rPr>
          <w:sz w:val="20"/>
          <w:szCs w:val="20"/>
          <w:color w:val="auto"/>
        </w:rPr>
      </w:pPr>
    </w:p>
    <w:p>
      <w:pPr>
        <w:ind w:left="1000" w:right="1180"/>
        <w:spacing w:after="0" w:line="255" w:lineRule="auto"/>
        <w:rPr>
          <w:sz w:val="20"/>
          <w:szCs w:val="20"/>
          <w:color w:val="auto"/>
        </w:rPr>
      </w:pPr>
      <w:r>
        <w:rPr>
          <w:rFonts w:ascii="Arial" w:cs="Arial" w:eastAsia="Arial" w:hAnsi="Arial"/>
          <w:sz w:val="18"/>
          <w:szCs w:val="18"/>
          <w:color w:val="auto"/>
        </w:rPr>
        <w:t>The Compensation Committee reviewed the annual assessment of the Company’s executive compensation programs prepared by its independent compensation consultant. It concluded that the Company’s compensation policies and practices for fiscal 2024 did not create risks that are reasonably likely to have a material adverse effect on the Company or create inappropriate or unintended significant risk to the Company as a whole. It further concluded that the incentive compensation programs provide incentives that do not encourage excessive risk-taking that is beyond the Company’s ability to effectively identify and manage. The Committee and management believe that the incentive compensation programs are compatible with effective internal controls and the Company’s risk management practices and are supported by the Committee’s oversight and administration.</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ELEMENTS OF EXECUTIVE COMPENSATION</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Base Salary</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annual base salaries as of fiscal year ends 2023 and 2024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3280" w:type="dxa"/>
            <w:vAlign w:val="bottom"/>
            <w:shd w:val="clear" w:color="auto" w:fill="53C072"/>
          </w:tcPr>
          <w:p>
            <w:pPr>
              <w:spacing w:after="0"/>
              <w:rPr>
                <w:sz w:val="16"/>
                <w:szCs w:val="16"/>
                <w:color w:val="auto"/>
              </w:rPr>
            </w:pPr>
          </w:p>
        </w:tc>
        <w:tc>
          <w:tcPr>
            <w:tcW w:w="3300" w:type="dxa"/>
            <w:vAlign w:val="bottom"/>
            <w:gridSpan w:val="2"/>
            <w:shd w:val="clear" w:color="auto" w:fill="53C072"/>
          </w:tcPr>
          <w:p>
            <w:pPr>
              <w:ind w:left="2280"/>
              <w:spacing w:after="0"/>
              <w:rPr>
                <w:sz w:val="20"/>
                <w:szCs w:val="20"/>
                <w:color w:val="auto"/>
              </w:rPr>
            </w:pPr>
            <w:r>
              <w:rPr>
                <w:rFonts w:ascii="Arial" w:cs="Arial" w:eastAsia="Arial" w:hAnsi="Arial"/>
                <w:sz w:val="14"/>
                <w:szCs w:val="14"/>
                <w:b w:val="1"/>
                <w:bCs w:val="1"/>
                <w:color w:val="FEFEFE"/>
              </w:rPr>
              <w:t>2023 FY End</w:t>
            </w:r>
          </w:p>
        </w:tc>
        <w:tc>
          <w:tcPr>
            <w:tcW w:w="1140" w:type="dxa"/>
            <w:vAlign w:val="bottom"/>
            <w:gridSpan w:val="2"/>
            <w:shd w:val="clear" w:color="auto" w:fill="53C072"/>
          </w:tcPr>
          <w:p>
            <w:pPr>
              <w:ind w:left="140"/>
              <w:spacing w:after="0"/>
              <w:rPr>
                <w:sz w:val="20"/>
                <w:szCs w:val="20"/>
                <w:color w:val="auto"/>
              </w:rPr>
            </w:pPr>
            <w:r>
              <w:rPr>
                <w:rFonts w:ascii="Arial" w:cs="Arial" w:eastAsia="Arial" w:hAnsi="Arial"/>
                <w:sz w:val="14"/>
                <w:szCs w:val="14"/>
                <w:b w:val="1"/>
                <w:bCs w:val="1"/>
                <w:color w:val="FEFEFE"/>
              </w:rPr>
              <w:t>2024 FY End</w:t>
            </w:r>
          </w:p>
        </w:tc>
        <w:tc>
          <w:tcPr>
            <w:tcW w:w="1040" w:type="dxa"/>
            <w:vAlign w:val="bottom"/>
            <w:shd w:val="clear" w:color="auto" w:fill="53C072"/>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980" w:type="dxa"/>
            <w:vAlign w:val="bottom"/>
          </w:tcPr>
          <w:p>
            <w:pPr>
              <w:spacing w:after="0"/>
              <w:rPr>
                <w:sz w:val="14"/>
                <w:szCs w:val="14"/>
                <w:color w:val="auto"/>
              </w:rPr>
            </w:pPr>
          </w:p>
        </w:tc>
        <w:tc>
          <w:tcPr>
            <w:tcW w:w="3280" w:type="dxa"/>
            <w:vAlign w:val="bottom"/>
            <w:shd w:val="clear" w:color="auto" w:fill="53C072"/>
          </w:tcPr>
          <w:p>
            <w:pPr>
              <w:spacing w:after="0"/>
              <w:rPr>
                <w:sz w:val="14"/>
                <w:szCs w:val="14"/>
                <w:color w:val="auto"/>
              </w:rPr>
            </w:pPr>
          </w:p>
        </w:tc>
        <w:tc>
          <w:tcPr>
            <w:tcW w:w="246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74"/>
              <w:spacing w:after="0"/>
              <w:rPr>
                <w:sz w:val="20"/>
                <w:szCs w:val="20"/>
                <w:color w:val="auto"/>
              </w:rPr>
            </w:pPr>
            <w:r>
              <w:rPr>
                <w:rFonts w:ascii="Arial" w:cs="Arial" w:eastAsia="Arial" w:hAnsi="Arial"/>
                <w:sz w:val="14"/>
                <w:szCs w:val="14"/>
                <w:b w:val="1"/>
                <w:bCs w:val="1"/>
                <w:color w:val="FEFEFE"/>
              </w:rPr>
              <w:t>Annual</w:t>
            </w:r>
          </w:p>
        </w:tc>
        <w:tc>
          <w:tcPr>
            <w:tcW w:w="300" w:type="dxa"/>
            <w:vAlign w:val="bottom"/>
            <w:shd w:val="clear" w:color="auto" w:fill="53C072"/>
          </w:tcPr>
          <w:p>
            <w:pPr>
              <w:spacing w:after="0"/>
              <w:rPr>
                <w:sz w:val="14"/>
                <w:szCs w:val="14"/>
                <w:color w:val="auto"/>
              </w:rPr>
            </w:pPr>
          </w:p>
        </w:tc>
        <w:tc>
          <w:tcPr>
            <w:tcW w:w="840" w:type="dxa"/>
            <w:vAlign w:val="bottom"/>
            <w:shd w:val="clear" w:color="auto" w:fill="53C072"/>
          </w:tcPr>
          <w:p>
            <w:pPr>
              <w:jc w:val="right"/>
              <w:ind w:right="74"/>
              <w:spacing w:after="0"/>
              <w:rPr>
                <w:sz w:val="20"/>
                <w:szCs w:val="20"/>
                <w:color w:val="auto"/>
              </w:rPr>
            </w:pPr>
            <w:r>
              <w:rPr>
                <w:rFonts w:ascii="Arial" w:cs="Arial" w:eastAsia="Arial" w:hAnsi="Arial"/>
                <w:sz w:val="14"/>
                <w:szCs w:val="14"/>
                <w:b w:val="1"/>
                <w:bCs w:val="1"/>
                <w:color w:val="FEFEFE"/>
              </w:rPr>
              <w:t>Annual</w:t>
            </w:r>
          </w:p>
        </w:tc>
        <w:tc>
          <w:tcPr>
            <w:tcW w:w="1040" w:type="dxa"/>
            <w:vAlign w:val="bottom"/>
            <w:shd w:val="clear" w:color="auto" w:fill="53C072"/>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980" w:type="dxa"/>
            <w:vAlign w:val="bottom"/>
          </w:tcPr>
          <w:p>
            <w:pPr>
              <w:spacing w:after="0"/>
              <w:rPr>
                <w:sz w:val="14"/>
                <w:szCs w:val="14"/>
                <w:color w:val="auto"/>
              </w:rPr>
            </w:pPr>
          </w:p>
        </w:tc>
        <w:tc>
          <w:tcPr>
            <w:tcW w:w="328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NEO</w:t>
            </w:r>
          </w:p>
        </w:tc>
        <w:tc>
          <w:tcPr>
            <w:tcW w:w="3300" w:type="dxa"/>
            <w:vAlign w:val="bottom"/>
            <w:gridSpan w:val="2"/>
            <w:shd w:val="clear" w:color="auto" w:fill="53C072"/>
          </w:tcPr>
          <w:p>
            <w:pPr>
              <w:jc w:val="right"/>
              <w:ind w:right="34"/>
              <w:spacing w:after="0"/>
              <w:rPr>
                <w:sz w:val="20"/>
                <w:szCs w:val="20"/>
                <w:color w:val="auto"/>
              </w:rPr>
            </w:pPr>
            <w:r>
              <w:rPr>
                <w:rFonts w:ascii="Arial" w:cs="Arial" w:eastAsia="Arial" w:hAnsi="Arial"/>
                <w:sz w:val="14"/>
                <w:szCs w:val="14"/>
                <w:b w:val="1"/>
                <w:bCs w:val="1"/>
                <w:color w:val="FEFEFE"/>
              </w:rPr>
              <w:t>Base Salary</w:t>
            </w:r>
          </w:p>
        </w:tc>
        <w:tc>
          <w:tcPr>
            <w:tcW w:w="1140" w:type="dxa"/>
            <w:vAlign w:val="bottom"/>
            <w:gridSpan w:val="2"/>
            <w:shd w:val="clear" w:color="auto" w:fill="53C072"/>
          </w:tcPr>
          <w:p>
            <w:pPr>
              <w:jc w:val="right"/>
              <w:ind w:right="34"/>
              <w:spacing w:after="0"/>
              <w:rPr>
                <w:sz w:val="20"/>
                <w:szCs w:val="20"/>
                <w:color w:val="auto"/>
              </w:rPr>
            </w:pPr>
            <w:r>
              <w:rPr>
                <w:rFonts w:ascii="Arial" w:cs="Arial" w:eastAsia="Arial" w:hAnsi="Arial"/>
                <w:sz w:val="14"/>
                <w:szCs w:val="14"/>
                <w:b w:val="1"/>
                <w:bCs w:val="1"/>
                <w:color w:val="FEFEFE"/>
              </w:rPr>
              <w:t>Base Salary</w:t>
            </w:r>
          </w:p>
        </w:tc>
        <w:tc>
          <w:tcPr>
            <w:tcW w:w="1040" w:type="dxa"/>
            <w:vAlign w:val="bottom"/>
            <w:shd w:val="clear" w:color="auto" w:fill="53C072"/>
          </w:tcPr>
          <w:p>
            <w:pPr>
              <w:jc w:val="right"/>
              <w:ind w:right="33"/>
              <w:spacing w:after="0" w:line="172" w:lineRule="exact"/>
              <w:rPr>
                <w:sz w:val="20"/>
                <w:szCs w:val="20"/>
                <w:color w:val="auto"/>
              </w:rPr>
            </w:pPr>
            <w:r>
              <w:rPr>
                <w:rFonts w:ascii="Arial" w:cs="Arial" w:eastAsia="Arial" w:hAnsi="Arial"/>
                <w:sz w:val="14"/>
                <w:szCs w:val="14"/>
                <w:b w:val="1"/>
                <w:bCs w:val="1"/>
                <w:color w:val="FEFEFE"/>
              </w:rPr>
              <w:t>% Change</w:t>
            </w:r>
            <w:r>
              <w:rPr>
                <w:rFonts w:ascii="Arial" w:cs="Arial" w:eastAsia="Arial" w:hAnsi="Arial"/>
                <w:sz w:val="17"/>
                <w:szCs w:val="17"/>
                <w:b w:val="1"/>
                <w:bCs w:val="1"/>
                <w:color w:val="FEFEFE"/>
                <w:vertAlign w:val="superscript"/>
              </w:rPr>
              <w:t>(1)</w:t>
            </w:r>
          </w:p>
        </w:tc>
        <w:tc>
          <w:tcPr>
            <w:tcW w:w="980" w:type="dxa"/>
            <w:vAlign w:val="bottom"/>
          </w:tcPr>
          <w:p>
            <w:pPr>
              <w:spacing w:after="0"/>
              <w:rPr>
                <w:sz w:val="14"/>
                <w:szCs w:val="14"/>
                <w:color w:val="auto"/>
              </w:rPr>
            </w:pPr>
          </w:p>
        </w:tc>
      </w:tr>
      <w:tr>
        <w:trPr>
          <w:trHeight w:val="229"/>
        </w:trPr>
        <w:tc>
          <w:tcPr>
            <w:tcW w:w="980" w:type="dxa"/>
            <w:vAlign w:val="bottom"/>
          </w:tcPr>
          <w:p>
            <w:pPr>
              <w:spacing w:after="0"/>
              <w:rPr>
                <w:sz w:val="19"/>
                <w:szCs w:val="19"/>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​Gallagher</w:t>
            </w:r>
          </w:p>
        </w:tc>
        <w:tc>
          <w:tcPr>
            <w:tcW w:w="3300" w:type="dxa"/>
            <w:vAlign w:val="bottom"/>
            <w:gridSpan w:val="2"/>
          </w:tcPr>
          <w:p>
            <w:pPr>
              <w:jc w:val="right"/>
              <w:ind w:right="34"/>
              <w:spacing w:after="0"/>
              <w:rPr>
                <w:sz w:val="20"/>
                <w:szCs w:val="20"/>
                <w:color w:val="auto"/>
              </w:rPr>
            </w:pPr>
            <w:r>
              <w:rPr>
                <w:rFonts w:ascii="Arial" w:cs="Arial" w:eastAsia="Arial" w:hAnsi="Arial"/>
                <w:sz w:val="18"/>
                <w:szCs w:val="18"/>
                <w:color w:val="auto"/>
              </w:rPr>
              <w:t>​$1,150,000</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​$1,200,000</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19"/>
                <w:szCs w:val="19"/>
                <w:color w:val="auto"/>
              </w:rPr>
            </w:pPr>
          </w:p>
        </w:tc>
      </w:tr>
      <w:tr>
        <w:trPr>
          <w:trHeight w:val="256"/>
        </w:trPr>
        <w:tc>
          <w:tcPr>
            <w:tcW w:w="980" w:type="dxa"/>
            <w:vAlign w:val="bottom"/>
          </w:tcPr>
          <w:p>
            <w:pPr>
              <w:spacing w:after="0"/>
              <w:rPr>
                <w:sz w:val="22"/>
                <w:szCs w:val="22"/>
                <w:color w:val="auto"/>
              </w:rPr>
            </w:pPr>
          </w:p>
        </w:tc>
        <w:tc>
          <w:tcPr>
            <w:tcW w:w="3280" w:type="dxa"/>
            <w:vAlign w:val="bottom"/>
            <w:shd w:val="clear" w:color="auto" w:fill="CBECD5"/>
          </w:tcPr>
          <w:p>
            <w:pPr>
              <w:ind w:left="60"/>
              <w:spacing w:after="0" w:line="256" w:lineRule="exact"/>
              <w:rPr>
                <w:sz w:val="20"/>
                <w:szCs w:val="20"/>
                <w:color w:val="auto"/>
              </w:rPr>
            </w:pPr>
            <w:r>
              <w:rPr>
                <w:rFonts w:ascii="Arial" w:cs="Arial" w:eastAsia="Arial" w:hAnsi="Arial"/>
                <w:sz w:val="18"/>
                <w:szCs w:val="18"/>
                <w:color w:val="auto"/>
              </w:rPr>
              <w:t>​Jacobson</w:t>
            </w:r>
            <w:r>
              <w:rPr>
                <w:rFonts w:ascii="Arial" w:cs="Arial" w:eastAsia="Arial" w:hAnsi="Arial"/>
                <w:sz w:val="23"/>
                <w:szCs w:val="23"/>
                <w:color w:val="auto"/>
                <w:vertAlign w:val="superscript"/>
              </w:rPr>
              <w:t>(2)</w:t>
            </w:r>
          </w:p>
        </w:tc>
        <w:tc>
          <w:tcPr>
            <w:tcW w:w="2460" w:type="dxa"/>
            <w:vAlign w:val="bottom"/>
            <w:shd w:val="clear" w:color="auto" w:fill="CBECD5"/>
          </w:tcPr>
          <w:p>
            <w:pPr>
              <w:ind w:left="2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BECD5"/>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14"/>
              <w:spacing w:after="0"/>
              <w:rPr>
                <w:sz w:val="20"/>
                <w:szCs w:val="20"/>
                <w:color w:val="auto"/>
              </w:rPr>
            </w:pPr>
            <w:r>
              <w:rPr>
                <w:rFonts w:ascii="Arial" w:cs="Arial" w:eastAsia="Arial" w:hAnsi="Arial"/>
                <w:sz w:val="18"/>
                <w:szCs w:val="18"/>
                <w:color w:val="auto"/>
              </w:rPr>
              <w:t>600,000</w:t>
            </w:r>
          </w:p>
        </w:tc>
        <w:tc>
          <w:tcPr>
            <w:tcW w:w="104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20.0%</w:t>
            </w:r>
          </w:p>
        </w:tc>
        <w:tc>
          <w:tcPr>
            <w:tcW w:w="980" w:type="dxa"/>
            <w:vAlign w:val="bottom"/>
          </w:tcPr>
          <w:p>
            <w:pPr>
              <w:spacing w:after="0"/>
              <w:rPr>
                <w:sz w:val="22"/>
                <w:szCs w:val="22"/>
                <w:color w:val="auto"/>
              </w:rPr>
            </w:pPr>
          </w:p>
        </w:tc>
      </w:tr>
      <w:tr>
        <w:trPr>
          <w:trHeight w:val="230"/>
        </w:trPr>
        <w:tc>
          <w:tcPr>
            <w:tcW w:w="980" w:type="dxa"/>
            <w:vAlign w:val="bottom"/>
          </w:tcPr>
          <w:p>
            <w:pPr>
              <w:spacing w:after="0"/>
              <w:rPr>
                <w:sz w:val="19"/>
                <w:szCs w:val="19"/>
                <w:color w:val="auto"/>
              </w:rPr>
            </w:pPr>
          </w:p>
        </w:tc>
        <w:tc>
          <w:tcPr>
            <w:tcW w:w="3280" w:type="dxa"/>
            <w:vAlign w:val="bottom"/>
          </w:tcPr>
          <w:p>
            <w:pPr>
              <w:ind w:left="60"/>
              <w:spacing w:after="0"/>
              <w:rPr>
                <w:sz w:val="20"/>
                <w:szCs w:val="20"/>
                <w:color w:val="auto"/>
              </w:rPr>
            </w:pPr>
            <w:r>
              <w:rPr>
                <w:rFonts w:ascii="Arial" w:cs="Arial" w:eastAsia="Arial" w:hAnsi="Arial"/>
                <w:sz w:val="18"/>
                <w:szCs w:val="18"/>
                <w:color w:val="auto"/>
              </w:rPr>
              <w:t>​Arnold</w:t>
            </w:r>
          </w:p>
        </w:tc>
        <w:tc>
          <w:tcPr>
            <w:tcW w:w="2460" w:type="dxa"/>
            <w:vAlign w:val="bottom"/>
          </w:tcPr>
          <w:p>
            <w:pPr>
              <w:ind w:left="22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525,000</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560,000</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980" w:type="dxa"/>
            <w:vAlign w:val="bottom"/>
          </w:tcPr>
          <w:p>
            <w:pPr>
              <w:spacing w:after="0"/>
              <w:rPr>
                <w:sz w:val="19"/>
                <w:szCs w:val="19"/>
                <w:color w:val="auto"/>
              </w:rPr>
            </w:pPr>
          </w:p>
        </w:tc>
      </w:tr>
      <w:tr>
        <w:trPr>
          <w:trHeight w:val="229"/>
        </w:trPr>
        <w:tc>
          <w:tcPr>
            <w:tcW w:w="980" w:type="dxa"/>
            <w:vAlign w:val="bottom"/>
          </w:tcPr>
          <w:p>
            <w:pPr>
              <w:spacing w:after="0"/>
              <w:rPr>
                <w:sz w:val="19"/>
                <w:szCs w:val="19"/>
                <w:color w:val="auto"/>
              </w:rPr>
            </w:pPr>
          </w:p>
        </w:tc>
        <w:tc>
          <w:tcPr>
            <w:tcW w:w="3280" w:type="dxa"/>
            <w:vAlign w:val="bottom"/>
            <w:shd w:val="clear" w:color="auto" w:fill="CBECD5"/>
          </w:tcPr>
          <w:p>
            <w:pPr>
              <w:ind w:left="60"/>
              <w:spacing w:after="0"/>
              <w:rPr>
                <w:sz w:val="20"/>
                <w:szCs w:val="20"/>
                <w:color w:val="auto"/>
              </w:rPr>
            </w:pPr>
            <w:r>
              <w:rPr>
                <w:rFonts w:ascii="Arial" w:cs="Arial" w:eastAsia="Arial" w:hAnsi="Arial"/>
                <w:sz w:val="18"/>
                <w:szCs w:val="18"/>
                <w:color w:val="auto"/>
              </w:rPr>
              <w:t>​Chan</w:t>
            </w:r>
          </w:p>
        </w:tc>
        <w:tc>
          <w:tcPr>
            <w:tcW w:w="2460" w:type="dxa"/>
            <w:vAlign w:val="bottom"/>
            <w:shd w:val="clear" w:color="auto" w:fill="CBECD5"/>
          </w:tcPr>
          <w:p>
            <w:pPr>
              <w:ind w:left="2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500,000</w:t>
            </w:r>
          </w:p>
        </w:tc>
        <w:tc>
          <w:tcPr>
            <w:tcW w:w="300" w:type="dxa"/>
            <w:vAlign w:val="bottom"/>
            <w:shd w:val="clear" w:color="auto" w:fill="CBECD5"/>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14"/>
              <w:spacing w:after="0"/>
              <w:rPr>
                <w:sz w:val="20"/>
                <w:szCs w:val="20"/>
                <w:color w:val="auto"/>
              </w:rPr>
            </w:pPr>
            <w:r>
              <w:rPr>
                <w:rFonts w:ascii="Arial" w:cs="Arial" w:eastAsia="Arial" w:hAnsi="Arial"/>
                <w:sz w:val="18"/>
                <w:szCs w:val="18"/>
                <w:color w:val="auto"/>
              </w:rPr>
              <w:t>550,000</w:t>
            </w:r>
          </w:p>
        </w:tc>
        <w:tc>
          <w:tcPr>
            <w:tcW w:w="104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10.0%</w:t>
            </w:r>
          </w:p>
        </w:tc>
        <w:tc>
          <w:tcPr>
            <w:tcW w:w="980" w:type="dxa"/>
            <w:vAlign w:val="bottom"/>
          </w:tcPr>
          <w:p>
            <w:pPr>
              <w:spacing w:after="0"/>
              <w:rPr>
                <w:sz w:val="19"/>
                <w:szCs w:val="19"/>
                <w:color w:val="auto"/>
              </w:rPr>
            </w:pPr>
          </w:p>
        </w:tc>
      </w:tr>
      <w:tr>
        <w:trPr>
          <w:trHeight w:val="291"/>
        </w:trPr>
        <w:tc>
          <w:tcPr>
            <w:tcW w:w="980" w:type="dxa"/>
            <w:vAlign w:val="bottom"/>
          </w:tcPr>
          <w:p>
            <w:pPr>
              <w:spacing w:after="0"/>
              <w:rPr>
                <w:sz w:val="24"/>
                <w:szCs w:val="24"/>
                <w:color w:val="auto"/>
              </w:rPr>
            </w:pPr>
          </w:p>
        </w:tc>
        <w:tc>
          <w:tcPr>
            <w:tcW w:w="3280" w:type="dxa"/>
            <w:vAlign w:val="bottom"/>
            <w:tcBorders>
              <w:bottom w:val="single" w:sz="8" w:color="53C072"/>
            </w:tcBorders>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McCoy</w:t>
            </w:r>
          </w:p>
        </w:tc>
        <w:tc>
          <w:tcPr>
            <w:tcW w:w="2460" w:type="dxa"/>
            <w:vAlign w:val="bottom"/>
            <w:tcBorders>
              <w:bottom w:val="single" w:sz="8" w:color="53C072"/>
            </w:tcBorders>
          </w:tcPr>
          <w:p>
            <w:pPr>
              <w:ind w:left="2260"/>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840" w:type="dxa"/>
            <w:vAlign w:val="bottom"/>
            <w:tcBorders>
              <w:bottom w:val="single" w:sz="8" w:color="53C072"/>
            </w:tcBorders>
          </w:tcPr>
          <w:p>
            <w:pPr>
              <w:jc w:val="right"/>
              <w:ind w:right="34"/>
              <w:spacing w:after="0"/>
              <w:rPr>
                <w:sz w:val="20"/>
                <w:szCs w:val="20"/>
                <w:color w:val="auto"/>
              </w:rPr>
            </w:pPr>
            <w:r>
              <w:rPr>
                <w:rFonts w:ascii="Arial" w:cs="Arial" w:eastAsia="Arial" w:hAnsi="Arial"/>
                <w:sz w:val="18"/>
                <w:szCs w:val="18"/>
                <w:color w:val="auto"/>
              </w:rPr>
              <w:t>550,000</w:t>
            </w:r>
          </w:p>
        </w:tc>
        <w:tc>
          <w:tcPr>
            <w:tcW w:w="300" w:type="dxa"/>
            <w:vAlign w:val="bottom"/>
            <w:tcBorders>
              <w:bottom w:val="single" w:sz="8" w:color="53C072"/>
            </w:tcBorders>
          </w:tcPr>
          <w:p>
            <w:pPr>
              <w:ind w:left="100"/>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840" w:type="dxa"/>
            <w:vAlign w:val="bottom"/>
            <w:tcBorders>
              <w:bottom w:val="single" w:sz="8" w:color="53C072"/>
            </w:tcBorders>
          </w:tcPr>
          <w:p>
            <w:pPr>
              <w:jc w:val="right"/>
              <w:ind w:right="14"/>
              <w:spacing w:after="0"/>
              <w:rPr>
                <w:sz w:val="20"/>
                <w:szCs w:val="20"/>
                <w:color w:val="auto"/>
              </w:rPr>
            </w:pPr>
            <w:r>
              <w:rPr>
                <w:rFonts w:ascii="Arial" w:cs="Arial" w:eastAsia="Arial" w:hAnsi="Arial"/>
                <w:sz w:val="18"/>
                <w:szCs w:val="18"/>
                <w:color w:val="auto"/>
              </w:rPr>
              <w:t>595,000</w:t>
            </w:r>
          </w:p>
        </w:tc>
        <w:tc>
          <w:tcPr>
            <w:tcW w:w="1040" w:type="dxa"/>
            <w:vAlign w:val="bottom"/>
            <w:tcBorders>
              <w:bottom w:val="single" w:sz="8" w:color="53C072"/>
            </w:tcBorders>
          </w:tcPr>
          <w:p>
            <w:pPr>
              <w:jc w:val="right"/>
              <w:ind w:right="33"/>
              <w:spacing w:after="0"/>
              <w:rPr>
                <w:sz w:val="20"/>
                <w:szCs w:val="20"/>
                <w:color w:val="auto"/>
              </w:rPr>
            </w:pPr>
            <w:r>
              <w:rPr>
                <w:rFonts w:ascii="Arial" w:cs="Arial" w:eastAsia="Arial" w:hAnsi="Arial"/>
                <w:sz w:val="18"/>
                <w:szCs w:val="18"/>
                <w:color w:val="auto"/>
              </w:rPr>
              <w:t>8.2%</w:t>
            </w:r>
          </w:p>
        </w:tc>
        <w:tc>
          <w:tcPr>
            <w:tcW w:w="980" w:type="dxa"/>
            <w:vAlign w:val="bottom"/>
          </w:tcPr>
          <w:p>
            <w:pPr>
              <w:spacing w:after="0"/>
              <w:rPr>
                <w:sz w:val="24"/>
                <w:szCs w:val="24"/>
                <w:color w:val="auto"/>
              </w:rPr>
            </w:pPr>
          </w:p>
        </w:tc>
      </w:tr>
      <w:tr>
        <w:trPr>
          <w:trHeight w:val="638"/>
        </w:trPr>
        <w:tc>
          <w:tcPr>
            <w:tcW w:w="9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980" w:type="dxa"/>
            <w:vAlign w:val="bottom"/>
          </w:tcPr>
          <w:p>
            <w:pPr>
              <w:spacing w:after="0"/>
              <w:rPr>
                <w:sz w:val="24"/>
                <w:szCs w:val="24"/>
                <w:color w:val="auto"/>
              </w:rPr>
            </w:pPr>
          </w:p>
        </w:tc>
      </w:tr>
      <w:tr>
        <w:trPr>
          <w:trHeight w:val="449"/>
        </w:trPr>
        <w:tc>
          <w:tcPr>
            <w:tcW w:w="9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-513715</wp:posOffset>
            </wp:positionV>
            <wp:extent cx="1243330" cy="2400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43330" cy="24003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720" w:right="159" w:hanging="730"/>
        <w:spacing w:after="0" w:line="259" w:lineRule="auto"/>
        <w:tabs>
          <w:tab w:leader="none" w:pos="1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generally implements base salary increases for executive officers on a fiscal year basis, although it may consider mid-year increases in the event of a promotion. In determining the increases to base salaries for fiscal 2024, the Committee considered the NEO’s experience in the position, the long-term performance of the individual NEO, and the benchmarking data, and aligned compensation for each NEO more closely to market.</w:t>
      </w:r>
    </w:p>
    <w:p>
      <w:pPr>
        <w:spacing w:after="0" w:line="98" w:lineRule="exact"/>
        <w:rPr>
          <w:rFonts w:ascii="Arial" w:cs="Arial" w:eastAsia="Arial" w:hAnsi="Arial"/>
          <w:sz w:val="18"/>
          <w:szCs w:val="18"/>
          <w:color w:val="auto"/>
        </w:rPr>
      </w:pPr>
    </w:p>
    <w:p>
      <w:pPr>
        <w:ind w:left="1720" w:hanging="730"/>
        <w:spacing w:after="0"/>
        <w:tabs>
          <w:tab w:leader="none" w:pos="1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increase to Mr. Jacobson’s salary was to align it closer to market peers.</w:t>
      </w:r>
    </w:p>
    <w:p>
      <w:pPr>
        <w:spacing w:after="0" w:line="15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Annual Cash Incentives</w:t>
      </w:r>
    </w:p>
    <w:p>
      <w:pPr>
        <w:spacing w:after="0" w:line="153" w:lineRule="exact"/>
        <w:rPr>
          <w:sz w:val="20"/>
          <w:szCs w:val="20"/>
          <w:color w:val="auto"/>
        </w:rPr>
      </w:pPr>
    </w:p>
    <w:p>
      <w:pPr>
        <w:ind w:left="1000" w:right="299"/>
        <w:spacing w:after="0" w:line="247" w:lineRule="auto"/>
        <w:rPr>
          <w:sz w:val="20"/>
          <w:szCs w:val="20"/>
          <w:color w:val="auto"/>
        </w:rPr>
      </w:pPr>
      <w:r>
        <w:rPr>
          <w:rFonts w:ascii="Arial" w:cs="Arial" w:eastAsia="Arial" w:hAnsi="Arial"/>
          <w:sz w:val="18"/>
          <w:szCs w:val="18"/>
          <w:color w:val="auto"/>
        </w:rPr>
        <w:t>For fiscal 2024, the Committee approved the NEOs’ participation in the Company’s short-term incentive plan, making them eligible to receive annual cash incentive compensation based on pre-established performance goals as set forth in the following table. The design included both financial and non-financial metrics. The Committee believes the design reflects the Company’s business strategy, and effectively drives behaviors and decisions consistent with the Company’s strategic objectives.</w:t>
      </w:r>
    </w:p>
    <w:p>
      <w:pPr>
        <w:spacing w:after="0" w:line="144" w:lineRule="exact"/>
        <w:rPr>
          <w:sz w:val="20"/>
          <w:szCs w:val="20"/>
          <w:color w:val="auto"/>
        </w:rPr>
      </w:pPr>
    </w:p>
    <w:tbl>
      <w:tblPr>
        <w:tblLayout w:type="fixed"/>
        <w:tblInd w:w="990" w:type="dxa"/>
        <w:tblCellMar>
          <w:top w:w="0" w:type="dxa"/>
          <w:left w:w="0" w:type="dxa"/>
          <w:bottom w:w="0" w:type="dxa"/>
          <w:right w:w="0" w:type="dxa"/>
        </w:tblCellMar>
      </w:tblPr>
      <w:tr>
        <w:trPr>
          <w:trHeight w:val="322"/>
        </w:trPr>
        <w:tc>
          <w:tcPr>
            <w:tcW w:w="1520" w:type="dxa"/>
            <w:vAlign w:val="bottom"/>
            <w:tcBorders>
              <w:left w:val="single" w:sz="8" w:color="53C072"/>
            </w:tcBorders>
            <w:gridSpan w:val="2"/>
            <w:shd w:val="clear" w:color="auto" w:fill="53C072"/>
          </w:tcPr>
          <w:p>
            <w:pPr>
              <w:ind w:left="120"/>
              <w:spacing w:after="0"/>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 xml:space="preserve"> Metrics</w:t>
            </w:r>
          </w:p>
        </w:tc>
        <w:tc>
          <w:tcPr>
            <w:tcW w:w="1360" w:type="dxa"/>
            <w:vAlign w:val="bottom"/>
            <w:gridSpan w:val="5"/>
            <w:shd w:val="clear" w:color="auto" w:fill="53C072"/>
          </w:tcPr>
          <w:p>
            <w:pPr>
              <w:ind w:left="220"/>
              <w:spacing w:after="0"/>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Weighting </w:t>
            </w:r>
            <w:r>
              <w:rPr>
                <w:rFonts w:ascii="Arial" w:cs="Arial" w:eastAsia="Arial" w:hAnsi="Arial"/>
                <w:sz w:val="28"/>
                <w:szCs w:val="28"/>
                <w:b w:val="1"/>
                <w:bCs w:val="1"/>
                <w:color w:val="FEFEFE"/>
                <w:vertAlign w:val="subscript"/>
              </w:rPr>
              <w:t>​ ​</w:t>
            </w:r>
          </w:p>
        </w:tc>
        <w:tc>
          <w:tcPr>
            <w:tcW w:w="228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EFEFE"/>
              </w:rPr>
              <w:t>Financial Performance Metrics</w:t>
            </w:r>
          </w:p>
        </w:tc>
        <w:tc>
          <w:tcPr>
            <w:tcW w:w="1180" w:type="dxa"/>
            <w:vAlign w:val="bottom"/>
            <w:gridSpan w:val="4"/>
            <w:shd w:val="clear" w:color="auto" w:fill="53C072"/>
          </w:tcPr>
          <w:p>
            <w:pPr>
              <w:ind w:left="60"/>
              <w:spacing w:after="0"/>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Weighting </w:t>
            </w:r>
            <w:r>
              <w:rPr>
                <w:rFonts w:ascii="Arial" w:cs="Arial" w:eastAsia="Arial" w:hAnsi="Arial"/>
                <w:sz w:val="28"/>
                <w:szCs w:val="28"/>
                <w:b w:val="1"/>
                <w:bCs w:val="1"/>
                <w:color w:val="FEFEFE"/>
                <w:vertAlign w:val="subscript"/>
              </w:rPr>
              <w:t>​ ​</w:t>
            </w:r>
          </w:p>
        </w:tc>
        <w:tc>
          <w:tcPr>
            <w:tcW w:w="2420" w:type="dxa"/>
            <w:vAlign w:val="bottom"/>
            <w:tcBorders>
              <w:right w:val="single" w:sz="8" w:color="53C072"/>
            </w:tcBorders>
            <w:shd w:val="clear" w:color="auto" w:fill="53C072"/>
          </w:tcPr>
          <w:p>
            <w:pPr>
              <w:jc w:val="center"/>
              <w:ind w:right="33"/>
              <w:spacing w:after="0"/>
              <w:rPr>
                <w:sz w:val="20"/>
                <w:szCs w:val="20"/>
                <w:color w:val="auto"/>
              </w:rPr>
            </w:pPr>
            <w:r>
              <w:rPr>
                <w:rFonts w:ascii="Arial" w:cs="Arial" w:eastAsia="Arial" w:hAnsi="Arial"/>
                <w:sz w:val="14"/>
                <w:szCs w:val="14"/>
                <w:b w:val="1"/>
                <w:bCs w:val="1"/>
                <w:color w:val="FEFEFE"/>
              </w:rPr>
              <w:t>Target Performance Goal</w:t>
            </w:r>
          </w:p>
        </w:tc>
        <w:tc>
          <w:tcPr>
            <w:tcW w:w="0" w:type="dxa"/>
            <w:vAlign w:val="bottom"/>
          </w:tcPr>
          <w:p>
            <w:pPr>
              <w:spacing w:after="0"/>
              <w:rPr>
                <w:sz w:val="1"/>
                <w:szCs w:val="1"/>
                <w:color w:val="auto"/>
              </w:rPr>
            </w:pPr>
          </w:p>
        </w:tc>
      </w:tr>
      <w:tr>
        <w:trPr>
          <w:trHeight w:val="238"/>
        </w:trPr>
        <w:tc>
          <w:tcPr>
            <w:tcW w:w="200" w:type="dxa"/>
            <w:vAlign w:val="bottom"/>
            <w:tcBorders>
              <w:left w:val="single" w:sz="8" w:color="53C072"/>
            </w:tcBorders>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right w:val="single" w:sz="8" w:color="53C072"/>
            </w:tcBorders>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right w:val="single" w:sz="8" w:color="53C072"/>
            </w:tcBorders>
          </w:tcPr>
          <w:p>
            <w:pPr>
              <w:spacing w:after="0"/>
              <w:rPr>
                <w:sz w:val="20"/>
                <w:szCs w:val="20"/>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Adjusted Operating Income</w:t>
            </w:r>
          </w:p>
        </w:tc>
        <w:tc>
          <w:tcPr>
            <w:tcW w:w="140" w:type="dxa"/>
            <w:vAlign w:val="bottom"/>
            <w:tcBorders>
              <w:right w:val="single" w:sz="8" w:color="53C072"/>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right w:val="single" w:sz="8" w:color="53C072"/>
            </w:tcBorders>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right w:val="single" w:sz="8" w:color="53C072"/>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00" w:type="dxa"/>
            <w:vAlign w:val="bottom"/>
            <w:tcBorders>
              <w:left w:val="single" w:sz="8" w:color="53C072"/>
            </w:tcBorders>
          </w:tcPr>
          <w:p>
            <w:pPr>
              <w:spacing w:after="0"/>
              <w:rPr>
                <w:sz w:val="22"/>
                <w:szCs w:val="22"/>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color w:val="auto"/>
              </w:rPr>
              <w:t>Financial</w:t>
            </w:r>
          </w:p>
        </w:tc>
        <w:tc>
          <w:tcPr>
            <w:tcW w:w="280" w:type="dxa"/>
            <w:vAlign w:val="bottom"/>
            <w:tcBorders>
              <w:right w:val="single" w:sz="8" w:color="53C072"/>
            </w:tcBorders>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Borders>
              <w:right w:val="single" w:sz="8" w:color="53C072"/>
            </w:tcBorders>
          </w:tcPr>
          <w:p>
            <w:pPr>
              <w:spacing w:after="0"/>
              <w:rPr>
                <w:sz w:val="22"/>
                <w:szCs w:val="22"/>
                <w:color w:val="auto"/>
              </w:rPr>
            </w:pPr>
          </w:p>
        </w:tc>
        <w:tc>
          <w:tcPr>
            <w:tcW w:w="1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53C072"/>
            </w:tcBorders>
          </w:tcPr>
          <w:p>
            <w:pPr>
              <w:ind w:left="100"/>
              <w:spacing w:after="0"/>
              <w:rPr>
                <w:sz w:val="20"/>
                <w:szCs w:val="20"/>
                <w:color w:val="auto"/>
              </w:rPr>
            </w:pPr>
            <w:r>
              <w:rPr>
                <w:rFonts w:ascii="Arial" w:cs="Arial" w:eastAsia="Arial" w:hAnsi="Arial"/>
                <w:sz w:val="18"/>
                <w:szCs w:val="18"/>
                <w:color w:val="auto"/>
              </w:rPr>
              <w:t>$ (OI$)</w:t>
            </w: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53C072"/>
              <w:right w:val="single" w:sz="8" w:color="53C072"/>
            </w:tcBorders>
          </w:tcPr>
          <w:p>
            <w:pPr>
              <w:ind w:left="100"/>
              <w:spacing w:after="0"/>
              <w:rPr>
                <w:sz w:val="20"/>
                <w:szCs w:val="20"/>
                <w:color w:val="auto"/>
              </w:rPr>
            </w:pPr>
            <w:r>
              <w:rPr>
                <w:rFonts w:ascii="Arial" w:cs="Arial" w:eastAsia="Arial" w:hAnsi="Arial"/>
                <w:sz w:val="18"/>
                <w:szCs w:val="18"/>
                <w:color w:val="auto"/>
              </w:rPr>
              <w:t>​ 40% ​​</w:t>
            </w:r>
          </w:p>
        </w:tc>
        <w:tc>
          <w:tcPr>
            <w:tcW w:w="1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53C072"/>
              <w:right w:val="single" w:sz="8" w:color="53C072"/>
            </w:tcBorders>
          </w:tcPr>
          <w:p>
            <w:pPr>
              <w:jc w:val="center"/>
              <w:ind w:right="13"/>
              <w:spacing w:after="0"/>
              <w:rPr>
                <w:sz w:val="20"/>
                <w:szCs w:val="20"/>
                <w:color w:val="auto"/>
              </w:rPr>
            </w:pPr>
            <w:r>
              <w:rPr>
                <w:rFonts w:ascii="Arial" w:cs="Arial" w:eastAsia="Arial" w:hAnsi="Arial"/>
                <w:sz w:val="18"/>
                <w:szCs w:val="18"/>
                <w:color w:val="auto"/>
                <w:w w:val="97"/>
              </w:rPr>
              <w:t>$1,297.7 M</w:t>
            </w:r>
          </w:p>
        </w:tc>
        <w:tc>
          <w:tcPr>
            <w:tcW w:w="0" w:type="dxa"/>
            <w:vAlign w:val="bottom"/>
          </w:tcPr>
          <w:p>
            <w:pPr>
              <w:spacing w:after="0"/>
              <w:rPr>
                <w:sz w:val="1"/>
                <w:szCs w:val="1"/>
                <w:color w:val="auto"/>
              </w:rPr>
            </w:pPr>
          </w:p>
        </w:tc>
      </w:tr>
      <w:tr>
        <w:trPr>
          <w:trHeight w:val="110"/>
        </w:trPr>
        <w:tc>
          <w:tcPr>
            <w:tcW w:w="200" w:type="dxa"/>
            <w:vAlign w:val="bottom"/>
            <w:tcBorders>
              <w:left w:val="single" w:sz="8" w:color="53C072"/>
            </w:tcBorders>
          </w:tcPr>
          <w:p>
            <w:pPr>
              <w:spacing w:after="0"/>
              <w:rPr>
                <w:sz w:val="9"/>
                <w:szCs w:val="9"/>
                <w:color w:val="auto"/>
              </w:rPr>
            </w:pPr>
          </w:p>
        </w:tc>
        <w:tc>
          <w:tcPr>
            <w:tcW w:w="1320" w:type="dxa"/>
            <w:vAlign w:val="bottom"/>
            <w:vMerge w:val="continue"/>
          </w:tcPr>
          <w:p>
            <w:pPr>
              <w:spacing w:after="0"/>
              <w:rPr>
                <w:sz w:val="9"/>
                <w:szCs w:val="9"/>
                <w:color w:val="auto"/>
              </w:rPr>
            </w:pPr>
          </w:p>
        </w:tc>
        <w:tc>
          <w:tcPr>
            <w:tcW w:w="28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right w:val="single" w:sz="8" w:color="53C072"/>
            </w:tcBorders>
          </w:tcPr>
          <w:p>
            <w:pPr>
              <w:spacing w:after="0"/>
              <w:rPr>
                <w:sz w:val="9"/>
                <w:szCs w:val="9"/>
                <w:color w:val="auto"/>
              </w:rPr>
            </w:pPr>
          </w:p>
        </w:tc>
        <w:tc>
          <w:tcPr>
            <w:tcW w:w="2440" w:type="dxa"/>
            <w:vAlign w:val="bottom"/>
            <w:gridSpan w:val="2"/>
            <w:vMerge w:val="restart"/>
          </w:tcPr>
          <w:p>
            <w:pPr>
              <w:ind w:left="40"/>
              <w:spacing w:after="0"/>
              <w:rPr>
                <w:sz w:val="20"/>
                <w:szCs w:val="20"/>
                <w:color w:val="auto"/>
              </w:rPr>
            </w:pPr>
            <w:r>
              <w:rPr>
                <w:rFonts w:ascii="Arial" w:cs="Arial" w:eastAsia="Arial" w:hAnsi="Arial"/>
                <w:sz w:val="18"/>
                <w:szCs w:val="18"/>
                <w:color w:val="auto"/>
              </w:rPr>
              <w:t>​Return on Working Capital %</w:t>
            </w:r>
          </w:p>
        </w:tc>
        <w:tc>
          <w:tcPr>
            <w:tcW w:w="140" w:type="dxa"/>
            <w:vAlign w:val="bottom"/>
            <w:tcBorders>
              <w:right w:val="single" w:sz="8" w:color="53C072"/>
            </w:tcBorders>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53C072"/>
            </w:tcBorders>
            <w:vMerge w:val="restart"/>
          </w:tcPr>
          <w:p>
            <w:pPr>
              <w:ind w:left="100"/>
              <w:spacing w:after="0"/>
              <w:rPr>
                <w:sz w:val="20"/>
                <w:szCs w:val="20"/>
                <w:color w:val="auto"/>
              </w:rPr>
            </w:pPr>
            <w:r>
              <w:rPr>
                <w:rFonts w:ascii="Arial" w:cs="Arial" w:eastAsia="Arial" w:hAnsi="Arial"/>
                <w:sz w:val="18"/>
                <w:szCs w:val="18"/>
                <w:color w:val="auto"/>
              </w:rPr>
              <w:t>​ 40% ​​</w:t>
            </w: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53C072"/>
            </w:tcBorders>
            <w:vMerge w:val="restart"/>
          </w:tcPr>
          <w:p>
            <w:pPr>
              <w:jc w:val="center"/>
              <w:ind w:right="13"/>
              <w:spacing w:after="0"/>
              <w:rPr>
                <w:sz w:val="20"/>
                <w:szCs w:val="20"/>
                <w:color w:val="auto"/>
              </w:rPr>
            </w:pPr>
            <w:r>
              <w:rPr>
                <w:rFonts w:ascii="Arial" w:cs="Arial" w:eastAsia="Arial" w:hAnsi="Arial"/>
                <w:sz w:val="18"/>
                <w:szCs w:val="18"/>
                <w:color w:val="auto"/>
                <w:w w:val="98"/>
              </w:rPr>
              <w:t>18.94%</w:t>
            </w:r>
          </w:p>
        </w:tc>
        <w:tc>
          <w:tcPr>
            <w:tcW w:w="0" w:type="dxa"/>
            <w:vAlign w:val="bottom"/>
          </w:tcPr>
          <w:p>
            <w:pPr>
              <w:spacing w:after="0"/>
              <w:rPr>
                <w:sz w:val="1"/>
                <w:szCs w:val="1"/>
                <w:color w:val="auto"/>
              </w:rPr>
            </w:pPr>
          </w:p>
        </w:tc>
      </w:tr>
      <w:tr>
        <w:trPr>
          <w:trHeight w:val="108"/>
        </w:trPr>
        <w:tc>
          <w:tcPr>
            <w:tcW w:w="200" w:type="dxa"/>
            <w:vAlign w:val="bottom"/>
            <w:tcBorders>
              <w:left w:val="single" w:sz="8" w:color="53C072"/>
            </w:tcBorders>
          </w:tcPr>
          <w:p>
            <w:pPr>
              <w:spacing w:after="0"/>
              <w:rPr>
                <w:sz w:val="9"/>
                <w:szCs w:val="9"/>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color w:val="auto"/>
              </w:rPr>
              <w:t>Performance</w:t>
            </w:r>
          </w:p>
        </w:tc>
        <w:tc>
          <w:tcPr>
            <w:tcW w:w="28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140" w:type="dxa"/>
            <w:vAlign w:val="bottom"/>
            <w:tcBorders>
              <w:right w:val="single" w:sz="8" w:color="53C072"/>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40" w:type="dxa"/>
            <w:vAlign w:val="bottom"/>
            <w:tcBorders>
              <w:right w:val="single" w:sz="8" w:color="53C072"/>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420" w:type="dxa"/>
            <w:vAlign w:val="bottom"/>
            <w:tcBorders>
              <w:right w:val="single" w:sz="8" w:color="53C07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0" w:type="dxa"/>
            <w:vAlign w:val="bottom"/>
            <w:tcBorders>
              <w:left w:val="single" w:sz="8" w:color="53C072"/>
            </w:tcBorders>
          </w:tcPr>
          <w:p>
            <w:pPr>
              <w:spacing w:after="0"/>
              <w:rPr>
                <w:sz w:val="11"/>
                <w:szCs w:val="11"/>
                <w:color w:val="auto"/>
              </w:rPr>
            </w:pPr>
          </w:p>
        </w:tc>
        <w:tc>
          <w:tcPr>
            <w:tcW w:w="1320" w:type="dxa"/>
            <w:vAlign w:val="bottom"/>
            <w:vMerge w:val="continue"/>
          </w:tcPr>
          <w:p>
            <w:pPr>
              <w:spacing w:after="0"/>
              <w:rPr>
                <w:sz w:val="11"/>
                <w:szCs w:val="11"/>
                <w:color w:val="auto"/>
              </w:rPr>
            </w:pPr>
          </w:p>
        </w:tc>
        <w:tc>
          <w:tcPr>
            <w:tcW w:w="280" w:type="dxa"/>
            <w:vAlign w:val="bottom"/>
            <w:tcBorders>
              <w:right w:val="single" w:sz="8" w:color="53C072"/>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53C072"/>
            </w:tcBorders>
          </w:tcPr>
          <w:p>
            <w:pPr>
              <w:spacing w:after="0"/>
              <w:rPr>
                <w:sz w:val="11"/>
                <w:szCs w:val="11"/>
                <w:color w:val="auto"/>
              </w:rPr>
            </w:pPr>
          </w:p>
        </w:tc>
        <w:tc>
          <w:tcPr>
            <w:tcW w:w="2440" w:type="dxa"/>
            <w:vAlign w:val="bottom"/>
            <w:gridSpan w:val="2"/>
            <w:vMerge w:val="restart"/>
          </w:tcPr>
          <w:p>
            <w:pPr>
              <w:ind w:left="80"/>
              <w:spacing w:after="0"/>
              <w:rPr>
                <w:sz w:val="20"/>
                <w:szCs w:val="20"/>
                <w:color w:val="auto"/>
              </w:rPr>
            </w:pPr>
            <w:r>
              <w:rPr>
                <w:rFonts w:ascii="Arial" w:cs="Arial" w:eastAsia="Arial" w:hAnsi="Arial"/>
                <w:sz w:val="18"/>
                <w:szCs w:val="18"/>
                <w:color w:val="auto"/>
              </w:rPr>
              <w:t>(ROWC)</w:t>
            </w:r>
          </w:p>
        </w:tc>
        <w:tc>
          <w:tcPr>
            <w:tcW w:w="140" w:type="dxa"/>
            <w:vAlign w:val="bottom"/>
            <w:tcBorders>
              <w:right w:val="single" w:sz="8" w:color="53C072"/>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53C072"/>
            </w:tcBorders>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right w:val="single" w:sz="8" w:color="53C072"/>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0" w:type="dxa"/>
            <w:vAlign w:val="bottom"/>
            <w:tcBorders>
              <w:left w:val="single" w:sz="8" w:color="53C072"/>
            </w:tcBorders>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right w:val="single" w:sz="8" w:color="53C072"/>
            </w:tcBorders>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Borders>
              <w:right w:val="single" w:sz="8" w:color="53C072"/>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0" w:type="dxa"/>
            <w:vAlign w:val="bottom"/>
            <w:tcBorders>
              <w:left w:val="single" w:sz="8" w:color="53C072"/>
            </w:tcBorders>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Borders>
              <w:right w:val="single" w:sz="8" w:color="53C072"/>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right w:val="single" w:sz="8" w:color="53C072"/>
            </w:tcBorders>
          </w:tcPr>
          <w:p>
            <w:pPr>
              <w:spacing w:after="0"/>
              <w:rPr>
                <w:sz w:val="2"/>
                <w:szCs w:val="2"/>
                <w:color w:val="auto"/>
              </w:rPr>
            </w:pPr>
          </w:p>
        </w:tc>
        <w:tc>
          <w:tcPr>
            <w:tcW w:w="2440" w:type="dxa"/>
            <w:vAlign w:val="bottom"/>
            <w:tcBorders>
              <w:bottom w:val="single" w:sz="8" w:color="53C072"/>
            </w:tcBorders>
            <w:gridSpan w:val="2"/>
          </w:tcPr>
          <w:p>
            <w:pPr>
              <w:spacing w:after="0"/>
              <w:rPr>
                <w:sz w:val="2"/>
                <w:szCs w:val="2"/>
                <w:color w:val="auto"/>
              </w:rPr>
            </w:pPr>
          </w:p>
        </w:tc>
        <w:tc>
          <w:tcPr>
            <w:tcW w:w="14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740" w:type="dxa"/>
            <w:vAlign w:val="bottom"/>
            <w:tcBorders>
              <w:bottom w:val="single" w:sz="8" w:color="53C072"/>
              <w:right w:val="single" w:sz="8" w:color="53C072"/>
            </w:tcBorders>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2420" w:type="dxa"/>
            <w:vAlign w:val="bottom"/>
            <w:tcBorders>
              <w:bottom w:val="single" w:sz="8" w:color="53C072"/>
              <w:right w:val="single" w:sz="8" w:color="53C072"/>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0" w:type="dxa"/>
            <w:vAlign w:val="bottom"/>
            <w:tcBorders>
              <w:left w:val="single" w:sz="8" w:color="53C072"/>
              <w:bottom w:val="single" w:sz="8" w:color="53C072"/>
            </w:tcBorders>
          </w:tcPr>
          <w:p>
            <w:pPr>
              <w:ind w:lef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53C072"/>
            </w:tcBorders>
          </w:tcPr>
          <w:p>
            <w:pPr>
              <w:spacing w:after="0"/>
              <w:rPr>
                <w:sz w:val="22"/>
                <w:szCs w:val="22"/>
                <w:color w:val="auto"/>
              </w:rPr>
            </w:pPr>
          </w:p>
        </w:tc>
        <w:tc>
          <w:tcPr>
            <w:tcW w:w="280" w:type="dxa"/>
            <w:vAlign w:val="bottom"/>
            <w:tcBorders>
              <w:bottom w:val="single" w:sz="8" w:color="53C072"/>
              <w:right w:val="single" w:sz="8" w:color="53C072"/>
            </w:tcBorders>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53C072"/>
            </w:tcBorders>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53C072"/>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Relative Market Share</w:t>
            </w: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53C072"/>
              <w:right w:val="single" w:sz="8" w:color="53C072"/>
            </w:tcBorders>
          </w:tcPr>
          <w:p>
            <w:pPr>
              <w:ind w:left="10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20%</w:t>
            </w:r>
            <w:r>
              <w:rPr>
                <w:rFonts w:ascii="Arial" w:cs="Arial" w:eastAsia="Arial" w:hAnsi="Arial"/>
                <w:sz w:val="16"/>
                <w:szCs w:val="16"/>
                <w:color w:val="auto"/>
              </w:rPr>
              <w:t xml:space="preserve"> ​​</w:t>
            </w:r>
          </w:p>
        </w:tc>
        <w:tc>
          <w:tcPr>
            <w:tcW w:w="1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53C072"/>
              <w:right w:val="single" w:sz="8" w:color="53C072"/>
            </w:tcBorders>
          </w:tcPr>
          <w:p>
            <w:pPr>
              <w:jc w:val="center"/>
              <w:ind w:right="13"/>
              <w:spacing w:after="0"/>
              <w:rPr>
                <w:sz w:val="20"/>
                <w:szCs w:val="20"/>
                <w:color w:val="auto"/>
              </w:rPr>
            </w:pPr>
            <w:r>
              <w:rPr>
                <w:rFonts w:ascii="Arial" w:cs="Arial" w:eastAsia="Arial" w:hAnsi="Arial"/>
                <w:sz w:val="18"/>
                <w:szCs w:val="18"/>
                <w:color w:val="auto"/>
                <w:w w:val="99"/>
              </w:rPr>
              <w:t>+50 bps</w:t>
            </w:r>
          </w:p>
        </w:tc>
        <w:tc>
          <w:tcPr>
            <w:tcW w:w="0" w:type="dxa"/>
            <w:vAlign w:val="bottom"/>
          </w:tcPr>
          <w:p>
            <w:pPr>
              <w:spacing w:after="0"/>
              <w:rPr>
                <w:sz w:val="1"/>
                <w:szCs w:val="1"/>
                <w:color w:val="auto"/>
              </w:rPr>
            </w:pPr>
          </w:p>
        </w:tc>
      </w:tr>
      <w:tr>
        <w:trPr>
          <w:trHeight w:val="218"/>
        </w:trPr>
        <w:tc>
          <w:tcPr>
            <w:tcW w:w="200" w:type="dxa"/>
            <w:vAlign w:val="bottom"/>
            <w:tcBorders>
              <w:left w:val="single" w:sz="8" w:color="53C072"/>
            </w:tcBorders>
          </w:tcPr>
          <w:p>
            <w:pPr>
              <w:ind w:left="12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ind w:left="20"/>
              <w:spacing w:after="0"/>
              <w:rPr>
                <w:sz w:val="20"/>
                <w:szCs w:val="20"/>
                <w:color w:val="auto"/>
              </w:rPr>
            </w:pPr>
            <w:r>
              <w:rPr>
                <w:rFonts w:ascii="Arial" w:cs="Arial" w:eastAsia="Arial" w:hAnsi="Arial"/>
                <w:sz w:val="18"/>
                <w:szCs w:val="18"/>
                <w:color w:val="auto"/>
              </w:rPr>
              <w:t>Non-Financial</w:t>
            </w:r>
          </w:p>
        </w:tc>
        <w:tc>
          <w:tcPr>
            <w:tcW w:w="280" w:type="dxa"/>
            <w:vAlign w:val="bottom"/>
            <w:tcBorders>
              <w:right w:val="single" w:sz="8" w:color="53C072"/>
            </w:tcBorders>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440" w:type="dxa"/>
            <w:vAlign w:val="bottom"/>
            <w:gridSpan w:val="2"/>
          </w:tcPr>
          <w:p>
            <w:pPr>
              <w:ind w:left="40"/>
              <w:spacing w:after="0"/>
              <w:rPr>
                <w:sz w:val="20"/>
                <w:szCs w:val="20"/>
                <w:color w:val="auto"/>
              </w:rPr>
            </w:pPr>
            <w:r>
              <w:rPr>
                <w:rFonts w:ascii="Arial" w:cs="Arial" w:eastAsia="Arial" w:hAnsi="Arial"/>
                <w:sz w:val="18"/>
                <w:szCs w:val="18"/>
                <w:color w:val="auto"/>
              </w:rPr>
              <w:t>​Individual Goals</w:t>
            </w:r>
          </w:p>
        </w:tc>
        <w:tc>
          <w:tcPr>
            <w:tcW w:w="140" w:type="dxa"/>
            <w:vAlign w:val="bottom"/>
            <w:tcBorders>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53C072"/>
            </w:tcBorders>
          </w:tcPr>
          <w:p>
            <w:pPr>
              <w:ind w:left="100"/>
              <w:spacing w:after="0"/>
              <w:rPr>
                <w:sz w:val="20"/>
                <w:szCs w:val="20"/>
                <w:color w:val="auto"/>
              </w:rPr>
            </w:pPr>
            <w:r>
              <w:rPr>
                <w:rFonts w:ascii="Arial" w:cs="Arial" w:eastAsia="Arial" w:hAnsi="Arial"/>
                <w:sz w:val="18"/>
                <w:szCs w:val="18"/>
                <w:color w:val="auto"/>
              </w:rPr>
              <w:t>​100% ​​</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53C072"/>
            </w:tcBorders>
          </w:tcPr>
          <w:p>
            <w:pPr>
              <w:jc w:val="center"/>
              <w:ind w:right="13"/>
              <w:spacing w:after="0"/>
              <w:rPr>
                <w:sz w:val="20"/>
                <w:szCs w:val="20"/>
                <w:color w:val="auto"/>
              </w:rPr>
            </w:pPr>
            <w:r>
              <w:rPr>
                <w:rFonts w:ascii="Arial" w:cs="Arial" w:eastAsia="Arial" w:hAnsi="Arial"/>
                <w:sz w:val="18"/>
                <w:szCs w:val="18"/>
                <w:color w:val="auto"/>
                <w:w w:val="98"/>
              </w:rPr>
              <w:t>Individual contribution to the</w:t>
            </w:r>
          </w:p>
        </w:tc>
        <w:tc>
          <w:tcPr>
            <w:tcW w:w="0" w:type="dxa"/>
            <w:vAlign w:val="bottom"/>
          </w:tcPr>
          <w:p>
            <w:pPr>
              <w:spacing w:after="0"/>
              <w:rPr>
                <w:sz w:val="1"/>
                <w:szCs w:val="1"/>
                <w:color w:val="auto"/>
              </w:rPr>
            </w:pPr>
          </w:p>
        </w:tc>
      </w:tr>
      <w:tr>
        <w:trPr>
          <w:trHeight w:val="108"/>
        </w:trPr>
        <w:tc>
          <w:tcPr>
            <w:tcW w:w="200" w:type="dxa"/>
            <w:vAlign w:val="bottom"/>
            <w:tcBorders>
              <w:left w:val="single" w:sz="8" w:color="53C072"/>
            </w:tcBorders>
          </w:tcPr>
          <w:p>
            <w:pPr>
              <w:spacing w:after="0"/>
              <w:rPr>
                <w:sz w:val="9"/>
                <w:szCs w:val="9"/>
                <w:color w:val="auto"/>
              </w:rPr>
            </w:pPr>
          </w:p>
        </w:tc>
        <w:tc>
          <w:tcPr>
            <w:tcW w:w="1320" w:type="dxa"/>
            <w:vAlign w:val="bottom"/>
            <w:vMerge w:val="continue"/>
          </w:tcPr>
          <w:p>
            <w:pPr>
              <w:spacing w:after="0"/>
              <w:rPr>
                <w:sz w:val="9"/>
                <w:szCs w:val="9"/>
                <w:color w:val="auto"/>
              </w:rPr>
            </w:pPr>
          </w:p>
        </w:tc>
        <w:tc>
          <w:tcPr>
            <w:tcW w:w="28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right w:val="single" w:sz="8" w:color="53C072"/>
            </w:tcBorders>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Borders>
              <w:right w:val="single" w:sz="8" w:color="53C072"/>
            </w:tcBorders>
            <w:vMerge w:val="restart"/>
          </w:tcPr>
          <w:p>
            <w:pPr>
              <w:jc w:val="center"/>
              <w:ind w:right="13"/>
              <w:spacing w:after="0"/>
              <w:rPr>
                <w:sz w:val="20"/>
                <w:szCs w:val="20"/>
                <w:color w:val="auto"/>
              </w:rPr>
            </w:pPr>
            <w:r>
              <w:rPr>
                <w:rFonts w:ascii="Arial" w:cs="Arial" w:eastAsia="Arial" w:hAnsi="Arial"/>
                <w:sz w:val="18"/>
                <w:szCs w:val="18"/>
                <w:color w:val="auto"/>
                <w:w w:val="97"/>
              </w:rPr>
              <w:t>Company’s talent</w:t>
            </w:r>
          </w:p>
        </w:tc>
        <w:tc>
          <w:tcPr>
            <w:tcW w:w="0" w:type="dxa"/>
            <w:vAlign w:val="bottom"/>
          </w:tcPr>
          <w:p>
            <w:pPr>
              <w:spacing w:after="0"/>
              <w:rPr>
                <w:sz w:val="1"/>
                <w:szCs w:val="1"/>
                <w:color w:val="auto"/>
              </w:rPr>
            </w:pPr>
          </w:p>
        </w:tc>
      </w:tr>
      <w:tr>
        <w:trPr>
          <w:trHeight w:val="108"/>
        </w:trPr>
        <w:tc>
          <w:tcPr>
            <w:tcW w:w="200" w:type="dxa"/>
            <w:vAlign w:val="bottom"/>
            <w:tcBorders>
              <w:left w:val="single" w:sz="8" w:color="53C072"/>
            </w:tcBorders>
          </w:tcPr>
          <w:p>
            <w:pPr>
              <w:spacing w:after="0"/>
              <w:rPr>
                <w:sz w:val="9"/>
                <w:szCs w:val="9"/>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color w:val="auto"/>
              </w:rPr>
              <w:t>Performance</w:t>
            </w:r>
          </w:p>
        </w:tc>
        <w:tc>
          <w:tcPr>
            <w:tcW w:w="28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right w:val="single" w:sz="8" w:color="53C072"/>
            </w:tcBorders>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Borders>
              <w:right w:val="single" w:sz="8" w:color="53C07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0" w:type="dxa"/>
            <w:vAlign w:val="bottom"/>
            <w:tcBorders>
              <w:left w:val="single" w:sz="8" w:color="53C072"/>
            </w:tcBorders>
          </w:tcPr>
          <w:p>
            <w:pPr>
              <w:spacing w:after="0"/>
              <w:rPr>
                <w:sz w:val="11"/>
                <w:szCs w:val="11"/>
                <w:color w:val="auto"/>
              </w:rPr>
            </w:pPr>
          </w:p>
        </w:tc>
        <w:tc>
          <w:tcPr>
            <w:tcW w:w="1320" w:type="dxa"/>
            <w:vAlign w:val="bottom"/>
            <w:vMerge w:val="continue"/>
          </w:tcPr>
          <w:p>
            <w:pPr>
              <w:spacing w:after="0"/>
              <w:rPr>
                <w:sz w:val="11"/>
                <w:szCs w:val="11"/>
                <w:color w:val="auto"/>
              </w:rPr>
            </w:pPr>
          </w:p>
        </w:tc>
        <w:tc>
          <w:tcPr>
            <w:tcW w:w="280" w:type="dxa"/>
            <w:vAlign w:val="bottom"/>
            <w:tcBorders>
              <w:right w:val="single" w:sz="8" w:color="53C072"/>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53C072"/>
            </w:tcBorders>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0" w:type="dxa"/>
            <w:vAlign w:val="bottom"/>
            <w:tcBorders>
              <w:right w:val="single" w:sz="8" w:color="53C072"/>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53C072"/>
            </w:tcBorders>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right w:val="single" w:sz="8" w:color="53C072"/>
            </w:tcBorders>
            <w:vMerge w:val="restart"/>
          </w:tcPr>
          <w:p>
            <w:pPr>
              <w:jc w:val="center"/>
              <w:ind w:right="13"/>
              <w:spacing w:after="0"/>
              <w:rPr>
                <w:sz w:val="20"/>
                <w:szCs w:val="20"/>
                <w:color w:val="auto"/>
              </w:rPr>
            </w:pPr>
            <w:r>
              <w:rPr>
                <w:rFonts w:ascii="Arial" w:cs="Arial" w:eastAsia="Arial" w:hAnsi="Arial"/>
                <w:sz w:val="18"/>
                <w:szCs w:val="18"/>
                <w:color w:val="auto"/>
                <w:w w:val="98"/>
              </w:rPr>
              <w:t>management</w:t>
            </w:r>
          </w:p>
        </w:tc>
        <w:tc>
          <w:tcPr>
            <w:tcW w:w="0" w:type="dxa"/>
            <w:vAlign w:val="bottom"/>
          </w:tcPr>
          <w:p>
            <w:pPr>
              <w:spacing w:after="0"/>
              <w:rPr>
                <w:sz w:val="1"/>
                <w:szCs w:val="1"/>
                <w:color w:val="auto"/>
              </w:rPr>
            </w:pPr>
          </w:p>
        </w:tc>
      </w:tr>
      <w:tr>
        <w:trPr>
          <w:trHeight w:val="108"/>
        </w:trPr>
        <w:tc>
          <w:tcPr>
            <w:tcW w:w="200" w:type="dxa"/>
            <w:vAlign w:val="bottom"/>
            <w:tcBorders>
              <w:left w:val="single" w:sz="8" w:color="53C072"/>
            </w:tcBorders>
          </w:tcPr>
          <w:p>
            <w:pPr>
              <w:spacing w:after="0"/>
              <w:rPr>
                <w:sz w:val="9"/>
                <w:szCs w:val="9"/>
                <w:color w:val="auto"/>
              </w:rPr>
            </w:pPr>
          </w:p>
        </w:tc>
        <w:tc>
          <w:tcPr>
            <w:tcW w:w="1320" w:type="dxa"/>
            <w:vAlign w:val="bottom"/>
          </w:tcPr>
          <w:p>
            <w:pPr>
              <w:spacing w:after="0"/>
              <w:rPr>
                <w:sz w:val="9"/>
                <w:szCs w:val="9"/>
                <w:color w:val="auto"/>
              </w:rPr>
            </w:pPr>
          </w:p>
        </w:tc>
        <w:tc>
          <w:tcPr>
            <w:tcW w:w="280" w:type="dxa"/>
            <w:vAlign w:val="bottom"/>
            <w:tcBorders>
              <w:right w:val="single" w:sz="8" w:color="53C072"/>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3C072"/>
            </w:tcBorders>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40" w:type="dxa"/>
            <w:vAlign w:val="bottom"/>
            <w:tcBorders>
              <w:right w:val="single" w:sz="8" w:color="53C072"/>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right w:val="single" w:sz="8" w:color="53C072"/>
            </w:tcBorders>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Borders>
              <w:right w:val="single" w:sz="8" w:color="53C072"/>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00" w:type="dxa"/>
            <w:vAlign w:val="bottom"/>
            <w:tcBorders>
              <w:left w:val="single" w:sz="8" w:color="53C072"/>
              <w:bottom w:val="single" w:sz="8" w:color="53C072"/>
            </w:tcBorders>
          </w:tcPr>
          <w:p>
            <w:pPr>
              <w:spacing w:after="0"/>
              <w:rPr>
                <w:sz w:val="3"/>
                <w:szCs w:val="3"/>
                <w:color w:val="auto"/>
              </w:rPr>
            </w:pPr>
          </w:p>
        </w:tc>
        <w:tc>
          <w:tcPr>
            <w:tcW w:w="1320" w:type="dxa"/>
            <w:vAlign w:val="bottom"/>
            <w:tcBorders>
              <w:bottom w:val="single" w:sz="8" w:color="53C072"/>
            </w:tcBorders>
          </w:tcPr>
          <w:p>
            <w:pPr>
              <w:spacing w:after="0"/>
              <w:rPr>
                <w:sz w:val="3"/>
                <w:szCs w:val="3"/>
                <w:color w:val="auto"/>
              </w:rPr>
            </w:pPr>
          </w:p>
        </w:tc>
        <w:tc>
          <w:tcPr>
            <w:tcW w:w="280" w:type="dxa"/>
            <w:vAlign w:val="bottom"/>
            <w:tcBorders>
              <w:bottom w:val="single" w:sz="8" w:color="53C072"/>
              <w:right w:val="single" w:sz="8" w:color="53C072"/>
            </w:tcBorders>
          </w:tcPr>
          <w:p>
            <w:pPr>
              <w:spacing w:after="0"/>
              <w:rPr>
                <w:sz w:val="3"/>
                <w:szCs w:val="3"/>
                <w:color w:val="auto"/>
              </w:rPr>
            </w:pPr>
          </w:p>
        </w:tc>
        <w:tc>
          <w:tcPr>
            <w:tcW w:w="220" w:type="dxa"/>
            <w:vAlign w:val="bottom"/>
            <w:tcBorders>
              <w:bottom w:val="single" w:sz="8" w:color="53C072"/>
            </w:tcBorders>
          </w:tcPr>
          <w:p>
            <w:pPr>
              <w:spacing w:after="0"/>
              <w:rPr>
                <w:sz w:val="3"/>
                <w:szCs w:val="3"/>
                <w:color w:val="auto"/>
              </w:rPr>
            </w:pPr>
          </w:p>
        </w:tc>
        <w:tc>
          <w:tcPr>
            <w:tcW w:w="540" w:type="dxa"/>
            <w:vAlign w:val="bottom"/>
            <w:tcBorders>
              <w:bottom w:val="single" w:sz="8" w:color="53C072"/>
            </w:tcBorders>
          </w:tcPr>
          <w:p>
            <w:pPr>
              <w:spacing w:after="0"/>
              <w:rPr>
                <w:sz w:val="3"/>
                <w:szCs w:val="3"/>
                <w:color w:val="auto"/>
              </w:rPr>
            </w:pPr>
          </w:p>
        </w:tc>
        <w:tc>
          <w:tcPr>
            <w:tcW w:w="160" w:type="dxa"/>
            <w:vAlign w:val="bottom"/>
            <w:tcBorders>
              <w:bottom w:val="single" w:sz="8" w:color="53C072"/>
              <w:right w:val="single" w:sz="8" w:color="53C072"/>
            </w:tcBorders>
          </w:tcPr>
          <w:p>
            <w:pPr>
              <w:spacing w:after="0"/>
              <w:rPr>
                <w:sz w:val="3"/>
                <w:szCs w:val="3"/>
                <w:color w:val="auto"/>
              </w:rPr>
            </w:pPr>
          </w:p>
        </w:tc>
        <w:tc>
          <w:tcPr>
            <w:tcW w:w="160" w:type="dxa"/>
            <w:vAlign w:val="bottom"/>
            <w:tcBorders>
              <w:bottom w:val="single" w:sz="8" w:color="53C072"/>
            </w:tcBorders>
          </w:tcPr>
          <w:p>
            <w:pPr>
              <w:spacing w:after="0"/>
              <w:rPr>
                <w:sz w:val="3"/>
                <w:szCs w:val="3"/>
                <w:color w:val="auto"/>
              </w:rPr>
            </w:pPr>
          </w:p>
        </w:tc>
        <w:tc>
          <w:tcPr>
            <w:tcW w:w="2280" w:type="dxa"/>
            <w:vAlign w:val="bottom"/>
            <w:tcBorders>
              <w:bottom w:val="single" w:sz="8" w:color="53C072"/>
            </w:tcBorders>
          </w:tcPr>
          <w:p>
            <w:pPr>
              <w:spacing w:after="0"/>
              <w:rPr>
                <w:sz w:val="3"/>
                <w:szCs w:val="3"/>
                <w:color w:val="auto"/>
              </w:rPr>
            </w:pPr>
          </w:p>
        </w:tc>
        <w:tc>
          <w:tcPr>
            <w:tcW w:w="140" w:type="dxa"/>
            <w:vAlign w:val="bottom"/>
            <w:tcBorders>
              <w:bottom w:val="single" w:sz="8" w:color="53C072"/>
              <w:right w:val="single" w:sz="8" w:color="53C072"/>
            </w:tcBorders>
          </w:tcPr>
          <w:p>
            <w:pPr>
              <w:spacing w:after="0"/>
              <w:rPr>
                <w:sz w:val="3"/>
                <w:szCs w:val="3"/>
                <w:color w:val="auto"/>
              </w:rPr>
            </w:pPr>
          </w:p>
        </w:tc>
        <w:tc>
          <w:tcPr>
            <w:tcW w:w="180" w:type="dxa"/>
            <w:vAlign w:val="bottom"/>
            <w:tcBorders>
              <w:bottom w:val="single" w:sz="8" w:color="53C072"/>
            </w:tcBorders>
          </w:tcPr>
          <w:p>
            <w:pPr>
              <w:spacing w:after="0"/>
              <w:rPr>
                <w:sz w:val="3"/>
                <w:szCs w:val="3"/>
                <w:color w:val="auto"/>
              </w:rPr>
            </w:pPr>
          </w:p>
        </w:tc>
        <w:tc>
          <w:tcPr>
            <w:tcW w:w="740" w:type="dxa"/>
            <w:vAlign w:val="bottom"/>
            <w:tcBorders>
              <w:bottom w:val="single" w:sz="8" w:color="53C072"/>
              <w:right w:val="single" w:sz="8" w:color="53C072"/>
            </w:tcBorders>
          </w:tcPr>
          <w:p>
            <w:pPr>
              <w:spacing w:after="0"/>
              <w:rPr>
                <w:sz w:val="3"/>
                <w:szCs w:val="3"/>
                <w:color w:val="auto"/>
              </w:rPr>
            </w:pPr>
          </w:p>
        </w:tc>
        <w:tc>
          <w:tcPr>
            <w:tcW w:w="120" w:type="dxa"/>
            <w:vAlign w:val="bottom"/>
            <w:tcBorders>
              <w:bottom w:val="single" w:sz="8" w:color="53C072"/>
            </w:tcBorders>
          </w:tcPr>
          <w:p>
            <w:pPr>
              <w:spacing w:after="0"/>
              <w:rPr>
                <w:sz w:val="3"/>
                <w:szCs w:val="3"/>
                <w:color w:val="auto"/>
              </w:rPr>
            </w:pPr>
          </w:p>
        </w:tc>
        <w:tc>
          <w:tcPr>
            <w:tcW w:w="2420" w:type="dxa"/>
            <w:vAlign w:val="bottom"/>
            <w:tcBorders>
              <w:bottom w:val="single" w:sz="8" w:color="53C072"/>
              <w:right w:val="single" w:sz="8" w:color="53C072"/>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-1285240</wp:posOffset>
            </wp:positionV>
            <wp:extent cx="5537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96" w:lineRule="exact"/>
        <w:rPr>
          <w:sz w:val="20"/>
          <w:szCs w:val="20"/>
          <w:color w:val="auto"/>
        </w:rPr>
      </w:pPr>
    </w:p>
    <w:p>
      <w:pPr>
        <w:ind w:left="1000" w:right="659"/>
        <w:spacing w:after="0" w:line="253" w:lineRule="auto"/>
        <w:rPr>
          <w:sz w:val="20"/>
          <w:szCs w:val="20"/>
          <w:color w:val="auto"/>
        </w:rPr>
      </w:pPr>
      <w:r>
        <w:rPr>
          <w:rFonts w:ascii="Arial" w:cs="Arial" w:eastAsia="Arial" w:hAnsi="Arial"/>
          <w:sz w:val="18"/>
          <w:szCs w:val="18"/>
          <w:b w:val="1"/>
          <w:bCs w:val="1"/>
          <w:color w:val="53C072"/>
        </w:rPr>
        <w:t xml:space="preserve">Target Annual Cash Incentive. </w:t>
      </w:r>
      <w:r>
        <w:rPr>
          <w:rFonts w:ascii="Arial" w:cs="Arial" w:eastAsia="Arial" w:hAnsi="Arial"/>
          <w:sz w:val="18"/>
          <w:szCs w:val="18"/>
          <w:color w:val="000000"/>
        </w:rPr>
        <w:t>The Committee sets each NEO’s target incentive opportunity based on</w:t>
      </w:r>
      <w:r>
        <w:rPr>
          <w:rFonts w:ascii="Arial" w:cs="Arial" w:eastAsia="Arial" w:hAnsi="Arial"/>
          <w:sz w:val="18"/>
          <w:szCs w:val="18"/>
          <w:b w:val="1"/>
          <w:bCs w:val="1"/>
          <w:color w:val="53C072"/>
        </w:rPr>
        <w:t xml:space="preserve"> </w:t>
      </w:r>
      <w:r>
        <w:rPr>
          <w:rFonts w:ascii="Arial" w:cs="Arial" w:eastAsia="Arial" w:hAnsi="Arial"/>
          <w:sz w:val="18"/>
          <w:szCs w:val="18"/>
          <w:color w:val="000000"/>
        </w:rPr>
        <w:t>market competitive data, internal equity, and other factors. The annualized target annual cash incentive compensation for fiscal 2023 and fiscal 2024 for the NEOs is set forth in the following table:</w:t>
      </w:r>
    </w:p>
    <w:p>
      <w:pPr>
        <w:spacing w:after="0" w:line="16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66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NEO</w:t>
            </w:r>
          </w:p>
        </w:tc>
        <w:tc>
          <w:tcPr>
            <w:tcW w:w="1980" w:type="dxa"/>
            <w:vAlign w:val="bottom"/>
            <w:shd w:val="clear" w:color="auto" w:fill="53C072"/>
          </w:tcPr>
          <w:p>
            <w:pPr>
              <w:spacing w:after="0"/>
              <w:rPr>
                <w:sz w:val="19"/>
                <w:szCs w:val="19"/>
                <w:color w:val="auto"/>
              </w:rPr>
            </w:pPr>
          </w:p>
        </w:tc>
        <w:tc>
          <w:tcPr>
            <w:tcW w:w="840" w:type="dxa"/>
            <w:vAlign w:val="bottom"/>
            <w:shd w:val="clear" w:color="auto" w:fill="53C072"/>
          </w:tcPr>
          <w:p>
            <w:pPr>
              <w:jc w:val="right"/>
              <w:ind w:right="34"/>
              <w:spacing w:after="0"/>
              <w:rPr>
                <w:sz w:val="20"/>
                <w:szCs w:val="20"/>
                <w:color w:val="auto"/>
              </w:rPr>
            </w:pPr>
            <w:r>
              <w:rPr>
                <w:rFonts w:ascii="Arial" w:cs="Arial" w:eastAsia="Arial" w:hAnsi="Arial"/>
                <w:sz w:val="14"/>
                <w:szCs w:val="14"/>
                <w:b w:val="1"/>
                <w:bCs w:val="1"/>
                <w:color w:val="FEFEFE"/>
              </w:rPr>
              <w:t>FY 2023</w:t>
            </w:r>
          </w:p>
        </w:tc>
        <w:tc>
          <w:tcPr>
            <w:tcW w:w="300" w:type="dxa"/>
            <w:vAlign w:val="bottom"/>
            <w:shd w:val="clear" w:color="auto" w:fill="53C072"/>
          </w:tcPr>
          <w:p>
            <w:pPr>
              <w:spacing w:after="0"/>
              <w:rPr>
                <w:sz w:val="19"/>
                <w:szCs w:val="19"/>
                <w:color w:val="auto"/>
              </w:rPr>
            </w:pPr>
          </w:p>
        </w:tc>
        <w:tc>
          <w:tcPr>
            <w:tcW w:w="840" w:type="dxa"/>
            <w:vAlign w:val="bottom"/>
            <w:shd w:val="clear" w:color="auto" w:fill="53C072"/>
          </w:tcPr>
          <w:p>
            <w:pPr>
              <w:jc w:val="right"/>
              <w:ind w:right="14"/>
              <w:spacing w:after="0"/>
              <w:rPr>
                <w:sz w:val="20"/>
                <w:szCs w:val="20"/>
                <w:color w:val="auto"/>
              </w:rPr>
            </w:pPr>
            <w:r>
              <w:rPr>
                <w:rFonts w:ascii="Arial" w:cs="Arial" w:eastAsia="Arial" w:hAnsi="Arial"/>
                <w:sz w:val="14"/>
                <w:szCs w:val="14"/>
                <w:b w:val="1"/>
                <w:bCs w:val="1"/>
                <w:color w:val="FEFEFE"/>
              </w:rPr>
              <w:t>FY 2024</w:t>
            </w:r>
          </w:p>
        </w:tc>
        <w:tc>
          <w:tcPr>
            <w:tcW w:w="920" w:type="dxa"/>
            <w:vAlign w:val="bottom"/>
            <w:shd w:val="clear" w:color="auto" w:fill="53C072"/>
          </w:tcPr>
          <w:p>
            <w:pPr>
              <w:jc w:val="right"/>
              <w:ind w:right="33"/>
              <w:spacing w:after="0"/>
              <w:rPr>
                <w:sz w:val="20"/>
                <w:szCs w:val="20"/>
                <w:color w:val="auto"/>
              </w:rPr>
            </w:pPr>
            <w:r>
              <w:rPr>
                <w:rFonts w:ascii="Arial" w:cs="Arial" w:eastAsia="Arial" w:hAnsi="Arial"/>
                <w:sz w:val="14"/>
                <w:szCs w:val="14"/>
                <w:b w:val="1"/>
                <w:bCs w:val="1"/>
                <w:color w:val="FEFEFE"/>
              </w:rPr>
              <w:t>% Change</w:t>
            </w:r>
          </w:p>
        </w:tc>
        <w:tc>
          <w:tcPr>
            <w:tcW w:w="1220" w:type="dxa"/>
            <w:vAlign w:val="bottom"/>
            <w:shd w:val="clear" w:color="auto" w:fill="53C072"/>
          </w:tcPr>
          <w:p>
            <w:pPr>
              <w:jc w:val="right"/>
              <w:ind w:right="33"/>
              <w:spacing w:after="0"/>
              <w:rPr>
                <w:sz w:val="20"/>
                <w:szCs w:val="20"/>
                <w:color w:val="auto"/>
              </w:rPr>
            </w:pPr>
            <w:r>
              <w:rPr>
                <w:rFonts w:ascii="Arial" w:cs="Arial" w:eastAsia="Arial" w:hAnsi="Arial"/>
                <w:sz w:val="14"/>
                <w:szCs w:val="14"/>
                <w:b w:val="1"/>
                <w:bCs w:val="1"/>
                <w:color w:val="FEFEFE"/>
              </w:rPr>
              <w:t>% Base Salary</w:t>
            </w:r>
          </w:p>
        </w:tc>
      </w:tr>
      <w:tr>
        <w:trPr>
          <w:trHeight w:val="256"/>
        </w:trPr>
        <w:tc>
          <w:tcPr>
            <w:tcW w:w="2660" w:type="dxa"/>
            <w:vAlign w:val="bottom"/>
          </w:tcPr>
          <w:p>
            <w:pPr>
              <w:ind w:left="60"/>
              <w:spacing w:after="0"/>
              <w:rPr>
                <w:sz w:val="20"/>
                <w:szCs w:val="20"/>
                <w:color w:val="auto"/>
              </w:rPr>
            </w:pPr>
            <w:r>
              <w:rPr>
                <w:rFonts w:ascii="Arial" w:cs="Arial" w:eastAsia="Arial" w:hAnsi="Arial"/>
                <w:sz w:val="18"/>
                <w:szCs w:val="18"/>
                <w:color w:val="auto"/>
              </w:rPr>
              <w:t>​Gallagher</w:t>
            </w:r>
          </w:p>
        </w:tc>
        <w:tc>
          <w:tcPr>
            <w:tcW w:w="2820" w:type="dxa"/>
            <w:vAlign w:val="bottom"/>
            <w:gridSpan w:val="2"/>
          </w:tcPr>
          <w:p>
            <w:pPr>
              <w:jc w:val="right"/>
              <w:ind w:right="34"/>
              <w:spacing w:after="0"/>
              <w:rPr>
                <w:sz w:val="20"/>
                <w:szCs w:val="20"/>
                <w:color w:val="auto"/>
              </w:rPr>
            </w:pPr>
            <w:r>
              <w:rPr>
                <w:rFonts w:ascii="Arial" w:cs="Arial" w:eastAsia="Arial" w:hAnsi="Arial"/>
                <w:sz w:val="18"/>
                <w:szCs w:val="18"/>
                <w:color w:val="auto"/>
              </w:rPr>
              <w:t>​$1,725,000</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​$1,800,000</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150%</w:t>
            </w:r>
          </w:p>
        </w:tc>
      </w:tr>
      <w:tr>
        <w:trPr>
          <w:trHeight w:val="257"/>
        </w:trPr>
        <w:tc>
          <w:tcPr>
            <w:tcW w:w="2660" w:type="dxa"/>
            <w:vAlign w:val="bottom"/>
            <w:shd w:val="clear" w:color="auto" w:fill="CBECD5"/>
          </w:tcPr>
          <w:p>
            <w:pPr>
              <w:ind w:left="60"/>
              <w:spacing w:after="0"/>
              <w:rPr>
                <w:sz w:val="20"/>
                <w:szCs w:val="20"/>
                <w:color w:val="auto"/>
              </w:rPr>
            </w:pPr>
            <w:r>
              <w:rPr>
                <w:rFonts w:ascii="Arial" w:cs="Arial" w:eastAsia="Arial" w:hAnsi="Arial"/>
                <w:sz w:val="18"/>
                <w:szCs w:val="18"/>
                <w:color w:val="auto"/>
              </w:rPr>
              <w:t>​Jacobson</w:t>
            </w:r>
          </w:p>
        </w:tc>
        <w:tc>
          <w:tcPr>
            <w:tcW w:w="1980" w:type="dxa"/>
            <w:vAlign w:val="bottom"/>
            <w:shd w:val="clear" w:color="auto" w:fill="CBECD5"/>
          </w:tcPr>
          <w:p>
            <w:pPr>
              <w:ind w:left="17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442,708</w:t>
            </w:r>
          </w:p>
        </w:tc>
        <w:tc>
          <w:tcPr>
            <w:tcW w:w="30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14"/>
              <w:spacing w:after="0"/>
              <w:rPr>
                <w:sz w:val="20"/>
                <w:szCs w:val="20"/>
                <w:color w:val="auto"/>
              </w:rPr>
            </w:pPr>
            <w:r>
              <w:rPr>
                <w:rFonts w:ascii="Arial" w:cs="Arial" w:eastAsia="Arial" w:hAnsi="Arial"/>
                <w:sz w:val="18"/>
                <w:szCs w:val="18"/>
                <w:color w:val="auto"/>
              </w:rPr>
              <w:t>600,000</w:t>
            </w:r>
          </w:p>
        </w:tc>
        <w:tc>
          <w:tcPr>
            <w:tcW w:w="92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35.5%</w:t>
            </w:r>
          </w:p>
        </w:tc>
        <w:tc>
          <w:tcPr>
            <w:tcW w:w="122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100%</w:t>
            </w:r>
          </w:p>
        </w:tc>
      </w:tr>
      <w:tr>
        <w:trPr>
          <w:trHeight w:val="256"/>
        </w:trPr>
        <w:tc>
          <w:tcPr>
            <w:tcW w:w="2660" w:type="dxa"/>
            <w:vAlign w:val="bottom"/>
          </w:tcPr>
          <w:p>
            <w:pPr>
              <w:ind w:left="60"/>
              <w:spacing w:after="0"/>
              <w:rPr>
                <w:sz w:val="20"/>
                <w:szCs w:val="20"/>
                <w:color w:val="auto"/>
              </w:rPr>
            </w:pPr>
            <w:r>
              <w:rPr>
                <w:rFonts w:ascii="Arial" w:cs="Arial" w:eastAsia="Arial" w:hAnsi="Arial"/>
                <w:sz w:val="18"/>
                <w:szCs w:val="18"/>
                <w:color w:val="auto"/>
              </w:rPr>
              <w:t>​Arnold</w:t>
            </w:r>
          </w:p>
        </w:tc>
        <w:tc>
          <w:tcPr>
            <w:tcW w:w="1980" w:type="dxa"/>
            <w:vAlign w:val="bottom"/>
          </w:tcPr>
          <w:p>
            <w:pPr>
              <w:ind w:left="17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393,750</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420,000</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75%</w:t>
            </w:r>
          </w:p>
        </w:tc>
      </w:tr>
      <w:tr>
        <w:trPr>
          <w:trHeight w:val="257"/>
        </w:trPr>
        <w:tc>
          <w:tcPr>
            <w:tcW w:w="2660" w:type="dxa"/>
            <w:vAlign w:val="bottom"/>
            <w:shd w:val="clear" w:color="auto" w:fill="CBECD5"/>
          </w:tcPr>
          <w:p>
            <w:pPr>
              <w:ind w:left="60"/>
              <w:spacing w:after="0"/>
              <w:rPr>
                <w:sz w:val="20"/>
                <w:szCs w:val="20"/>
                <w:color w:val="auto"/>
              </w:rPr>
            </w:pPr>
            <w:r>
              <w:rPr>
                <w:rFonts w:ascii="Arial" w:cs="Arial" w:eastAsia="Arial" w:hAnsi="Arial"/>
                <w:sz w:val="18"/>
                <w:szCs w:val="18"/>
                <w:color w:val="auto"/>
              </w:rPr>
              <w:t>​Chan</w:t>
            </w:r>
          </w:p>
        </w:tc>
        <w:tc>
          <w:tcPr>
            <w:tcW w:w="1980" w:type="dxa"/>
            <w:vAlign w:val="bottom"/>
            <w:shd w:val="clear" w:color="auto" w:fill="CBECD5"/>
          </w:tcPr>
          <w:p>
            <w:pPr>
              <w:ind w:left="17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325,000</w:t>
            </w:r>
          </w:p>
        </w:tc>
        <w:tc>
          <w:tcPr>
            <w:tcW w:w="30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right"/>
              <w:ind w:right="14"/>
              <w:spacing w:after="0"/>
              <w:rPr>
                <w:sz w:val="20"/>
                <w:szCs w:val="20"/>
                <w:color w:val="auto"/>
              </w:rPr>
            </w:pPr>
            <w:r>
              <w:rPr>
                <w:rFonts w:ascii="Arial" w:cs="Arial" w:eastAsia="Arial" w:hAnsi="Arial"/>
                <w:sz w:val="18"/>
                <w:szCs w:val="18"/>
                <w:color w:val="auto"/>
              </w:rPr>
              <w:t>440,000</w:t>
            </w:r>
          </w:p>
        </w:tc>
        <w:tc>
          <w:tcPr>
            <w:tcW w:w="92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35.4%</w:t>
            </w:r>
          </w:p>
        </w:tc>
        <w:tc>
          <w:tcPr>
            <w:tcW w:w="1220" w:type="dxa"/>
            <w:vAlign w:val="bottom"/>
            <w:shd w:val="clear" w:color="auto" w:fill="CBECD5"/>
          </w:tcPr>
          <w:p>
            <w:pPr>
              <w:jc w:val="right"/>
              <w:ind w:right="33"/>
              <w:spacing w:after="0"/>
              <w:rPr>
                <w:sz w:val="20"/>
                <w:szCs w:val="20"/>
                <w:color w:val="auto"/>
              </w:rPr>
            </w:pPr>
            <w:r>
              <w:rPr>
                <w:rFonts w:ascii="Arial" w:cs="Arial" w:eastAsia="Arial" w:hAnsi="Arial"/>
                <w:sz w:val="18"/>
                <w:szCs w:val="18"/>
                <w:color w:val="auto"/>
              </w:rPr>
              <w:t>80%</w:t>
            </w:r>
          </w:p>
        </w:tc>
      </w:tr>
      <w:tr>
        <w:trPr>
          <w:trHeight w:val="290"/>
        </w:trPr>
        <w:tc>
          <w:tcPr>
            <w:tcW w:w="2660" w:type="dxa"/>
            <w:vAlign w:val="bottom"/>
            <w:tcBorders>
              <w:bottom w:val="single" w:sz="8" w:color="53C072"/>
            </w:tcBorders>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McCoy</w:t>
            </w:r>
          </w:p>
        </w:tc>
        <w:tc>
          <w:tcPr>
            <w:tcW w:w="1980" w:type="dxa"/>
            <w:vAlign w:val="bottom"/>
            <w:tcBorders>
              <w:bottom w:val="single" w:sz="8" w:color="53C072"/>
            </w:tcBorders>
          </w:tcPr>
          <w:p>
            <w:pPr>
              <w:ind w:left="17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w:t>
            </w:r>
          </w:p>
        </w:tc>
        <w:tc>
          <w:tcPr>
            <w:tcW w:w="840" w:type="dxa"/>
            <w:vAlign w:val="bottom"/>
            <w:tcBorders>
              <w:bottom w:val="single" w:sz="8" w:color="53C072"/>
            </w:tcBorders>
          </w:tcPr>
          <w:p>
            <w:pPr>
              <w:jc w:val="right"/>
              <w:ind w:right="34"/>
              <w:spacing w:after="0"/>
              <w:rPr>
                <w:sz w:val="20"/>
                <w:szCs w:val="20"/>
                <w:color w:val="auto"/>
              </w:rPr>
            </w:pPr>
            <w:r>
              <w:rPr>
                <w:rFonts w:ascii="Arial" w:cs="Arial" w:eastAsia="Arial" w:hAnsi="Arial"/>
                <w:sz w:val="18"/>
                <w:szCs w:val="18"/>
                <w:color w:val="auto"/>
              </w:rPr>
              <w:t>412,500</w:t>
            </w:r>
          </w:p>
        </w:tc>
        <w:tc>
          <w:tcPr>
            <w:tcW w:w="300" w:type="dxa"/>
            <w:vAlign w:val="bottom"/>
            <w:tcBorders>
              <w:bottom w:val="single" w:sz="8" w:color="53C072"/>
            </w:tcBorders>
          </w:tcPr>
          <w:p>
            <w:pPr>
              <w:ind w:left="1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w:t>
            </w:r>
          </w:p>
        </w:tc>
        <w:tc>
          <w:tcPr>
            <w:tcW w:w="840" w:type="dxa"/>
            <w:vAlign w:val="bottom"/>
            <w:tcBorders>
              <w:bottom w:val="single" w:sz="8" w:color="53C072"/>
            </w:tcBorders>
          </w:tcPr>
          <w:p>
            <w:pPr>
              <w:jc w:val="right"/>
              <w:ind w:right="14"/>
              <w:spacing w:after="0"/>
              <w:rPr>
                <w:sz w:val="20"/>
                <w:szCs w:val="20"/>
                <w:color w:val="auto"/>
              </w:rPr>
            </w:pPr>
            <w:r>
              <w:rPr>
                <w:rFonts w:ascii="Arial" w:cs="Arial" w:eastAsia="Arial" w:hAnsi="Arial"/>
                <w:sz w:val="18"/>
                <w:szCs w:val="18"/>
                <w:color w:val="auto"/>
              </w:rPr>
              <w:t>476,000</w:t>
            </w:r>
          </w:p>
        </w:tc>
        <w:tc>
          <w:tcPr>
            <w:tcW w:w="920" w:type="dxa"/>
            <w:vAlign w:val="bottom"/>
            <w:tcBorders>
              <w:bottom w:val="single" w:sz="8" w:color="53C072"/>
            </w:tcBorders>
          </w:tcPr>
          <w:p>
            <w:pPr>
              <w:jc w:val="right"/>
              <w:ind w:right="33"/>
              <w:spacing w:after="0"/>
              <w:rPr>
                <w:sz w:val="20"/>
                <w:szCs w:val="20"/>
                <w:color w:val="auto"/>
              </w:rPr>
            </w:pPr>
            <w:r>
              <w:rPr>
                <w:rFonts w:ascii="Arial" w:cs="Arial" w:eastAsia="Arial" w:hAnsi="Arial"/>
                <w:sz w:val="18"/>
                <w:szCs w:val="18"/>
                <w:color w:val="auto"/>
              </w:rPr>
              <w:t>15.4%</w:t>
            </w:r>
          </w:p>
        </w:tc>
        <w:tc>
          <w:tcPr>
            <w:tcW w:w="1220" w:type="dxa"/>
            <w:vAlign w:val="bottom"/>
            <w:tcBorders>
              <w:bottom w:val="single" w:sz="8" w:color="53C072"/>
            </w:tcBorders>
          </w:tcPr>
          <w:p>
            <w:pPr>
              <w:jc w:val="right"/>
              <w:ind w:right="33"/>
              <w:spacing w:after="0"/>
              <w:rPr>
                <w:sz w:val="20"/>
                <w:szCs w:val="20"/>
                <w:color w:val="auto"/>
              </w:rPr>
            </w:pPr>
            <w:r>
              <w:rPr>
                <w:rFonts w:ascii="Arial" w:cs="Arial" w:eastAsia="Arial" w:hAnsi="Arial"/>
                <w:sz w:val="18"/>
                <w:szCs w:val="18"/>
                <w:color w:val="auto"/>
              </w:rPr>
              <w:t>80%</w:t>
            </w:r>
          </w:p>
        </w:tc>
      </w:tr>
    </w:tbl>
    <w:p>
      <w:pPr>
        <w:spacing w:after="0" w:line="76" w:lineRule="exact"/>
        <w:rPr>
          <w:sz w:val="20"/>
          <w:szCs w:val="20"/>
          <w:color w:val="auto"/>
        </w:rPr>
      </w:pPr>
    </w:p>
    <w:p>
      <w:pPr>
        <w:ind w:left="1000" w:right="159"/>
        <w:spacing w:after="0" w:line="246" w:lineRule="auto"/>
        <w:rPr>
          <w:sz w:val="20"/>
          <w:szCs w:val="20"/>
          <w:color w:val="auto"/>
        </w:rPr>
      </w:pPr>
      <w:r>
        <w:rPr>
          <w:rFonts w:ascii="Arial" w:cs="Arial" w:eastAsia="Arial" w:hAnsi="Arial"/>
          <w:sz w:val="18"/>
          <w:szCs w:val="18"/>
          <w:b w:val="1"/>
          <w:bCs w:val="1"/>
          <w:color w:val="53C072"/>
        </w:rPr>
        <w:t xml:space="preserve">Financial Performance Metrics. </w:t>
      </w:r>
      <w:r>
        <w:rPr>
          <w:rFonts w:ascii="Arial" w:cs="Arial" w:eastAsia="Arial" w:hAnsi="Arial"/>
          <w:sz w:val="18"/>
          <w:szCs w:val="18"/>
          <w:color w:val="000000"/>
        </w:rPr>
        <w:t>For NEOs, 80% of their target annual cash incentive compensation was tied</w:t>
      </w:r>
      <w:r>
        <w:rPr>
          <w:rFonts w:ascii="Arial" w:cs="Arial" w:eastAsia="Arial" w:hAnsi="Arial"/>
          <w:sz w:val="18"/>
          <w:szCs w:val="18"/>
          <w:b w:val="1"/>
          <w:bCs w:val="1"/>
          <w:color w:val="53C072"/>
        </w:rPr>
        <w:t xml:space="preserve"> </w:t>
      </w:r>
      <w:r>
        <w:rPr>
          <w:rFonts w:ascii="Arial" w:cs="Arial" w:eastAsia="Arial" w:hAnsi="Arial"/>
          <w:sz w:val="18"/>
          <w:szCs w:val="18"/>
          <w:color w:val="000000"/>
        </w:rPr>
        <w:t>to the achievement of financial performance goals. Such goals are reviewed in conjunction with the Company’s budget for the upcoming fiscal year. When determining the goals, the Board seeks to ensure that they are fair, challenging, and forward-looking, without encouraging excessive risk-taking. Additionally, when determining the fiscal 2024 budget for executive compensation, the Board considered the Company’s results in fiscal 2023, projected growth, and the operating environment as projected by industry analysts. At its August 29, 2023 meeting, the Committee or the Board, as appropriate, finalized the financial performance goals and the target cash incentive compensation relating to such financial performance goals.</w:t>
      </w:r>
    </w:p>
    <w:p>
      <w:pPr>
        <w:spacing w:after="0" w:line="11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Financial performance goals were based on the percentage achievement of the Company’s fiscal 2024:</w:t>
      </w:r>
    </w:p>
    <w:p>
      <w:pPr>
        <w:spacing w:after="0" w:line="14" w:lineRule="exact"/>
        <w:rPr>
          <w:sz w:val="20"/>
          <w:szCs w:val="20"/>
          <w:color w:val="auto"/>
        </w:rPr>
      </w:pPr>
    </w:p>
    <w:p>
      <w:pPr>
        <w:ind w:left="1000" w:right="139" w:hanging="10"/>
        <w:spacing w:after="0" w:line="245" w:lineRule="auto"/>
        <w:tabs>
          <w:tab w:leader="none" w:pos="1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Operating Income Dollars (“OI$”), (2) Return on Working Capital (“ROWC”) and (3) Relative Market Share. These goals reinforced the focus on profitable growth by rewarding growth in operating income while maintaining an appropriate amount of sensitivity to the developments in gross margin and efficiency in the use of working capital. For purposes of the fiscal 2024 awards, definitions are as follows:</w:t>
      </w:r>
    </w:p>
    <w:p>
      <w:pPr>
        <w:spacing w:after="0" w:line="68" w:lineRule="exact"/>
        <w:rPr>
          <w:rFonts w:ascii="Arial" w:cs="Arial" w:eastAsia="Arial" w:hAnsi="Arial"/>
          <w:sz w:val="18"/>
          <w:szCs w:val="18"/>
          <w:color w:val="auto"/>
        </w:rPr>
      </w:pPr>
    </w:p>
    <w:p>
      <w:pPr>
        <w:ind w:left="1980" w:right="359" w:hanging="270"/>
        <w:spacing w:after="0" w:line="268" w:lineRule="auto"/>
        <w:tabs>
          <w:tab w:leader="none" w:pos="1980" w:val="left"/>
        </w:tabs>
        <w:numPr>
          <w:ilvl w:val="1"/>
          <w:numId w:val="46"/>
        </w:numPr>
        <w:rPr>
          <w:rFonts w:ascii="Arial" w:cs="Arial" w:eastAsia="Arial" w:hAnsi="Arial"/>
          <w:sz w:val="18"/>
          <w:szCs w:val="18"/>
          <w:color w:val="53C072"/>
        </w:rPr>
      </w:pPr>
      <w:r>
        <w:rPr>
          <w:rFonts w:ascii="Arial" w:cs="Arial" w:eastAsia="Arial" w:hAnsi="Arial"/>
          <w:sz w:val="18"/>
          <w:szCs w:val="18"/>
          <w:color w:val="auto"/>
        </w:rPr>
        <w:t>ROWC is defined as adjusted operating income divided by the quarterly average of working capital. Working capital is defined as total accounts receivable plus net inventories less accounts payable.</w:t>
      </w:r>
    </w:p>
    <w:p>
      <w:pPr>
        <w:spacing w:after="0" w:line="1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48     </w:t>
      </w:r>
      <w:r>
        <w:rPr>
          <w:sz w:val="1"/>
          <w:szCs w:val="1"/>
          <w:color w:val="auto"/>
        </w:rPr>
        <w:drawing>
          <wp:inline distT="0" distB="0" distL="0" distR="0">
            <wp:extent cx="1242695" cy="24003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980" w:right="579" w:hanging="270"/>
        <w:spacing w:after="0" w:line="287" w:lineRule="auto"/>
        <w:tabs>
          <w:tab w:leader="none" w:pos="1980" w:val="left"/>
        </w:tabs>
        <w:numPr>
          <w:ilvl w:val="0"/>
          <w:numId w:val="47"/>
        </w:numPr>
        <w:rPr>
          <w:rFonts w:ascii="Arial" w:cs="Arial" w:eastAsia="Arial" w:hAnsi="Arial"/>
          <w:sz w:val="18"/>
          <w:szCs w:val="18"/>
          <w:color w:val="53C072"/>
        </w:rPr>
      </w:pPr>
      <w:r>
        <w:rPr>
          <w:rFonts w:ascii="Arial" w:cs="Arial" w:eastAsia="Arial" w:hAnsi="Arial"/>
          <w:sz w:val="18"/>
          <w:szCs w:val="18"/>
          <w:color w:val="auto"/>
        </w:rPr>
        <w:t>Relative market share measures the Company’s organic sales growth in constant currency as compared to its main competitor in its components business.</w:t>
      </w:r>
    </w:p>
    <w:p>
      <w:pPr>
        <w:spacing w:after="0" w:line="85" w:lineRule="exact"/>
        <w:rPr>
          <w:sz w:val="20"/>
          <w:szCs w:val="20"/>
          <w:color w:val="auto"/>
        </w:rPr>
      </w:pPr>
    </w:p>
    <w:p>
      <w:pPr>
        <w:ind w:left="1000" w:right="179"/>
        <w:spacing w:after="0" w:line="261" w:lineRule="auto"/>
        <w:rPr>
          <w:sz w:val="20"/>
          <w:szCs w:val="20"/>
          <w:color w:val="auto"/>
        </w:rPr>
      </w:pPr>
      <w:r>
        <w:rPr>
          <w:rFonts w:ascii="Arial" w:cs="Arial" w:eastAsia="Arial" w:hAnsi="Arial"/>
          <w:sz w:val="18"/>
          <w:szCs w:val="18"/>
          <w:color w:val="auto"/>
        </w:rPr>
        <w:t>Maximum annual cash incentive compensation relating to the financial performance goals was capped at 200% of target and no cash incentive compensation would be earned for such measures if actual performance was less than 80% of the financial targets.</w:t>
      </w:r>
    </w:p>
    <w:p>
      <w:pPr>
        <w:spacing w:after="0" w:line="94" w:lineRule="exact"/>
        <w:rPr>
          <w:sz w:val="20"/>
          <w:szCs w:val="20"/>
          <w:color w:val="auto"/>
        </w:rPr>
      </w:pPr>
    </w:p>
    <w:p>
      <w:pPr>
        <w:ind w:left="1000" w:right="459"/>
        <w:spacing w:after="0" w:line="271" w:lineRule="auto"/>
        <w:rPr>
          <w:sz w:val="20"/>
          <w:szCs w:val="20"/>
          <w:color w:val="auto"/>
        </w:rPr>
      </w:pPr>
      <w:r>
        <w:rPr>
          <w:rFonts w:ascii="Arial" w:cs="Arial" w:eastAsia="Arial" w:hAnsi="Arial"/>
          <w:sz w:val="18"/>
          <w:szCs w:val="18"/>
          <w:b w:val="1"/>
          <w:bCs w:val="1"/>
          <w:color w:val="53C072"/>
        </w:rPr>
        <w:t xml:space="preserve">Non-Financial Performance Metrics. </w:t>
      </w:r>
      <w:r>
        <w:rPr>
          <w:rFonts w:ascii="Arial" w:cs="Arial" w:eastAsia="Arial" w:hAnsi="Arial"/>
          <w:sz w:val="18"/>
          <w:szCs w:val="18"/>
          <w:color w:val="000000"/>
        </w:rPr>
        <w:t>For NEOs, 20% of their target annual cash incentive compensation</w:t>
      </w:r>
      <w:r>
        <w:rPr>
          <w:rFonts w:ascii="Arial" w:cs="Arial" w:eastAsia="Arial" w:hAnsi="Arial"/>
          <w:sz w:val="18"/>
          <w:szCs w:val="18"/>
          <w:b w:val="1"/>
          <w:bCs w:val="1"/>
          <w:color w:val="53C072"/>
        </w:rPr>
        <w:t xml:space="preserve"> </w:t>
      </w:r>
      <w:r>
        <w:rPr>
          <w:rFonts w:ascii="Arial" w:cs="Arial" w:eastAsia="Arial" w:hAnsi="Arial"/>
          <w:sz w:val="18"/>
          <w:szCs w:val="18"/>
          <w:color w:val="000000"/>
        </w:rPr>
        <w:t>was tied to the individual achievement of non-financial performance goals regarding:</w:t>
      </w:r>
    </w:p>
    <w:p>
      <w:pPr>
        <w:spacing w:after="0" w:line="46" w:lineRule="exact"/>
        <w:rPr>
          <w:sz w:val="20"/>
          <w:szCs w:val="20"/>
          <w:color w:val="auto"/>
        </w:rPr>
      </w:pPr>
    </w:p>
    <w:p>
      <w:pPr>
        <w:ind w:left="1980" w:hanging="270"/>
        <w:spacing w:after="0"/>
        <w:tabs>
          <w:tab w:leader="none" w:pos="1980" w:val="left"/>
        </w:tabs>
        <w:numPr>
          <w:ilvl w:val="0"/>
          <w:numId w:val="48"/>
        </w:numPr>
        <w:rPr>
          <w:rFonts w:ascii="Arial" w:cs="Arial" w:eastAsia="Arial" w:hAnsi="Arial"/>
          <w:sz w:val="18"/>
          <w:szCs w:val="18"/>
          <w:color w:val="53C072"/>
        </w:rPr>
      </w:pPr>
      <w:r>
        <w:rPr>
          <w:rFonts w:ascii="Arial" w:cs="Arial" w:eastAsia="Arial" w:hAnsi="Arial"/>
          <w:sz w:val="18"/>
          <w:szCs w:val="18"/>
          <w:color w:val="auto"/>
        </w:rPr>
        <w:t>Diverse Representation</w:t>
      </w:r>
    </w:p>
    <w:p>
      <w:pPr>
        <w:spacing w:after="0" w:line="90" w:lineRule="exact"/>
        <w:rPr>
          <w:rFonts w:ascii="Arial" w:cs="Arial" w:eastAsia="Arial" w:hAnsi="Arial"/>
          <w:sz w:val="18"/>
          <w:szCs w:val="18"/>
          <w:color w:val="53C072"/>
        </w:rPr>
      </w:pPr>
    </w:p>
    <w:p>
      <w:pPr>
        <w:ind w:left="1980" w:hanging="270"/>
        <w:spacing w:after="0"/>
        <w:tabs>
          <w:tab w:leader="none" w:pos="1980" w:val="left"/>
        </w:tabs>
        <w:numPr>
          <w:ilvl w:val="0"/>
          <w:numId w:val="48"/>
        </w:numPr>
        <w:rPr>
          <w:rFonts w:ascii="Arial" w:cs="Arial" w:eastAsia="Arial" w:hAnsi="Arial"/>
          <w:sz w:val="18"/>
          <w:szCs w:val="18"/>
          <w:color w:val="53C072"/>
        </w:rPr>
      </w:pPr>
      <w:r>
        <w:rPr>
          <w:rFonts w:ascii="Arial" w:cs="Arial" w:eastAsia="Arial" w:hAnsi="Arial"/>
          <w:sz w:val="18"/>
          <w:szCs w:val="18"/>
          <w:color w:val="auto"/>
        </w:rPr>
        <w:t>Employee Engagement</w:t>
      </w:r>
    </w:p>
    <w:p>
      <w:pPr>
        <w:spacing w:after="0" w:line="103" w:lineRule="exact"/>
        <w:rPr>
          <w:rFonts w:ascii="Arial" w:cs="Arial" w:eastAsia="Arial" w:hAnsi="Arial"/>
          <w:sz w:val="18"/>
          <w:szCs w:val="18"/>
          <w:color w:val="53C072"/>
        </w:rPr>
      </w:pPr>
    </w:p>
    <w:p>
      <w:pPr>
        <w:ind w:left="1980" w:hanging="270"/>
        <w:spacing w:after="0"/>
        <w:tabs>
          <w:tab w:leader="none" w:pos="1980" w:val="left"/>
        </w:tabs>
        <w:numPr>
          <w:ilvl w:val="0"/>
          <w:numId w:val="48"/>
        </w:numPr>
        <w:rPr>
          <w:rFonts w:ascii="Arial" w:cs="Arial" w:eastAsia="Arial" w:hAnsi="Arial"/>
          <w:sz w:val="18"/>
          <w:szCs w:val="18"/>
          <w:color w:val="53C072"/>
        </w:rPr>
      </w:pPr>
      <w:r>
        <w:rPr>
          <w:rFonts w:ascii="Arial" w:cs="Arial" w:eastAsia="Arial" w:hAnsi="Arial"/>
          <w:sz w:val="18"/>
          <w:szCs w:val="18"/>
          <w:color w:val="auto"/>
        </w:rPr>
        <w:t>Talent Retention</w:t>
      </w:r>
    </w:p>
    <w:p>
      <w:pPr>
        <w:spacing w:after="0" w:line="144" w:lineRule="exact"/>
        <w:rPr>
          <w:sz w:val="20"/>
          <w:szCs w:val="20"/>
          <w:color w:val="auto"/>
        </w:rPr>
      </w:pPr>
    </w:p>
    <w:p>
      <w:pPr>
        <w:ind w:left="1000" w:right="159"/>
        <w:spacing w:after="0" w:line="248" w:lineRule="auto"/>
        <w:rPr>
          <w:sz w:val="20"/>
          <w:szCs w:val="20"/>
          <w:color w:val="auto"/>
        </w:rPr>
      </w:pPr>
      <w:r>
        <w:rPr>
          <w:rFonts w:ascii="Arial" w:cs="Arial" w:eastAsia="Arial" w:hAnsi="Arial"/>
          <w:sz w:val="18"/>
          <w:szCs w:val="18"/>
          <w:color w:val="auto"/>
        </w:rPr>
        <w:t>The CEO communicated these focus areas and the desired behaviors and activities associated with them to the NEOs. At the end of the year, the CEO reviews each NEO, other than himself, against these focus areas. The CEO reviews and discusses these results with each NEO prior to making the recommendations to the Committee. Based on these and other factors, the CEO will recommend the percentage of achievement for each NEO to the Committee. Maximum annual cash incentive compensation relating to the non-financial performance goals was capped at 200% of target.</w:t>
      </w:r>
    </w:p>
    <w:p>
      <w:pPr>
        <w:spacing w:after="0" w:line="107" w:lineRule="exact"/>
        <w:rPr>
          <w:sz w:val="20"/>
          <w:szCs w:val="20"/>
          <w:color w:val="auto"/>
        </w:rPr>
      </w:pPr>
    </w:p>
    <w:p>
      <w:pPr>
        <w:ind w:left="1000" w:right="799"/>
        <w:spacing w:after="0" w:line="271" w:lineRule="auto"/>
        <w:rPr>
          <w:sz w:val="20"/>
          <w:szCs w:val="20"/>
          <w:color w:val="auto"/>
        </w:rPr>
      </w:pPr>
      <w:r>
        <w:rPr>
          <w:rFonts w:ascii="Arial" w:cs="Arial" w:eastAsia="Arial" w:hAnsi="Arial"/>
          <w:sz w:val="18"/>
          <w:szCs w:val="18"/>
          <w:b w:val="1"/>
          <w:bCs w:val="1"/>
          <w:color w:val="53C072"/>
        </w:rPr>
        <w:t xml:space="preserve">Fiscal 2024 Goals. </w:t>
      </w:r>
      <w:r>
        <w:rPr>
          <w:rFonts w:ascii="Arial" w:cs="Arial" w:eastAsia="Arial" w:hAnsi="Arial"/>
          <w:sz w:val="18"/>
          <w:szCs w:val="18"/>
          <w:color w:val="000000"/>
        </w:rPr>
        <w:t>The fiscal 2024 financial performance metrics, weightings, goals, and methods for</w:t>
      </w:r>
      <w:r>
        <w:rPr>
          <w:rFonts w:ascii="Arial" w:cs="Arial" w:eastAsia="Arial" w:hAnsi="Arial"/>
          <w:sz w:val="18"/>
          <w:szCs w:val="18"/>
          <w:b w:val="1"/>
          <w:bCs w:val="1"/>
          <w:color w:val="53C072"/>
        </w:rPr>
        <w:t xml:space="preserve"> </w:t>
      </w:r>
      <w:r>
        <w:rPr>
          <w:rFonts w:ascii="Arial" w:cs="Arial" w:eastAsia="Arial" w:hAnsi="Arial"/>
          <w:sz w:val="18"/>
          <w:szCs w:val="18"/>
          <w:color w:val="000000"/>
        </w:rPr>
        <w:t>calculation are presented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92075</wp:posOffset>
            </wp:positionV>
            <wp:extent cx="5554980" cy="5657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54980" cy="565785"/>
                    </a:xfrm>
                    <a:prstGeom prst="rect">
                      <a:avLst/>
                    </a:prstGeom>
                    <a:noFill/>
                  </pic:spPr>
                </pic:pic>
              </a:graphicData>
            </a:graphic>
          </wp:anchor>
        </w:drawing>
      </w:r>
    </w:p>
    <w:p>
      <w:pPr>
        <w:spacing w:after="0" w:line="224"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FEFEFE"/>
        </w:rPr>
        <w:t>Fiscal 2024</w:t>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FEFEFE"/>
        </w:rPr>
        <w:t>Adjusted OI$ Goals</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FEFEFE"/>
        </w:rPr>
        <w:t>40% Weighting</w:t>
      </w:r>
    </w:p>
    <w:p>
      <w:pPr>
        <w:spacing w:after="0" w:line="41" w:lineRule="exact"/>
        <w:rPr>
          <w:sz w:val="20"/>
          <w:szCs w:val="20"/>
          <w:color w:val="auto"/>
        </w:rPr>
      </w:pPr>
    </w:p>
    <w:tbl>
      <w:tblPr>
        <w:tblLayout w:type="fixed"/>
        <w:tblInd w:w="990" w:type="dxa"/>
        <w:tblCellMar>
          <w:top w:w="0" w:type="dxa"/>
          <w:left w:w="0" w:type="dxa"/>
          <w:bottom w:w="0" w:type="dxa"/>
          <w:right w:w="0" w:type="dxa"/>
        </w:tblCellMar>
      </w:tblPr>
      <w:tr>
        <w:trPr>
          <w:trHeight w:val="252"/>
        </w:trPr>
        <w:tc>
          <w:tcPr>
            <w:tcW w:w="220" w:type="dxa"/>
            <w:vAlign w:val="bottom"/>
            <w:tcBorders>
              <w:left w:val="single" w:sz="8" w:color="53C072"/>
            </w:tcBorders>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shd w:val="clear" w:color="auto" w:fill="53C072"/>
          </w:tcPr>
          <w:p>
            <w:pPr>
              <w:spacing w:after="0"/>
              <w:rPr>
                <w:sz w:val="21"/>
                <w:szCs w:val="21"/>
                <w:color w:val="auto"/>
              </w:rPr>
            </w:pPr>
          </w:p>
        </w:tc>
        <w:tc>
          <w:tcPr>
            <w:tcW w:w="320" w:type="dxa"/>
            <w:vAlign w:val="bottom"/>
            <w:gridSpan w:val="2"/>
            <w:shd w:val="clear" w:color="auto" w:fill="53C072"/>
          </w:tcPr>
          <w:p>
            <w:pPr>
              <w:ind w:left="40"/>
              <w:spacing w:after="0"/>
              <w:rPr>
                <w:sz w:val="20"/>
                <w:szCs w:val="20"/>
                <w:color w:val="auto"/>
              </w:rPr>
            </w:pPr>
            <w:r>
              <w:rPr>
                <w:rFonts w:ascii="Arial" w:cs="Arial" w:eastAsia="Arial" w:hAnsi="Arial"/>
                <w:sz w:val="14"/>
                <w:szCs w:val="14"/>
                <w:b w:val="1"/>
                <w:bCs w:val="1"/>
                <w:color w:val="FEFEFE"/>
              </w:rPr>
              <w:t>​ ​</w:t>
            </w:r>
          </w:p>
        </w:tc>
        <w:tc>
          <w:tcPr>
            <w:tcW w:w="280" w:type="dxa"/>
            <w:vAlign w:val="bottom"/>
            <w:tcBorders>
              <w:right w:val="single" w:sz="8" w:color="53C072"/>
            </w:tcBorders>
            <w:shd w:val="clear" w:color="auto" w:fill="53C072"/>
          </w:tcPr>
          <w:p>
            <w:pPr>
              <w:spacing w:after="0"/>
              <w:rPr>
                <w:sz w:val="21"/>
                <w:szCs w:val="21"/>
                <w:color w:val="auto"/>
              </w:rPr>
            </w:pPr>
          </w:p>
        </w:tc>
        <w:tc>
          <w:tcPr>
            <w:tcW w:w="100" w:type="dxa"/>
            <w:vAlign w:val="bottom"/>
            <w:shd w:val="clear" w:color="auto" w:fill="53C072"/>
          </w:tcPr>
          <w:p>
            <w:pPr>
              <w:spacing w:after="0"/>
              <w:rPr>
                <w:sz w:val="21"/>
                <w:szCs w:val="21"/>
                <w:color w:val="auto"/>
              </w:rPr>
            </w:pPr>
          </w:p>
        </w:tc>
        <w:tc>
          <w:tcPr>
            <w:tcW w:w="1460" w:type="dxa"/>
            <w:vAlign w:val="bottom"/>
            <w:gridSpan w:val="3"/>
            <w:shd w:val="clear" w:color="auto" w:fill="53C072"/>
          </w:tcPr>
          <w:p>
            <w:pPr>
              <w:jc w:val="center"/>
              <w:ind w:right="430"/>
              <w:spacing w:after="0"/>
              <w:rPr>
                <w:sz w:val="20"/>
                <w:szCs w:val="20"/>
                <w:color w:val="auto"/>
              </w:rPr>
            </w:pPr>
            <w:r>
              <w:rPr>
                <w:rFonts w:ascii="Arial" w:cs="Arial" w:eastAsia="Arial" w:hAnsi="Arial"/>
                <w:sz w:val="14"/>
                <w:szCs w:val="14"/>
                <w:b w:val="1"/>
                <w:bCs w:val="1"/>
                <w:color w:val="FEFEFE"/>
              </w:rPr>
              <w:t>% Attainment</w:t>
            </w:r>
          </w:p>
        </w:tc>
        <w:tc>
          <w:tcPr>
            <w:tcW w:w="200" w:type="dxa"/>
            <w:vAlign w:val="bottom"/>
            <w:gridSpan w:val="2"/>
            <w:shd w:val="clear" w:color="auto" w:fill="53C072"/>
          </w:tcPr>
          <w:p>
            <w:pPr>
              <w:ind w:left="40"/>
              <w:spacing w:after="0"/>
              <w:rPr>
                <w:sz w:val="20"/>
                <w:szCs w:val="20"/>
                <w:color w:val="auto"/>
              </w:rPr>
            </w:pPr>
            <w:r>
              <w:rPr>
                <w:rFonts w:ascii="Arial" w:cs="Arial" w:eastAsia="Arial" w:hAnsi="Arial"/>
                <w:sz w:val="14"/>
                <w:szCs w:val="14"/>
                <w:b w:val="1"/>
                <w:bCs w:val="1"/>
                <w:color w:val="FEFEFE"/>
              </w:rPr>
              <w:t>​ ​</w:t>
            </w:r>
          </w:p>
        </w:tc>
        <w:tc>
          <w:tcPr>
            <w:tcW w:w="380" w:type="dxa"/>
            <w:vAlign w:val="bottom"/>
            <w:tcBorders>
              <w:right w:val="single" w:sz="8" w:color="53C072"/>
            </w:tcBorders>
            <w:shd w:val="clear" w:color="auto" w:fill="53C072"/>
          </w:tcPr>
          <w:p>
            <w:pPr>
              <w:spacing w:after="0"/>
              <w:rPr>
                <w:sz w:val="21"/>
                <w:szCs w:val="21"/>
                <w:color w:val="auto"/>
              </w:rPr>
            </w:pPr>
          </w:p>
        </w:tc>
        <w:tc>
          <w:tcPr>
            <w:tcW w:w="100" w:type="dxa"/>
            <w:vAlign w:val="bottom"/>
            <w:shd w:val="clear" w:color="auto" w:fill="53C072"/>
          </w:tcPr>
          <w:p>
            <w:pPr>
              <w:spacing w:after="0"/>
              <w:rPr>
                <w:sz w:val="21"/>
                <w:szCs w:val="21"/>
                <w:color w:val="auto"/>
              </w:rPr>
            </w:pPr>
          </w:p>
        </w:tc>
        <w:tc>
          <w:tcPr>
            <w:tcW w:w="1480" w:type="dxa"/>
            <w:vAlign w:val="bottom"/>
            <w:shd w:val="clear" w:color="auto" w:fill="53C072"/>
          </w:tcPr>
          <w:p>
            <w:pPr>
              <w:jc w:val="center"/>
              <w:ind w:right="398"/>
              <w:spacing w:after="0"/>
              <w:rPr>
                <w:sz w:val="20"/>
                <w:szCs w:val="20"/>
                <w:color w:val="auto"/>
              </w:rPr>
            </w:pPr>
            <w:r>
              <w:rPr>
                <w:rFonts w:ascii="Arial" w:cs="Arial" w:eastAsia="Arial" w:hAnsi="Arial"/>
                <w:sz w:val="14"/>
                <w:szCs w:val="14"/>
                <w:b w:val="1"/>
                <w:bCs w:val="1"/>
                <w:color w:val="FEFEFE"/>
              </w:rPr>
              <w:t>Adjusted OI$</w:t>
            </w:r>
          </w:p>
        </w:tc>
        <w:tc>
          <w:tcPr>
            <w:tcW w:w="300" w:type="dxa"/>
            <w:vAlign w:val="bottom"/>
            <w:gridSpan w:val="2"/>
            <w:shd w:val="clear" w:color="auto" w:fill="53C072"/>
          </w:tcPr>
          <w:p>
            <w:pPr>
              <w:jc w:val="right"/>
              <w:ind w:right="10"/>
              <w:spacing w:after="0"/>
              <w:rPr>
                <w:sz w:val="20"/>
                <w:szCs w:val="20"/>
                <w:color w:val="auto"/>
              </w:rPr>
            </w:pPr>
            <w:r>
              <w:rPr>
                <w:rFonts w:ascii="Arial" w:cs="Arial" w:eastAsia="Arial" w:hAnsi="Arial"/>
                <w:sz w:val="14"/>
                <w:szCs w:val="14"/>
                <w:b w:val="1"/>
                <w:bCs w:val="1"/>
                <w:color w:val="FEFEFE"/>
              </w:rPr>
              <w:t>​ ​</w:t>
            </w:r>
          </w:p>
        </w:tc>
        <w:tc>
          <w:tcPr>
            <w:tcW w:w="140" w:type="dxa"/>
            <w:vAlign w:val="bottom"/>
            <w:tcBorders>
              <w:right w:val="single" w:sz="8" w:color="53C072"/>
            </w:tcBorders>
            <w:shd w:val="clear" w:color="auto" w:fill="53C072"/>
          </w:tcPr>
          <w:p>
            <w:pPr>
              <w:spacing w:after="0"/>
              <w:rPr>
                <w:sz w:val="21"/>
                <w:szCs w:val="21"/>
                <w:color w:val="auto"/>
              </w:rPr>
            </w:pPr>
          </w:p>
        </w:tc>
        <w:tc>
          <w:tcPr>
            <w:tcW w:w="80" w:type="dxa"/>
            <w:vAlign w:val="bottom"/>
            <w:shd w:val="clear" w:color="auto" w:fill="53C072"/>
          </w:tcPr>
          <w:p>
            <w:pPr>
              <w:spacing w:after="0"/>
              <w:rPr>
                <w:sz w:val="21"/>
                <w:szCs w:val="21"/>
                <w:color w:val="auto"/>
              </w:rPr>
            </w:pPr>
          </w:p>
        </w:tc>
        <w:tc>
          <w:tcPr>
            <w:tcW w:w="2800" w:type="dxa"/>
            <w:vAlign w:val="bottom"/>
            <w:tcBorders>
              <w:right w:val="single" w:sz="8" w:color="53C072"/>
            </w:tcBorders>
            <w:shd w:val="clear" w:color="auto" w:fill="53C072"/>
          </w:tcPr>
          <w:p>
            <w:pPr>
              <w:jc w:val="center"/>
              <w:ind w:right="293"/>
              <w:spacing w:after="0"/>
              <w:rPr>
                <w:sz w:val="20"/>
                <w:szCs w:val="20"/>
                <w:color w:val="auto"/>
              </w:rPr>
            </w:pPr>
            <w:r>
              <w:rPr>
                <w:rFonts w:ascii="Arial" w:cs="Arial" w:eastAsia="Arial" w:hAnsi="Arial"/>
                <w:sz w:val="14"/>
                <w:szCs w:val="14"/>
                <w:b w:val="1"/>
                <w:bCs w:val="1"/>
                <w:color w:val="FEFEFE"/>
              </w:rPr>
              <w:t>% Payout</w:t>
            </w:r>
          </w:p>
        </w:tc>
      </w:tr>
      <w:tr>
        <w:trPr>
          <w:trHeight w:val="270"/>
        </w:trPr>
        <w:tc>
          <w:tcPr>
            <w:tcW w:w="220" w:type="dxa"/>
            <w:vAlign w:val="bottom"/>
            <w:tcBorders>
              <w:left w:val="single" w:sz="8" w:color="53C072"/>
              <w:bottom w:val="single" w:sz="8" w:color="53C072"/>
            </w:tcBorders>
          </w:tcPr>
          <w:p>
            <w:pPr>
              <w:spacing w:after="0"/>
              <w:rPr>
                <w:sz w:val="23"/>
                <w:szCs w:val="23"/>
                <w:color w:val="auto"/>
              </w:rPr>
            </w:pPr>
          </w:p>
        </w:tc>
        <w:tc>
          <w:tcPr>
            <w:tcW w:w="900" w:type="dxa"/>
            <w:vAlign w:val="bottom"/>
            <w:tcBorders>
              <w:bottom w:val="single" w:sz="8" w:color="53C072"/>
            </w:tcBorders>
            <w:gridSpan w:val="2"/>
          </w:tcPr>
          <w:p>
            <w:pPr>
              <w:ind w:left="20"/>
              <w:spacing w:after="0"/>
              <w:rPr>
                <w:sz w:val="20"/>
                <w:szCs w:val="20"/>
                <w:color w:val="auto"/>
              </w:rPr>
            </w:pPr>
            <w:r>
              <w:rPr>
                <w:rFonts w:ascii="Arial" w:cs="Arial" w:eastAsia="Arial" w:hAnsi="Arial"/>
                <w:sz w:val="18"/>
                <w:szCs w:val="18"/>
                <w:color w:val="auto"/>
              </w:rPr>
              <w:t>Maximum</w:t>
            </w:r>
          </w:p>
        </w:tc>
        <w:tc>
          <w:tcPr>
            <w:tcW w:w="12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tcBorders>
          </w:tcPr>
          <w:p>
            <w:pPr>
              <w:spacing w:after="0"/>
              <w:rPr>
                <w:sz w:val="23"/>
                <w:szCs w:val="23"/>
                <w:color w:val="auto"/>
              </w:rPr>
            </w:pPr>
          </w:p>
        </w:tc>
        <w:tc>
          <w:tcPr>
            <w:tcW w:w="1020" w:type="dxa"/>
            <w:vAlign w:val="bottom"/>
            <w:tcBorders>
              <w:bottom w:val="single" w:sz="8" w:color="53C072"/>
            </w:tcBorders>
          </w:tcPr>
          <w:p>
            <w:pPr>
              <w:jc w:val="center"/>
              <w:spacing w:after="0"/>
              <w:rPr>
                <w:sz w:val="20"/>
                <w:szCs w:val="20"/>
                <w:color w:val="auto"/>
              </w:rPr>
            </w:pPr>
            <w:r>
              <w:rPr>
                <w:rFonts w:ascii="Arial" w:cs="Arial" w:eastAsia="Arial" w:hAnsi="Arial"/>
                <w:sz w:val="18"/>
                <w:szCs w:val="18"/>
                <w:color w:val="auto"/>
                <w:w w:val="99"/>
              </w:rPr>
              <w:t>133%</w:t>
            </w:r>
          </w:p>
        </w:tc>
        <w:tc>
          <w:tcPr>
            <w:tcW w:w="100" w:type="dxa"/>
            <w:vAlign w:val="bottom"/>
            <w:tcBorders>
              <w:bottom w:val="single" w:sz="8" w:color="53C072"/>
            </w:tcBorders>
          </w:tcPr>
          <w:p>
            <w:pPr>
              <w:spacing w:after="0"/>
              <w:rPr>
                <w:sz w:val="23"/>
                <w:szCs w:val="23"/>
                <w:color w:val="auto"/>
              </w:rPr>
            </w:pPr>
          </w:p>
        </w:tc>
        <w:tc>
          <w:tcPr>
            <w:tcW w:w="34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tcBorders>
          </w:tcPr>
          <w:p>
            <w:pPr>
              <w:spacing w:after="0"/>
              <w:rPr>
                <w:sz w:val="23"/>
                <w:szCs w:val="23"/>
                <w:color w:val="auto"/>
              </w:rPr>
            </w:pPr>
          </w:p>
        </w:tc>
        <w:tc>
          <w:tcPr>
            <w:tcW w:w="1480" w:type="dxa"/>
            <w:vAlign w:val="bottom"/>
            <w:tcBorders>
              <w:bottom w:val="single" w:sz="8" w:color="53C072"/>
            </w:tcBorders>
          </w:tcPr>
          <w:p>
            <w:pPr>
              <w:jc w:val="center"/>
              <w:ind w:right="398"/>
              <w:spacing w:after="0"/>
              <w:rPr>
                <w:sz w:val="20"/>
                <w:szCs w:val="20"/>
                <w:color w:val="auto"/>
              </w:rPr>
            </w:pPr>
            <w:r>
              <w:rPr>
                <w:rFonts w:ascii="Arial" w:cs="Arial" w:eastAsia="Arial" w:hAnsi="Arial"/>
                <w:sz w:val="18"/>
                <w:szCs w:val="18"/>
                <w:color w:val="auto"/>
                <w:w w:val="96"/>
              </w:rPr>
              <w:t>$1,730.5</w:t>
            </w:r>
          </w:p>
        </w:tc>
        <w:tc>
          <w:tcPr>
            <w:tcW w:w="12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53C072"/>
            </w:tcBorders>
          </w:tcPr>
          <w:p>
            <w:pPr>
              <w:spacing w:after="0"/>
              <w:rPr>
                <w:sz w:val="23"/>
                <w:szCs w:val="23"/>
                <w:color w:val="auto"/>
              </w:rPr>
            </w:pPr>
          </w:p>
        </w:tc>
        <w:tc>
          <w:tcPr>
            <w:tcW w:w="80" w:type="dxa"/>
            <w:vAlign w:val="bottom"/>
            <w:tcBorders>
              <w:bottom w:val="single" w:sz="8" w:color="53C072"/>
            </w:tcBorders>
          </w:tcPr>
          <w:p>
            <w:pPr>
              <w:spacing w:after="0"/>
              <w:rPr>
                <w:sz w:val="23"/>
                <w:szCs w:val="23"/>
                <w:color w:val="auto"/>
              </w:rPr>
            </w:pPr>
          </w:p>
        </w:tc>
        <w:tc>
          <w:tcPr>
            <w:tcW w:w="2800" w:type="dxa"/>
            <w:vAlign w:val="bottom"/>
            <w:tcBorders>
              <w:bottom w:val="single" w:sz="8" w:color="53C072"/>
              <w:right w:val="single" w:sz="8" w:color="53C072"/>
            </w:tcBorders>
          </w:tcPr>
          <w:p>
            <w:pPr>
              <w:jc w:val="center"/>
              <w:ind w:right="293"/>
              <w:spacing w:after="0"/>
              <w:rPr>
                <w:sz w:val="20"/>
                <w:szCs w:val="20"/>
                <w:color w:val="auto"/>
              </w:rPr>
            </w:pPr>
            <w:r>
              <w:rPr>
                <w:rFonts w:ascii="Arial" w:cs="Arial" w:eastAsia="Arial" w:hAnsi="Arial"/>
                <w:sz w:val="18"/>
                <w:szCs w:val="18"/>
                <w:color w:val="auto"/>
                <w:w w:val="99"/>
              </w:rPr>
              <w:t>200%</w:t>
            </w:r>
          </w:p>
        </w:tc>
      </w:tr>
      <w:tr>
        <w:trPr>
          <w:trHeight w:val="218"/>
        </w:trPr>
        <w:tc>
          <w:tcPr>
            <w:tcW w:w="220" w:type="dxa"/>
            <w:vAlign w:val="bottom"/>
            <w:tcBorders>
              <w:left w:val="single" w:sz="8" w:color="53C072"/>
            </w:tcBorders>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&gt; Target</w:t>
            </w:r>
          </w:p>
        </w:tc>
        <w:tc>
          <w:tcPr>
            <w:tcW w:w="120" w:type="dxa"/>
            <w:vAlign w:val="bottom"/>
            <w:tcBorders>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840" w:type="dxa"/>
            <w:vAlign w:val="bottom"/>
            <w:gridSpan w:val="5"/>
          </w:tcPr>
          <w:p>
            <w:pPr>
              <w:jc w:val="center"/>
              <w:ind w:right="50"/>
              <w:spacing w:after="0"/>
              <w:rPr>
                <w:sz w:val="20"/>
                <w:szCs w:val="20"/>
                <w:color w:val="auto"/>
              </w:rPr>
            </w:pPr>
            <w:r>
              <w:rPr>
                <w:rFonts w:ascii="Arial" w:cs="Arial" w:eastAsia="Arial" w:hAnsi="Arial"/>
                <w:sz w:val="18"/>
                <w:szCs w:val="18"/>
                <w:color w:val="auto"/>
                <w:w w:val="98"/>
              </w:rPr>
              <w:t>1% change = 1%</w:t>
            </w:r>
          </w:p>
        </w:tc>
        <w:tc>
          <w:tcPr>
            <w:tcW w:w="100" w:type="dxa"/>
            <w:vAlign w:val="bottom"/>
            <w:tcBorders>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180" w:type="dxa"/>
            <w:vAlign w:val="bottom"/>
            <w:tcBorders>
              <w:right w:val="single" w:sz="8" w:color="53C072"/>
            </w:tcBorders>
            <w:gridSpan w:val="5"/>
          </w:tcPr>
          <w:p>
            <w:pPr>
              <w:jc w:val="right"/>
              <w:spacing w:after="0"/>
              <w:rPr>
                <w:sz w:val="20"/>
                <w:szCs w:val="20"/>
                <w:color w:val="auto"/>
              </w:rPr>
            </w:pPr>
            <w:r>
              <w:rPr>
                <w:rFonts w:ascii="Arial" w:cs="Arial" w:eastAsia="Arial" w:hAnsi="Arial"/>
                <w:sz w:val="18"/>
                <w:szCs w:val="18"/>
                <w:color w:val="auto"/>
              </w:rPr>
              <w:t>​ $1,297.8M — $1,730.4M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Borders>
              <w:right w:val="single" w:sz="8" w:color="53C072"/>
            </w:tcBorders>
          </w:tcPr>
          <w:p>
            <w:pPr>
              <w:jc w:val="center"/>
              <w:ind w:right="293"/>
              <w:spacing w:after="0"/>
              <w:rPr>
                <w:sz w:val="20"/>
                <w:szCs w:val="20"/>
                <w:color w:val="auto"/>
              </w:rPr>
            </w:pPr>
            <w:r>
              <w:rPr>
                <w:rFonts w:ascii="Arial" w:cs="Arial" w:eastAsia="Arial" w:hAnsi="Arial"/>
                <w:sz w:val="18"/>
                <w:szCs w:val="18"/>
                <w:color w:val="auto"/>
                <w:w w:val="97"/>
              </w:rPr>
              <w:t>3% increase in payout per 1%</w:t>
            </w:r>
          </w:p>
        </w:tc>
      </w:tr>
      <w:tr>
        <w:trPr>
          <w:trHeight w:val="239"/>
        </w:trPr>
        <w:tc>
          <w:tcPr>
            <w:tcW w:w="220" w:type="dxa"/>
            <w:vAlign w:val="bottom"/>
            <w:tcBorders>
              <w:left w:val="single" w:sz="8" w:color="53C072"/>
            </w:tcBorders>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Borders>
              <w:right w:val="single" w:sz="8" w:color="53C072"/>
            </w:tcBorders>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5"/>
          </w:tcPr>
          <w:p>
            <w:pPr>
              <w:ind w:left="120"/>
              <w:spacing w:after="0"/>
              <w:rPr>
                <w:sz w:val="20"/>
                <w:szCs w:val="20"/>
                <w:color w:val="auto"/>
              </w:rPr>
            </w:pPr>
            <w:r>
              <w:rPr>
                <w:rFonts w:ascii="Arial" w:cs="Arial" w:eastAsia="Arial" w:hAnsi="Arial"/>
                <w:sz w:val="18"/>
                <w:szCs w:val="18"/>
                <w:color w:val="auto"/>
              </w:rPr>
              <w:t>change in attainment</w:t>
            </w:r>
          </w:p>
        </w:tc>
        <w:tc>
          <w:tcPr>
            <w:tcW w:w="100" w:type="dxa"/>
            <w:vAlign w:val="bottom"/>
            <w:tcBorders>
              <w:right w:val="single" w:sz="8" w:color="53C072"/>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right w:val="single" w:sz="8" w:color="53C072"/>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Borders>
              <w:right w:val="single" w:sz="8" w:color="53C072"/>
            </w:tcBorders>
          </w:tcPr>
          <w:p>
            <w:pPr>
              <w:jc w:val="center"/>
              <w:ind w:right="113"/>
              <w:spacing w:after="0"/>
              <w:rPr>
                <w:sz w:val="20"/>
                <w:szCs w:val="20"/>
                <w:color w:val="auto"/>
              </w:rPr>
            </w:pPr>
            <w:r>
              <w:rPr>
                <w:rFonts w:ascii="Arial" w:cs="Arial" w:eastAsia="Arial" w:hAnsi="Arial"/>
                <w:sz w:val="18"/>
                <w:szCs w:val="18"/>
                <w:color w:val="auto"/>
                <w:w w:val="97"/>
              </w:rPr>
              <w:t>increase in attainment</w:t>
            </w:r>
          </w:p>
        </w:tc>
      </w:tr>
      <w:tr>
        <w:trPr>
          <w:trHeight w:val="23"/>
        </w:trPr>
        <w:tc>
          <w:tcPr>
            <w:tcW w:w="220" w:type="dxa"/>
            <w:vAlign w:val="bottom"/>
            <w:tcBorders>
              <w:left w:val="single" w:sz="8" w:color="53C072"/>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880" w:type="dxa"/>
            <w:vAlign w:val="bottom"/>
            <w:tcBorders>
              <w:bottom w:val="single" w:sz="8" w:color="53C072"/>
            </w:tcBorders>
          </w:tcPr>
          <w:p>
            <w:pPr>
              <w:spacing w:after="0"/>
              <w:rPr>
                <w:sz w:val="2"/>
                <w:szCs w:val="2"/>
                <w:color w:val="auto"/>
              </w:rPr>
            </w:pPr>
          </w:p>
        </w:tc>
        <w:tc>
          <w:tcPr>
            <w:tcW w:w="120" w:type="dxa"/>
            <w:vAlign w:val="bottom"/>
            <w:tcBorders>
              <w:bottom w:val="single" w:sz="8" w:color="53C072"/>
              <w:right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28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40" w:type="dxa"/>
            <w:vAlign w:val="bottom"/>
            <w:tcBorders>
              <w:bottom w:val="single" w:sz="8" w:color="53C072"/>
            </w:tcBorders>
          </w:tcPr>
          <w:p>
            <w:pPr>
              <w:spacing w:after="0"/>
              <w:rPr>
                <w:sz w:val="2"/>
                <w:szCs w:val="2"/>
                <w:color w:val="auto"/>
              </w:rPr>
            </w:pPr>
          </w:p>
        </w:tc>
        <w:tc>
          <w:tcPr>
            <w:tcW w:w="100" w:type="dxa"/>
            <w:vAlign w:val="bottom"/>
            <w:tcBorders>
              <w:bottom w:val="single" w:sz="8" w:color="53C072"/>
              <w:right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8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480" w:type="dxa"/>
            <w:vAlign w:val="bottom"/>
            <w:tcBorders>
              <w:bottom w:val="single" w:sz="8" w:color="53C072"/>
            </w:tcBorders>
          </w:tcPr>
          <w:p>
            <w:pPr>
              <w:spacing w:after="0"/>
              <w:rPr>
                <w:sz w:val="2"/>
                <w:szCs w:val="2"/>
                <w:color w:val="auto"/>
              </w:rPr>
            </w:pPr>
          </w:p>
        </w:tc>
        <w:tc>
          <w:tcPr>
            <w:tcW w:w="12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800" w:type="dxa"/>
            <w:vAlign w:val="bottom"/>
            <w:tcBorders>
              <w:bottom w:val="single" w:sz="8" w:color="53C072"/>
              <w:right w:val="single" w:sz="8" w:color="53C072"/>
            </w:tcBorders>
          </w:tcPr>
          <w:p>
            <w:pPr>
              <w:spacing w:after="0"/>
              <w:rPr>
                <w:sz w:val="2"/>
                <w:szCs w:val="2"/>
                <w:color w:val="auto"/>
              </w:rPr>
            </w:pPr>
          </w:p>
        </w:tc>
      </w:tr>
      <w:tr>
        <w:trPr>
          <w:trHeight w:val="263"/>
        </w:trPr>
        <w:tc>
          <w:tcPr>
            <w:tcW w:w="220" w:type="dxa"/>
            <w:vAlign w:val="bottom"/>
            <w:tcBorders>
              <w:left w:val="single" w:sz="8" w:color="53C072"/>
              <w:bottom w:val="single" w:sz="8" w:color="53C072"/>
            </w:tcBorders>
            <w:shd w:val="clear" w:color="auto" w:fill="CBECD5"/>
          </w:tcPr>
          <w:p>
            <w:pPr>
              <w:spacing w:after="0"/>
              <w:rPr>
                <w:sz w:val="22"/>
                <w:szCs w:val="22"/>
                <w:color w:val="auto"/>
              </w:rPr>
            </w:pPr>
          </w:p>
        </w:tc>
        <w:tc>
          <w:tcPr>
            <w:tcW w:w="900" w:type="dxa"/>
            <w:vAlign w:val="bottom"/>
            <w:tcBorders>
              <w:bottom w:val="single" w:sz="8" w:color="53C072"/>
            </w:tcBorders>
            <w:gridSpan w:val="2"/>
            <w:shd w:val="clear" w:color="auto" w:fill="CBECD5"/>
          </w:tcPr>
          <w:p>
            <w:pPr>
              <w:ind w:left="20"/>
              <w:spacing w:after="0"/>
              <w:rPr>
                <w:sz w:val="20"/>
                <w:szCs w:val="20"/>
                <w:color w:val="auto"/>
              </w:rPr>
            </w:pPr>
            <w:r>
              <w:rPr>
                <w:rFonts w:ascii="Arial" w:cs="Arial" w:eastAsia="Arial" w:hAnsi="Arial"/>
                <w:sz w:val="18"/>
                <w:szCs w:val="18"/>
                <w:b w:val="1"/>
                <w:bCs w:val="1"/>
                <w:color w:val="auto"/>
              </w:rPr>
              <w:t>Target</w:t>
            </w:r>
          </w:p>
        </w:tc>
        <w:tc>
          <w:tcPr>
            <w:tcW w:w="120" w:type="dxa"/>
            <w:vAlign w:val="bottom"/>
            <w:tcBorders>
              <w:bottom w:val="single" w:sz="8" w:color="53C072"/>
              <w:right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53C072"/>
              <w:right w:val="single" w:sz="8" w:color="CBECD5"/>
            </w:tcBorders>
            <w:shd w:val="clear" w:color="auto" w:fill="CBECD5"/>
          </w:tcPr>
          <w:p>
            <w:pPr>
              <w:spacing w:after="0"/>
              <w:rPr>
                <w:sz w:val="22"/>
                <w:szCs w:val="22"/>
                <w:color w:val="auto"/>
              </w:rPr>
            </w:pPr>
          </w:p>
        </w:tc>
        <w:tc>
          <w:tcPr>
            <w:tcW w:w="100" w:type="dxa"/>
            <w:vAlign w:val="bottom"/>
            <w:tcBorders>
              <w:bottom w:val="single" w:sz="8" w:color="53C072"/>
            </w:tcBorders>
            <w:shd w:val="clear" w:color="auto" w:fill="CBECD5"/>
          </w:tcPr>
          <w:p>
            <w:pPr>
              <w:spacing w:after="0"/>
              <w:rPr>
                <w:sz w:val="22"/>
                <w:szCs w:val="22"/>
                <w:color w:val="auto"/>
              </w:rPr>
            </w:pPr>
          </w:p>
        </w:tc>
        <w:tc>
          <w:tcPr>
            <w:tcW w:w="102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b w:val="1"/>
                <w:bCs w:val="1"/>
                <w:color w:val="auto"/>
                <w:w w:val="98"/>
              </w:rPr>
              <w:t>100.0%</w:t>
            </w:r>
          </w:p>
        </w:tc>
        <w:tc>
          <w:tcPr>
            <w:tcW w:w="100" w:type="dxa"/>
            <w:vAlign w:val="bottom"/>
            <w:tcBorders>
              <w:bottom w:val="single" w:sz="8" w:color="53C072"/>
              <w:right w:val="single" w:sz="8" w:color="CBECD5"/>
            </w:tcBorders>
            <w:shd w:val="clear" w:color="auto" w:fill="CBECD5"/>
          </w:tcPr>
          <w:p>
            <w:pPr>
              <w:spacing w:after="0"/>
              <w:rPr>
                <w:sz w:val="22"/>
                <w:szCs w:val="22"/>
                <w:color w:val="auto"/>
              </w:rPr>
            </w:pPr>
          </w:p>
        </w:tc>
        <w:tc>
          <w:tcPr>
            <w:tcW w:w="340" w:type="dxa"/>
            <w:vAlign w:val="bottom"/>
            <w:tcBorders>
              <w:bottom w:val="single" w:sz="8" w:color="53C072"/>
            </w:tcBorders>
            <w:shd w:val="clear" w:color="auto" w:fill="CBECD5"/>
          </w:tcPr>
          <w:p>
            <w:pPr>
              <w:spacing w:after="0"/>
              <w:rPr>
                <w:sz w:val="22"/>
                <w:szCs w:val="22"/>
                <w:color w:val="auto"/>
              </w:rPr>
            </w:pPr>
          </w:p>
        </w:tc>
        <w:tc>
          <w:tcPr>
            <w:tcW w:w="100" w:type="dxa"/>
            <w:vAlign w:val="bottom"/>
            <w:tcBorders>
              <w:bottom w:val="single" w:sz="8" w:color="53C072"/>
              <w:right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53C072"/>
              <w:right w:val="single" w:sz="8" w:color="CBECD5"/>
            </w:tcBorders>
            <w:shd w:val="clear" w:color="auto" w:fill="CBECD5"/>
          </w:tcPr>
          <w:p>
            <w:pPr>
              <w:spacing w:after="0"/>
              <w:rPr>
                <w:sz w:val="22"/>
                <w:szCs w:val="22"/>
                <w:color w:val="auto"/>
              </w:rPr>
            </w:pPr>
          </w:p>
        </w:tc>
        <w:tc>
          <w:tcPr>
            <w:tcW w:w="100" w:type="dxa"/>
            <w:vAlign w:val="bottom"/>
            <w:tcBorders>
              <w:bottom w:val="single" w:sz="8" w:color="53C072"/>
            </w:tcBorders>
            <w:shd w:val="clear" w:color="auto" w:fill="CBECD5"/>
          </w:tcPr>
          <w:p>
            <w:pPr>
              <w:spacing w:after="0"/>
              <w:rPr>
                <w:sz w:val="22"/>
                <w:szCs w:val="22"/>
                <w:color w:val="auto"/>
              </w:rPr>
            </w:pPr>
          </w:p>
        </w:tc>
        <w:tc>
          <w:tcPr>
            <w:tcW w:w="1480" w:type="dxa"/>
            <w:vAlign w:val="bottom"/>
            <w:tcBorders>
              <w:bottom w:val="single" w:sz="8" w:color="53C072"/>
            </w:tcBorders>
            <w:shd w:val="clear" w:color="auto" w:fill="CBECD5"/>
          </w:tcPr>
          <w:p>
            <w:pPr>
              <w:jc w:val="center"/>
              <w:ind w:right="398"/>
              <w:spacing w:after="0"/>
              <w:rPr>
                <w:sz w:val="20"/>
                <w:szCs w:val="20"/>
                <w:color w:val="auto"/>
              </w:rPr>
            </w:pPr>
            <w:r>
              <w:rPr>
                <w:rFonts w:ascii="Arial" w:cs="Arial" w:eastAsia="Arial" w:hAnsi="Arial"/>
                <w:sz w:val="18"/>
                <w:szCs w:val="18"/>
                <w:b w:val="1"/>
                <w:bCs w:val="1"/>
                <w:color w:val="auto"/>
                <w:w w:val="98"/>
              </w:rPr>
              <w:t>$1,297.7M</w:t>
            </w:r>
          </w:p>
        </w:tc>
        <w:tc>
          <w:tcPr>
            <w:tcW w:w="120" w:type="dxa"/>
            <w:vAlign w:val="bottom"/>
            <w:tcBorders>
              <w:bottom w:val="single" w:sz="8" w:color="53C072"/>
              <w:right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53C072"/>
              <w:right w:val="single" w:sz="8" w:color="CBECD5"/>
            </w:tcBorders>
            <w:shd w:val="clear" w:color="auto" w:fill="CBECD5"/>
          </w:tcPr>
          <w:p>
            <w:pPr>
              <w:spacing w:after="0"/>
              <w:rPr>
                <w:sz w:val="22"/>
                <w:szCs w:val="22"/>
                <w:color w:val="auto"/>
              </w:rPr>
            </w:pPr>
          </w:p>
        </w:tc>
        <w:tc>
          <w:tcPr>
            <w:tcW w:w="80" w:type="dxa"/>
            <w:vAlign w:val="bottom"/>
            <w:tcBorders>
              <w:bottom w:val="single" w:sz="8" w:color="53C072"/>
            </w:tcBorders>
            <w:shd w:val="clear" w:color="auto" w:fill="CBECD5"/>
          </w:tcPr>
          <w:p>
            <w:pPr>
              <w:spacing w:after="0"/>
              <w:rPr>
                <w:sz w:val="22"/>
                <w:szCs w:val="22"/>
                <w:color w:val="auto"/>
              </w:rPr>
            </w:pPr>
          </w:p>
        </w:tc>
        <w:tc>
          <w:tcPr>
            <w:tcW w:w="2800" w:type="dxa"/>
            <w:vAlign w:val="bottom"/>
            <w:tcBorders>
              <w:bottom w:val="single" w:sz="8" w:color="53C072"/>
              <w:right w:val="single" w:sz="8" w:color="53C072"/>
            </w:tcBorders>
            <w:shd w:val="clear" w:color="auto" w:fill="CBECD5"/>
          </w:tcPr>
          <w:p>
            <w:pPr>
              <w:jc w:val="center"/>
              <w:ind w:right="273"/>
              <w:spacing w:after="0"/>
              <w:rPr>
                <w:sz w:val="20"/>
                <w:szCs w:val="20"/>
                <w:color w:val="auto"/>
              </w:rPr>
            </w:pPr>
            <w:r>
              <w:rPr>
                <w:rFonts w:ascii="Arial" w:cs="Arial" w:eastAsia="Arial" w:hAnsi="Arial"/>
                <w:sz w:val="18"/>
                <w:szCs w:val="18"/>
                <w:b w:val="1"/>
                <w:bCs w:val="1"/>
                <w:color w:val="auto"/>
                <w:w w:val="98"/>
              </w:rPr>
              <w:t>100.0%</w:t>
            </w:r>
          </w:p>
        </w:tc>
      </w:tr>
      <w:tr>
        <w:trPr>
          <w:trHeight w:val="218"/>
        </w:trPr>
        <w:tc>
          <w:tcPr>
            <w:tcW w:w="220" w:type="dxa"/>
            <w:vAlign w:val="bottom"/>
            <w:tcBorders>
              <w:left w:val="single" w:sz="8" w:color="53C072"/>
            </w:tcBorders>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&lt; Target</w:t>
            </w:r>
          </w:p>
        </w:tc>
        <w:tc>
          <w:tcPr>
            <w:tcW w:w="120" w:type="dxa"/>
            <w:vAlign w:val="bottom"/>
            <w:tcBorders>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840" w:type="dxa"/>
            <w:vAlign w:val="bottom"/>
            <w:gridSpan w:val="5"/>
          </w:tcPr>
          <w:p>
            <w:pPr>
              <w:jc w:val="center"/>
              <w:ind w:right="50"/>
              <w:spacing w:after="0"/>
              <w:rPr>
                <w:sz w:val="20"/>
                <w:szCs w:val="20"/>
                <w:color w:val="auto"/>
              </w:rPr>
            </w:pPr>
            <w:r>
              <w:rPr>
                <w:rFonts w:ascii="Arial" w:cs="Arial" w:eastAsia="Arial" w:hAnsi="Arial"/>
                <w:sz w:val="18"/>
                <w:szCs w:val="18"/>
                <w:color w:val="auto"/>
                <w:w w:val="98"/>
              </w:rPr>
              <w:t>1% change = 1%</w:t>
            </w:r>
          </w:p>
        </w:tc>
        <w:tc>
          <w:tcPr>
            <w:tcW w:w="100" w:type="dxa"/>
            <w:vAlign w:val="bottom"/>
            <w:tcBorders>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180" w:type="dxa"/>
            <w:vAlign w:val="bottom"/>
            <w:tcBorders>
              <w:right w:val="single" w:sz="8" w:color="53C072"/>
            </w:tcBorders>
            <w:gridSpan w:val="5"/>
          </w:tcPr>
          <w:p>
            <w:pPr>
              <w:jc w:val="right"/>
              <w:spacing w:after="0"/>
              <w:rPr>
                <w:sz w:val="20"/>
                <w:szCs w:val="20"/>
                <w:color w:val="auto"/>
              </w:rPr>
            </w:pPr>
            <w:r>
              <w:rPr>
                <w:rFonts w:ascii="Arial" w:cs="Arial" w:eastAsia="Arial" w:hAnsi="Arial"/>
                <w:sz w:val="18"/>
                <w:szCs w:val="18"/>
                <w:color w:val="auto"/>
              </w:rPr>
              <w:t>​ $1,038.3M — $1,297.6M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Borders>
              <w:right w:val="single" w:sz="8" w:color="53C072"/>
            </w:tcBorders>
          </w:tcPr>
          <w:p>
            <w:pPr>
              <w:jc w:val="center"/>
              <w:ind w:right="293"/>
              <w:spacing w:after="0"/>
              <w:rPr>
                <w:sz w:val="20"/>
                <w:szCs w:val="20"/>
                <w:color w:val="auto"/>
              </w:rPr>
            </w:pPr>
            <w:r>
              <w:rPr>
                <w:rFonts w:ascii="Arial" w:cs="Arial" w:eastAsia="Arial" w:hAnsi="Arial"/>
                <w:sz w:val="18"/>
                <w:szCs w:val="18"/>
                <w:color w:val="auto"/>
                <w:w w:val="98"/>
              </w:rPr>
              <w:t>3% decrease in payout per 1%</w:t>
            </w:r>
          </w:p>
        </w:tc>
      </w:tr>
      <w:tr>
        <w:trPr>
          <w:trHeight w:val="239"/>
        </w:trPr>
        <w:tc>
          <w:tcPr>
            <w:tcW w:w="220" w:type="dxa"/>
            <w:vAlign w:val="bottom"/>
            <w:tcBorders>
              <w:left w:val="single" w:sz="8" w:color="53C072"/>
            </w:tcBorders>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Borders>
              <w:right w:val="single" w:sz="8" w:color="53C072"/>
            </w:tcBorders>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5"/>
          </w:tcPr>
          <w:p>
            <w:pPr>
              <w:ind w:left="120"/>
              <w:spacing w:after="0"/>
              <w:rPr>
                <w:sz w:val="20"/>
                <w:szCs w:val="20"/>
                <w:color w:val="auto"/>
              </w:rPr>
            </w:pPr>
            <w:r>
              <w:rPr>
                <w:rFonts w:ascii="Arial" w:cs="Arial" w:eastAsia="Arial" w:hAnsi="Arial"/>
                <w:sz w:val="18"/>
                <w:szCs w:val="18"/>
                <w:color w:val="auto"/>
              </w:rPr>
              <w:t>change in attainment</w:t>
            </w:r>
          </w:p>
        </w:tc>
        <w:tc>
          <w:tcPr>
            <w:tcW w:w="100" w:type="dxa"/>
            <w:vAlign w:val="bottom"/>
            <w:tcBorders>
              <w:right w:val="single" w:sz="8" w:color="53C072"/>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right w:val="single" w:sz="8" w:color="53C072"/>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Borders>
              <w:right w:val="single" w:sz="8" w:color="53C072"/>
            </w:tcBorders>
          </w:tcPr>
          <w:p>
            <w:pPr>
              <w:jc w:val="center"/>
              <w:ind w:right="113"/>
              <w:spacing w:after="0"/>
              <w:rPr>
                <w:sz w:val="20"/>
                <w:szCs w:val="20"/>
                <w:color w:val="auto"/>
              </w:rPr>
            </w:pPr>
            <w:r>
              <w:rPr>
                <w:rFonts w:ascii="Arial" w:cs="Arial" w:eastAsia="Arial" w:hAnsi="Arial"/>
                <w:sz w:val="18"/>
                <w:szCs w:val="18"/>
                <w:color w:val="auto"/>
                <w:w w:val="98"/>
              </w:rPr>
              <w:t>decrease in attainment</w:t>
            </w:r>
          </w:p>
        </w:tc>
      </w:tr>
      <w:tr>
        <w:trPr>
          <w:trHeight w:val="23"/>
        </w:trPr>
        <w:tc>
          <w:tcPr>
            <w:tcW w:w="220" w:type="dxa"/>
            <w:vAlign w:val="bottom"/>
            <w:tcBorders>
              <w:left w:val="single" w:sz="8" w:color="53C072"/>
              <w:bottom w:val="single" w:sz="8" w:color="53C072"/>
            </w:tcBorders>
          </w:tcPr>
          <w:p>
            <w:pPr>
              <w:spacing w:after="0"/>
              <w:rPr>
                <w:sz w:val="2"/>
                <w:szCs w:val="2"/>
                <w:color w:val="auto"/>
              </w:rPr>
            </w:pPr>
          </w:p>
        </w:tc>
        <w:tc>
          <w:tcPr>
            <w:tcW w:w="20" w:type="dxa"/>
            <w:vAlign w:val="bottom"/>
            <w:tcBorders>
              <w:bottom w:val="single" w:sz="8" w:color="53C072"/>
            </w:tcBorders>
          </w:tcPr>
          <w:p>
            <w:pPr>
              <w:spacing w:after="0"/>
              <w:rPr>
                <w:sz w:val="2"/>
                <w:szCs w:val="2"/>
                <w:color w:val="auto"/>
              </w:rPr>
            </w:pPr>
          </w:p>
        </w:tc>
        <w:tc>
          <w:tcPr>
            <w:tcW w:w="880" w:type="dxa"/>
            <w:vAlign w:val="bottom"/>
            <w:tcBorders>
              <w:bottom w:val="single" w:sz="8" w:color="53C072"/>
            </w:tcBorders>
          </w:tcPr>
          <w:p>
            <w:pPr>
              <w:spacing w:after="0"/>
              <w:rPr>
                <w:sz w:val="2"/>
                <w:szCs w:val="2"/>
                <w:color w:val="auto"/>
              </w:rPr>
            </w:pPr>
          </w:p>
        </w:tc>
        <w:tc>
          <w:tcPr>
            <w:tcW w:w="120" w:type="dxa"/>
            <w:vAlign w:val="bottom"/>
            <w:tcBorders>
              <w:bottom w:val="single" w:sz="8" w:color="53C072"/>
              <w:right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28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40" w:type="dxa"/>
            <w:vAlign w:val="bottom"/>
            <w:tcBorders>
              <w:bottom w:val="single" w:sz="8" w:color="53C072"/>
            </w:tcBorders>
          </w:tcPr>
          <w:p>
            <w:pPr>
              <w:spacing w:after="0"/>
              <w:rPr>
                <w:sz w:val="2"/>
                <w:szCs w:val="2"/>
                <w:color w:val="auto"/>
              </w:rPr>
            </w:pPr>
          </w:p>
        </w:tc>
        <w:tc>
          <w:tcPr>
            <w:tcW w:w="100" w:type="dxa"/>
            <w:vAlign w:val="bottom"/>
            <w:tcBorders>
              <w:bottom w:val="single" w:sz="8" w:color="53C072"/>
              <w:right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8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480" w:type="dxa"/>
            <w:vAlign w:val="bottom"/>
            <w:tcBorders>
              <w:bottom w:val="single" w:sz="8" w:color="53C072"/>
            </w:tcBorders>
          </w:tcPr>
          <w:p>
            <w:pPr>
              <w:spacing w:after="0"/>
              <w:rPr>
                <w:sz w:val="2"/>
                <w:szCs w:val="2"/>
                <w:color w:val="auto"/>
              </w:rPr>
            </w:pPr>
          </w:p>
        </w:tc>
        <w:tc>
          <w:tcPr>
            <w:tcW w:w="12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800" w:type="dxa"/>
            <w:vAlign w:val="bottom"/>
            <w:tcBorders>
              <w:bottom w:val="single" w:sz="8" w:color="53C072"/>
              <w:right w:val="single" w:sz="8" w:color="53C072"/>
            </w:tcBorders>
          </w:tcPr>
          <w:p>
            <w:pPr>
              <w:spacing w:after="0"/>
              <w:rPr>
                <w:sz w:val="2"/>
                <w:szCs w:val="2"/>
                <w:color w:val="auto"/>
              </w:rPr>
            </w:pPr>
          </w:p>
        </w:tc>
      </w:tr>
      <w:tr>
        <w:trPr>
          <w:trHeight w:val="250"/>
        </w:trPr>
        <w:tc>
          <w:tcPr>
            <w:tcW w:w="220" w:type="dxa"/>
            <w:vAlign w:val="bottom"/>
            <w:tcBorders>
              <w:left w:val="single" w:sz="8" w:color="53C072"/>
              <w:bottom w:val="single" w:sz="8" w:color="53C072"/>
            </w:tcBorders>
          </w:tcPr>
          <w:p>
            <w:pPr>
              <w:spacing w:after="0"/>
              <w:rPr>
                <w:sz w:val="21"/>
                <w:szCs w:val="21"/>
                <w:color w:val="auto"/>
              </w:rPr>
            </w:pPr>
          </w:p>
        </w:tc>
        <w:tc>
          <w:tcPr>
            <w:tcW w:w="900" w:type="dxa"/>
            <w:vAlign w:val="bottom"/>
            <w:tcBorders>
              <w:bottom w:val="single" w:sz="8" w:color="53C072"/>
            </w:tcBorders>
            <w:gridSpan w:val="2"/>
          </w:tcPr>
          <w:p>
            <w:pPr>
              <w:ind w:left="20"/>
              <w:spacing w:after="0"/>
              <w:rPr>
                <w:sz w:val="20"/>
                <w:szCs w:val="20"/>
                <w:color w:val="auto"/>
              </w:rPr>
            </w:pPr>
            <w:r>
              <w:rPr>
                <w:rFonts w:ascii="Arial" w:cs="Arial" w:eastAsia="Arial" w:hAnsi="Arial"/>
                <w:sz w:val="18"/>
                <w:szCs w:val="18"/>
                <w:color w:val="auto"/>
              </w:rPr>
              <w:t>Threshold</w:t>
            </w:r>
          </w:p>
        </w:tc>
        <w:tc>
          <w:tcPr>
            <w:tcW w:w="12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1020" w:type="dxa"/>
            <w:vAlign w:val="bottom"/>
            <w:tcBorders>
              <w:bottom w:val="single" w:sz="8" w:color="53C072"/>
            </w:tcBorders>
          </w:tcPr>
          <w:p>
            <w:pPr>
              <w:jc w:val="center"/>
              <w:spacing w:after="0"/>
              <w:rPr>
                <w:sz w:val="20"/>
                <w:szCs w:val="20"/>
                <w:color w:val="auto"/>
              </w:rPr>
            </w:pPr>
            <w:r>
              <w:rPr>
                <w:rFonts w:ascii="Arial" w:cs="Arial" w:eastAsia="Arial" w:hAnsi="Arial"/>
                <w:sz w:val="18"/>
                <w:szCs w:val="18"/>
                <w:color w:val="auto"/>
                <w:w w:val="97"/>
              </w:rPr>
              <w:t>80.0%</w:t>
            </w:r>
          </w:p>
        </w:tc>
        <w:tc>
          <w:tcPr>
            <w:tcW w:w="100" w:type="dxa"/>
            <w:vAlign w:val="bottom"/>
            <w:tcBorders>
              <w:bottom w:val="single" w:sz="8" w:color="53C072"/>
            </w:tcBorders>
          </w:tcPr>
          <w:p>
            <w:pPr>
              <w:spacing w:after="0"/>
              <w:rPr>
                <w:sz w:val="21"/>
                <w:szCs w:val="21"/>
                <w:color w:val="auto"/>
              </w:rPr>
            </w:pPr>
          </w:p>
        </w:tc>
        <w:tc>
          <w:tcPr>
            <w:tcW w:w="34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1480" w:type="dxa"/>
            <w:vAlign w:val="bottom"/>
            <w:tcBorders>
              <w:bottom w:val="single" w:sz="8" w:color="53C072"/>
            </w:tcBorders>
          </w:tcPr>
          <w:p>
            <w:pPr>
              <w:jc w:val="center"/>
              <w:ind w:right="398"/>
              <w:spacing w:after="0"/>
              <w:rPr>
                <w:sz w:val="20"/>
                <w:szCs w:val="20"/>
                <w:color w:val="auto"/>
              </w:rPr>
            </w:pPr>
            <w:r>
              <w:rPr>
                <w:rFonts w:ascii="Arial" w:cs="Arial" w:eastAsia="Arial" w:hAnsi="Arial"/>
                <w:sz w:val="18"/>
                <w:szCs w:val="18"/>
                <w:color w:val="auto"/>
                <w:w w:val="98"/>
              </w:rPr>
              <w:t>$1,038.2M</w:t>
            </w:r>
          </w:p>
        </w:tc>
        <w:tc>
          <w:tcPr>
            <w:tcW w:w="12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53C072"/>
            </w:tcBorders>
          </w:tcPr>
          <w:p>
            <w:pPr>
              <w:spacing w:after="0"/>
              <w:rPr>
                <w:sz w:val="21"/>
                <w:szCs w:val="21"/>
                <w:color w:val="auto"/>
              </w:rPr>
            </w:pPr>
          </w:p>
        </w:tc>
        <w:tc>
          <w:tcPr>
            <w:tcW w:w="80" w:type="dxa"/>
            <w:vAlign w:val="bottom"/>
            <w:tcBorders>
              <w:bottom w:val="single" w:sz="8" w:color="53C072"/>
            </w:tcBorders>
          </w:tcPr>
          <w:p>
            <w:pPr>
              <w:spacing w:after="0"/>
              <w:rPr>
                <w:sz w:val="21"/>
                <w:szCs w:val="21"/>
                <w:color w:val="auto"/>
              </w:rPr>
            </w:pPr>
          </w:p>
        </w:tc>
        <w:tc>
          <w:tcPr>
            <w:tcW w:w="2800" w:type="dxa"/>
            <w:vAlign w:val="bottom"/>
            <w:tcBorders>
              <w:bottom w:val="single" w:sz="8" w:color="53C072"/>
              <w:right w:val="single" w:sz="8" w:color="53C072"/>
            </w:tcBorders>
          </w:tcPr>
          <w:p>
            <w:pPr>
              <w:jc w:val="center"/>
              <w:ind w:right="273"/>
              <w:spacing w:after="0"/>
              <w:rPr>
                <w:sz w:val="20"/>
                <w:szCs w:val="20"/>
                <w:color w:val="auto"/>
              </w:rPr>
            </w:pPr>
            <w:r>
              <w:rPr>
                <w:rFonts w:ascii="Arial" w:cs="Arial" w:eastAsia="Arial" w:hAnsi="Arial"/>
                <w:sz w:val="18"/>
                <w:szCs w:val="18"/>
                <w:color w:val="auto"/>
                <w:w w:val="99"/>
              </w:rPr>
              <w:t>40%</w:t>
            </w:r>
          </w:p>
        </w:tc>
      </w:tr>
      <w:tr>
        <w:trPr>
          <w:trHeight w:val="142"/>
        </w:trPr>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261"/>
        </w:trPr>
        <w:tc>
          <w:tcPr>
            <w:tcW w:w="220" w:type="dxa"/>
            <w:vAlign w:val="bottom"/>
            <w:tcBorders>
              <w:left w:val="single" w:sz="8" w:color="53C072"/>
            </w:tcBorders>
            <w:shd w:val="clear" w:color="auto" w:fill="53C072"/>
          </w:tcPr>
          <w:p>
            <w:pPr>
              <w:spacing w:after="0"/>
              <w:rPr>
                <w:sz w:val="22"/>
                <w:szCs w:val="22"/>
                <w:color w:val="auto"/>
              </w:rPr>
            </w:pPr>
          </w:p>
        </w:tc>
        <w:tc>
          <w:tcPr>
            <w:tcW w:w="20" w:type="dxa"/>
            <w:vAlign w:val="bottom"/>
            <w:shd w:val="clear" w:color="auto" w:fill="53C072"/>
          </w:tcPr>
          <w:p>
            <w:pPr>
              <w:spacing w:after="0"/>
              <w:rPr>
                <w:sz w:val="22"/>
                <w:szCs w:val="22"/>
                <w:color w:val="auto"/>
              </w:rPr>
            </w:pPr>
          </w:p>
        </w:tc>
        <w:tc>
          <w:tcPr>
            <w:tcW w:w="880" w:type="dxa"/>
            <w:vAlign w:val="bottom"/>
            <w:shd w:val="clear" w:color="auto" w:fill="53C072"/>
          </w:tcPr>
          <w:p>
            <w:pPr>
              <w:spacing w:after="0"/>
              <w:rPr>
                <w:sz w:val="22"/>
                <w:szCs w:val="22"/>
                <w:color w:val="auto"/>
              </w:rPr>
            </w:pPr>
          </w:p>
        </w:tc>
        <w:tc>
          <w:tcPr>
            <w:tcW w:w="120" w:type="dxa"/>
            <w:vAlign w:val="bottom"/>
            <w:tcBorders>
              <w:right w:val="single" w:sz="8" w:color="53C072"/>
            </w:tcBorders>
            <w:shd w:val="clear" w:color="auto" w:fill="53C072"/>
          </w:tcPr>
          <w:p>
            <w:pPr>
              <w:spacing w:after="0"/>
              <w:rPr>
                <w:sz w:val="22"/>
                <w:szCs w:val="22"/>
                <w:color w:val="auto"/>
              </w:rPr>
            </w:pPr>
          </w:p>
        </w:tc>
        <w:tc>
          <w:tcPr>
            <w:tcW w:w="200" w:type="dxa"/>
            <w:vAlign w:val="bottom"/>
            <w:shd w:val="clear" w:color="auto" w:fill="53C072"/>
          </w:tcPr>
          <w:p>
            <w:pPr>
              <w:spacing w:after="0"/>
              <w:rPr>
                <w:sz w:val="22"/>
                <w:szCs w:val="22"/>
                <w:color w:val="auto"/>
              </w:rPr>
            </w:pPr>
          </w:p>
        </w:tc>
        <w:tc>
          <w:tcPr>
            <w:tcW w:w="28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1020" w:type="dxa"/>
            <w:vAlign w:val="bottom"/>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340" w:type="dxa"/>
            <w:vAlign w:val="bottom"/>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1960" w:type="dxa"/>
            <w:vAlign w:val="bottom"/>
            <w:gridSpan w:val="3"/>
            <w:shd w:val="clear" w:color="auto" w:fill="53C072"/>
          </w:tcPr>
          <w:p>
            <w:pPr>
              <w:jc w:val="center"/>
              <w:spacing w:after="0"/>
              <w:rPr>
                <w:sz w:val="20"/>
                <w:szCs w:val="20"/>
                <w:color w:val="auto"/>
              </w:rPr>
            </w:pPr>
            <w:r>
              <w:rPr>
                <w:rFonts w:ascii="Arial" w:cs="Arial" w:eastAsia="Arial" w:hAnsi="Arial"/>
                <w:sz w:val="14"/>
                <w:szCs w:val="14"/>
                <w:b w:val="1"/>
                <w:bCs w:val="1"/>
                <w:color w:val="FEFEFE"/>
              </w:rPr>
              <w:t>Fiscal 2024 ROWC Goals</w:t>
            </w:r>
          </w:p>
        </w:tc>
        <w:tc>
          <w:tcPr>
            <w:tcW w:w="120" w:type="dxa"/>
            <w:vAlign w:val="bottom"/>
            <w:tcBorders>
              <w:right w:val="single" w:sz="8" w:color="53C072"/>
            </w:tcBorders>
            <w:shd w:val="clear" w:color="auto" w:fill="53C072"/>
          </w:tcPr>
          <w:p>
            <w:pPr>
              <w:spacing w:after="0"/>
              <w:rPr>
                <w:sz w:val="22"/>
                <w:szCs w:val="22"/>
                <w:color w:val="auto"/>
              </w:rPr>
            </w:pPr>
          </w:p>
        </w:tc>
        <w:tc>
          <w:tcPr>
            <w:tcW w:w="180" w:type="dxa"/>
            <w:vAlign w:val="bottom"/>
            <w:shd w:val="clear" w:color="auto" w:fill="53C072"/>
          </w:tcPr>
          <w:p>
            <w:pPr>
              <w:spacing w:after="0"/>
              <w:rPr>
                <w:sz w:val="22"/>
                <w:szCs w:val="22"/>
                <w:color w:val="auto"/>
              </w:rPr>
            </w:pPr>
          </w:p>
        </w:tc>
        <w:tc>
          <w:tcPr>
            <w:tcW w:w="140" w:type="dxa"/>
            <w:vAlign w:val="bottom"/>
            <w:tcBorders>
              <w:right w:val="single" w:sz="8" w:color="53C072"/>
            </w:tcBorders>
            <w:shd w:val="clear" w:color="auto" w:fill="53C072"/>
          </w:tcPr>
          <w:p>
            <w:pPr>
              <w:spacing w:after="0"/>
              <w:rPr>
                <w:sz w:val="22"/>
                <w:szCs w:val="22"/>
                <w:color w:val="auto"/>
              </w:rPr>
            </w:pPr>
          </w:p>
        </w:tc>
        <w:tc>
          <w:tcPr>
            <w:tcW w:w="80" w:type="dxa"/>
            <w:vAlign w:val="bottom"/>
            <w:shd w:val="clear" w:color="auto" w:fill="53C072"/>
          </w:tcPr>
          <w:p>
            <w:pPr>
              <w:spacing w:after="0"/>
              <w:rPr>
                <w:sz w:val="22"/>
                <w:szCs w:val="22"/>
                <w:color w:val="auto"/>
              </w:rPr>
            </w:pPr>
          </w:p>
        </w:tc>
        <w:tc>
          <w:tcPr>
            <w:tcW w:w="2800" w:type="dxa"/>
            <w:vAlign w:val="bottom"/>
            <w:tcBorders>
              <w:right w:val="single" w:sz="8" w:color="53C072"/>
            </w:tcBorders>
            <w:shd w:val="clear" w:color="auto" w:fill="53C072"/>
          </w:tcPr>
          <w:p>
            <w:pPr>
              <w:spacing w:after="0"/>
              <w:rPr>
                <w:sz w:val="22"/>
                <w:szCs w:val="22"/>
                <w:color w:val="auto"/>
              </w:rPr>
            </w:pPr>
          </w:p>
        </w:tc>
      </w:tr>
      <w:tr>
        <w:trPr>
          <w:trHeight w:val="196"/>
        </w:trPr>
        <w:tc>
          <w:tcPr>
            <w:tcW w:w="220" w:type="dxa"/>
            <w:vAlign w:val="bottom"/>
            <w:tcBorders>
              <w:left w:val="single" w:sz="8" w:color="53C072"/>
            </w:tcBorders>
            <w:shd w:val="clear" w:color="auto" w:fill="53C072"/>
          </w:tcPr>
          <w:p>
            <w:pPr>
              <w:spacing w:after="0"/>
              <w:rPr>
                <w:sz w:val="17"/>
                <w:szCs w:val="17"/>
                <w:color w:val="auto"/>
              </w:rPr>
            </w:pPr>
          </w:p>
        </w:tc>
        <w:tc>
          <w:tcPr>
            <w:tcW w:w="20" w:type="dxa"/>
            <w:vAlign w:val="bottom"/>
            <w:shd w:val="clear" w:color="auto" w:fill="53C072"/>
          </w:tcPr>
          <w:p>
            <w:pPr>
              <w:spacing w:after="0"/>
              <w:rPr>
                <w:sz w:val="17"/>
                <w:szCs w:val="17"/>
                <w:color w:val="auto"/>
              </w:rPr>
            </w:pPr>
          </w:p>
        </w:tc>
        <w:tc>
          <w:tcPr>
            <w:tcW w:w="880" w:type="dxa"/>
            <w:vAlign w:val="bottom"/>
            <w:shd w:val="clear" w:color="auto" w:fill="53C072"/>
          </w:tcPr>
          <w:p>
            <w:pPr>
              <w:spacing w:after="0"/>
              <w:rPr>
                <w:sz w:val="17"/>
                <w:szCs w:val="17"/>
                <w:color w:val="auto"/>
              </w:rPr>
            </w:pPr>
          </w:p>
        </w:tc>
        <w:tc>
          <w:tcPr>
            <w:tcW w:w="120" w:type="dxa"/>
            <w:vAlign w:val="bottom"/>
            <w:tcBorders>
              <w:right w:val="single" w:sz="8" w:color="53C072"/>
            </w:tcBorders>
            <w:shd w:val="clear" w:color="auto" w:fill="53C072"/>
          </w:tcPr>
          <w:p>
            <w:pPr>
              <w:spacing w:after="0"/>
              <w:rPr>
                <w:sz w:val="17"/>
                <w:szCs w:val="17"/>
                <w:color w:val="auto"/>
              </w:rPr>
            </w:pPr>
          </w:p>
        </w:tc>
        <w:tc>
          <w:tcPr>
            <w:tcW w:w="200" w:type="dxa"/>
            <w:vAlign w:val="bottom"/>
            <w:shd w:val="clear" w:color="auto" w:fill="53C072"/>
          </w:tcPr>
          <w:p>
            <w:pPr>
              <w:spacing w:after="0"/>
              <w:rPr>
                <w:sz w:val="17"/>
                <w:szCs w:val="17"/>
                <w:color w:val="auto"/>
              </w:rPr>
            </w:pPr>
          </w:p>
        </w:tc>
        <w:tc>
          <w:tcPr>
            <w:tcW w:w="28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102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34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38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1480" w:type="dxa"/>
            <w:vAlign w:val="bottom"/>
            <w:shd w:val="clear" w:color="auto" w:fill="53C072"/>
          </w:tcPr>
          <w:p>
            <w:pPr>
              <w:jc w:val="center"/>
              <w:ind w:right="378"/>
              <w:spacing w:after="0"/>
              <w:rPr>
                <w:sz w:val="20"/>
                <w:szCs w:val="20"/>
                <w:color w:val="auto"/>
              </w:rPr>
            </w:pPr>
            <w:r>
              <w:rPr>
                <w:rFonts w:ascii="Arial" w:cs="Arial" w:eastAsia="Arial" w:hAnsi="Arial"/>
                <w:sz w:val="14"/>
                <w:szCs w:val="14"/>
                <w:b w:val="1"/>
                <w:bCs w:val="1"/>
                <w:color w:val="FEFEFE"/>
              </w:rPr>
              <w:t>40% Weighting</w:t>
            </w:r>
          </w:p>
        </w:tc>
        <w:tc>
          <w:tcPr>
            <w:tcW w:w="120" w:type="dxa"/>
            <w:vAlign w:val="bottom"/>
            <w:tcBorders>
              <w:right w:val="single" w:sz="8" w:color="53C072"/>
            </w:tcBorders>
            <w:shd w:val="clear" w:color="auto" w:fill="53C072"/>
          </w:tcPr>
          <w:p>
            <w:pPr>
              <w:spacing w:after="0"/>
              <w:rPr>
                <w:sz w:val="17"/>
                <w:szCs w:val="17"/>
                <w:color w:val="auto"/>
              </w:rPr>
            </w:pPr>
          </w:p>
        </w:tc>
        <w:tc>
          <w:tcPr>
            <w:tcW w:w="180" w:type="dxa"/>
            <w:vAlign w:val="bottom"/>
            <w:shd w:val="clear" w:color="auto" w:fill="53C072"/>
          </w:tcPr>
          <w:p>
            <w:pPr>
              <w:spacing w:after="0"/>
              <w:rPr>
                <w:sz w:val="17"/>
                <w:szCs w:val="17"/>
                <w:color w:val="auto"/>
              </w:rPr>
            </w:pPr>
          </w:p>
        </w:tc>
        <w:tc>
          <w:tcPr>
            <w:tcW w:w="140" w:type="dxa"/>
            <w:vAlign w:val="bottom"/>
            <w:tcBorders>
              <w:right w:val="single" w:sz="8" w:color="53C072"/>
            </w:tcBorders>
            <w:shd w:val="clear" w:color="auto" w:fill="53C072"/>
          </w:tcPr>
          <w:p>
            <w:pPr>
              <w:spacing w:after="0"/>
              <w:rPr>
                <w:sz w:val="17"/>
                <w:szCs w:val="17"/>
                <w:color w:val="auto"/>
              </w:rPr>
            </w:pPr>
          </w:p>
        </w:tc>
        <w:tc>
          <w:tcPr>
            <w:tcW w:w="80" w:type="dxa"/>
            <w:vAlign w:val="bottom"/>
            <w:shd w:val="clear" w:color="auto" w:fill="53C072"/>
          </w:tcPr>
          <w:p>
            <w:pPr>
              <w:spacing w:after="0"/>
              <w:rPr>
                <w:sz w:val="17"/>
                <w:szCs w:val="17"/>
                <w:color w:val="auto"/>
              </w:rPr>
            </w:pPr>
          </w:p>
        </w:tc>
        <w:tc>
          <w:tcPr>
            <w:tcW w:w="2800" w:type="dxa"/>
            <w:vAlign w:val="bottom"/>
            <w:tcBorders>
              <w:right w:val="single" w:sz="8" w:color="53C072"/>
            </w:tcBorders>
            <w:shd w:val="clear" w:color="auto" w:fill="53C072"/>
          </w:tcPr>
          <w:p>
            <w:pPr>
              <w:spacing w:after="0"/>
              <w:rPr>
                <w:sz w:val="17"/>
                <w:szCs w:val="17"/>
                <w:color w:val="auto"/>
              </w:rPr>
            </w:pPr>
          </w:p>
        </w:tc>
      </w:tr>
      <w:tr>
        <w:trPr>
          <w:trHeight w:val="272"/>
        </w:trPr>
        <w:tc>
          <w:tcPr>
            <w:tcW w:w="220" w:type="dxa"/>
            <w:vAlign w:val="bottom"/>
            <w:tcBorders>
              <w:left w:val="single" w:sz="8" w:color="53C072"/>
            </w:tcBorders>
            <w:shd w:val="clear" w:color="auto" w:fill="53C072"/>
          </w:tcPr>
          <w:p>
            <w:pPr>
              <w:spacing w:after="0"/>
              <w:rPr>
                <w:sz w:val="23"/>
                <w:szCs w:val="23"/>
                <w:color w:val="auto"/>
              </w:rPr>
            </w:pPr>
          </w:p>
        </w:tc>
        <w:tc>
          <w:tcPr>
            <w:tcW w:w="20" w:type="dxa"/>
            <w:vAlign w:val="bottom"/>
            <w:shd w:val="clear" w:color="auto" w:fill="53C072"/>
          </w:tcPr>
          <w:p>
            <w:pPr>
              <w:spacing w:after="0"/>
              <w:rPr>
                <w:sz w:val="23"/>
                <w:szCs w:val="23"/>
                <w:color w:val="auto"/>
              </w:rPr>
            </w:pPr>
          </w:p>
        </w:tc>
        <w:tc>
          <w:tcPr>
            <w:tcW w:w="880" w:type="dxa"/>
            <w:vAlign w:val="bottom"/>
            <w:shd w:val="clear" w:color="auto" w:fill="53C072"/>
          </w:tcPr>
          <w:p>
            <w:pPr>
              <w:spacing w:after="0"/>
              <w:rPr>
                <w:sz w:val="23"/>
                <w:szCs w:val="23"/>
                <w:color w:val="auto"/>
              </w:rPr>
            </w:pPr>
          </w:p>
        </w:tc>
        <w:tc>
          <w:tcPr>
            <w:tcW w:w="120" w:type="dxa"/>
            <w:vAlign w:val="bottom"/>
            <w:tcBorders>
              <w:right w:val="single" w:sz="8" w:color="53C072"/>
            </w:tcBorders>
            <w:shd w:val="clear" w:color="auto" w:fill="53C072"/>
          </w:tcPr>
          <w:p>
            <w:pPr>
              <w:spacing w:after="0"/>
              <w:rPr>
                <w:sz w:val="23"/>
                <w:szCs w:val="23"/>
                <w:color w:val="auto"/>
              </w:rPr>
            </w:pPr>
          </w:p>
        </w:tc>
        <w:tc>
          <w:tcPr>
            <w:tcW w:w="200" w:type="dxa"/>
            <w:vAlign w:val="bottom"/>
            <w:shd w:val="clear" w:color="auto" w:fill="53C072"/>
          </w:tcPr>
          <w:p>
            <w:pPr>
              <w:spacing w:after="0"/>
              <w:rPr>
                <w:sz w:val="23"/>
                <w:szCs w:val="23"/>
                <w:color w:val="auto"/>
              </w:rPr>
            </w:pPr>
          </w:p>
        </w:tc>
        <w:tc>
          <w:tcPr>
            <w:tcW w:w="380" w:type="dxa"/>
            <w:vAlign w:val="bottom"/>
            <w:gridSpan w:val="2"/>
            <w:shd w:val="clear" w:color="auto" w:fill="53C072"/>
          </w:tcPr>
          <w:p>
            <w:pPr>
              <w:ind w:left="220"/>
              <w:spacing w:after="0"/>
              <w:rPr>
                <w:sz w:val="20"/>
                <w:szCs w:val="20"/>
                <w:color w:val="auto"/>
              </w:rPr>
            </w:pPr>
            <w:r>
              <w:rPr>
                <w:rFonts w:ascii="Arial" w:cs="Arial" w:eastAsia="Arial" w:hAnsi="Arial"/>
                <w:sz w:val="14"/>
                <w:szCs w:val="14"/>
                <w:b w:val="1"/>
                <w:bCs w:val="1"/>
                <w:color w:val="FEFEFE"/>
              </w:rPr>
              <w:t>​ ​</w:t>
            </w:r>
          </w:p>
        </w:tc>
        <w:tc>
          <w:tcPr>
            <w:tcW w:w="1460" w:type="dxa"/>
            <w:vAlign w:val="bottom"/>
            <w:gridSpan w:val="3"/>
            <w:shd w:val="clear" w:color="auto" w:fill="53C072"/>
          </w:tcPr>
          <w:p>
            <w:pPr>
              <w:jc w:val="center"/>
              <w:ind w:left="373"/>
              <w:spacing w:after="0"/>
              <w:rPr>
                <w:sz w:val="20"/>
                <w:szCs w:val="20"/>
                <w:color w:val="auto"/>
              </w:rPr>
            </w:pPr>
            <w:r>
              <w:rPr>
                <w:rFonts w:ascii="Arial" w:cs="Arial" w:eastAsia="Arial" w:hAnsi="Arial"/>
                <w:sz w:val="14"/>
                <w:szCs w:val="14"/>
                <w:b w:val="1"/>
                <w:bCs w:val="1"/>
                <w:color w:val="FEFEFE"/>
              </w:rPr>
              <w:t>% Attainment</w:t>
            </w:r>
          </w:p>
        </w:tc>
        <w:tc>
          <w:tcPr>
            <w:tcW w:w="100" w:type="dxa"/>
            <w:vAlign w:val="bottom"/>
            <w:tcBorders>
              <w:right w:val="single" w:sz="8" w:color="53C072"/>
            </w:tcBorders>
            <w:shd w:val="clear" w:color="auto" w:fill="53C072"/>
          </w:tcPr>
          <w:p>
            <w:pPr>
              <w:spacing w:after="0"/>
              <w:rPr>
                <w:sz w:val="23"/>
                <w:szCs w:val="23"/>
                <w:color w:val="auto"/>
              </w:rPr>
            </w:pPr>
          </w:p>
        </w:tc>
        <w:tc>
          <w:tcPr>
            <w:tcW w:w="100" w:type="dxa"/>
            <w:vAlign w:val="bottom"/>
            <w:shd w:val="clear" w:color="auto" w:fill="53C072"/>
          </w:tcPr>
          <w:p>
            <w:pPr>
              <w:spacing w:after="0"/>
              <w:rPr>
                <w:sz w:val="23"/>
                <w:szCs w:val="23"/>
                <w:color w:val="auto"/>
              </w:rPr>
            </w:pPr>
          </w:p>
        </w:tc>
        <w:tc>
          <w:tcPr>
            <w:tcW w:w="480" w:type="dxa"/>
            <w:vAlign w:val="bottom"/>
            <w:gridSpan w:val="2"/>
            <w:shd w:val="clear" w:color="auto" w:fill="53C072"/>
          </w:tcPr>
          <w:p>
            <w:pPr>
              <w:ind w:left="320"/>
              <w:spacing w:after="0"/>
              <w:rPr>
                <w:sz w:val="20"/>
                <w:szCs w:val="20"/>
                <w:color w:val="auto"/>
              </w:rPr>
            </w:pPr>
            <w:r>
              <w:rPr>
                <w:rFonts w:ascii="Arial" w:cs="Arial" w:eastAsia="Arial" w:hAnsi="Arial"/>
                <w:sz w:val="14"/>
                <w:szCs w:val="14"/>
                <w:b w:val="1"/>
                <w:bCs w:val="1"/>
                <w:color w:val="FEFEFE"/>
              </w:rPr>
              <w:t>​ ​</w:t>
            </w:r>
          </w:p>
        </w:tc>
        <w:tc>
          <w:tcPr>
            <w:tcW w:w="1480" w:type="dxa"/>
            <w:vAlign w:val="bottom"/>
            <w:shd w:val="clear" w:color="auto" w:fill="53C072"/>
          </w:tcPr>
          <w:p>
            <w:pPr>
              <w:ind w:left="440"/>
              <w:spacing w:after="0"/>
              <w:rPr>
                <w:sz w:val="20"/>
                <w:szCs w:val="20"/>
                <w:color w:val="auto"/>
              </w:rPr>
            </w:pPr>
            <w:r>
              <w:rPr>
                <w:rFonts w:ascii="Arial" w:cs="Arial" w:eastAsia="Arial" w:hAnsi="Arial"/>
                <w:sz w:val="14"/>
                <w:szCs w:val="14"/>
                <w:b w:val="1"/>
                <w:bCs w:val="1"/>
                <w:color w:val="FEFEFE"/>
              </w:rPr>
              <w:t>ROWC %</w:t>
            </w:r>
          </w:p>
        </w:tc>
        <w:tc>
          <w:tcPr>
            <w:tcW w:w="300" w:type="dxa"/>
            <w:vAlign w:val="bottom"/>
            <w:gridSpan w:val="2"/>
            <w:shd w:val="clear" w:color="auto" w:fill="53C072"/>
          </w:tcPr>
          <w:p>
            <w:pPr>
              <w:jc w:val="right"/>
              <w:ind w:right="10"/>
              <w:spacing w:after="0"/>
              <w:rPr>
                <w:sz w:val="20"/>
                <w:szCs w:val="20"/>
                <w:color w:val="auto"/>
              </w:rPr>
            </w:pPr>
            <w:r>
              <w:rPr>
                <w:rFonts w:ascii="Arial" w:cs="Arial" w:eastAsia="Arial" w:hAnsi="Arial"/>
                <w:sz w:val="14"/>
                <w:szCs w:val="14"/>
                <w:b w:val="1"/>
                <w:bCs w:val="1"/>
                <w:color w:val="FEFEFE"/>
              </w:rPr>
              <w:t>​ ​</w:t>
            </w:r>
          </w:p>
        </w:tc>
        <w:tc>
          <w:tcPr>
            <w:tcW w:w="140" w:type="dxa"/>
            <w:vAlign w:val="bottom"/>
            <w:tcBorders>
              <w:right w:val="single" w:sz="8" w:color="53C072"/>
            </w:tcBorders>
            <w:shd w:val="clear" w:color="auto" w:fill="53C072"/>
          </w:tcPr>
          <w:p>
            <w:pPr>
              <w:spacing w:after="0"/>
              <w:rPr>
                <w:sz w:val="23"/>
                <w:szCs w:val="23"/>
                <w:color w:val="auto"/>
              </w:rPr>
            </w:pPr>
          </w:p>
        </w:tc>
        <w:tc>
          <w:tcPr>
            <w:tcW w:w="80" w:type="dxa"/>
            <w:vAlign w:val="bottom"/>
            <w:shd w:val="clear" w:color="auto" w:fill="53C072"/>
          </w:tcPr>
          <w:p>
            <w:pPr>
              <w:spacing w:after="0"/>
              <w:rPr>
                <w:sz w:val="23"/>
                <w:szCs w:val="23"/>
                <w:color w:val="auto"/>
              </w:rPr>
            </w:pPr>
          </w:p>
        </w:tc>
        <w:tc>
          <w:tcPr>
            <w:tcW w:w="2800" w:type="dxa"/>
            <w:vAlign w:val="bottom"/>
            <w:tcBorders>
              <w:right w:val="single" w:sz="8" w:color="53C072"/>
            </w:tcBorders>
            <w:shd w:val="clear" w:color="auto" w:fill="53C072"/>
          </w:tcPr>
          <w:p>
            <w:pPr>
              <w:jc w:val="center"/>
              <w:ind w:right="293"/>
              <w:spacing w:after="0"/>
              <w:rPr>
                <w:sz w:val="20"/>
                <w:szCs w:val="20"/>
                <w:color w:val="auto"/>
              </w:rPr>
            </w:pPr>
            <w:r>
              <w:rPr>
                <w:rFonts w:ascii="Arial" w:cs="Arial" w:eastAsia="Arial" w:hAnsi="Arial"/>
                <w:sz w:val="14"/>
                <w:szCs w:val="14"/>
                <w:b w:val="1"/>
                <w:bCs w:val="1"/>
                <w:color w:val="FEFEFE"/>
              </w:rPr>
              <w:t>% Payout</w:t>
            </w:r>
          </w:p>
        </w:tc>
      </w:tr>
      <w:tr>
        <w:trPr>
          <w:trHeight w:val="270"/>
        </w:trPr>
        <w:tc>
          <w:tcPr>
            <w:tcW w:w="220" w:type="dxa"/>
            <w:vAlign w:val="bottom"/>
            <w:tcBorders>
              <w:left w:val="single" w:sz="8" w:color="53C072"/>
              <w:bottom w:val="single" w:sz="8" w:color="53C072"/>
            </w:tcBorders>
          </w:tcPr>
          <w:p>
            <w:pPr>
              <w:spacing w:after="0"/>
              <w:rPr>
                <w:sz w:val="23"/>
                <w:szCs w:val="23"/>
                <w:color w:val="auto"/>
              </w:rPr>
            </w:pPr>
          </w:p>
        </w:tc>
        <w:tc>
          <w:tcPr>
            <w:tcW w:w="900" w:type="dxa"/>
            <w:vAlign w:val="bottom"/>
            <w:tcBorders>
              <w:bottom w:val="single" w:sz="8" w:color="53C072"/>
            </w:tcBorders>
            <w:gridSpan w:val="2"/>
          </w:tcPr>
          <w:p>
            <w:pPr>
              <w:ind w:left="20"/>
              <w:spacing w:after="0"/>
              <w:rPr>
                <w:sz w:val="20"/>
                <w:szCs w:val="20"/>
                <w:color w:val="auto"/>
              </w:rPr>
            </w:pPr>
            <w:r>
              <w:rPr>
                <w:rFonts w:ascii="Arial" w:cs="Arial" w:eastAsia="Arial" w:hAnsi="Arial"/>
                <w:sz w:val="18"/>
                <w:szCs w:val="18"/>
                <w:color w:val="auto"/>
              </w:rPr>
              <w:t>Maximum</w:t>
            </w:r>
          </w:p>
        </w:tc>
        <w:tc>
          <w:tcPr>
            <w:tcW w:w="120" w:type="dxa"/>
            <w:vAlign w:val="bottom"/>
            <w:tcBorders>
              <w:bottom w:val="single" w:sz="8" w:color="53C072"/>
            </w:tcBorders>
          </w:tcPr>
          <w:p>
            <w:pPr>
              <w:spacing w:after="0"/>
              <w:rPr>
                <w:sz w:val="23"/>
                <w:szCs w:val="23"/>
                <w:color w:val="auto"/>
              </w:rPr>
            </w:pPr>
          </w:p>
        </w:tc>
        <w:tc>
          <w:tcPr>
            <w:tcW w:w="200" w:type="dxa"/>
            <w:vAlign w:val="bottom"/>
            <w:tcBorders>
              <w:bottom w:val="single" w:sz="8" w:color="53C072"/>
            </w:tcBorders>
          </w:tcPr>
          <w:p>
            <w:pPr>
              <w:spacing w:after="0"/>
              <w:rPr>
                <w:sz w:val="23"/>
                <w:szCs w:val="23"/>
                <w:color w:val="auto"/>
              </w:rPr>
            </w:pPr>
          </w:p>
        </w:tc>
        <w:tc>
          <w:tcPr>
            <w:tcW w:w="280" w:type="dxa"/>
            <w:vAlign w:val="bottom"/>
            <w:tcBorders>
              <w:bottom w:val="single" w:sz="8" w:color="53C072"/>
              <w:right w:val="single" w:sz="8" w:color="53C072"/>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53C072"/>
            </w:tcBorders>
            <w:gridSpan w:val="3"/>
          </w:tcPr>
          <w:p>
            <w:pPr>
              <w:jc w:val="center"/>
              <w:ind w:left="373"/>
              <w:spacing w:after="0"/>
              <w:rPr>
                <w:sz w:val="20"/>
                <w:szCs w:val="20"/>
                <w:color w:val="auto"/>
              </w:rPr>
            </w:pPr>
            <w:r>
              <w:rPr>
                <w:rFonts w:ascii="Arial" w:cs="Arial" w:eastAsia="Arial" w:hAnsi="Arial"/>
                <w:sz w:val="18"/>
                <w:szCs w:val="18"/>
                <w:color w:val="auto"/>
                <w:w w:val="95"/>
              </w:rPr>
              <w:t>133%</w:t>
            </w:r>
          </w:p>
        </w:tc>
        <w:tc>
          <w:tcPr>
            <w:tcW w:w="10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tcBorders>
          </w:tcPr>
          <w:p>
            <w:pPr>
              <w:spacing w:after="0"/>
              <w:rPr>
                <w:sz w:val="23"/>
                <w:szCs w:val="23"/>
                <w:color w:val="auto"/>
              </w:rPr>
            </w:pPr>
          </w:p>
        </w:tc>
        <w:tc>
          <w:tcPr>
            <w:tcW w:w="380" w:type="dxa"/>
            <w:vAlign w:val="bottom"/>
            <w:tcBorders>
              <w:bottom w:val="single" w:sz="8" w:color="53C072"/>
              <w:right w:val="single" w:sz="8" w:color="53C072"/>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53C072"/>
            </w:tcBorders>
          </w:tcPr>
          <w:p>
            <w:pPr>
              <w:ind w:left="440"/>
              <w:spacing w:after="0"/>
              <w:rPr>
                <w:sz w:val="20"/>
                <w:szCs w:val="20"/>
                <w:color w:val="auto"/>
              </w:rPr>
            </w:pPr>
            <w:r>
              <w:rPr>
                <w:rFonts w:ascii="Arial" w:cs="Arial" w:eastAsia="Arial" w:hAnsi="Arial"/>
                <w:sz w:val="18"/>
                <w:szCs w:val="18"/>
                <w:color w:val="auto"/>
              </w:rPr>
              <w:t>25.26%</w:t>
            </w:r>
          </w:p>
        </w:tc>
        <w:tc>
          <w:tcPr>
            <w:tcW w:w="12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53C072"/>
            </w:tcBorders>
          </w:tcPr>
          <w:p>
            <w:pPr>
              <w:spacing w:after="0"/>
              <w:rPr>
                <w:sz w:val="23"/>
                <w:szCs w:val="23"/>
                <w:color w:val="auto"/>
              </w:rPr>
            </w:pPr>
          </w:p>
        </w:tc>
        <w:tc>
          <w:tcPr>
            <w:tcW w:w="80" w:type="dxa"/>
            <w:vAlign w:val="bottom"/>
            <w:tcBorders>
              <w:bottom w:val="single" w:sz="8" w:color="53C072"/>
            </w:tcBorders>
          </w:tcPr>
          <w:p>
            <w:pPr>
              <w:spacing w:after="0"/>
              <w:rPr>
                <w:sz w:val="23"/>
                <w:szCs w:val="23"/>
                <w:color w:val="auto"/>
              </w:rPr>
            </w:pPr>
          </w:p>
        </w:tc>
        <w:tc>
          <w:tcPr>
            <w:tcW w:w="2800" w:type="dxa"/>
            <w:vAlign w:val="bottom"/>
            <w:tcBorders>
              <w:bottom w:val="single" w:sz="8" w:color="53C072"/>
              <w:right w:val="single" w:sz="8" w:color="53C072"/>
            </w:tcBorders>
          </w:tcPr>
          <w:p>
            <w:pPr>
              <w:jc w:val="center"/>
              <w:ind w:right="293"/>
              <w:spacing w:after="0"/>
              <w:rPr>
                <w:sz w:val="20"/>
                <w:szCs w:val="20"/>
                <w:color w:val="auto"/>
              </w:rPr>
            </w:pPr>
            <w:r>
              <w:rPr>
                <w:rFonts w:ascii="Arial" w:cs="Arial" w:eastAsia="Arial" w:hAnsi="Arial"/>
                <w:sz w:val="18"/>
                <w:szCs w:val="18"/>
                <w:color w:val="auto"/>
                <w:w w:val="99"/>
              </w:rPr>
              <w:t>200%</w:t>
            </w:r>
          </w:p>
        </w:tc>
      </w:tr>
      <w:tr>
        <w:trPr>
          <w:trHeight w:val="218"/>
        </w:trPr>
        <w:tc>
          <w:tcPr>
            <w:tcW w:w="220" w:type="dxa"/>
            <w:vAlign w:val="bottom"/>
            <w:tcBorders>
              <w:left w:val="single" w:sz="8" w:color="53C072"/>
            </w:tcBorders>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&gt; Target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right w:val="single" w:sz="8" w:color="53C072"/>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1660" w:type="dxa"/>
            <w:vAlign w:val="bottom"/>
            <w:gridSpan w:val="5"/>
          </w:tcPr>
          <w:p>
            <w:pPr>
              <w:jc w:val="center"/>
              <w:ind w:left="173"/>
              <w:spacing w:after="0"/>
              <w:rPr>
                <w:sz w:val="20"/>
                <w:szCs w:val="20"/>
                <w:color w:val="auto"/>
              </w:rPr>
            </w:pPr>
            <w:r>
              <w:rPr>
                <w:rFonts w:ascii="Arial" w:cs="Arial" w:eastAsia="Arial" w:hAnsi="Arial"/>
                <w:sz w:val="18"/>
                <w:szCs w:val="18"/>
                <w:color w:val="auto"/>
                <w:w w:val="99"/>
              </w:rPr>
              <w:t>1% change = 1%</w:t>
            </w:r>
          </w:p>
        </w:tc>
        <w:tc>
          <w:tcPr>
            <w:tcW w:w="380" w:type="dxa"/>
            <w:vAlign w:val="bottom"/>
            <w:tcBorders>
              <w:right w:val="single" w:sz="8" w:color="53C072"/>
            </w:tcBorders>
          </w:tcPr>
          <w:p>
            <w:pPr>
              <w:ind w:left="32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53C072"/>
            </w:tcBorders>
            <w:gridSpan w:val="3"/>
          </w:tcPr>
          <w:p>
            <w:pPr>
              <w:jc w:val="right"/>
              <w:spacing w:after="0"/>
              <w:rPr>
                <w:sz w:val="20"/>
                <w:szCs w:val="20"/>
                <w:color w:val="auto"/>
              </w:rPr>
            </w:pPr>
            <w:r>
              <w:rPr>
                <w:rFonts w:ascii="Arial" w:cs="Arial" w:eastAsia="Arial" w:hAnsi="Arial"/>
                <w:sz w:val="18"/>
                <w:szCs w:val="18"/>
                <w:color w:val="auto"/>
              </w:rPr>
              <w:t>​ 18.95% — 25.25%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Borders>
              <w:right w:val="single" w:sz="8" w:color="53C072"/>
            </w:tcBorders>
          </w:tcPr>
          <w:p>
            <w:pPr>
              <w:jc w:val="center"/>
              <w:ind w:right="293"/>
              <w:spacing w:after="0"/>
              <w:rPr>
                <w:sz w:val="20"/>
                <w:szCs w:val="20"/>
                <w:color w:val="auto"/>
              </w:rPr>
            </w:pPr>
            <w:r>
              <w:rPr>
                <w:rFonts w:ascii="Arial" w:cs="Arial" w:eastAsia="Arial" w:hAnsi="Arial"/>
                <w:sz w:val="18"/>
                <w:szCs w:val="18"/>
                <w:color w:val="auto"/>
                <w:w w:val="97"/>
              </w:rPr>
              <w:t>3% increase in payout per 1%</w:t>
            </w:r>
          </w:p>
        </w:tc>
      </w:tr>
      <w:tr>
        <w:trPr>
          <w:trHeight w:val="239"/>
        </w:trPr>
        <w:tc>
          <w:tcPr>
            <w:tcW w:w="220" w:type="dxa"/>
            <w:vAlign w:val="bottom"/>
            <w:tcBorders>
              <w:left w:val="single" w:sz="8" w:color="53C072"/>
            </w:tcBorders>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right w:val="single" w:sz="8" w:color="53C072"/>
            </w:tcBorders>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right w:val="single" w:sz="8" w:color="53C072"/>
            </w:tcBorders>
            <w:gridSpan w:val="6"/>
          </w:tcPr>
          <w:p>
            <w:pPr>
              <w:ind w:left="220"/>
              <w:spacing w:after="0"/>
              <w:rPr>
                <w:sz w:val="20"/>
                <w:szCs w:val="20"/>
                <w:color w:val="auto"/>
              </w:rPr>
            </w:pPr>
            <w:r>
              <w:rPr>
                <w:rFonts w:ascii="Arial" w:cs="Arial" w:eastAsia="Arial" w:hAnsi="Arial"/>
                <w:sz w:val="18"/>
                <w:szCs w:val="18"/>
                <w:color w:val="auto"/>
              </w:rPr>
              <w:t>change in attainment</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right w:val="single" w:sz="8" w:color="53C072"/>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Borders>
              <w:right w:val="single" w:sz="8" w:color="53C072"/>
            </w:tcBorders>
          </w:tcPr>
          <w:p>
            <w:pPr>
              <w:jc w:val="center"/>
              <w:ind w:right="113"/>
              <w:spacing w:after="0"/>
              <w:rPr>
                <w:sz w:val="20"/>
                <w:szCs w:val="20"/>
                <w:color w:val="auto"/>
              </w:rPr>
            </w:pPr>
            <w:r>
              <w:rPr>
                <w:rFonts w:ascii="Arial" w:cs="Arial" w:eastAsia="Arial" w:hAnsi="Arial"/>
                <w:sz w:val="18"/>
                <w:szCs w:val="18"/>
                <w:color w:val="auto"/>
                <w:w w:val="97"/>
              </w:rPr>
              <w:t>increase in attainment</w:t>
            </w:r>
          </w:p>
        </w:tc>
      </w:tr>
      <w:tr>
        <w:trPr>
          <w:trHeight w:val="23"/>
        </w:trPr>
        <w:tc>
          <w:tcPr>
            <w:tcW w:w="220" w:type="dxa"/>
            <w:vAlign w:val="bottom"/>
            <w:tcBorders>
              <w:left w:val="single" w:sz="8" w:color="53C072"/>
              <w:bottom w:val="single" w:sz="8" w:color="53C072"/>
            </w:tcBorders>
          </w:tcPr>
          <w:p>
            <w:pPr>
              <w:spacing w:after="0"/>
              <w:rPr>
                <w:sz w:val="2"/>
                <w:szCs w:val="2"/>
                <w:color w:val="auto"/>
              </w:rPr>
            </w:pPr>
          </w:p>
        </w:tc>
        <w:tc>
          <w:tcPr>
            <w:tcW w:w="900" w:type="dxa"/>
            <w:vAlign w:val="bottom"/>
            <w:tcBorders>
              <w:bottom w:val="single" w:sz="8" w:color="53C072"/>
            </w:tcBorders>
            <w:gridSpan w:val="2"/>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280" w:type="dxa"/>
            <w:vAlign w:val="bottom"/>
            <w:tcBorders>
              <w:bottom w:val="single" w:sz="8" w:color="53C072"/>
              <w:right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80" w:type="dxa"/>
            <w:vAlign w:val="bottom"/>
            <w:tcBorders>
              <w:bottom w:val="single" w:sz="8" w:color="53C072"/>
              <w:right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480" w:type="dxa"/>
            <w:vAlign w:val="bottom"/>
            <w:tcBorders>
              <w:bottom w:val="single" w:sz="8" w:color="53C072"/>
            </w:tcBorders>
          </w:tcPr>
          <w:p>
            <w:pPr>
              <w:spacing w:after="0"/>
              <w:rPr>
                <w:sz w:val="2"/>
                <w:szCs w:val="2"/>
                <w:color w:val="auto"/>
              </w:rPr>
            </w:pPr>
          </w:p>
        </w:tc>
        <w:tc>
          <w:tcPr>
            <w:tcW w:w="12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800" w:type="dxa"/>
            <w:vAlign w:val="bottom"/>
            <w:tcBorders>
              <w:bottom w:val="single" w:sz="8" w:color="53C072"/>
              <w:right w:val="single" w:sz="8" w:color="53C072"/>
            </w:tcBorders>
          </w:tcPr>
          <w:p>
            <w:pPr>
              <w:spacing w:after="0"/>
              <w:rPr>
                <w:sz w:val="2"/>
                <w:szCs w:val="2"/>
                <w:color w:val="auto"/>
              </w:rPr>
            </w:pPr>
          </w:p>
        </w:tc>
      </w:tr>
      <w:tr>
        <w:trPr>
          <w:trHeight w:val="263"/>
        </w:trPr>
        <w:tc>
          <w:tcPr>
            <w:tcW w:w="220" w:type="dxa"/>
            <w:vAlign w:val="bottom"/>
            <w:tcBorders>
              <w:left w:val="single" w:sz="8" w:color="53C072"/>
              <w:bottom w:val="single" w:sz="8" w:color="53C072"/>
            </w:tcBorders>
            <w:shd w:val="clear" w:color="auto" w:fill="CBECD5"/>
          </w:tcPr>
          <w:p>
            <w:pPr>
              <w:spacing w:after="0"/>
              <w:rPr>
                <w:sz w:val="22"/>
                <w:szCs w:val="22"/>
                <w:color w:val="auto"/>
              </w:rPr>
            </w:pPr>
          </w:p>
        </w:tc>
        <w:tc>
          <w:tcPr>
            <w:tcW w:w="900" w:type="dxa"/>
            <w:vAlign w:val="bottom"/>
            <w:tcBorders>
              <w:bottom w:val="single" w:sz="8" w:color="53C072"/>
            </w:tcBorders>
            <w:gridSpan w:val="2"/>
            <w:shd w:val="clear" w:color="auto" w:fill="CBECD5"/>
          </w:tcPr>
          <w:p>
            <w:pPr>
              <w:ind w:left="20"/>
              <w:spacing w:after="0"/>
              <w:rPr>
                <w:sz w:val="20"/>
                <w:szCs w:val="20"/>
                <w:color w:val="auto"/>
              </w:rPr>
            </w:pPr>
            <w:r>
              <w:rPr>
                <w:rFonts w:ascii="Arial" w:cs="Arial" w:eastAsia="Arial" w:hAnsi="Arial"/>
                <w:sz w:val="18"/>
                <w:szCs w:val="18"/>
                <w:b w:val="1"/>
                <w:bCs w:val="1"/>
                <w:color w:val="auto"/>
              </w:rPr>
              <w:t>Target</w:t>
            </w:r>
          </w:p>
        </w:tc>
        <w:tc>
          <w:tcPr>
            <w:tcW w:w="120" w:type="dxa"/>
            <w:vAlign w:val="bottom"/>
            <w:tcBorders>
              <w:bottom w:val="single" w:sz="8" w:color="53C072"/>
              <w:right w:val="single" w:sz="8" w:color="CBECD5"/>
            </w:tcBorders>
            <w:shd w:val="clear" w:color="auto" w:fill="CBECD5"/>
          </w:tcPr>
          <w:p>
            <w:pPr>
              <w:spacing w:after="0"/>
              <w:rPr>
                <w:sz w:val="22"/>
                <w:szCs w:val="22"/>
                <w:color w:val="auto"/>
              </w:rPr>
            </w:pPr>
          </w:p>
        </w:tc>
        <w:tc>
          <w:tcPr>
            <w:tcW w:w="200" w:type="dxa"/>
            <w:vAlign w:val="bottom"/>
            <w:tcBorders>
              <w:bottom w:val="single" w:sz="8" w:color="53C072"/>
            </w:tcBorders>
            <w:shd w:val="clear" w:color="auto" w:fill="CBECD5"/>
          </w:tcPr>
          <w:p>
            <w:pPr>
              <w:spacing w:after="0"/>
              <w:rPr>
                <w:sz w:val="22"/>
                <w:szCs w:val="22"/>
                <w:color w:val="auto"/>
              </w:rPr>
            </w:pPr>
          </w:p>
        </w:tc>
        <w:tc>
          <w:tcPr>
            <w:tcW w:w="280" w:type="dxa"/>
            <w:vAlign w:val="bottom"/>
            <w:tcBorders>
              <w:bottom w:val="single" w:sz="8" w:color="53C072"/>
              <w:right w:val="single" w:sz="8" w:color="53C072"/>
            </w:tcBorders>
            <w:shd w:val="clear" w:color="auto" w:fill="CBECD5"/>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53C072"/>
            </w:tcBorders>
            <w:gridSpan w:val="3"/>
            <w:shd w:val="clear" w:color="auto" w:fill="CBECD5"/>
          </w:tcPr>
          <w:p>
            <w:pPr>
              <w:jc w:val="right"/>
              <w:ind w:right="110"/>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53C072"/>
              <w:right w:val="single" w:sz="8" w:color="CBECD5"/>
            </w:tcBorders>
            <w:shd w:val="clear" w:color="auto" w:fill="CBECD5"/>
          </w:tcPr>
          <w:p>
            <w:pPr>
              <w:spacing w:after="0"/>
              <w:rPr>
                <w:sz w:val="22"/>
                <w:szCs w:val="22"/>
                <w:color w:val="auto"/>
              </w:rPr>
            </w:pPr>
          </w:p>
        </w:tc>
        <w:tc>
          <w:tcPr>
            <w:tcW w:w="100" w:type="dxa"/>
            <w:vAlign w:val="bottom"/>
            <w:tcBorders>
              <w:bottom w:val="single" w:sz="8" w:color="53C072"/>
            </w:tcBorders>
            <w:shd w:val="clear" w:color="auto" w:fill="CBECD5"/>
          </w:tcPr>
          <w:p>
            <w:pPr>
              <w:spacing w:after="0"/>
              <w:rPr>
                <w:sz w:val="22"/>
                <w:szCs w:val="22"/>
                <w:color w:val="auto"/>
              </w:rPr>
            </w:pPr>
          </w:p>
        </w:tc>
        <w:tc>
          <w:tcPr>
            <w:tcW w:w="380" w:type="dxa"/>
            <w:vAlign w:val="bottom"/>
            <w:tcBorders>
              <w:bottom w:val="single" w:sz="8" w:color="53C072"/>
              <w:right w:val="single" w:sz="8" w:color="53C072"/>
            </w:tcBorders>
            <w:shd w:val="clear" w:color="auto" w:fill="CBECD5"/>
          </w:tcPr>
          <w:p>
            <w:pPr>
              <w:ind w:left="3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53C072"/>
            </w:tcBorders>
            <w:shd w:val="clear" w:color="auto" w:fill="CBECD5"/>
          </w:tcPr>
          <w:p>
            <w:pPr>
              <w:ind w:left="440"/>
              <w:spacing w:after="0"/>
              <w:rPr>
                <w:sz w:val="20"/>
                <w:szCs w:val="20"/>
                <w:color w:val="auto"/>
              </w:rPr>
            </w:pPr>
            <w:r>
              <w:rPr>
                <w:rFonts w:ascii="Arial" w:cs="Arial" w:eastAsia="Arial" w:hAnsi="Arial"/>
                <w:sz w:val="18"/>
                <w:szCs w:val="18"/>
                <w:b w:val="1"/>
                <w:bCs w:val="1"/>
                <w:color w:val="auto"/>
              </w:rPr>
              <w:t>18.94%</w:t>
            </w:r>
          </w:p>
        </w:tc>
        <w:tc>
          <w:tcPr>
            <w:tcW w:w="120" w:type="dxa"/>
            <w:vAlign w:val="bottom"/>
            <w:tcBorders>
              <w:bottom w:val="single" w:sz="8" w:color="53C072"/>
              <w:right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53C072"/>
              <w:right w:val="single" w:sz="8" w:color="CBECD5"/>
            </w:tcBorders>
            <w:shd w:val="clear" w:color="auto" w:fill="CBECD5"/>
          </w:tcPr>
          <w:p>
            <w:pPr>
              <w:spacing w:after="0"/>
              <w:rPr>
                <w:sz w:val="22"/>
                <w:szCs w:val="22"/>
                <w:color w:val="auto"/>
              </w:rPr>
            </w:pPr>
          </w:p>
        </w:tc>
        <w:tc>
          <w:tcPr>
            <w:tcW w:w="80" w:type="dxa"/>
            <w:vAlign w:val="bottom"/>
            <w:tcBorders>
              <w:bottom w:val="single" w:sz="8" w:color="53C072"/>
            </w:tcBorders>
            <w:shd w:val="clear" w:color="auto" w:fill="CBECD5"/>
          </w:tcPr>
          <w:p>
            <w:pPr>
              <w:spacing w:after="0"/>
              <w:rPr>
                <w:sz w:val="22"/>
                <w:szCs w:val="22"/>
                <w:color w:val="auto"/>
              </w:rPr>
            </w:pPr>
          </w:p>
        </w:tc>
        <w:tc>
          <w:tcPr>
            <w:tcW w:w="2800" w:type="dxa"/>
            <w:vAlign w:val="bottom"/>
            <w:tcBorders>
              <w:bottom w:val="single" w:sz="8" w:color="53C072"/>
              <w:right w:val="single" w:sz="8" w:color="53C072"/>
            </w:tcBorders>
            <w:shd w:val="clear" w:color="auto" w:fill="CBECD5"/>
          </w:tcPr>
          <w:p>
            <w:pPr>
              <w:jc w:val="center"/>
              <w:ind w:right="273"/>
              <w:spacing w:after="0"/>
              <w:rPr>
                <w:sz w:val="20"/>
                <w:szCs w:val="20"/>
                <w:color w:val="auto"/>
              </w:rPr>
            </w:pPr>
            <w:r>
              <w:rPr>
                <w:rFonts w:ascii="Arial" w:cs="Arial" w:eastAsia="Arial" w:hAnsi="Arial"/>
                <w:sz w:val="18"/>
                <w:szCs w:val="18"/>
                <w:b w:val="1"/>
                <w:bCs w:val="1"/>
                <w:color w:val="auto"/>
                <w:w w:val="98"/>
              </w:rPr>
              <w:t>100.0%</w:t>
            </w:r>
          </w:p>
        </w:tc>
      </w:tr>
      <w:tr>
        <w:trPr>
          <w:trHeight w:val="218"/>
        </w:trPr>
        <w:tc>
          <w:tcPr>
            <w:tcW w:w="220" w:type="dxa"/>
            <w:vAlign w:val="bottom"/>
            <w:tcBorders>
              <w:left w:val="single" w:sz="8" w:color="53C072"/>
            </w:tcBorders>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&lt; Target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right w:val="single" w:sz="8" w:color="53C072"/>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1660" w:type="dxa"/>
            <w:vAlign w:val="bottom"/>
            <w:gridSpan w:val="5"/>
          </w:tcPr>
          <w:p>
            <w:pPr>
              <w:jc w:val="center"/>
              <w:ind w:left="173"/>
              <w:spacing w:after="0"/>
              <w:rPr>
                <w:sz w:val="20"/>
                <w:szCs w:val="20"/>
                <w:color w:val="auto"/>
              </w:rPr>
            </w:pPr>
            <w:r>
              <w:rPr>
                <w:rFonts w:ascii="Arial" w:cs="Arial" w:eastAsia="Arial" w:hAnsi="Arial"/>
                <w:sz w:val="18"/>
                <w:szCs w:val="18"/>
                <w:color w:val="auto"/>
                <w:w w:val="99"/>
              </w:rPr>
              <w:t>1% change = 1%</w:t>
            </w:r>
          </w:p>
        </w:tc>
        <w:tc>
          <w:tcPr>
            <w:tcW w:w="380" w:type="dxa"/>
            <w:vAlign w:val="bottom"/>
            <w:tcBorders>
              <w:right w:val="single" w:sz="8" w:color="53C072"/>
            </w:tcBorders>
          </w:tcPr>
          <w:p>
            <w:pPr>
              <w:ind w:left="32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53C072"/>
            </w:tcBorders>
            <w:gridSpan w:val="3"/>
          </w:tcPr>
          <w:p>
            <w:pPr>
              <w:jc w:val="right"/>
              <w:spacing w:after="0"/>
              <w:rPr>
                <w:sz w:val="20"/>
                <w:szCs w:val="20"/>
                <w:color w:val="auto"/>
              </w:rPr>
            </w:pPr>
            <w:r>
              <w:rPr>
                <w:rFonts w:ascii="Arial" w:cs="Arial" w:eastAsia="Arial" w:hAnsi="Arial"/>
                <w:sz w:val="18"/>
                <w:szCs w:val="18"/>
                <w:color w:val="auto"/>
              </w:rPr>
              <w:t>​ 15.16% — 18.93%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Borders>
              <w:right w:val="single" w:sz="8" w:color="53C072"/>
            </w:tcBorders>
          </w:tcPr>
          <w:p>
            <w:pPr>
              <w:jc w:val="center"/>
              <w:ind w:right="293"/>
              <w:spacing w:after="0"/>
              <w:rPr>
                <w:sz w:val="20"/>
                <w:szCs w:val="20"/>
                <w:color w:val="auto"/>
              </w:rPr>
            </w:pPr>
            <w:r>
              <w:rPr>
                <w:rFonts w:ascii="Arial" w:cs="Arial" w:eastAsia="Arial" w:hAnsi="Arial"/>
                <w:sz w:val="18"/>
                <w:szCs w:val="18"/>
                <w:color w:val="auto"/>
                <w:w w:val="98"/>
              </w:rPr>
              <w:t>3% decrease in payout per 1%</w:t>
            </w:r>
          </w:p>
        </w:tc>
      </w:tr>
      <w:tr>
        <w:trPr>
          <w:trHeight w:val="239"/>
        </w:trPr>
        <w:tc>
          <w:tcPr>
            <w:tcW w:w="220" w:type="dxa"/>
            <w:vAlign w:val="bottom"/>
            <w:tcBorders>
              <w:left w:val="single" w:sz="8" w:color="53C072"/>
            </w:tcBorders>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right w:val="single" w:sz="8" w:color="53C072"/>
            </w:tcBorders>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right w:val="single" w:sz="8" w:color="53C072"/>
            </w:tcBorders>
            <w:gridSpan w:val="6"/>
          </w:tcPr>
          <w:p>
            <w:pPr>
              <w:ind w:left="220"/>
              <w:spacing w:after="0"/>
              <w:rPr>
                <w:sz w:val="20"/>
                <w:szCs w:val="20"/>
                <w:color w:val="auto"/>
              </w:rPr>
            </w:pPr>
            <w:r>
              <w:rPr>
                <w:rFonts w:ascii="Arial" w:cs="Arial" w:eastAsia="Arial" w:hAnsi="Arial"/>
                <w:sz w:val="18"/>
                <w:szCs w:val="18"/>
                <w:color w:val="auto"/>
              </w:rPr>
              <w:t>change in attainment</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right w:val="single" w:sz="8" w:color="53C072"/>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Borders>
              <w:right w:val="single" w:sz="8" w:color="53C072"/>
            </w:tcBorders>
          </w:tcPr>
          <w:p>
            <w:pPr>
              <w:jc w:val="center"/>
              <w:ind w:right="113"/>
              <w:spacing w:after="0"/>
              <w:rPr>
                <w:sz w:val="20"/>
                <w:szCs w:val="20"/>
                <w:color w:val="auto"/>
              </w:rPr>
            </w:pPr>
            <w:r>
              <w:rPr>
                <w:rFonts w:ascii="Arial" w:cs="Arial" w:eastAsia="Arial" w:hAnsi="Arial"/>
                <w:sz w:val="18"/>
                <w:szCs w:val="18"/>
                <w:color w:val="auto"/>
                <w:w w:val="98"/>
              </w:rPr>
              <w:t>decrease in attainment</w:t>
            </w:r>
          </w:p>
        </w:tc>
      </w:tr>
      <w:tr>
        <w:trPr>
          <w:trHeight w:val="23"/>
        </w:trPr>
        <w:tc>
          <w:tcPr>
            <w:tcW w:w="220" w:type="dxa"/>
            <w:vAlign w:val="bottom"/>
            <w:tcBorders>
              <w:left w:val="single" w:sz="8" w:color="53C072"/>
              <w:bottom w:val="single" w:sz="8" w:color="53C072"/>
            </w:tcBorders>
          </w:tcPr>
          <w:p>
            <w:pPr>
              <w:spacing w:after="0"/>
              <w:rPr>
                <w:sz w:val="2"/>
                <w:szCs w:val="2"/>
                <w:color w:val="auto"/>
              </w:rPr>
            </w:pPr>
          </w:p>
        </w:tc>
        <w:tc>
          <w:tcPr>
            <w:tcW w:w="900" w:type="dxa"/>
            <w:vAlign w:val="bottom"/>
            <w:tcBorders>
              <w:bottom w:val="single" w:sz="8" w:color="53C072"/>
            </w:tcBorders>
            <w:gridSpan w:val="2"/>
          </w:tcPr>
          <w:p>
            <w:pPr>
              <w:spacing w:after="0"/>
              <w:rPr>
                <w:sz w:val="2"/>
                <w:szCs w:val="2"/>
                <w:color w:val="auto"/>
              </w:rPr>
            </w:pPr>
          </w:p>
        </w:tc>
        <w:tc>
          <w:tcPr>
            <w:tcW w:w="120" w:type="dxa"/>
            <w:vAlign w:val="bottom"/>
            <w:tcBorders>
              <w:bottom w:val="single" w:sz="8" w:color="53C072"/>
            </w:tcBorders>
          </w:tcPr>
          <w:p>
            <w:pPr>
              <w:spacing w:after="0"/>
              <w:rPr>
                <w:sz w:val="2"/>
                <w:szCs w:val="2"/>
                <w:color w:val="auto"/>
              </w:rPr>
            </w:pPr>
          </w:p>
        </w:tc>
        <w:tc>
          <w:tcPr>
            <w:tcW w:w="200" w:type="dxa"/>
            <w:vAlign w:val="bottom"/>
            <w:tcBorders>
              <w:bottom w:val="single" w:sz="8" w:color="53C072"/>
            </w:tcBorders>
          </w:tcPr>
          <w:p>
            <w:pPr>
              <w:spacing w:after="0"/>
              <w:rPr>
                <w:sz w:val="2"/>
                <w:szCs w:val="2"/>
                <w:color w:val="auto"/>
              </w:rPr>
            </w:pPr>
          </w:p>
        </w:tc>
        <w:tc>
          <w:tcPr>
            <w:tcW w:w="280" w:type="dxa"/>
            <w:vAlign w:val="bottom"/>
            <w:tcBorders>
              <w:bottom w:val="single" w:sz="8" w:color="53C072"/>
              <w:right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2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4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380" w:type="dxa"/>
            <w:vAlign w:val="bottom"/>
            <w:tcBorders>
              <w:bottom w:val="single" w:sz="8" w:color="53C072"/>
              <w:right w:val="single" w:sz="8" w:color="53C072"/>
            </w:tcBorders>
          </w:tcPr>
          <w:p>
            <w:pPr>
              <w:spacing w:after="0"/>
              <w:rPr>
                <w:sz w:val="2"/>
                <w:szCs w:val="2"/>
                <w:color w:val="auto"/>
              </w:rPr>
            </w:pPr>
          </w:p>
        </w:tc>
        <w:tc>
          <w:tcPr>
            <w:tcW w:w="100" w:type="dxa"/>
            <w:vAlign w:val="bottom"/>
            <w:tcBorders>
              <w:bottom w:val="single" w:sz="8" w:color="53C072"/>
            </w:tcBorders>
          </w:tcPr>
          <w:p>
            <w:pPr>
              <w:spacing w:after="0"/>
              <w:rPr>
                <w:sz w:val="2"/>
                <w:szCs w:val="2"/>
                <w:color w:val="auto"/>
              </w:rPr>
            </w:pPr>
          </w:p>
        </w:tc>
        <w:tc>
          <w:tcPr>
            <w:tcW w:w="1480" w:type="dxa"/>
            <w:vAlign w:val="bottom"/>
            <w:tcBorders>
              <w:bottom w:val="single" w:sz="8" w:color="53C072"/>
            </w:tcBorders>
          </w:tcPr>
          <w:p>
            <w:pPr>
              <w:spacing w:after="0"/>
              <w:rPr>
                <w:sz w:val="2"/>
                <w:szCs w:val="2"/>
                <w:color w:val="auto"/>
              </w:rPr>
            </w:pPr>
          </w:p>
        </w:tc>
        <w:tc>
          <w:tcPr>
            <w:tcW w:w="120" w:type="dxa"/>
            <w:vAlign w:val="bottom"/>
            <w:tcBorders>
              <w:bottom w:val="single" w:sz="8" w:color="53C072"/>
              <w:right w:val="single" w:sz="8" w:color="53C072"/>
            </w:tcBorders>
          </w:tcPr>
          <w:p>
            <w:pPr>
              <w:spacing w:after="0"/>
              <w:rPr>
                <w:sz w:val="2"/>
                <w:szCs w:val="2"/>
                <w:color w:val="auto"/>
              </w:rPr>
            </w:pPr>
          </w:p>
        </w:tc>
        <w:tc>
          <w:tcPr>
            <w:tcW w:w="180" w:type="dxa"/>
            <w:vAlign w:val="bottom"/>
            <w:tcBorders>
              <w:bottom w:val="single" w:sz="8" w:color="53C072"/>
            </w:tcBorders>
          </w:tcPr>
          <w:p>
            <w:pPr>
              <w:spacing w:after="0"/>
              <w:rPr>
                <w:sz w:val="2"/>
                <w:szCs w:val="2"/>
                <w:color w:val="auto"/>
              </w:rPr>
            </w:pPr>
          </w:p>
        </w:tc>
        <w:tc>
          <w:tcPr>
            <w:tcW w:w="140" w:type="dxa"/>
            <w:vAlign w:val="bottom"/>
            <w:tcBorders>
              <w:bottom w:val="single" w:sz="8" w:color="53C072"/>
            </w:tcBorders>
          </w:tcPr>
          <w:p>
            <w:pPr>
              <w:spacing w:after="0"/>
              <w:rPr>
                <w:sz w:val="2"/>
                <w:szCs w:val="2"/>
                <w:color w:val="auto"/>
              </w:rPr>
            </w:pPr>
          </w:p>
        </w:tc>
        <w:tc>
          <w:tcPr>
            <w:tcW w:w="80" w:type="dxa"/>
            <w:vAlign w:val="bottom"/>
            <w:tcBorders>
              <w:bottom w:val="single" w:sz="8" w:color="53C072"/>
            </w:tcBorders>
          </w:tcPr>
          <w:p>
            <w:pPr>
              <w:spacing w:after="0"/>
              <w:rPr>
                <w:sz w:val="2"/>
                <w:szCs w:val="2"/>
                <w:color w:val="auto"/>
              </w:rPr>
            </w:pPr>
          </w:p>
        </w:tc>
        <w:tc>
          <w:tcPr>
            <w:tcW w:w="2800" w:type="dxa"/>
            <w:vAlign w:val="bottom"/>
            <w:tcBorders>
              <w:bottom w:val="single" w:sz="8" w:color="53C072"/>
              <w:right w:val="single" w:sz="8" w:color="53C072"/>
            </w:tcBorders>
          </w:tcPr>
          <w:p>
            <w:pPr>
              <w:spacing w:after="0"/>
              <w:rPr>
                <w:sz w:val="2"/>
                <w:szCs w:val="2"/>
                <w:color w:val="auto"/>
              </w:rPr>
            </w:pPr>
          </w:p>
        </w:tc>
      </w:tr>
      <w:tr>
        <w:trPr>
          <w:trHeight w:val="250"/>
        </w:trPr>
        <w:tc>
          <w:tcPr>
            <w:tcW w:w="220" w:type="dxa"/>
            <w:vAlign w:val="bottom"/>
            <w:tcBorders>
              <w:left w:val="single" w:sz="8" w:color="53C072"/>
              <w:bottom w:val="single" w:sz="8" w:color="53C072"/>
            </w:tcBorders>
          </w:tcPr>
          <w:p>
            <w:pPr>
              <w:spacing w:after="0"/>
              <w:rPr>
                <w:sz w:val="21"/>
                <w:szCs w:val="21"/>
                <w:color w:val="auto"/>
              </w:rPr>
            </w:pPr>
          </w:p>
        </w:tc>
        <w:tc>
          <w:tcPr>
            <w:tcW w:w="900" w:type="dxa"/>
            <w:vAlign w:val="bottom"/>
            <w:tcBorders>
              <w:bottom w:val="single" w:sz="8" w:color="53C072"/>
            </w:tcBorders>
            <w:gridSpan w:val="2"/>
          </w:tcPr>
          <w:p>
            <w:pPr>
              <w:ind w:left="20"/>
              <w:spacing w:after="0"/>
              <w:rPr>
                <w:sz w:val="20"/>
                <w:szCs w:val="20"/>
                <w:color w:val="auto"/>
              </w:rPr>
            </w:pPr>
            <w:r>
              <w:rPr>
                <w:rFonts w:ascii="Arial" w:cs="Arial" w:eastAsia="Arial" w:hAnsi="Arial"/>
                <w:sz w:val="18"/>
                <w:szCs w:val="18"/>
                <w:color w:val="auto"/>
              </w:rPr>
              <w:t>Threshold</w:t>
            </w:r>
          </w:p>
        </w:tc>
        <w:tc>
          <w:tcPr>
            <w:tcW w:w="120" w:type="dxa"/>
            <w:vAlign w:val="bottom"/>
            <w:tcBorders>
              <w:bottom w:val="single" w:sz="8" w:color="53C072"/>
            </w:tcBorders>
          </w:tcPr>
          <w:p>
            <w:pPr>
              <w:spacing w:after="0"/>
              <w:rPr>
                <w:sz w:val="21"/>
                <w:szCs w:val="21"/>
                <w:color w:val="auto"/>
              </w:rPr>
            </w:pPr>
          </w:p>
        </w:tc>
        <w:tc>
          <w:tcPr>
            <w:tcW w:w="200" w:type="dxa"/>
            <w:vAlign w:val="bottom"/>
            <w:tcBorders>
              <w:bottom w:val="single" w:sz="8" w:color="53C072"/>
            </w:tcBorders>
          </w:tcPr>
          <w:p>
            <w:pPr>
              <w:spacing w:after="0"/>
              <w:rPr>
                <w:sz w:val="21"/>
                <w:szCs w:val="21"/>
                <w:color w:val="auto"/>
              </w:rPr>
            </w:pPr>
          </w:p>
        </w:tc>
        <w:tc>
          <w:tcPr>
            <w:tcW w:w="280" w:type="dxa"/>
            <w:vAlign w:val="bottom"/>
            <w:tcBorders>
              <w:bottom w:val="single" w:sz="8" w:color="53C072"/>
              <w:right w:val="single" w:sz="8" w:color="53C072"/>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53C072"/>
            </w:tcBorders>
            <w:gridSpan w:val="3"/>
          </w:tcPr>
          <w:p>
            <w:pPr>
              <w:jc w:val="right"/>
              <w:ind w:right="15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53C072"/>
            </w:tcBorders>
          </w:tcPr>
          <w:p>
            <w:pPr>
              <w:spacing w:after="0"/>
              <w:rPr>
                <w:sz w:val="21"/>
                <w:szCs w:val="21"/>
                <w:color w:val="auto"/>
              </w:rPr>
            </w:pPr>
          </w:p>
        </w:tc>
        <w:tc>
          <w:tcPr>
            <w:tcW w:w="100" w:type="dxa"/>
            <w:vAlign w:val="bottom"/>
            <w:tcBorders>
              <w:bottom w:val="single" w:sz="8" w:color="53C072"/>
            </w:tcBorders>
          </w:tcPr>
          <w:p>
            <w:pPr>
              <w:spacing w:after="0"/>
              <w:rPr>
                <w:sz w:val="21"/>
                <w:szCs w:val="21"/>
                <w:color w:val="auto"/>
              </w:rPr>
            </w:pPr>
          </w:p>
        </w:tc>
        <w:tc>
          <w:tcPr>
            <w:tcW w:w="380" w:type="dxa"/>
            <w:vAlign w:val="bottom"/>
            <w:tcBorders>
              <w:bottom w:val="single" w:sz="8" w:color="53C072"/>
              <w:right w:val="single" w:sz="8" w:color="53C072"/>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53C072"/>
            </w:tcBorders>
          </w:tcPr>
          <w:p>
            <w:pPr>
              <w:ind w:left="440"/>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53C072"/>
            </w:tcBorders>
          </w:tcPr>
          <w:p>
            <w:pPr>
              <w:spacing w:after="0"/>
              <w:rPr>
                <w:sz w:val="21"/>
                <w:szCs w:val="21"/>
                <w:color w:val="auto"/>
              </w:rPr>
            </w:pPr>
          </w:p>
        </w:tc>
        <w:tc>
          <w:tcPr>
            <w:tcW w:w="80" w:type="dxa"/>
            <w:vAlign w:val="bottom"/>
            <w:tcBorders>
              <w:bottom w:val="single" w:sz="8" w:color="53C072"/>
            </w:tcBorders>
          </w:tcPr>
          <w:p>
            <w:pPr>
              <w:spacing w:after="0"/>
              <w:rPr>
                <w:sz w:val="21"/>
                <w:szCs w:val="21"/>
                <w:color w:val="auto"/>
              </w:rPr>
            </w:pPr>
          </w:p>
        </w:tc>
        <w:tc>
          <w:tcPr>
            <w:tcW w:w="2800" w:type="dxa"/>
            <w:vAlign w:val="bottom"/>
            <w:tcBorders>
              <w:bottom w:val="single" w:sz="8" w:color="53C072"/>
              <w:right w:val="single" w:sz="8" w:color="53C072"/>
            </w:tcBorders>
          </w:tcPr>
          <w:p>
            <w:pPr>
              <w:jc w:val="center"/>
              <w:ind w:right="273"/>
              <w:spacing w:after="0"/>
              <w:rPr>
                <w:sz w:val="20"/>
                <w:szCs w:val="20"/>
                <w:color w:val="auto"/>
              </w:rPr>
            </w:pPr>
            <w:r>
              <w:rPr>
                <w:rFonts w:ascii="Arial" w:cs="Arial" w:eastAsia="Arial" w:hAnsi="Arial"/>
                <w:sz w:val="18"/>
                <w:szCs w:val="18"/>
                <w:color w:val="auto"/>
                <w:w w:val="99"/>
              </w:rPr>
              <w:t>40%</w:t>
            </w:r>
          </w:p>
        </w:tc>
      </w:tr>
      <w:tr>
        <w:trPr>
          <w:trHeight w:val="129"/>
        </w:trPr>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r>
      <w:tr>
        <w:trPr>
          <w:trHeight w:val="261"/>
        </w:trPr>
        <w:tc>
          <w:tcPr>
            <w:tcW w:w="220" w:type="dxa"/>
            <w:vAlign w:val="bottom"/>
            <w:tcBorders>
              <w:left w:val="single" w:sz="8" w:color="53C072"/>
            </w:tcBorders>
            <w:shd w:val="clear" w:color="auto" w:fill="53C072"/>
          </w:tcPr>
          <w:p>
            <w:pPr>
              <w:spacing w:after="0"/>
              <w:rPr>
                <w:sz w:val="22"/>
                <w:szCs w:val="22"/>
                <w:color w:val="auto"/>
              </w:rPr>
            </w:pPr>
          </w:p>
        </w:tc>
        <w:tc>
          <w:tcPr>
            <w:tcW w:w="20" w:type="dxa"/>
            <w:vAlign w:val="bottom"/>
            <w:shd w:val="clear" w:color="auto" w:fill="53C072"/>
          </w:tcPr>
          <w:p>
            <w:pPr>
              <w:spacing w:after="0"/>
              <w:rPr>
                <w:sz w:val="22"/>
                <w:szCs w:val="22"/>
                <w:color w:val="auto"/>
              </w:rPr>
            </w:pPr>
          </w:p>
        </w:tc>
        <w:tc>
          <w:tcPr>
            <w:tcW w:w="880" w:type="dxa"/>
            <w:vAlign w:val="bottom"/>
            <w:shd w:val="clear" w:color="auto" w:fill="53C072"/>
          </w:tcPr>
          <w:p>
            <w:pPr>
              <w:spacing w:after="0"/>
              <w:rPr>
                <w:sz w:val="22"/>
                <w:szCs w:val="22"/>
                <w:color w:val="auto"/>
              </w:rPr>
            </w:pPr>
          </w:p>
        </w:tc>
        <w:tc>
          <w:tcPr>
            <w:tcW w:w="120" w:type="dxa"/>
            <w:vAlign w:val="bottom"/>
            <w:tcBorders>
              <w:right w:val="single" w:sz="8" w:color="53C072"/>
            </w:tcBorders>
            <w:shd w:val="clear" w:color="auto" w:fill="53C072"/>
          </w:tcPr>
          <w:p>
            <w:pPr>
              <w:spacing w:after="0"/>
              <w:rPr>
                <w:sz w:val="22"/>
                <w:szCs w:val="22"/>
                <w:color w:val="auto"/>
              </w:rPr>
            </w:pPr>
          </w:p>
        </w:tc>
        <w:tc>
          <w:tcPr>
            <w:tcW w:w="200" w:type="dxa"/>
            <w:vAlign w:val="bottom"/>
            <w:shd w:val="clear" w:color="auto" w:fill="53C072"/>
          </w:tcPr>
          <w:p>
            <w:pPr>
              <w:spacing w:after="0"/>
              <w:rPr>
                <w:sz w:val="22"/>
                <w:szCs w:val="22"/>
                <w:color w:val="auto"/>
              </w:rPr>
            </w:pPr>
          </w:p>
        </w:tc>
        <w:tc>
          <w:tcPr>
            <w:tcW w:w="28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1020" w:type="dxa"/>
            <w:vAlign w:val="bottom"/>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340" w:type="dxa"/>
            <w:vAlign w:val="bottom"/>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380" w:type="dxa"/>
            <w:vAlign w:val="bottom"/>
            <w:tcBorders>
              <w:right w:val="single" w:sz="8" w:color="53C072"/>
            </w:tcBorders>
            <w:shd w:val="clear" w:color="auto" w:fill="53C072"/>
          </w:tcPr>
          <w:p>
            <w:pPr>
              <w:spacing w:after="0"/>
              <w:rPr>
                <w:sz w:val="22"/>
                <w:szCs w:val="22"/>
                <w:color w:val="auto"/>
              </w:rPr>
            </w:pPr>
          </w:p>
        </w:tc>
        <w:tc>
          <w:tcPr>
            <w:tcW w:w="100" w:type="dxa"/>
            <w:vAlign w:val="bottom"/>
            <w:shd w:val="clear" w:color="auto" w:fill="53C072"/>
          </w:tcPr>
          <w:p>
            <w:pPr>
              <w:spacing w:after="0"/>
              <w:rPr>
                <w:sz w:val="22"/>
                <w:szCs w:val="22"/>
                <w:color w:val="auto"/>
              </w:rPr>
            </w:pPr>
          </w:p>
        </w:tc>
        <w:tc>
          <w:tcPr>
            <w:tcW w:w="1480" w:type="dxa"/>
            <w:vAlign w:val="bottom"/>
            <w:shd w:val="clear" w:color="auto" w:fill="53C072"/>
          </w:tcPr>
          <w:p>
            <w:pPr>
              <w:jc w:val="center"/>
              <w:ind w:right="438"/>
              <w:spacing w:after="0"/>
              <w:rPr>
                <w:sz w:val="20"/>
                <w:szCs w:val="20"/>
                <w:color w:val="auto"/>
              </w:rPr>
            </w:pPr>
            <w:r>
              <w:rPr>
                <w:rFonts w:ascii="Arial" w:cs="Arial" w:eastAsia="Arial" w:hAnsi="Arial"/>
                <w:sz w:val="14"/>
                <w:szCs w:val="14"/>
                <w:b w:val="1"/>
                <w:bCs w:val="1"/>
                <w:color w:val="FEFEFE"/>
              </w:rPr>
              <w:t>Fiscal 2024</w:t>
            </w:r>
          </w:p>
        </w:tc>
        <w:tc>
          <w:tcPr>
            <w:tcW w:w="120" w:type="dxa"/>
            <w:vAlign w:val="bottom"/>
            <w:tcBorders>
              <w:right w:val="single" w:sz="8" w:color="53C072"/>
            </w:tcBorders>
            <w:shd w:val="clear" w:color="auto" w:fill="53C072"/>
          </w:tcPr>
          <w:p>
            <w:pPr>
              <w:spacing w:after="0"/>
              <w:rPr>
                <w:sz w:val="22"/>
                <w:szCs w:val="22"/>
                <w:color w:val="auto"/>
              </w:rPr>
            </w:pPr>
          </w:p>
        </w:tc>
        <w:tc>
          <w:tcPr>
            <w:tcW w:w="180" w:type="dxa"/>
            <w:vAlign w:val="bottom"/>
            <w:shd w:val="clear" w:color="auto" w:fill="53C072"/>
          </w:tcPr>
          <w:p>
            <w:pPr>
              <w:spacing w:after="0"/>
              <w:rPr>
                <w:sz w:val="22"/>
                <w:szCs w:val="22"/>
                <w:color w:val="auto"/>
              </w:rPr>
            </w:pPr>
          </w:p>
        </w:tc>
        <w:tc>
          <w:tcPr>
            <w:tcW w:w="140" w:type="dxa"/>
            <w:vAlign w:val="bottom"/>
            <w:tcBorders>
              <w:right w:val="single" w:sz="8" w:color="53C072"/>
            </w:tcBorders>
            <w:shd w:val="clear" w:color="auto" w:fill="53C072"/>
          </w:tcPr>
          <w:p>
            <w:pPr>
              <w:spacing w:after="0"/>
              <w:rPr>
                <w:sz w:val="22"/>
                <w:szCs w:val="22"/>
                <w:color w:val="auto"/>
              </w:rPr>
            </w:pPr>
          </w:p>
        </w:tc>
        <w:tc>
          <w:tcPr>
            <w:tcW w:w="80" w:type="dxa"/>
            <w:vAlign w:val="bottom"/>
            <w:shd w:val="clear" w:color="auto" w:fill="53C072"/>
          </w:tcPr>
          <w:p>
            <w:pPr>
              <w:spacing w:after="0"/>
              <w:rPr>
                <w:sz w:val="22"/>
                <w:szCs w:val="22"/>
                <w:color w:val="auto"/>
              </w:rPr>
            </w:pPr>
          </w:p>
        </w:tc>
        <w:tc>
          <w:tcPr>
            <w:tcW w:w="2800" w:type="dxa"/>
            <w:vAlign w:val="bottom"/>
            <w:tcBorders>
              <w:right w:val="single" w:sz="8" w:color="53C072"/>
            </w:tcBorders>
            <w:shd w:val="clear" w:color="auto" w:fill="53C072"/>
          </w:tcPr>
          <w:p>
            <w:pPr>
              <w:spacing w:after="0"/>
              <w:rPr>
                <w:sz w:val="22"/>
                <w:szCs w:val="22"/>
                <w:color w:val="auto"/>
              </w:rPr>
            </w:pPr>
          </w:p>
        </w:tc>
      </w:tr>
      <w:tr>
        <w:trPr>
          <w:trHeight w:val="162"/>
        </w:trPr>
        <w:tc>
          <w:tcPr>
            <w:tcW w:w="220" w:type="dxa"/>
            <w:vAlign w:val="bottom"/>
            <w:tcBorders>
              <w:left w:val="single" w:sz="8" w:color="53C072"/>
            </w:tcBorders>
            <w:shd w:val="clear" w:color="auto" w:fill="53C072"/>
          </w:tcPr>
          <w:p>
            <w:pPr>
              <w:spacing w:after="0"/>
              <w:rPr>
                <w:sz w:val="14"/>
                <w:szCs w:val="14"/>
                <w:color w:val="auto"/>
              </w:rPr>
            </w:pPr>
          </w:p>
        </w:tc>
        <w:tc>
          <w:tcPr>
            <w:tcW w:w="20" w:type="dxa"/>
            <w:vAlign w:val="bottom"/>
            <w:shd w:val="clear" w:color="auto" w:fill="53C072"/>
          </w:tcPr>
          <w:p>
            <w:pPr>
              <w:spacing w:after="0"/>
              <w:rPr>
                <w:sz w:val="14"/>
                <w:szCs w:val="14"/>
                <w:color w:val="auto"/>
              </w:rPr>
            </w:pPr>
          </w:p>
        </w:tc>
        <w:tc>
          <w:tcPr>
            <w:tcW w:w="880" w:type="dxa"/>
            <w:vAlign w:val="bottom"/>
            <w:shd w:val="clear" w:color="auto" w:fill="53C072"/>
          </w:tcPr>
          <w:p>
            <w:pPr>
              <w:spacing w:after="0"/>
              <w:rPr>
                <w:sz w:val="14"/>
                <w:szCs w:val="14"/>
                <w:color w:val="auto"/>
              </w:rPr>
            </w:pPr>
          </w:p>
        </w:tc>
        <w:tc>
          <w:tcPr>
            <w:tcW w:w="120" w:type="dxa"/>
            <w:vAlign w:val="bottom"/>
            <w:tcBorders>
              <w:right w:val="single" w:sz="8" w:color="53C072"/>
            </w:tcBorders>
            <w:shd w:val="clear" w:color="auto" w:fill="53C072"/>
          </w:tcPr>
          <w:p>
            <w:pPr>
              <w:spacing w:after="0"/>
              <w:rPr>
                <w:sz w:val="14"/>
                <w:szCs w:val="14"/>
                <w:color w:val="auto"/>
              </w:rPr>
            </w:pPr>
          </w:p>
        </w:tc>
        <w:tc>
          <w:tcPr>
            <w:tcW w:w="200" w:type="dxa"/>
            <w:vAlign w:val="bottom"/>
            <w:shd w:val="clear" w:color="auto" w:fill="53C072"/>
          </w:tcPr>
          <w:p>
            <w:pPr>
              <w:spacing w:after="0"/>
              <w:rPr>
                <w:sz w:val="14"/>
                <w:szCs w:val="14"/>
                <w:color w:val="auto"/>
              </w:rPr>
            </w:pPr>
          </w:p>
        </w:tc>
        <w:tc>
          <w:tcPr>
            <w:tcW w:w="28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020" w:type="dxa"/>
            <w:vAlign w:val="bottom"/>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340" w:type="dxa"/>
            <w:vAlign w:val="bottom"/>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960" w:type="dxa"/>
            <w:vAlign w:val="bottom"/>
            <w:gridSpan w:val="3"/>
            <w:shd w:val="clear" w:color="auto" w:fill="53C072"/>
          </w:tcPr>
          <w:p>
            <w:pPr>
              <w:jc w:val="center"/>
              <w:spacing w:after="0"/>
              <w:rPr>
                <w:sz w:val="20"/>
                <w:szCs w:val="20"/>
                <w:color w:val="auto"/>
              </w:rPr>
            </w:pPr>
            <w:r>
              <w:rPr>
                <w:rFonts w:ascii="Arial" w:cs="Arial" w:eastAsia="Arial" w:hAnsi="Arial"/>
                <w:sz w:val="14"/>
                <w:szCs w:val="14"/>
                <w:b w:val="1"/>
                <w:bCs w:val="1"/>
                <w:color w:val="FEFEFE"/>
              </w:rPr>
              <w:t>Relative Market Share Goals</w:t>
            </w:r>
          </w:p>
        </w:tc>
        <w:tc>
          <w:tcPr>
            <w:tcW w:w="120" w:type="dxa"/>
            <w:vAlign w:val="bottom"/>
            <w:tcBorders>
              <w:right w:val="single" w:sz="8" w:color="53C072"/>
            </w:tcBorders>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140" w:type="dxa"/>
            <w:vAlign w:val="bottom"/>
            <w:tcBorders>
              <w:right w:val="single" w:sz="8" w:color="53C072"/>
            </w:tcBorders>
            <w:shd w:val="clear" w:color="auto" w:fill="53C072"/>
          </w:tcPr>
          <w:p>
            <w:pPr>
              <w:spacing w:after="0"/>
              <w:rPr>
                <w:sz w:val="14"/>
                <w:szCs w:val="14"/>
                <w:color w:val="auto"/>
              </w:rPr>
            </w:pPr>
          </w:p>
        </w:tc>
        <w:tc>
          <w:tcPr>
            <w:tcW w:w="80" w:type="dxa"/>
            <w:vAlign w:val="bottom"/>
            <w:shd w:val="clear" w:color="auto" w:fill="53C072"/>
          </w:tcPr>
          <w:p>
            <w:pPr>
              <w:spacing w:after="0"/>
              <w:rPr>
                <w:sz w:val="14"/>
                <w:szCs w:val="14"/>
                <w:color w:val="auto"/>
              </w:rPr>
            </w:pPr>
          </w:p>
        </w:tc>
        <w:tc>
          <w:tcPr>
            <w:tcW w:w="2800" w:type="dxa"/>
            <w:vAlign w:val="bottom"/>
            <w:tcBorders>
              <w:right w:val="single" w:sz="8" w:color="53C072"/>
            </w:tcBorders>
            <w:shd w:val="clear" w:color="auto" w:fill="53C072"/>
          </w:tcPr>
          <w:p>
            <w:pPr>
              <w:spacing w:after="0"/>
              <w:rPr>
                <w:sz w:val="14"/>
                <w:szCs w:val="14"/>
                <w:color w:val="auto"/>
              </w:rPr>
            </w:pPr>
          </w:p>
        </w:tc>
      </w:tr>
      <w:tr>
        <w:trPr>
          <w:trHeight w:val="198"/>
        </w:trPr>
        <w:tc>
          <w:tcPr>
            <w:tcW w:w="220" w:type="dxa"/>
            <w:vAlign w:val="bottom"/>
            <w:tcBorders>
              <w:left w:val="single" w:sz="8" w:color="53C072"/>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w:t>
            </w:r>
          </w:p>
        </w:tc>
        <w:tc>
          <w:tcPr>
            <w:tcW w:w="900" w:type="dxa"/>
            <w:vAlign w:val="bottom"/>
            <w:gridSpan w:val="2"/>
            <w:shd w:val="clear" w:color="auto" w:fill="53C072"/>
          </w:tcPr>
          <w:p>
            <w:pPr>
              <w:spacing w:after="0"/>
              <w:rPr>
                <w:sz w:val="17"/>
                <w:szCs w:val="17"/>
                <w:color w:val="auto"/>
              </w:rPr>
            </w:pPr>
          </w:p>
        </w:tc>
        <w:tc>
          <w:tcPr>
            <w:tcW w:w="120" w:type="dxa"/>
            <w:vAlign w:val="bottom"/>
            <w:tcBorders>
              <w:right w:val="single" w:sz="8" w:color="53C072"/>
            </w:tcBorders>
            <w:shd w:val="clear" w:color="auto" w:fill="53C072"/>
          </w:tcPr>
          <w:p>
            <w:pPr>
              <w:spacing w:after="0"/>
              <w:rPr>
                <w:sz w:val="17"/>
                <w:szCs w:val="17"/>
                <w:color w:val="auto"/>
              </w:rPr>
            </w:pPr>
          </w:p>
        </w:tc>
        <w:tc>
          <w:tcPr>
            <w:tcW w:w="200" w:type="dxa"/>
            <w:vAlign w:val="bottom"/>
            <w:shd w:val="clear" w:color="auto" w:fill="53C072"/>
          </w:tcPr>
          <w:p>
            <w:pPr>
              <w:spacing w:after="0"/>
              <w:rPr>
                <w:sz w:val="17"/>
                <w:szCs w:val="17"/>
                <w:color w:val="auto"/>
              </w:rPr>
            </w:pPr>
          </w:p>
        </w:tc>
        <w:tc>
          <w:tcPr>
            <w:tcW w:w="28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102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34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380" w:type="dxa"/>
            <w:vAlign w:val="bottom"/>
            <w:tcBorders>
              <w:right w:val="single" w:sz="8" w:color="53C072"/>
            </w:tcBorders>
            <w:shd w:val="clear" w:color="auto" w:fill="53C072"/>
          </w:tcPr>
          <w:p>
            <w:pPr>
              <w:spacing w:after="0"/>
              <w:rPr>
                <w:sz w:val="17"/>
                <w:szCs w:val="17"/>
                <w:color w:val="auto"/>
              </w:rPr>
            </w:pPr>
          </w:p>
        </w:tc>
        <w:tc>
          <w:tcPr>
            <w:tcW w:w="1580" w:type="dxa"/>
            <w:vAlign w:val="bottom"/>
            <w:gridSpan w:val="2"/>
            <w:shd w:val="clear" w:color="auto" w:fill="53C072"/>
          </w:tcPr>
          <w:p>
            <w:pPr>
              <w:jc w:val="center"/>
              <w:ind w:right="298"/>
              <w:spacing w:after="0"/>
              <w:rPr>
                <w:sz w:val="20"/>
                <w:szCs w:val="20"/>
                <w:color w:val="auto"/>
              </w:rPr>
            </w:pPr>
            <w:r>
              <w:rPr>
                <w:rFonts w:ascii="Arial" w:cs="Arial" w:eastAsia="Arial" w:hAnsi="Arial"/>
                <w:sz w:val="14"/>
                <w:szCs w:val="14"/>
                <w:b w:val="1"/>
                <w:bCs w:val="1"/>
                <w:color w:val="FEFEFE"/>
              </w:rPr>
              <w:t>20% Weighting</w:t>
            </w:r>
          </w:p>
        </w:tc>
        <w:tc>
          <w:tcPr>
            <w:tcW w:w="120" w:type="dxa"/>
            <w:vAlign w:val="bottom"/>
            <w:tcBorders>
              <w:right w:val="single" w:sz="8" w:color="53C072"/>
            </w:tcBorders>
            <w:shd w:val="clear" w:color="auto" w:fill="53C072"/>
          </w:tcPr>
          <w:p>
            <w:pPr>
              <w:spacing w:after="0"/>
              <w:rPr>
                <w:sz w:val="17"/>
                <w:szCs w:val="17"/>
                <w:color w:val="auto"/>
              </w:rPr>
            </w:pPr>
          </w:p>
        </w:tc>
        <w:tc>
          <w:tcPr>
            <w:tcW w:w="180" w:type="dxa"/>
            <w:vAlign w:val="bottom"/>
            <w:shd w:val="clear" w:color="auto" w:fill="53C072"/>
          </w:tcPr>
          <w:p>
            <w:pPr>
              <w:spacing w:after="0"/>
              <w:rPr>
                <w:sz w:val="17"/>
                <w:szCs w:val="17"/>
                <w:color w:val="auto"/>
              </w:rPr>
            </w:pPr>
          </w:p>
        </w:tc>
        <w:tc>
          <w:tcPr>
            <w:tcW w:w="140" w:type="dxa"/>
            <w:vAlign w:val="bottom"/>
            <w:tcBorders>
              <w:right w:val="single" w:sz="8" w:color="53C072"/>
            </w:tcBorders>
            <w:shd w:val="clear" w:color="auto" w:fill="53C072"/>
          </w:tcPr>
          <w:p>
            <w:pPr>
              <w:spacing w:after="0"/>
              <w:rPr>
                <w:sz w:val="17"/>
                <w:szCs w:val="17"/>
                <w:color w:val="auto"/>
              </w:rPr>
            </w:pPr>
          </w:p>
        </w:tc>
        <w:tc>
          <w:tcPr>
            <w:tcW w:w="80" w:type="dxa"/>
            <w:vAlign w:val="bottom"/>
            <w:shd w:val="clear" w:color="auto" w:fill="53C072"/>
          </w:tcPr>
          <w:p>
            <w:pPr>
              <w:spacing w:after="0"/>
              <w:rPr>
                <w:sz w:val="17"/>
                <w:szCs w:val="17"/>
                <w:color w:val="auto"/>
              </w:rPr>
            </w:pPr>
          </w:p>
        </w:tc>
        <w:tc>
          <w:tcPr>
            <w:tcW w:w="2800" w:type="dxa"/>
            <w:vAlign w:val="bottom"/>
            <w:tcBorders>
              <w:right w:val="single" w:sz="8" w:color="53C072"/>
            </w:tcBorders>
            <w:shd w:val="clear" w:color="auto" w:fill="53C072"/>
          </w:tcPr>
          <w:p>
            <w:pPr>
              <w:spacing w:after="0"/>
              <w:rPr>
                <w:sz w:val="17"/>
                <w:szCs w:val="17"/>
                <w:color w:val="auto"/>
              </w:rPr>
            </w:pPr>
          </w:p>
        </w:tc>
      </w:tr>
      <w:tr>
        <w:trPr>
          <w:trHeight w:val="207"/>
        </w:trPr>
        <w:tc>
          <w:tcPr>
            <w:tcW w:w="220" w:type="dxa"/>
            <w:vAlign w:val="bottom"/>
            <w:tcBorders>
              <w:left w:val="single" w:sz="8" w:color="53C072"/>
            </w:tcBorders>
            <w:shd w:val="clear" w:color="auto" w:fill="53C072"/>
          </w:tcPr>
          <w:p>
            <w:pPr>
              <w:spacing w:after="0"/>
              <w:rPr>
                <w:sz w:val="17"/>
                <w:szCs w:val="17"/>
                <w:color w:val="auto"/>
              </w:rPr>
            </w:pPr>
          </w:p>
        </w:tc>
        <w:tc>
          <w:tcPr>
            <w:tcW w:w="20" w:type="dxa"/>
            <w:vAlign w:val="bottom"/>
            <w:shd w:val="clear" w:color="auto" w:fill="53C072"/>
          </w:tcPr>
          <w:p>
            <w:pPr>
              <w:spacing w:after="0"/>
              <w:rPr>
                <w:sz w:val="17"/>
                <w:szCs w:val="17"/>
                <w:color w:val="auto"/>
              </w:rPr>
            </w:pPr>
          </w:p>
        </w:tc>
        <w:tc>
          <w:tcPr>
            <w:tcW w:w="880" w:type="dxa"/>
            <w:vAlign w:val="bottom"/>
            <w:shd w:val="clear" w:color="auto" w:fill="53C072"/>
          </w:tcPr>
          <w:p>
            <w:pPr>
              <w:spacing w:after="0"/>
              <w:rPr>
                <w:sz w:val="17"/>
                <w:szCs w:val="17"/>
                <w:color w:val="auto"/>
              </w:rPr>
            </w:pPr>
          </w:p>
        </w:tc>
        <w:tc>
          <w:tcPr>
            <w:tcW w:w="120" w:type="dxa"/>
            <w:vAlign w:val="bottom"/>
            <w:tcBorders>
              <w:right w:val="single" w:sz="8" w:color="53C072"/>
            </w:tcBorders>
            <w:shd w:val="clear" w:color="auto" w:fill="53C072"/>
          </w:tcPr>
          <w:p>
            <w:pPr>
              <w:spacing w:after="0"/>
              <w:rPr>
                <w:sz w:val="17"/>
                <w:szCs w:val="17"/>
                <w:color w:val="auto"/>
              </w:rPr>
            </w:pPr>
          </w:p>
        </w:tc>
        <w:tc>
          <w:tcPr>
            <w:tcW w:w="200" w:type="dxa"/>
            <w:vAlign w:val="bottom"/>
            <w:shd w:val="clear" w:color="auto" w:fill="53C072"/>
          </w:tcPr>
          <w:p>
            <w:pPr>
              <w:spacing w:after="0"/>
              <w:rPr>
                <w:sz w:val="17"/>
                <w:szCs w:val="17"/>
                <w:color w:val="auto"/>
              </w:rPr>
            </w:pPr>
          </w:p>
        </w:tc>
        <w:tc>
          <w:tcPr>
            <w:tcW w:w="28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102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340" w:type="dxa"/>
            <w:vAlign w:val="bottom"/>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380" w:type="dxa"/>
            <w:vAlign w:val="bottom"/>
            <w:tcBorders>
              <w:right w:val="single" w:sz="8" w:color="53C072"/>
            </w:tcBorders>
            <w:shd w:val="clear" w:color="auto" w:fill="53C072"/>
          </w:tcPr>
          <w:p>
            <w:pPr>
              <w:spacing w:after="0"/>
              <w:rPr>
                <w:sz w:val="17"/>
                <w:szCs w:val="17"/>
                <w:color w:val="auto"/>
              </w:rPr>
            </w:pPr>
          </w:p>
        </w:tc>
        <w:tc>
          <w:tcPr>
            <w:tcW w:w="158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Market Share</w:t>
            </w:r>
          </w:p>
        </w:tc>
        <w:tc>
          <w:tcPr>
            <w:tcW w:w="120" w:type="dxa"/>
            <w:vAlign w:val="bottom"/>
            <w:tcBorders>
              <w:right w:val="single" w:sz="8" w:color="53C072"/>
            </w:tcBorders>
            <w:shd w:val="clear" w:color="auto" w:fill="53C072"/>
          </w:tcPr>
          <w:p>
            <w:pPr>
              <w:spacing w:after="0"/>
              <w:rPr>
                <w:sz w:val="17"/>
                <w:szCs w:val="17"/>
                <w:color w:val="auto"/>
              </w:rPr>
            </w:pPr>
          </w:p>
        </w:tc>
        <w:tc>
          <w:tcPr>
            <w:tcW w:w="180" w:type="dxa"/>
            <w:vAlign w:val="bottom"/>
            <w:shd w:val="clear" w:color="auto" w:fill="53C072"/>
          </w:tcPr>
          <w:p>
            <w:pPr>
              <w:spacing w:after="0"/>
              <w:rPr>
                <w:sz w:val="17"/>
                <w:szCs w:val="17"/>
                <w:color w:val="auto"/>
              </w:rPr>
            </w:pPr>
          </w:p>
        </w:tc>
        <w:tc>
          <w:tcPr>
            <w:tcW w:w="140" w:type="dxa"/>
            <w:vAlign w:val="bottom"/>
            <w:tcBorders>
              <w:right w:val="single" w:sz="8" w:color="53C072"/>
            </w:tcBorders>
            <w:shd w:val="clear" w:color="auto" w:fill="53C072"/>
          </w:tcPr>
          <w:p>
            <w:pPr>
              <w:spacing w:after="0"/>
              <w:rPr>
                <w:sz w:val="17"/>
                <w:szCs w:val="17"/>
                <w:color w:val="auto"/>
              </w:rPr>
            </w:pPr>
          </w:p>
        </w:tc>
        <w:tc>
          <w:tcPr>
            <w:tcW w:w="80" w:type="dxa"/>
            <w:vAlign w:val="bottom"/>
            <w:shd w:val="clear" w:color="auto" w:fill="53C072"/>
          </w:tcPr>
          <w:p>
            <w:pPr>
              <w:spacing w:after="0"/>
              <w:rPr>
                <w:sz w:val="17"/>
                <w:szCs w:val="17"/>
                <w:color w:val="auto"/>
              </w:rPr>
            </w:pPr>
          </w:p>
        </w:tc>
        <w:tc>
          <w:tcPr>
            <w:tcW w:w="2800" w:type="dxa"/>
            <w:vAlign w:val="bottom"/>
            <w:tcBorders>
              <w:right w:val="single" w:sz="8" w:color="53C072"/>
            </w:tcBorders>
            <w:shd w:val="clear" w:color="auto" w:fill="53C072"/>
          </w:tcPr>
          <w:p>
            <w:pPr>
              <w:spacing w:after="0"/>
              <w:rPr>
                <w:sz w:val="17"/>
                <w:szCs w:val="17"/>
                <w:color w:val="auto"/>
              </w:rPr>
            </w:pPr>
          </w:p>
        </w:tc>
      </w:tr>
      <w:tr>
        <w:trPr>
          <w:trHeight w:val="162"/>
        </w:trPr>
        <w:tc>
          <w:tcPr>
            <w:tcW w:w="220" w:type="dxa"/>
            <w:vAlign w:val="bottom"/>
            <w:tcBorders>
              <w:left w:val="single" w:sz="8" w:color="53C072"/>
            </w:tcBorders>
            <w:shd w:val="clear" w:color="auto" w:fill="53C072"/>
          </w:tcPr>
          <w:p>
            <w:pPr>
              <w:spacing w:after="0"/>
              <w:rPr>
                <w:sz w:val="14"/>
                <w:szCs w:val="14"/>
                <w:color w:val="auto"/>
              </w:rPr>
            </w:pPr>
          </w:p>
        </w:tc>
        <w:tc>
          <w:tcPr>
            <w:tcW w:w="20" w:type="dxa"/>
            <w:vAlign w:val="bottom"/>
            <w:shd w:val="clear" w:color="auto" w:fill="53C072"/>
          </w:tcPr>
          <w:p>
            <w:pPr>
              <w:spacing w:after="0"/>
              <w:rPr>
                <w:sz w:val="14"/>
                <w:szCs w:val="14"/>
                <w:color w:val="auto"/>
              </w:rPr>
            </w:pPr>
          </w:p>
        </w:tc>
        <w:tc>
          <w:tcPr>
            <w:tcW w:w="880" w:type="dxa"/>
            <w:vAlign w:val="bottom"/>
            <w:shd w:val="clear" w:color="auto" w:fill="53C072"/>
          </w:tcPr>
          <w:p>
            <w:pPr>
              <w:spacing w:after="0"/>
              <w:rPr>
                <w:sz w:val="14"/>
                <w:szCs w:val="14"/>
                <w:color w:val="auto"/>
              </w:rPr>
            </w:pPr>
          </w:p>
        </w:tc>
        <w:tc>
          <w:tcPr>
            <w:tcW w:w="120" w:type="dxa"/>
            <w:vAlign w:val="bottom"/>
            <w:tcBorders>
              <w:right w:val="single" w:sz="8" w:color="53C072"/>
            </w:tcBorders>
            <w:shd w:val="clear" w:color="auto" w:fill="53C072"/>
          </w:tcPr>
          <w:p>
            <w:pPr>
              <w:spacing w:after="0"/>
              <w:rPr>
                <w:sz w:val="14"/>
                <w:szCs w:val="14"/>
                <w:color w:val="auto"/>
              </w:rPr>
            </w:pPr>
          </w:p>
        </w:tc>
        <w:tc>
          <w:tcPr>
            <w:tcW w:w="200" w:type="dxa"/>
            <w:vAlign w:val="bottom"/>
            <w:shd w:val="clear" w:color="auto" w:fill="53C072"/>
          </w:tcPr>
          <w:p>
            <w:pPr>
              <w:spacing w:after="0"/>
              <w:rPr>
                <w:sz w:val="14"/>
                <w:szCs w:val="14"/>
                <w:color w:val="auto"/>
              </w:rPr>
            </w:pPr>
          </w:p>
        </w:tc>
        <w:tc>
          <w:tcPr>
            <w:tcW w:w="28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020" w:type="dxa"/>
            <w:vAlign w:val="bottom"/>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340" w:type="dxa"/>
            <w:vAlign w:val="bottom"/>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380" w:type="dxa"/>
            <w:vAlign w:val="bottom"/>
            <w:tcBorders>
              <w:right w:val="single" w:sz="8" w:color="53C072"/>
            </w:tcBorders>
            <w:shd w:val="clear" w:color="auto" w:fill="53C072"/>
          </w:tcPr>
          <w:p>
            <w:pPr>
              <w:spacing w:after="0"/>
              <w:rPr>
                <w:sz w:val="14"/>
                <w:szCs w:val="14"/>
                <w:color w:val="auto"/>
              </w:rPr>
            </w:pPr>
          </w:p>
        </w:tc>
        <w:tc>
          <w:tcPr>
            <w:tcW w:w="158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Improvement/​</w:t>
            </w:r>
          </w:p>
        </w:tc>
        <w:tc>
          <w:tcPr>
            <w:tcW w:w="120" w:type="dxa"/>
            <w:vAlign w:val="bottom"/>
            <w:tcBorders>
              <w:right w:val="single" w:sz="8" w:color="53C072"/>
            </w:tcBorders>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140" w:type="dxa"/>
            <w:vAlign w:val="bottom"/>
            <w:tcBorders>
              <w:right w:val="single" w:sz="8" w:color="53C072"/>
            </w:tcBorders>
            <w:shd w:val="clear" w:color="auto" w:fill="53C072"/>
          </w:tcPr>
          <w:p>
            <w:pPr>
              <w:spacing w:after="0"/>
              <w:rPr>
                <w:sz w:val="14"/>
                <w:szCs w:val="14"/>
                <w:color w:val="auto"/>
              </w:rPr>
            </w:pPr>
          </w:p>
        </w:tc>
        <w:tc>
          <w:tcPr>
            <w:tcW w:w="80" w:type="dxa"/>
            <w:vAlign w:val="bottom"/>
            <w:shd w:val="clear" w:color="auto" w:fill="53C072"/>
          </w:tcPr>
          <w:p>
            <w:pPr>
              <w:spacing w:after="0"/>
              <w:rPr>
                <w:sz w:val="14"/>
                <w:szCs w:val="14"/>
                <w:color w:val="auto"/>
              </w:rPr>
            </w:pPr>
          </w:p>
        </w:tc>
        <w:tc>
          <w:tcPr>
            <w:tcW w:w="2800" w:type="dxa"/>
            <w:vAlign w:val="bottom"/>
            <w:tcBorders>
              <w:right w:val="single" w:sz="8" w:color="53C072"/>
            </w:tcBorders>
            <w:shd w:val="clear" w:color="auto" w:fill="53C072"/>
          </w:tcPr>
          <w:p>
            <w:pPr>
              <w:spacing w:after="0"/>
              <w:rPr>
                <w:sz w:val="14"/>
                <w:szCs w:val="14"/>
                <w:color w:val="auto"/>
              </w:rPr>
            </w:pPr>
          </w:p>
        </w:tc>
      </w:tr>
      <w:tr>
        <w:trPr>
          <w:trHeight w:val="212"/>
        </w:trPr>
        <w:tc>
          <w:tcPr>
            <w:tcW w:w="220" w:type="dxa"/>
            <w:vAlign w:val="bottom"/>
            <w:tcBorders>
              <w:left w:val="single" w:sz="8" w:color="53C072"/>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w:t>
            </w:r>
          </w:p>
        </w:tc>
        <w:tc>
          <w:tcPr>
            <w:tcW w:w="900" w:type="dxa"/>
            <w:vAlign w:val="bottom"/>
            <w:gridSpan w:val="2"/>
            <w:shd w:val="clear" w:color="auto" w:fill="53C072"/>
          </w:tcPr>
          <w:p>
            <w:pPr>
              <w:spacing w:after="0"/>
              <w:rPr>
                <w:sz w:val="18"/>
                <w:szCs w:val="18"/>
                <w:color w:val="auto"/>
              </w:rPr>
            </w:pPr>
          </w:p>
        </w:tc>
        <w:tc>
          <w:tcPr>
            <w:tcW w:w="120" w:type="dxa"/>
            <w:vAlign w:val="bottom"/>
            <w:tcBorders>
              <w:right w:val="single" w:sz="8" w:color="53C072"/>
            </w:tcBorders>
            <w:shd w:val="clear" w:color="auto" w:fill="53C072"/>
          </w:tcPr>
          <w:p>
            <w:pPr>
              <w:spacing w:after="0"/>
              <w:rPr>
                <w:sz w:val="18"/>
                <w:szCs w:val="18"/>
                <w:color w:val="auto"/>
              </w:rPr>
            </w:pPr>
          </w:p>
        </w:tc>
        <w:tc>
          <w:tcPr>
            <w:tcW w:w="200" w:type="dxa"/>
            <w:vAlign w:val="bottom"/>
            <w:shd w:val="clear" w:color="auto" w:fill="53C072"/>
          </w:tcPr>
          <w:p>
            <w:pPr>
              <w:spacing w:after="0"/>
              <w:rPr>
                <w:sz w:val="18"/>
                <w:szCs w:val="18"/>
                <w:color w:val="auto"/>
              </w:rPr>
            </w:pPr>
          </w:p>
        </w:tc>
        <w:tc>
          <w:tcPr>
            <w:tcW w:w="280" w:type="dxa"/>
            <w:vAlign w:val="bottom"/>
            <w:tcBorders>
              <w:right w:val="single" w:sz="8" w:color="53C072"/>
            </w:tcBorders>
            <w:shd w:val="clear" w:color="auto" w:fill="53C072"/>
          </w:tcPr>
          <w:p>
            <w:pPr>
              <w:spacing w:after="0"/>
              <w:rPr>
                <w:sz w:val="18"/>
                <w:szCs w:val="18"/>
                <w:color w:val="auto"/>
              </w:rPr>
            </w:pPr>
          </w:p>
        </w:tc>
        <w:tc>
          <w:tcPr>
            <w:tcW w:w="100" w:type="dxa"/>
            <w:vAlign w:val="bottom"/>
            <w:shd w:val="clear" w:color="auto" w:fill="53C072"/>
          </w:tcPr>
          <w:p>
            <w:pPr>
              <w:spacing w:after="0"/>
              <w:rPr>
                <w:sz w:val="18"/>
                <w:szCs w:val="18"/>
                <w:color w:val="auto"/>
              </w:rPr>
            </w:pPr>
          </w:p>
        </w:tc>
        <w:tc>
          <w:tcPr>
            <w:tcW w:w="1020" w:type="dxa"/>
            <w:vAlign w:val="bottom"/>
            <w:shd w:val="clear" w:color="auto" w:fill="53C072"/>
          </w:tcPr>
          <w:p>
            <w:pPr>
              <w:spacing w:after="0"/>
              <w:rPr>
                <w:sz w:val="18"/>
                <w:szCs w:val="18"/>
                <w:color w:val="auto"/>
              </w:rPr>
            </w:pPr>
          </w:p>
        </w:tc>
        <w:tc>
          <w:tcPr>
            <w:tcW w:w="440" w:type="dxa"/>
            <w:vAlign w:val="bottom"/>
            <w:gridSpan w:val="2"/>
            <w:shd w:val="clear" w:color="auto" w:fill="53C072"/>
          </w:tcPr>
          <w:p>
            <w:pPr>
              <w:jc w:val="right"/>
              <w:ind w:right="170"/>
              <w:spacing w:after="0"/>
              <w:rPr>
                <w:sz w:val="20"/>
                <w:szCs w:val="20"/>
                <w:color w:val="auto"/>
              </w:rPr>
            </w:pPr>
            <w:r>
              <w:rPr>
                <w:rFonts w:ascii="Arial" w:cs="Arial" w:eastAsia="Arial" w:hAnsi="Arial"/>
                <w:sz w:val="14"/>
                <w:szCs w:val="14"/>
                <w:b w:val="1"/>
                <w:bCs w:val="1"/>
                <w:color w:val="FEFEFE"/>
              </w:rPr>
              <w:t>​ ​</w:t>
            </w:r>
          </w:p>
        </w:tc>
        <w:tc>
          <w:tcPr>
            <w:tcW w:w="100" w:type="dxa"/>
            <w:vAlign w:val="bottom"/>
            <w:tcBorders>
              <w:right w:val="single" w:sz="8" w:color="53C072"/>
            </w:tcBorders>
            <w:shd w:val="clear" w:color="auto" w:fill="53C072"/>
          </w:tcPr>
          <w:p>
            <w:pPr>
              <w:spacing w:after="0"/>
              <w:rPr>
                <w:sz w:val="18"/>
                <w:szCs w:val="18"/>
                <w:color w:val="auto"/>
              </w:rPr>
            </w:pPr>
          </w:p>
        </w:tc>
        <w:tc>
          <w:tcPr>
            <w:tcW w:w="100" w:type="dxa"/>
            <w:vAlign w:val="bottom"/>
            <w:shd w:val="clear" w:color="auto" w:fill="53C072"/>
          </w:tcPr>
          <w:p>
            <w:pPr>
              <w:spacing w:after="0"/>
              <w:rPr>
                <w:sz w:val="18"/>
                <w:szCs w:val="18"/>
                <w:color w:val="auto"/>
              </w:rPr>
            </w:pPr>
          </w:p>
        </w:tc>
        <w:tc>
          <w:tcPr>
            <w:tcW w:w="380" w:type="dxa"/>
            <w:vAlign w:val="bottom"/>
            <w:tcBorders>
              <w:right w:val="single" w:sz="8" w:color="53C072"/>
            </w:tcBorders>
            <w:shd w:val="clear" w:color="auto" w:fill="53C072"/>
          </w:tcPr>
          <w:p>
            <w:pPr>
              <w:spacing w:after="0"/>
              <w:rPr>
                <w:sz w:val="18"/>
                <w:szCs w:val="18"/>
                <w:color w:val="auto"/>
              </w:rPr>
            </w:pPr>
          </w:p>
        </w:tc>
        <w:tc>
          <w:tcPr>
            <w:tcW w:w="100" w:type="dxa"/>
            <w:vAlign w:val="bottom"/>
            <w:shd w:val="clear" w:color="auto" w:fill="53C072"/>
          </w:tcPr>
          <w:p>
            <w:pPr>
              <w:spacing w:after="0"/>
              <w:rPr>
                <w:sz w:val="18"/>
                <w:szCs w:val="18"/>
                <w:color w:val="auto"/>
              </w:rPr>
            </w:pPr>
          </w:p>
        </w:tc>
        <w:tc>
          <w:tcPr>
            <w:tcW w:w="1480" w:type="dxa"/>
            <w:vAlign w:val="bottom"/>
            <w:shd w:val="clear" w:color="auto" w:fill="53C072"/>
          </w:tcPr>
          <w:p>
            <w:pPr>
              <w:ind w:left="140"/>
              <w:spacing w:after="0"/>
              <w:rPr>
                <w:sz w:val="20"/>
                <w:szCs w:val="20"/>
                <w:color w:val="auto"/>
              </w:rPr>
            </w:pPr>
            <w:r>
              <w:rPr>
                <w:rFonts w:ascii="Arial" w:cs="Arial" w:eastAsia="Arial" w:hAnsi="Arial"/>
                <w:sz w:val="14"/>
                <w:szCs w:val="14"/>
                <w:b w:val="1"/>
                <w:bCs w:val="1"/>
                <w:color w:val="FEFEFE"/>
              </w:rPr>
              <w:t>(Decline)</w:t>
            </w:r>
          </w:p>
        </w:tc>
        <w:tc>
          <w:tcPr>
            <w:tcW w:w="120" w:type="dxa"/>
            <w:vAlign w:val="bottom"/>
            <w:tcBorders>
              <w:right w:val="single" w:sz="8" w:color="53C072"/>
            </w:tcBorders>
            <w:shd w:val="clear" w:color="auto" w:fill="53C072"/>
          </w:tcPr>
          <w:p>
            <w:pPr>
              <w:spacing w:after="0"/>
              <w:rPr>
                <w:sz w:val="18"/>
                <w:szCs w:val="18"/>
                <w:color w:val="auto"/>
              </w:rPr>
            </w:pPr>
          </w:p>
        </w:tc>
        <w:tc>
          <w:tcPr>
            <w:tcW w:w="180" w:type="dxa"/>
            <w:vAlign w:val="bottom"/>
            <w:shd w:val="clear" w:color="auto" w:fill="53C072"/>
          </w:tcPr>
          <w:p>
            <w:pPr>
              <w:spacing w:after="0"/>
              <w:rPr>
                <w:sz w:val="18"/>
                <w:szCs w:val="18"/>
                <w:color w:val="auto"/>
              </w:rPr>
            </w:pPr>
          </w:p>
        </w:tc>
        <w:tc>
          <w:tcPr>
            <w:tcW w:w="22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2800" w:type="dxa"/>
            <w:vAlign w:val="bottom"/>
            <w:tcBorders>
              <w:right w:val="single" w:sz="8" w:color="53C072"/>
            </w:tcBorders>
            <w:shd w:val="clear" w:color="auto" w:fill="53C072"/>
          </w:tcPr>
          <w:p>
            <w:pPr>
              <w:jc w:val="center"/>
              <w:spacing w:after="0"/>
              <w:rPr>
                <w:sz w:val="20"/>
                <w:szCs w:val="20"/>
                <w:color w:val="auto"/>
              </w:rPr>
            </w:pPr>
            <w:r>
              <w:rPr>
                <w:rFonts w:ascii="Arial" w:cs="Arial" w:eastAsia="Arial" w:hAnsi="Arial"/>
                <w:sz w:val="14"/>
                <w:szCs w:val="14"/>
                <w:b w:val="1"/>
                <w:bCs w:val="1"/>
                <w:color w:val="FEFEFE"/>
              </w:rPr>
              <w:t>% Payout</w:t>
            </w:r>
          </w:p>
        </w:tc>
      </w:tr>
      <w:tr>
        <w:trPr>
          <w:trHeight w:val="270"/>
        </w:trPr>
        <w:tc>
          <w:tcPr>
            <w:tcW w:w="1120" w:type="dxa"/>
            <w:vAlign w:val="bottom"/>
            <w:tcBorders>
              <w:left w:val="single" w:sz="8" w:color="53C072"/>
              <w:bottom w:val="single" w:sz="8" w:color="53C072"/>
            </w:tcBorders>
            <w:gridSpan w:val="3"/>
          </w:tcPr>
          <w:p>
            <w:pPr>
              <w:ind w:left="1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Maximum</w:t>
            </w:r>
          </w:p>
        </w:tc>
        <w:tc>
          <w:tcPr>
            <w:tcW w:w="120" w:type="dxa"/>
            <w:vAlign w:val="bottom"/>
            <w:tcBorders>
              <w:bottom w:val="single" w:sz="8" w:color="53C072"/>
            </w:tcBorders>
          </w:tcPr>
          <w:p>
            <w:pPr>
              <w:spacing w:after="0"/>
              <w:rPr>
                <w:sz w:val="23"/>
                <w:szCs w:val="23"/>
                <w:color w:val="auto"/>
              </w:rPr>
            </w:pPr>
          </w:p>
        </w:tc>
        <w:tc>
          <w:tcPr>
            <w:tcW w:w="200" w:type="dxa"/>
            <w:vAlign w:val="bottom"/>
            <w:tcBorders>
              <w:bottom w:val="single" w:sz="8" w:color="53C072"/>
            </w:tcBorders>
          </w:tcPr>
          <w:p>
            <w:pPr>
              <w:spacing w:after="0"/>
              <w:rPr>
                <w:sz w:val="23"/>
                <w:szCs w:val="23"/>
                <w:color w:val="auto"/>
              </w:rPr>
            </w:pPr>
          </w:p>
        </w:tc>
        <w:tc>
          <w:tcPr>
            <w:tcW w:w="28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tcBorders>
          </w:tcPr>
          <w:p>
            <w:pPr>
              <w:spacing w:after="0"/>
              <w:rPr>
                <w:sz w:val="23"/>
                <w:szCs w:val="23"/>
                <w:color w:val="auto"/>
              </w:rPr>
            </w:pPr>
          </w:p>
        </w:tc>
        <w:tc>
          <w:tcPr>
            <w:tcW w:w="102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right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53C072"/>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tcBorders>
          </w:tcPr>
          <w:p>
            <w:pPr>
              <w:spacing w:after="0"/>
              <w:rPr>
                <w:sz w:val="23"/>
                <w:szCs w:val="23"/>
                <w:color w:val="auto"/>
              </w:rPr>
            </w:pPr>
          </w:p>
        </w:tc>
        <w:tc>
          <w:tcPr>
            <w:tcW w:w="380" w:type="dxa"/>
            <w:vAlign w:val="bottom"/>
            <w:tcBorders>
              <w:bottom w:val="single" w:sz="8" w:color="53C072"/>
            </w:tcBorders>
          </w:tcPr>
          <w:p>
            <w:pPr>
              <w:spacing w:after="0"/>
              <w:rPr>
                <w:sz w:val="23"/>
                <w:szCs w:val="23"/>
                <w:color w:val="auto"/>
              </w:rPr>
            </w:pPr>
          </w:p>
        </w:tc>
        <w:tc>
          <w:tcPr>
            <w:tcW w:w="100" w:type="dxa"/>
            <w:vAlign w:val="bottom"/>
            <w:tcBorders>
              <w:bottom w:val="single" w:sz="8" w:color="53C072"/>
            </w:tcBorders>
          </w:tcPr>
          <w:p>
            <w:pPr>
              <w:spacing w:after="0"/>
              <w:rPr>
                <w:sz w:val="23"/>
                <w:szCs w:val="23"/>
                <w:color w:val="auto"/>
              </w:rPr>
            </w:pPr>
          </w:p>
        </w:tc>
        <w:tc>
          <w:tcPr>
            <w:tcW w:w="1480" w:type="dxa"/>
            <w:vAlign w:val="bottom"/>
            <w:tcBorders>
              <w:bottom w:val="single" w:sz="8" w:color="53C072"/>
            </w:tcBorders>
          </w:tcPr>
          <w:p>
            <w:pPr>
              <w:ind w:left="120"/>
              <w:spacing w:after="0"/>
              <w:rPr>
                <w:sz w:val="20"/>
                <w:szCs w:val="20"/>
                <w:color w:val="auto"/>
              </w:rPr>
            </w:pPr>
            <w:r>
              <w:rPr>
                <w:rFonts w:ascii="Arial" w:cs="Arial" w:eastAsia="Arial" w:hAnsi="Arial"/>
                <w:sz w:val="18"/>
                <w:szCs w:val="18"/>
                <w:color w:val="auto"/>
              </w:rPr>
              <w:t>300 bps</w:t>
            </w:r>
          </w:p>
        </w:tc>
        <w:tc>
          <w:tcPr>
            <w:tcW w:w="120" w:type="dxa"/>
            <w:vAlign w:val="bottom"/>
            <w:tcBorders>
              <w:bottom w:val="single" w:sz="8" w:color="53C072"/>
            </w:tcBorders>
          </w:tcPr>
          <w:p>
            <w:pPr>
              <w:spacing w:after="0"/>
              <w:rPr>
                <w:sz w:val="23"/>
                <w:szCs w:val="23"/>
                <w:color w:val="auto"/>
              </w:rPr>
            </w:pPr>
          </w:p>
        </w:tc>
        <w:tc>
          <w:tcPr>
            <w:tcW w:w="180" w:type="dxa"/>
            <w:vAlign w:val="bottom"/>
            <w:tcBorders>
              <w:bottom w:val="single" w:sz="8" w:color="53C072"/>
            </w:tcBorders>
          </w:tcPr>
          <w:p>
            <w:pPr>
              <w:spacing w:after="0"/>
              <w:rPr>
                <w:sz w:val="23"/>
                <w:szCs w:val="23"/>
                <w:color w:val="auto"/>
              </w:rPr>
            </w:pP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w:t>
            </w:r>
          </w:p>
        </w:tc>
        <w:tc>
          <w:tcPr>
            <w:tcW w:w="2800" w:type="dxa"/>
            <w:vAlign w:val="bottom"/>
            <w:tcBorders>
              <w:bottom w:val="single" w:sz="8" w:color="53C072"/>
              <w:right w:val="single" w:sz="8" w:color="53C072"/>
            </w:tcBorders>
          </w:tcPr>
          <w:p>
            <w:pPr>
              <w:jc w:val="right"/>
              <w:ind w:right="1113"/>
              <w:spacing w:after="0"/>
              <w:rPr>
                <w:sz w:val="20"/>
                <w:szCs w:val="20"/>
                <w:color w:val="auto"/>
              </w:rPr>
            </w:pPr>
            <w:r>
              <w:rPr>
                <w:rFonts w:ascii="Arial" w:cs="Arial" w:eastAsia="Arial" w:hAnsi="Arial"/>
                <w:sz w:val="18"/>
                <w:szCs w:val="18"/>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-2202180</wp:posOffset>
            </wp:positionV>
            <wp:extent cx="44659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4659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-2365375</wp:posOffset>
            </wp:positionV>
            <wp:extent cx="5537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37835" cy="889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-187960</wp:posOffset>
            </wp:positionV>
            <wp:extent cx="36861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68617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-548005</wp:posOffset>
            </wp:positionV>
            <wp:extent cx="5537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37835" cy="8890"/>
                    </a:xfrm>
                    <a:prstGeom prst="rect">
                      <a:avLst/>
                    </a:prstGeom>
                    <a:noFill/>
                  </pic:spPr>
                </pic:pic>
              </a:graphicData>
            </a:graphic>
          </wp:anchor>
        </w:drawing>
      </w:r>
    </w:p>
    <w:p>
      <w:pPr>
        <w:spacing w:after="0" w:line="185"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81" w:lineRule="exact"/>
        <w:rPr>
          <w:sz w:val="20"/>
          <w:szCs w:val="20"/>
          <w:color w:val="auto"/>
        </w:rPr>
      </w:pPr>
    </w:p>
    <w:tbl>
      <w:tblPr>
        <w:tblLayout w:type="fixed"/>
        <w:tblInd w:w="990" w:type="dxa"/>
        <w:tblCellMar>
          <w:top w:w="0" w:type="dxa"/>
          <w:left w:w="0" w:type="dxa"/>
          <w:bottom w:w="0" w:type="dxa"/>
          <w:right w:w="0" w:type="dxa"/>
        </w:tblCellMar>
      </w:tblPr>
      <w:tr>
        <w:trPr>
          <w:trHeight w:val="196"/>
        </w:trPr>
        <w:tc>
          <w:tcPr>
            <w:tcW w:w="2840" w:type="dxa"/>
            <w:vAlign w:val="bottom"/>
          </w:tcPr>
          <w:p>
            <w:pPr>
              <w:ind w:left="2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vMerge w:val="restart"/>
          </w:tcPr>
          <w:p>
            <w:pPr>
              <w:ind w:left="220"/>
              <w:spacing w:after="0"/>
              <w:rPr>
                <w:sz w:val="20"/>
                <w:szCs w:val="20"/>
                <w:color w:val="auto"/>
              </w:rPr>
            </w:pPr>
            <w:r>
              <w:rPr>
                <w:rFonts w:ascii="Arial" w:cs="Arial" w:eastAsia="Arial" w:hAnsi="Arial"/>
                <w:sz w:val="14"/>
                <w:szCs w:val="14"/>
                <w:color w:val="auto"/>
                <w:w w:val="99"/>
              </w:rPr>
              <w:t>Compensation Discussion and Analysis</w:t>
            </w:r>
          </w:p>
        </w:tc>
        <w:tc>
          <w:tcPr>
            <w:tcW w:w="0" w:type="dxa"/>
            <w:vAlign w:val="bottom"/>
          </w:tcPr>
          <w:p>
            <w:pPr>
              <w:spacing w:after="0"/>
              <w:rPr>
                <w:sz w:val="1"/>
                <w:szCs w:val="1"/>
                <w:color w:val="auto"/>
              </w:rPr>
            </w:pPr>
          </w:p>
        </w:tc>
      </w:tr>
      <w:tr>
        <w:trPr>
          <w:trHeight w:val="88"/>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PROXY STATEMENT</w:t>
            </w: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8"/>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840" w:type="dxa"/>
            <w:vAlign w:val="bottom"/>
            <w:tcBorders>
              <w:left w:val="single" w:sz="8" w:color="53C072"/>
            </w:tcBorders>
            <w:shd w:val="clear" w:color="auto" w:fill="53C072"/>
          </w:tcPr>
          <w:p>
            <w:pPr>
              <w:spacing w:after="0"/>
              <w:rPr>
                <w:sz w:val="22"/>
                <w:szCs w:val="22"/>
                <w:color w:val="auto"/>
              </w:rPr>
            </w:pPr>
          </w:p>
        </w:tc>
        <w:tc>
          <w:tcPr>
            <w:tcW w:w="100" w:type="dxa"/>
            <w:vAlign w:val="bottom"/>
            <w:tcBorders>
              <w:right w:val="single" w:sz="8" w:color="53C072"/>
            </w:tcBorders>
            <w:shd w:val="clear" w:color="auto" w:fill="53C072"/>
          </w:tcPr>
          <w:p>
            <w:pPr>
              <w:spacing w:after="0"/>
              <w:rPr>
                <w:sz w:val="22"/>
                <w:szCs w:val="22"/>
                <w:color w:val="auto"/>
              </w:rPr>
            </w:pPr>
          </w:p>
        </w:tc>
        <w:tc>
          <w:tcPr>
            <w:tcW w:w="320" w:type="dxa"/>
            <w:vAlign w:val="bottom"/>
            <w:shd w:val="clear" w:color="auto" w:fill="53C072"/>
          </w:tcPr>
          <w:p>
            <w:pPr>
              <w:spacing w:after="0"/>
              <w:rPr>
                <w:sz w:val="22"/>
                <w:szCs w:val="22"/>
                <w:color w:val="auto"/>
              </w:rPr>
            </w:pPr>
          </w:p>
        </w:tc>
        <w:tc>
          <w:tcPr>
            <w:tcW w:w="23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Fiscal 2024</w:t>
            </w:r>
          </w:p>
        </w:tc>
        <w:tc>
          <w:tcPr>
            <w:tcW w:w="280" w:type="dxa"/>
            <w:vAlign w:val="bottom"/>
            <w:tcBorders>
              <w:right w:val="single" w:sz="8" w:color="53C072"/>
            </w:tcBorders>
            <w:shd w:val="clear" w:color="auto" w:fill="53C072"/>
          </w:tcPr>
          <w:p>
            <w:pPr>
              <w:spacing w:after="0"/>
              <w:rPr>
                <w:sz w:val="22"/>
                <w:szCs w:val="22"/>
                <w:color w:val="auto"/>
              </w:rPr>
            </w:pPr>
          </w:p>
        </w:tc>
        <w:tc>
          <w:tcPr>
            <w:tcW w:w="180" w:type="dxa"/>
            <w:vAlign w:val="bottom"/>
            <w:shd w:val="clear" w:color="auto" w:fill="53C072"/>
          </w:tcPr>
          <w:p>
            <w:pPr>
              <w:spacing w:after="0"/>
              <w:rPr>
                <w:sz w:val="22"/>
                <w:szCs w:val="22"/>
                <w:color w:val="auto"/>
              </w:rPr>
            </w:pPr>
          </w:p>
        </w:tc>
        <w:tc>
          <w:tcPr>
            <w:tcW w:w="2700" w:type="dxa"/>
            <w:vAlign w:val="bottom"/>
            <w:tcBorders>
              <w:right w:val="single" w:sz="8" w:color="53C072"/>
            </w:tcBorders>
            <w:shd w:val="clear" w:color="auto" w:fill="53C072"/>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840" w:type="dxa"/>
            <w:vAlign w:val="bottom"/>
            <w:tcBorders>
              <w:left w:val="single" w:sz="8" w:color="53C072"/>
            </w:tcBorders>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320" w:type="dxa"/>
            <w:vAlign w:val="bottom"/>
            <w:shd w:val="clear" w:color="auto" w:fill="53C072"/>
          </w:tcPr>
          <w:p>
            <w:pPr>
              <w:spacing w:after="0"/>
              <w:rPr>
                <w:sz w:val="14"/>
                <w:szCs w:val="14"/>
                <w:color w:val="auto"/>
              </w:rPr>
            </w:pPr>
          </w:p>
        </w:tc>
        <w:tc>
          <w:tcPr>
            <w:tcW w:w="23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Relative Market Share Goals</w:t>
            </w:r>
          </w:p>
        </w:tc>
        <w:tc>
          <w:tcPr>
            <w:tcW w:w="280" w:type="dxa"/>
            <w:vAlign w:val="bottom"/>
            <w:tcBorders>
              <w:right w:val="single" w:sz="8" w:color="53C072"/>
            </w:tcBorders>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2700" w:type="dxa"/>
            <w:vAlign w:val="bottom"/>
            <w:tcBorders>
              <w:right w:val="single" w:sz="8" w:color="53C072"/>
            </w:tcBorders>
            <w:shd w:val="clear" w:color="auto" w:fill="53C072"/>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Borders>
              <w:left w:val="single" w:sz="8" w:color="53C072"/>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w:t>
            </w:r>
          </w:p>
        </w:tc>
        <w:tc>
          <w:tcPr>
            <w:tcW w:w="100" w:type="dxa"/>
            <w:vAlign w:val="bottom"/>
            <w:tcBorders>
              <w:right w:val="single" w:sz="8" w:color="53C072"/>
            </w:tcBorders>
            <w:shd w:val="clear" w:color="auto" w:fill="53C072"/>
          </w:tcPr>
          <w:p>
            <w:pPr>
              <w:spacing w:after="0"/>
              <w:rPr>
                <w:sz w:val="17"/>
                <w:szCs w:val="17"/>
                <w:color w:val="auto"/>
              </w:rPr>
            </w:pPr>
          </w:p>
        </w:tc>
        <w:tc>
          <w:tcPr>
            <w:tcW w:w="320" w:type="dxa"/>
            <w:vAlign w:val="bottom"/>
            <w:shd w:val="clear" w:color="auto" w:fill="53C072"/>
          </w:tcPr>
          <w:p>
            <w:pPr>
              <w:spacing w:after="0"/>
              <w:rPr>
                <w:sz w:val="17"/>
                <w:szCs w:val="17"/>
                <w:color w:val="auto"/>
              </w:rPr>
            </w:pPr>
          </w:p>
        </w:tc>
        <w:tc>
          <w:tcPr>
            <w:tcW w:w="23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20% Weighting</w:t>
            </w:r>
          </w:p>
        </w:tc>
        <w:tc>
          <w:tcPr>
            <w:tcW w:w="280" w:type="dxa"/>
            <w:vAlign w:val="bottom"/>
            <w:tcBorders>
              <w:right w:val="single" w:sz="8" w:color="53C072"/>
            </w:tcBorders>
            <w:shd w:val="clear" w:color="auto" w:fill="53C072"/>
          </w:tcPr>
          <w:p>
            <w:pPr>
              <w:spacing w:after="0"/>
              <w:rPr>
                <w:sz w:val="17"/>
                <w:szCs w:val="17"/>
                <w:color w:val="auto"/>
              </w:rPr>
            </w:pPr>
          </w:p>
        </w:tc>
        <w:tc>
          <w:tcPr>
            <w:tcW w:w="180" w:type="dxa"/>
            <w:vAlign w:val="bottom"/>
            <w:shd w:val="clear" w:color="auto" w:fill="53C072"/>
          </w:tcPr>
          <w:p>
            <w:pPr>
              <w:spacing w:after="0"/>
              <w:rPr>
                <w:sz w:val="17"/>
                <w:szCs w:val="17"/>
                <w:color w:val="auto"/>
              </w:rPr>
            </w:pPr>
          </w:p>
        </w:tc>
        <w:tc>
          <w:tcPr>
            <w:tcW w:w="2700" w:type="dxa"/>
            <w:vAlign w:val="bottom"/>
            <w:tcBorders>
              <w:right w:val="single" w:sz="8" w:color="53C072"/>
            </w:tcBorders>
            <w:shd w:val="clear" w:color="auto" w:fill="53C07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40" w:type="dxa"/>
            <w:vAlign w:val="bottom"/>
            <w:tcBorders>
              <w:left w:val="single" w:sz="8" w:color="53C072"/>
            </w:tcBorders>
            <w:shd w:val="clear" w:color="auto" w:fill="53C072"/>
          </w:tcPr>
          <w:p>
            <w:pPr>
              <w:spacing w:after="0"/>
              <w:rPr>
                <w:sz w:val="17"/>
                <w:szCs w:val="17"/>
                <w:color w:val="auto"/>
              </w:rPr>
            </w:pPr>
          </w:p>
        </w:tc>
        <w:tc>
          <w:tcPr>
            <w:tcW w:w="100" w:type="dxa"/>
            <w:vAlign w:val="bottom"/>
            <w:tcBorders>
              <w:right w:val="single" w:sz="8" w:color="53C072"/>
            </w:tcBorders>
            <w:shd w:val="clear" w:color="auto" w:fill="53C072"/>
          </w:tcPr>
          <w:p>
            <w:pPr>
              <w:spacing w:after="0"/>
              <w:rPr>
                <w:sz w:val="17"/>
                <w:szCs w:val="17"/>
                <w:color w:val="auto"/>
              </w:rPr>
            </w:pPr>
          </w:p>
        </w:tc>
        <w:tc>
          <w:tcPr>
            <w:tcW w:w="320" w:type="dxa"/>
            <w:vAlign w:val="bottom"/>
            <w:shd w:val="clear" w:color="auto" w:fill="53C072"/>
          </w:tcPr>
          <w:p>
            <w:pPr>
              <w:spacing w:after="0"/>
              <w:rPr>
                <w:sz w:val="17"/>
                <w:szCs w:val="17"/>
                <w:color w:val="auto"/>
              </w:rPr>
            </w:pPr>
          </w:p>
        </w:tc>
        <w:tc>
          <w:tcPr>
            <w:tcW w:w="2340" w:type="dxa"/>
            <w:vAlign w:val="bottom"/>
            <w:shd w:val="clear" w:color="auto" w:fill="53C072"/>
          </w:tcPr>
          <w:p>
            <w:pPr>
              <w:jc w:val="center"/>
              <w:ind w:right="41"/>
              <w:spacing w:after="0"/>
              <w:rPr>
                <w:sz w:val="20"/>
                <w:szCs w:val="20"/>
                <w:color w:val="auto"/>
              </w:rPr>
            </w:pPr>
            <w:r>
              <w:rPr>
                <w:rFonts w:ascii="Arial" w:cs="Arial" w:eastAsia="Arial" w:hAnsi="Arial"/>
                <w:sz w:val="14"/>
                <w:szCs w:val="14"/>
                <w:b w:val="1"/>
                <w:bCs w:val="1"/>
                <w:color w:val="FEFEFE"/>
              </w:rPr>
              <w:t>Market Share</w:t>
            </w:r>
          </w:p>
        </w:tc>
        <w:tc>
          <w:tcPr>
            <w:tcW w:w="280" w:type="dxa"/>
            <w:vAlign w:val="bottom"/>
            <w:tcBorders>
              <w:right w:val="single" w:sz="8" w:color="53C072"/>
            </w:tcBorders>
            <w:shd w:val="clear" w:color="auto" w:fill="53C072"/>
          </w:tcPr>
          <w:p>
            <w:pPr>
              <w:spacing w:after="0"/>
              <w:rPr>
                <w:sz w:val="17"/>
                <w:szCs w:val="17"/>
                <w:color w:val="auto"/>
              </w:rPr>
            </w:pPr>
          </w:p>
        </w:tc>
        <w:tc>
          <w:tcPr>
            <w:tcW w:w="180" w:type="dxa"/>
            <w:vAlign w:val="bottom"/>
            <w:shd w:val="clear" w:color="auto" w:fill="53C072"/>
          </w:tcPr>
          <w:p>
            <w:pPr>
              <w:spacing w:after="0"/>
              <w:rPr>
                <w:sz w:val="17"/>
                <w:szCs w:val="17"/>
                <w:color w:val="auto"/>
              </w:rPr>
            </w:pPr>
          </w:p>
        </w:tc>
        <w:tc>
          <w:tcPr>
            <w:tcW w:w="2700" w:type="dxa"/>
            <w:vAlign w:val="bottom"/>
            <w:tcBorders>
              <w:right w:val="single" w:sz="8" w:color="53C072"/>
            </w:tcBorders>
            <w:shd w:val="clear" w:color="auto" w:fill="53C07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40" w:type="dxa"/>
            <w:vAlign w:val="bottom"/>
            <w:tcBorders>
              <w:left w:val="single" w:sz="8" w:color="53C072"/>
            </w:tcBorders>
            <w:shd w:val="clear" w:color="auto" w:fill="53C072"/>
          </w:tcPr>
          <w:p>
            <w:pPr>
              <w:spacing w:after="0"/>
              <w:rPr>
                <w:sz w:val="14"/>
                <w:szCs w:val="14"/>
                <w:color w:val="auto"/>
              </w:rPr>
            </w:pPr>
          </w:p>
        </w:tc>
        <w:tc>
          <w:tcPr>
            <w:tcW w:w="100" w:type="dxa"/>
            <w:vAlign w:val="bottom"/>
            <w:tcBorders>
              <w:right w:val="single" w:sz="8" w:color="53C072"/>
            </w:tcBorders>
            <w:shd w:val="clear" w:color="auto" w:fill="53C072"/>
          </w:tcPr>
          <w:p>
            <w:pPr>
              <w:spacing w:after="0"/>
              <w:rPr>
                <w:sz w:val="14"/>
                <w:szCs w:val="14"/>
                <w:color w:val="auto"/>
              </w:rPr>
            </w:pPr>
          </w:p>
        </w:tc>
        <w:tc>
          <w:tcPr>
            <w:tcW w:w="320" w:type="dxa"/>
            <w:vAlign w:val="bottom"/>
            <w:shd w:val="clear" w:color="auto" w:fill="53C072"/>
          </w:tcPr>
          <w:p>
            <w:pPr>
              <w:spacing w:after="0"/>
              <w:rPr>
                <w:sz w:val="14"/>
                <w:szCs w:val="14"/>
                <w:color w:val="auto"/>
              </w:rPr>
            </w:pPr>
          </w:p>
        </w:tc>
        <w:tc>
          <w:tcPr>
            <w:tcW w:w="23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Improvement/​</w:t>
            </w:r>
          </w:p>
        </w:tc>
        <w:tc>
          <w:tcPr>
            <w:tcW w:w="280" w:type="dxa"/>
            <w:vAlign w:val="bottom"/>
            <w:tcBorders>
              <w:right w:val="single" w:sz="8" w:color="53C072"/>
            </w:tcBorders>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2700" w:type="dxa"/>
            <w:vAlign w:val="bottom"/>
            <w:tcBorders>
              <w:right w:val="single" w:sz="8" w:color="53C072"/>
            </w:tcBorders>
            <w:shd w:val="clear" w:color="auto" w:fill="53C072"/>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Borders>
              <w:left w:val="single" w:sz="8" w:color="53C072"/>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w:t>
            </w:r>
          </w:p>
        </w:tc>
        <w:tc>
          <w:tcPr>
            <w:tcW w:w="420" w:type="dxa"/>
            <w:vAlign w:val="bottom"/>
            <w:gridSpan w:val="2"/>
            <w:shd w:val="clear" w:color="auto" w:fill="53C072"/>
          </w:tcPr>
          <w:p>
            <w:pPr>
              <w:ind w:left="40"/>
              <w:spacing w:after="0"/>
              <w:rPr>
                <w:sz w:val="20"/>
                <w:szCs w:val="20"/>
                <w:color w:val="auto"/>
              </w:rPr>
            </w:pPr>
            <w:r>
              <w:rPr>
                <w:rFonts w:ascii="Arial" w:cs="Arial" w:eastAsia="Arial" w:hAnsi="Arial"/>
                <w:sz w:val="14"/>
                <w:szCs w:val="14"/>
                <w:b w:val="1"/>
                <w:bCs w:val="1"/>
                <w:color w:val="FEFEFE"/>
              </w:rPr>
              <w:t>​ ​</w:t>
            </w:r>
          </w:p>
        </w:tc>
        <w:tc>
          <w:tcPr>
            <w:tcW w:w="23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(Decline)</w:t>
            </w:r>
          </w:p>
        </w:tc>
        <w:tc>
          <w:tcPr>
            <w:tcW w:w="460" w:type="dxa"/>
            <w:vAlign w:val="bottom"/>
            <w:gridSpan w:val="2"/>
            <w:shd w:val="clear" w:color="auto" w:fill="53C072"/>
          </w:tcPr>
          <w:p>
            <w:pPr>
              <w:ind w:left="200"/>
              <w:spacing w:after="0"/>
              <w:rPr>
                <w:sz w:val="20"/>
                <w:szCs w:val="20"/>
                <w:color w:val="auto"/>
              </w:rPr>
            </w:pPr>
            <w:r>
              <w:rPr>
                <w:rFonts w:ascii="Arial" w:cs="Arial" w:eastAsia="Arial" w:hAnsi="Arial"/>
                <w:sz w:val="14"/>
                <w:szCs w:val="14"/>
                <w:b w:val="1"/>
                <w:bCs w:val="1"/>
                <w:color w:val="FEFEFE"/>
              </w:rPr>
              <w:t>​ ​</w:t>
            </w:r>
          </w:p>
        </w:tc>
        <w:tc>
          <w:tcPr>
            <w:tcW w:w="2700" w:type="dxa"/>
            <w:vAlign w:val="bottom"/>
            <w:tcBorders>
              <w:right w:val="single" w:sz="8" w:color="53C072"/>
            </w:tcBorders>
            <w:shd w:val="clear" w:color="auto" w:fill="53C072"/>
          </w:tcPr>
          <w:p>
            <w:pPr>
              <w:jc w:val="center"/>
              <w:ind w:right="95"/>
              <w:spacing w:after="0"/>
              <w:rPr>
                <w:sz w:val="20"/>
                <w:szCs w:val="20"/>
                <w:color w:val="auto"/>
              </w:rPr>
            </w:pPr>
            <w:r>
              <w:rPr>
                <w:rFonts w:ascii="Arial" w:cs="Arial" w:eastAsia="Arial" w:hAnsi="Arial"/>
                <w:sz w:val="14"/>
                <w:szCs w:val="14"/>
                <w:b w:val="1"/>
                <w:bCs w:val="1"/>
                <w:color w:val="FEFEFE"/>
              </w:rPr>
              <w:t>% Payout</w:t>
            </w:r>
          </w:p>
        </w:tc>
        <w:tc>
          <w:tcPr>
            <w:tcW w:w="0" w:type="dxa"/>
            <w:vAlign w:val="bottom"/>
          </w:tcPr>
          <w:p>
            <w:pPr>
              <w:spacing w:after="0"/>
              <w:rPr>
                <w:sz w:val="1"/>
                <w:szCs w:val="1"/>
                <w:color w:val="auto"/>
              </w:rPr>
            </w:pPr>
          </w:p>
        </w:tc>
      </w:tr>
      <w:tr>
        <w:trPr>
          <w:trHeight w:val="218"/>
        </w:trPr>
        <w:tc>
          <w:tcPr>
            <w:tcW w:w="2840" w:type="dxa"/>
            <w:vAlign w:val="bottom"/>
            <w:tcBorders>
              <w:top w:val="single" w:sz="8" w:color="53C072"/>
              <w:left w:val="single" w:sz="8" w:color="53C072"/>
            </w:tcBorders>
          </w:tcPr>
          <w:p>
            <w:pPr>
              <w:spacing w:after="0"/>
              <w:rPr>
                <w:sz w:val="18"/>
                <w:szCs w:val="18"/>
                <w:color w:val="auto"/>
              </w:rPr>
            </w:pPr>
          </w:p>
        </w:tc>
        <w:tc>
          <w:tcPr>
            <w:tcW w:w="100" w:type="dxa"/>
            <w:vAlign w:val="bottom"/>
            <w:tcBorders>
              <w:top w:val="single" w:sz="8" w:color="53C072"/>
              <w:right w:val="single" w:sz="8" w:color="53C072"/>
            </w:tcBorders>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Borders>
              <w:right w:val="single" w:sz="8" w:color="53C072"/>
            </w:tcBorders>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Borders>
              <w:right w:val="single" w:sz="8" w:color="53C072"/>
            </w:tcBorders>
          </w:tcPr>
          <w:p>
            <w:pPr>
              <w:jc w:val="center"/>
              <w:ind w:right="75"/>
              <w:spacing w:after="0"/>
              <w:rPr>
                <w:sz w:val="20"/>
                <w:szCs w:val="20"/>
                <w:color w:val="auto"/>
              </w:rPr>
            </w:pPr>
            <w:r>
              <w:rPr>
                <w:rFonts w:ascii="Arial" w:cs="Arial" w:eastAsia="Arial" w:hAnsi="Arial"/>
                <w:sz w:val="18"/>
                <w:szCs w:val="18"/>
                <w:color w:val="auto"/>
                <w:w w:val="98"/>
              </w:rPr>
              <w:t>0.40% increase in payout per</w:t>
            </w:r>
          </w:p>
        </w:tc>
        <w:tc>
          <w:tcPr>
            <w:tcW w:w="0" w:type="dxa"/>
            <w:vAlign w:val="bottom"/>
          </w:tcPr>
          <w:p>
            <w:pPr>
              <w:spacing w:after="0"/>
              <w:rPr>
                <w:sz w:val="1"/>
                <w:szCs w:val="1"/>
                <w:color w:val="auto"/>
              </w:rPr>
            </w:pPr>
          </w:p>
        </w:tc>
      </w:tr>
      <w:tr>
        <w:trPr>
          <w:trHeight w:val="262"/>
        </w:trPr>
        <w:tc>
          <w:tcPr>
            <w:tcW w:w="2840" w:type="dxa"/>
            <w:vAlign w:val="bottom"/>
            <w:tcBorders>
              <w:left w:val="single" w:sz="8" w:color="53C072"/>
              <w:bottom w:val="single" w:sz="8" w:color="53C072"/>
            </w:tcBorders>
          </w:tcPr>
          <w:p>
            <w:pPr>
              <w:ind w:left="120"/>
              <w:spacing w:after="0"/>
              <w:rPr>
                <w:sz w:val="20"/>
                <w:szCs w:val="20"/>
                <w:color w:val="auto"/>
              </w:rPr>
            </w:pPr>
            <w:r>
              <w:rPr>
                <w:rFonts w:ascii="Arial" w:cs="Arial" w:eastAsia="Arial" w:hAnsi="Arial"/>
                <w:sz w:val="18"/>
                <w:szCs w:val="18"/>
                <w:color w:val="auto"/>
              </w:rPr>
              <w:t>​ &gt; Target</w:t>
            </w:r>
          </w:p>
        </w:tc>
        <w:tc>
          <w:tcPr>
            <w:tcW w:w="10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53C072"/>
            </w:tcBorders>
          </w:tcPr>
          <w:p>
            <w:pPr>
              <w:jc w:val="center"/>
              <w:spacing w:after="0"/>
              <w:rPr>
                <w:sz w:val="20"/>
                <w:szCs w:val="20"/>
                <w:color w:val="auto"/>
              </w:rPr>
            </w:pPr>
            <w:r>
              <w:rPr>
                <w:rFonts w:ascii="Arial" w:cs="Arial" w:eastAsia="Arial" w:hAnsi="Arial"/>
                <w:sz w:val="18"/>
                <w:szCs w:val="18"/>
                <w:color w:val="auto"/>
                <w:w w:val="97"/>
              </w:rPr>
              <w:t>51-299 bps</w:t>
            </w:r>
          </w:p>
        </w:tc>
        <w:tc>
          <w:tcPr>
            <w:tcW w:w="280" w:type="dxa"/>
            <w:vAlign w:val="bottom"/>
            <w:tcBorders>
              <w:bottom w:val="single" w:sz="8" w:color="53C072"/>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53C072"/>
              <w:right w:val="single" w:sz="8" w:color="53C072"/>
            </w:tcBorders>
          </w:tcPr>
          <w:p>
            <w:pPr>
              <w:jc w:val="center"/>
              <w:spacing w:after="0"/>
              <w:rPr>
                <w:sz w:val="20"/>
                <w:szCs w:val="20"/>
                <w:color w:val="auto"/>
              </w:rPr>
            </w:pPr>
            <w:r>
              <w:rPr>
                <w:rFonts w:ascii="Arial" w:cs="Arial" w:eastAsia="Arial" w:hAnsi="Arial"/>
                <w:sz w:val="18"/>
                <w:szCs w:val="18"/>
                <w:color w:val="auto"/>
                <w:w w:val="97"/>
              </w:rPr>
              <w:t>increase in bps from target</w:t>
            </w:r>
          </w:p>
        </w:tc>
        <w:tc>
          <w:tcPr>
            <w:tcW w:w="0" w:type="dxa"/>
            <w:vAlign w:val="bottom"/>
          </w:tcPr>
          <w:p>
            <w:pPr>
              <w:spacing w:after="0"/>
              <w:rPr>
                <w:sz w:val="1"/>
                <w:szCs w:val="1"/>
                <w:color w:val="auto"/>
              </w:rPr>
            </w:pPr>
          </w:p>
        </w:tc>
      </w:tr>
      <w:tr>
        <w:trPr>
          <w:trHeight w:val="263"/>
        </w:trPr>
        <w:tc>
          <w:tcPr>
            <w:tcW w:w="2840" w:type="dxa"/>
            <w:vAlign w:val="bottom"/>
            <w:tcBorders>
              <w:left w:val="single" w:sz="8" w:color="53C072"/>
              <w:bottom w:val="single" w:sz="8" w:color="53C072"/>
            </w:tcBorders>
            <w:shd w:val="clear" w:color="auto" w:fill="CBECD5"/>
          </w:tcPr>
          <w:p>
            <w:pPr>
              <w:ind w:left="1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xml:space="preserve"> Target</w:t>
            </w:r>
          </w:p>
        </w:tc>
        <w:tc>
          <w:tcPr>
            <w:tcW w:w="100" w:type="dxa"/>
            <w:vAlign w:val="bottom"/>
            <w:tcBorders>
              <w:bottom w:val="single" w:sz="8" w:color="53C072"/>
              <w:right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234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b w:val="1"/>
                <w:bCs w:val="1"/>
                <w:color w:val="auto"/>
                <w:w w:val="98"/>
              </w:rPr>
              <w:t>50 basis points</w:t>
            </w:r>
          </w:p>
        </w:tc>
        <w:tc>
          <w:tcPr>
            <w:tcW w:w="280" w:type="dxa"/>
            <w:vAlign w:val="bottom"/>
            <w:tcBorders>
              <w:bottom w:val="single" w:sz="8" w:color="53C072"/>
              <w:right w:val="single" w:sz="8" w:color="53C072"/>
            </w:tcBorders>
            <w:shd w:val="clear" w:color="auto" w:fill="CBECD5"/>
          </w:tcPr>
          <w:p>
            <w:pPr>
              <w:ind w:lef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b w:val="1"/>
                <w:bCs w:val="1"/>
                <w:color w:val="auto"/>
              </w:rPr>
              <w:t>​</w:t>
            </w:r>
          </w:p>
        </w:tc>
        <w:tc>
          <w:tcPr>
            <w:tcW w:w="2700" w:type="dxa"/>
            <w:vAlign w:val="bottom"/>
            <w:tcBorders>
              <w:bottom w:val="single" w:sz="8" w:color="53C072"/>
              <w:right w:val="single" w:sz="8" w:color="53C072"/>
            </w:tcBorders>
            <w:shd w:val="clear" w:color="auto" w:fill="CBECD5"/>
          </w:tcPr>
          <w:p>
            <w:pPr>
              <w:jc w:val="right"/>
              <w:ind w:right="1055"/>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18"/>
        </w:trPr>
        <w:tc>
          <w:tcPr>
            <w:tcW w:w="2840" w:type="dxa"/>
            <w:vAlign w:val="bottom"/>
            <w:tcBorders>
              <w:left w:val="single" w:sz="8" w:color="53C072"/>
            </w:tcBorders>
          </w:tcPr>
          <w:p>
            <w:pPr>
              <w:spacing w:after="0"/>
              <w:rPr>
                <w:sz w:val="18"/>
                <w:szCs w:val="18"/>
                <w:color w:val="auto"/>
              </w:rPr>
            </w:pPr>
          </w:p>
        </w:tc>
        <w:tc>
          <w:tcPr>
            <w:tcW w:w="100" w:type="dxa"/>
            <w:vAlign w:val="bottom"/>
            <w:tcBorders>
              <w:right w:val="single" w:sz="8" w:color="53C072"/>
            </w:tcBorders>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Borders>
              <w:right w:val="single" w:sz="8" w:color="53C072"/>
            </w:tcBorders>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Borders>
              <w:right w:val="single" w:sz="8" w:color="53C072"/>
            </w:tcBorders>
          </w:tcPr>
          <w:p>
            <w:pPr>
              <w:jc w:val="center"/>
              <w:ind w:right="75"/>
              <w:spacing w:after="0"/>
              <w:rPr>
                <w:sz w:val="20"/>
                <w:szCs w:val="20"/>
                <w:color w:val="auto"/>
              </w:rPr>
            </w:pPr>
            <w:r>
              <w:rPr>
                <w:rFonts w:ascii="Arial" w:cs="Arial" w:eastAsia="Arial" w:hAnsi="Arial"/>
                <w:sz w:val="18"/>
                <w:szCs w:val="18"/>
                <w:color w:val="auto"/>
                <w:w w:val="97"/>
              </w:rPr>
              <w:t>0.19% decrease in payout per</w:t>
            </w:r>
          </w:p>
        </w:tc>
        <w:tc>
          <w:tcPr>
            <w:tcW w:w="0" w:type="dxa"/>
            <w:vAlign w:val="bottom"/>
          </w:tcPr>
          <w:p>
            <w:pPr>
              <w:spacing w:after="0"/>
              <w:rPr>
                <w:sz w:val="1"/>
                <w:szCs w:val="1"/>
                <w:color w:val="auto"/>
              </w:rPr>
            </w:pPr>
          </w:p>
        </w:tc>
      </w:tr>
      <w:tr>
        <w:trPr>
          <w:trHeight w:val="262"/>
        </w:trPr>
        <w:tc>
          <w:tcPr>
            <w:tcW w:w="2840" w:type="dxa"/>
            <w:vAlign w:val="bottom"/>
            <w:tcBorders>
              <w:left w:val="single" w:sz="8" w:color="53C072"/>
              <w:bottom w:val="single" w:sz="8" w:color="53C072"/>
            </w:tcBorders>
          </w:tcPr>
          <w:p>
            <w:pPr>
              <w:ind w:left="120"/>
              <w:spacing w:after="0"/>
              <w:rPr>
                <w:sz w:val="20"/>
                <w:szCs w:val="20"/>
                <w:color w:val="auto"/>
              </w:rPr>
            </w:pPr>
            <w:r>
              <w:rPr>
                <w:rFonts w:ascii="Arial" w:cs="Arial" w:eastAsia="Arial" w:hAnsi="Arial"/>
                <w:sz w:val="18"/>
                <w:szCs w:val="18"/>
                <w:color w:val="auto"/>
              </w:rPr>
              <w:t>​ &lt; Target</w:t>
            </w:r>
          </w:p>
        </w:tc>
        <w:tc>
          <w:tcPr>
            <w:tcW w:w="10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53C072"/>
            </w:tcBorders>
          </w:tcPr>
          <w:p>
            <w:pPr>
              <w:jc w:val="center"/>
              <w:spacing w:after="0"/>
              <w:rPr>
                <w:sz w:val="20"/>
                <w:szCs w:val="20"/>
                <w:color w:val="auto"/>
              </w:rPr>
            </w:pPr>
            <w:r>
              <w:rPr>
                <w:rFonts w:ascii="Arial" w:cs="Arial" w:eastAsia="Arial" w:hAnsi="Arial"/>
                <w:sz w:val="18"/>
                <w:szCs w:val="18"/>
                <w:color w:val="auto"/>
                <w:w w:val="97"/>
              </w:rPr>
              <w:t>(269)-49 bps</w:t>
            </w:r>
          </w:p>
        </w:tc>
        <w:tc>
          <w:tcPr>
            <w:tcW w:w="280" w:type="dxa"/>
            <w:vAlign w:val="bottom"/>
            <w:tcBorders>
              <w:bottom w:val="single" w:sz="8" w:color="53C072"/>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53C072"/>
              <w:right w:val="single" w:sz="8" w:color="53C072"/>
            </w:tcBorders>
          </w:tcPr>
          <w:p>
            <w:pPr>
              <w:jc w:val="center"/>
              <w:spacing w:after="0"/>
              <w:rPr>
                <w:sz w:val="20"/>
                <w:szCs w:val="20"/>
                <w:color w:val="auto"/>
              </w:rPr>
            </w:pPr>
            <w:r>
              <w:rPr>
                <w:rFonts w:ascii="Arial" w:cs="Arial" w:eastAsia="Arial" w:hAnsi="Arial"/>
                <w:sz w:val="18"/>
                <w:szCs w:val="18"/>
                <w:color w:val="auto"/>
                <w:w w:val="98"/>
              </w:rPr>
              <w:t>decrease in bps from target</w:t>
            </w:r>
          </w:p>
        </w:tc>
        <w:tc>
          <w:tcPr>
            <w:tcW w:w="0" w:type="dxa"/>
            <w:vAlign w:val="bottom"/>
          </w:tcPr>
          <w:p>
            <w:pPr>
              <w:spacing w:after="0"/>
              <w:rPr>
                <w:sz w:val="1"/>
                <w:szCs w:val="1"/>
                <w:color w:val="auto"/>
              </w:rPr>
            </w:pPr>
          </w:p>
        </w:tc>
      </w:tr>
      <w:tr>
        <w:trPr>
          <w:trHeight w:val="250"/>
        </w:trPr>
        <w:tc>
          <w:tcPr>
            <w:tcW w:w="2840" w:type="dxa"/>
            <w:vAlign w:val="bottom"/>
            <w:tcBorders>
              <w:left w:val="single" w:sz="8" w:color="53C072"/>
              <w:bottom w:val="single" w:sz="8" w:color="53C072"/>
            </w:tcBorders>
          </w:tcPr>
          <w:p>
            <w:pPr>
              <w:ind w:left="120"/>
              <w:spacing w:after="0"/>
              <w:rPr>
                <w:sz w:val="20"/>
                <w:szCs w:val="20"/>
                <w:color w:val="auto"/>
              </w:rPr>
            </w:pPr>
            <w:r>
              <w:rPr>
                <w:rFonts w:ascii="Arial" w:cs="Arial" w:eastAsia="Arial" w:hAnsi="Arial"/>
                <w:sz w:val="18"/>
                <w:szCs w:val="18"/>
                <w:color w:val="auto"/>
              </w:rPr>
              <w:t>​ Threshold</w:t>
            </w:r>
          </w:p>
        </w:tc>
        <w:tc>
          <w:tcPr>
            <w:tcW w:w="100" w:type="dxa"/>
            <w:vAlign w:val="bottom"/>
            <w:tcBorders>
              <w:bottom w:val="single" w:sz="8" w:color="53C072"/>
              <w:right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53C072"/>
            </w:tcBorders>
          </w:tcPr>
          <w:p>
            <w:pPr>
              <w:jc w:val="center"/>
              <w:spacing w:after="0"/>
              <w:rPr>
                <w:sz w:val="20"/>
                <w:szCs w:val="20"/>
                <w:color w:val="auto"/>
              </w:rPr>
            </w:pPr>
            <w:r>
              <w:rPr>
                <w:rFonts w:ascii="Arial" w:cs="Arial" w:eastAsia="Arial" w:hAnsi="Arial"/>
                <w:sz w:val="18"/>
                <w:szCs w:val="18"/>
                <w:color w:val="auto"/>
                <w:w w:val="99"/>
              </w:rPr>
              <w:t>(270) bps</w:t>
            </w:r>
          </w:p>
        </w:tc>
        <w:tc>
          <w:tcPr>
            <w:tcW w:w="280" w:type="dxa"/>
            <w:vAlign w:val="bottom"/>
            <w:tcBorders>
              <w:bottom w:val="single" w:sz="8" w:color="53C072"/>
              <w:right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53C072"/>
              <w:right w:val="single" w:sz="8" w:color="53C072"/>
            </w:tcBorders>
          </w:tcPr>
          <w:p>
            <w:pPr>
              <w:jc w:val="right"/>
              <w:ind w:right="1175"/>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-993775</wp:posOffset>
            </wp:positionV>
            <wp:extent cx="36861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68617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-1353820</wp:posOffset>
            </wp:positionV>
            <wp:extent cx="5537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91" w:lineRule="exact"/>
        <w:rPr>
          <w:sz w:val="20"/>
          <w:szCs w:val="20"/>
          <w:color w:val="auto"/>
        </w:rPr>
      </w:pPr>
    </w:p>
    <w:p>
      <w:pPr>
        <w:ind w:left="1000" w:right="199"/>
        <w:spacing w:after="0" w:line="303" w:lineRule="auto"/>
        <w:rPr>
          <w:sz w:val="20"/>
          <w:szCs w:val="20"/>
          <w:color w:val="auto"/>
        </w:rPr>
      </w:pPr>
      <w:r>
        <w:rPr>
          <w:rFonts w:ascii="Arial" w:cs="Arial" w:eastAsia="Arial" w:hAnsi="Arial"/>
          <w:sz w:val="18"/>
          <w:szCs w:val="18"/>
          <w:b w:val="1"/>
          <w:bCs w:val="1"/>
          <w:color w:val="53C072"/>
        </w:rPr>
        <w:t xml:space="preserve">Results and Payout. </w:t>
      </w:r>
      <w:r>
        <w:rPr>
          <w:rFonts w:ascii="Arial" w:cs="Arial" w:eastAsia="Arial" w:hAnsi="Arial"/>
          <w:sz w:val="18"/>
          <w:szCs w:val="18"/>
          <w:color w:val="000000"/>
        </w:rPr>
        <w:t>For fiscal 2024, achievement of the financial performance goals and the percentages of</w:t>
      </w:r>
      <w:r>
        <w:rPr>
          <w:rFonts w:ascii="Arial" w:cs="Arial" w:eastAsia="Arial" w:hAnsi="Arial"/>
          <w:sz w:val="18"/>
          <w:szCs w:val="18"/>
          <w:b w:val="1"/>
          <w:bCs w:val="1"/>
          <w:color w:val="53C072"/>
        </w:rPr>
        <w:t xml:space="preserve"> </w:t>
      </w:r>
      <w:r>
        <w:rPr>
          <w:rFonts w:ascii="Arial" w:cs="Arial" w:eastAsia="Arial" w:hAnsi="Arial"/>
          <w:sz w:val="18"/>
          <w:szCs w:val="18"/>
          <w:color w:val="000000"/>
        </w:rPr>
        <w:t>target annual cash incentive earned with respect to the financial performance goals were as follows*:</w:t>
      </w:r>
    </w:p>
    <w:p>
      <w:pPr>
        <w:spacing w:after="0" w:line="13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32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Goal</w:t>
            </w:r>
          </w:p>
        </w:tc>
        <w:tc>
          <w:tcPr>
            <w:tcW w:w="1160" w:type="dxa"/>
            <w:vAlign w:val="bottom"/>
            <w:shd w:val="clear" w:color="auto" w:fill="53C072"/>
          </w:tcPr>
          <w:p>
            <w:pPr>
              <w:ind w:left="480"/>
              <w:spacing w:after="0"/>
              <w:rPr>
                <w:sz w:val="20"/>
                <w:szCs w:val="20"/>
                <w:color w:val="auto"/>
              </w:rPr>
            </w:pPr>
            <w:r>
              <w:rPr>
                <w:rFonts w:ascii="Arial" w:cs="Arial" w:eastAsia="Arial" w:hAnsi="Arial"/>
                <w:sz w:val="14"/>
                <w:szCs w:val="14"/>
                <w:b w:val="1"/>
                <w:bCs w:val="1"/>
                <w:color w:val="FEFEFE"/>
                <w:w w:val="97"/>
              </w:rPr>
              <w:t>Weighting</w:t>
            </w:r>
          </w:p>
        </w:tc>
        <w:tc>
          <w:tcPr>
            <w:tcW w:w="140" w:type="dxa"/>
            <w:vAlign w:val="bottom"/>
            <w:shd w:val="clear" w:color="auto" w:fill="53C072"/>
          </w:tcPr>
          <w:p>
            <w:pPr>
              <w:spacing w:after="0"/>
              <w:rPr>
                <w:sz w:val="19"/>
                <w:szCs w:val="19"/>
                <w:color w:val="auto"/>
              </w:rPr>
            </w:pPr>
          </w:p>
        </w:tc>
        <w:tc>
          <w:tcPr>
            <w:tcW w:w="1040" w:type="dxa"/>
            <w:vAlign w:val="bottom"/>
            <w:shd w:val="clear" w:color="auto" w:fill="53C072"/>
          </w:tcPr>
          <w:p>
            <w:pPr>
              <w:ind w:left="500"/>
              <w:spacing w:after="0"/>
              <w:rPr>
                <w:sz w:val="20"/>
                <w:szCs w:val="20"/>
                <w:color w:val="auto"/>
              </w:rPr>
            </w:pPr>
            <w:r>
              <w:rPr>
                <w:rFonts w:ascii="Arial" w:cs="Arial" w:eastAsia="Arial" w:hAnsi="Arial"/>
                <w:sz w:val="14"/>
                <w:szCs w:val="14"/>
                <w:b w:val="1"/>
                <w:bCs w:val="1"/>
                <w:color w:val="FEFEFE"/>
              </w:rPr>
              <w:t>Target</w:t>
            </w:r>
          </w:p>
        </w:tc>
        <w:tc>
          <w:tcPr>
            <w:tcW w:w="880" w:type="dxa"/>
            <w:vAlign w:val="bottom"/>
            <w:shd w:val="clear" w:color="auto" w:fill="53C072"/>
          </w:tcPr>
          <w:p>
            <w:pPr>
              <w:jc w:val="right"/>
              <w:ind w:right="35"/>
              <w:spacing w:after="0"/>
              <w:rPr>
                <w:sz w:val="20"/>
                <w:szCs w:val="20"/>
                <w:color w:val="auto"/>
              </w:rPr>
            </w:pPr>
            <w:r>
              <w:rPr>
                <w:rFonts w:ascii="Arial" w:cs="Arial" w:eastAsia="Arial" w:hAnsi="Arial"/>
                <w:sz w:val="14"/>
                <w:szCs w:val="14"/>
                <w:b w:val="1"/>
                <w:bCs w:val="1"/>
                <w:color w:val="FEFEFE"/>
              </w:rPr>
              <w:t>Actual</w:t>
            </w:r>
          </w:p>
        </w:tc>
        <w:tc>
          <w:tcPr>
            <w:tcW w:w="1580" w:type="dxa"/>
            <w:vAlign w:val="bottom"/>
            <w:shd w:val="clear" w:color="auto" w:fill="53C072"/>
          </w:tcPr>
          <w:p>
            <w:pPr>
              <w:ind w:left="140"/>
              <w:spacing w:after="0"/>
              <w:rPr>
                <w:sz w:val="20"/>
                <w:szCs w:val="20"/>
                <w:color w:val="auto"/>
              </w:rPr>
            </w:pPr>
            <w:r>
              <w:rPr>
                <w:rFonts w:ascii="Arial" w:cs="Arial" w:eastAsia="Arial" w:hAnsi="Arial"/>
                <w:sz w:val="14"/>
                <w:szCs w:val="14"/>
                <w:b w:val="1"/>
                <w:bCs w:val="1"/>
                <w:color w:val="FEFEFE"/>
                <w:w w:val="99"/>
              </w:rPr>
              <w:t>% of Target Achieved</w:t>
            </w:r>
          </w:p>
        </w:tc>
        <w:tc>
          <w:tcPr>
            <w:tcW w:w="140" w:type="dxa"/>
            <w:vAlign w:val="bottom"/>
            <w:shd w:val="clear" w:color="auto" w:fill="53C072"/>
          </w:tcPr>
          <w:p>
            <w:pPr>
              <w:spacing w:after="0"/>
              <w:rPr>
                <w:sz w:val="19"/>
                <w:szCs w:val="19"/>
                <w:color w:val="auto"/>
              </w:rPr>
            </w:pPr>
          </w:p>
        </w:tc>
        <w:tc>
          <w:tcPr>
            <w:tcW w:w="138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Payout % of Target</w:t>
            </w:r>
          </w:p>
        </w:tc>
        <w:tc>
          <w:tcPr>
            <w:tcW w:w="120" w:type="dxa"/>
            <w:vAlign w:val="bottom"/>
            <w:shd w:val="clear" w:color="auto" w:fill="53C072"/>
          </w:tcPr>
          <w:p>
            <w:pPr>
              <w:spacing w:after="0"/>
              <w:rPr>
                <w:sz w:val="19"/>
                <w:szCs w:val="19"/>
                <w:color w:val="auto"/>
              </w:rPr>
            </w:pPr>
          </w:p>
        </w:tc>
      </w:tr>
      <w:tr>
        <w:trPr>
          <w:trHeight w:val="283"/>
        </w:trPr>
        <w:tc>
          <w:tcPr>
            <w:tcW w:w="2320" w:type="dxa"/>
            <w:vAlign w:val="bottom"/>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Adjusted OI$</w:t>
            </w:r>
            <w:r>
              <w:rPr>
                <w:rFonts w:ascii="Arial" w:cs="Arial" w:eastAsia="Arial" w:hAnsi="Arial"/>
                <w:sz w:val="21"/>
                <w:szCs w:val="21"/>
                <w:color w:val="auto"/>
                <w:vertAlign w:val="superscript"/>
              </w:rPr>
              <w:t>(1)</w:t>
            </w:r>
          </w:p>
        </w:tc>
        <w:tc>
          <w:tcPr>
            <w:tcW w:w="1160" w:type="dxa"/>
            <w:vAlign w:val="bottom"/>
          </w:tcPr>
          <w:p>
            <w:pPr>
              <w:ind w:left="70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$1,297.7M</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$917.8</w:t>
            </w:r>
          </w:p>
        </w:tc>
        <w:tc>
          <w:tcPr>
            <w:tcW w:w="1580" w:type="dxa"/>
            <w:vAlign w:val="bottom"/>
          </w:tcPr>
          <w:p>
            <w:pPr>
              <w:ind w:left="600"/>
              <w:spacing w:after="0"/>
              <w:rPr>
                <w:sz w:val="20"/>
                <w:szCs w:val="20"/>
                <w:color w:val="auto"/>
              </w:rPr>
            </w:pPr>
            <w:r>
              <w:rPr>
                <w:rFonts w:ascii="Arial" w:cs="Arial" w:eastAsia="Arial" w:hAnsi="Arial"/>
                <w:sz w:val="18"/>
                <w:szCs w:val="18"/>
                <w:color w:val="auto"/>
              </w:rPr>
              <w:t>​70.72%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283"/>
        </w:trPr>
        <w:tc>
          <w:tcPr>
            <w:tcW w:w="2320" w:type="dxa"/>
            <w:vAlign w:val="bottom"/>
            <w:shd w:val="clear" w:color="auto" w:fill="CBECD5"/>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ROWC</w:t>
            </w:r>
            <w:r>
              <w:rPr>
                <w:rFonts w:ascii="Arial" w:cs="Arial" w:eastAsia="Arial" w:hAnsi="Arial"/>
                <w:sz w:val="21"/>
                <w:szCs w:val="21"/>
                <w:color w:val="auto"/>
                <w:vertAlign w:val="superscript"/>
              </w:rPr>
              <w:t>(1)</w:t>
            </w:r>
          </w:p>
        </w:tc>
        <w:tc>
          <w:tcPr>
            <w:tcW w:w="1160" w:type="dxa"/>
            <w:vAlign w:val="bottom"/>
            <w:shd w:val="clear" w:color="auto" w:fill="CBECD5"/>
          </w:tcPr>
          <w:p>
            <w:pPr>
              <w:ind w:left="70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BECD5"/>
          </w:tcPr>
          <w:p>
            <w:pPr>
              <w:jc w:val="right"/>
              <w:ind w:right="135"/>
              <w:spacing w:after="0"/>
              <w:rPr>
                <w:sz w:val="20"/>
                <w:szCs w:val="20"/>
                <w:color w:val="auto"/>
              </w:rPr>
            </w:pPr>
            <w:r>
              <w:rPr>
                <w:rFonts w:ascii="Arial" w:cs="Arial" w:eastAsia="Arial" w:hAnsi="Arial"/>
                <w:sz w:val="18"/>
                <w:szCs w:val="18"/>
                <w:color w:val="auto"/>
              </w:rPr>
              <w:t>18.94%</w:t>
            </w:r>
          </w:p>
        </w:tc>
        <w:tc>
          <w:tcPr>
            <w:tcW w:w="880" w:type="dxa"/>
            <w:vAlign w:val="bottom"/>
            <w:shd w:val="clear" w:color="auto" w:fill="CBECD5"/>
          </w:tcPr>
          <w:p>
            <w:pPr>
              <w:jc w:val="right"/>
              <w:ind w:right="55"/>
              <w:spacing w:after="0"/>
              <w:rPr>
                <w:sz w:val="20"/>
                <w:szCs w:val="20"/>
                <w:color w:val="auto"/>
              </w:rPr>
            </w:pPr>
            <w:r>
              <w:rPr>
                <w:rFonts w:ascii="Arial" w:cs="Arial" w:eastAsia="Arial" w:hAnsi="Arial"/>
                <w:sz w:val="18"/>
                <w:szCs w:val="18"/>
                <w:color w:val="auto"/>
              </w:rPr>
              <w:t>13.14%</w:t>
            </w:r>
          </w:p>
        </w:tc>
        <w:tc>
          <w:tcPr>
            <w:tcW w:w="1580" w:type="dxa"/>
            <w:vAlign w:val="bottom"/>
            <w:shd w:val="clear" w:color="auto" w:fill="CBECD5"/>
          </w:tcPr>
          <w:p>
            <w:pPr>
              <w:ind w:left="600"/>
              <w:spacing w:after="0"/>
              <w:rPr>
                <w:sz w:val="20"/>
                <w:szCs w:val="20"/>
                <w:color w:val="auto"/>
              </w:rPr>
            </w:pPr>
            <w:r>
              <w:rPr>
                <w:rFonts w:ascii="Arial" w:cs="Arial" w:eastAsia="Arial" w:hAnsi="Arial"/>
                <w:sz w:val="18"/>
                <w:szCs w:val="18"/>
                <w:color w:val="auto"/>
              </w:rPr>
              <w:t>​69.35%</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BECD5"/>
          </w:tcPr>
          <w:p>
            <w:pPr>
              <w:ind w:lef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ind w:right="23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r>
      <w:tr>
        <w:trPr>
          <w:trHeight w:val="290"/>
        </w:trPr>
        <w:tc>
          <w:tcPr>
            <w:tcW w:w="2320" w:type="dxa"/>
            <w:vAlign w:val="bottom"/>
            <w:tcBorders>
              <w:bottom w:val="single" w:sz="8" w:color="53C072"/>
            </w:tcBorders>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Relative Market Share</w:t>
            </w:r>
          </w:p>
        </w:tc>
        <w:tc>
          <w:tcPr>
            <w:tcW w:w="1160" w:type="dxa"/>
            <w:vAlign w:val="bottom"/>
            <w:tcBorders>
              <w:bottom w:val="single" w:sz="8" w:color="53C072"/>
            </w:tcBorders>
          </w:tcPr>
          <w:p>
            <w:pPr>
              <w:ind w:left="7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20%</w:t>
            </w:r>
          </w:p>
        </w:tc>
        <w:tc>
          <w:tcPr>
            <w:tcW w:w="14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53C072"/>
            </w:tcBorders>
          </w:tcPr>
          <w:p>
            <w:pPr>
              <w:ind w:left="240"/>
              <w:spacing w:after="0"/>
              <w:rPr>
                <w:sz w:val="20"/>
                <w:szCs w:val="20"/>
                <w:color w:val="auto"/>
              </w:rPr>
            </w:pPr>
            <w:r>
              <w:rPr>
                <w:rFonts w:ascii="Arial" w:cs="Arial" w:eastAsia="Arial" w:hAnsi="Arial"/>
                <w:sz w:val="18"/>
                <w:szCs w:val="18"/>
                <w:color w:val="auto"/>
              </w:rPr>
              <w:t>50 bps</w:t>
            </w:r>
          </w:p>
        </w:tc>
        <w:tc>
          <w:tcPr>
            <w:tcW w:w="880" w:type="dxa"/>
            <w:vAlign w:val="bottom"/>
            <w:tcBorders>
              <w:bottom w:val="single" w:sz="8" w:color="53C072"/>
            </w:tcBorders>
          </w:tcPr>
          <w:p>
            <w:pPr>
              <w:jc w:val="right"/>
              <w:ind w:right="35"/>
              <w:spacing w:after="0"/>
              <w:rPr>
                <w:sz w:val="20"/>
                <w:szCs w:val="20"/>
                <w:color w:val="auto"/>
              </w:rPr>
            </w:pPr>
            <w:r>
              <w:rPr>
                <w:rFonts w:ascii="Arial" w:cs="Arial" w:eastAsia="Arial" w:hAnsi="Arial"/>
                <w:sz w:val="18"/>
                <w:szCs w:val="18"/>
                <w:color w:val="auto"/>
              </w:rPr>
              <w:t>958 bps</w:t>
            </w:r>
          </w:p>
        </w:tc>
        <w:tc>
          <w:tcPr>
            <w:tcW w:w="1580" w:type="dxa"/>
            <w:vAlign w:val="bottom"/>
            <w:tcBorders>
              <w:bottom w:val="single" w:sz="8" w:color="53C072"/>
            </w:tcBorders>
          </w:tcPr>
          <w:p>
            <w:pPr>
              <w:ind w:left="6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NA</w:t>
            </w:r>
          </w:p>
        </w:tc>
        <w:tc>
          <w:tcPr>
            <w:tcW w:w="14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53C072"/>
            </w:tcBorders>
            <w:gridSpan w:val="2"/>
          </w:tcPr>
          <w:p>
            <w:pPr>
              <w:jc w:val="right"/>
              <w:ind w:right="23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200%</w:t>
            </w:r>
          </w:p>
        </w:tc>
        <w:tc>
          <w:tcPr>
            <w:tcW w:w="12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r>
    </w:tbl>
    <w:p>
      <w:pPr>
        <w:spacing w:after="0" w:line="62" w:lineRule="exact"/>
        <w:rPr>
          <w:sz w:val="20"/>
          <w:szCs w:val="20"/>
          <w:color w:val="auto"/>
        </w:rPr>
      </w:pPr>
    </w:p>
    <w:p>
      <w:pPr>
        <w:ind w:left="1460" w:right="199" w:hanging="362"/>
        <w:spacing w:after="0" w:line="291" w:lineRule="auto"/>
        <w:tabs>
          <w:tab w:leader="none" w:pos="1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non-GAAP measures to the most directly comparable GAAP measures. For additional information regarding the fiscal 2024 performance of the Company, please refer to the Company’s Annual Report on Form 10-K for the year ended June 29, 2024.</w:t>
      </w:r>
    </w:p>
    <w:p>
      <w:pPr>
        <w:spacing w:after="0" w:line="112" w:lineRule="exact"/>
        <w:rPr>
          <w:sz w:val="20"/>
          <w:szCs w:val="20"/>
          <w:color w:val="auto"/>
        </w:rPr>
      </w:pPr>
    </w:p>
    <w:p>
      <w:pPr>
        <w:jc w:val="both"/>
        <w:ind w:left="1460" w:right="499" w:hanging="362"/>
        <w:spacing w:after="0" w:line="268" w:lineRule="auto"/>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eliminate variances due to changes in foreign currency exchange rates, the actual results for fiscal 2024 have been restated to be consistent with the budgeted foreign currency exchange rates used in developing the performance goals.</w:t>
      </w:r>
    </w:p>
    <w:p>
      <w:pPr>
        <w:spacing w:after="0" w:line="90" w:lineRule="exact"/>
        <w:rPr>
          <w:sz w:val="20"/>
          <w:szCs w:val="20"/>
          <w:color w:val="auto"/>
        </w:rPr>
      </w:pPr>
    </w:p>
    <w:p>
      <w:pPr>
        <w:ind w:left="1000" w:right="199"/>
        <w:spacing w:after="0" w:line="273" w:lineRule="auto"/>
        <w:rPr>
          <w:sz w:val="20"/>
          <w:szCs w:val="20"/>
          <w:color w:val="auto"/>
        </w:rPr>
      </w:pPr>
      <w:r>
        <w:rPr>
          <w:rFonts w:ascii="Arial" w:cs="Arial" w:eastAsia="Arial" w:hAnsi="Arial"/>
          <w:sz w:val="18"/>
          <w:szCs w:val="18"/>
          <w:color w:val="auto"/>
        </w:rPr>
        <w:t>The combination of the Adjusted OI$, ROWC, and Relative Market Share performance resulted in a total financial performance of 40% of target. The financial incentive payout delivered to participants was 32% of their total short-term incentive target, after applying the 80% weighting referenced above. The Audit Committee reviewed the FY24 short-term incentive calculations at their August 15, 2024 meeting.</w:t>
      </w:r>
    </w:p>
    <w:p>
      <w:pPr>
        <w:spacing w:after="0" w:line="98" w:lineRule="exact"/>
        <w:rPr>
          <w:sz w:val="20"/>
          <w:szCs w:val="20"/>
          <w:color w:val="auto"/>
        </w:rPr>
      </w:pPr>
    </w:p>
    <w:p>
      <w:pPr>
        <w:jc w:val="both"/>
        <w:ind w:left="1000" w:right="399"/>
        <w:spacing w:after="0" w:line="284" w:lineRule="auto"/>
        <w:rPr>
          <w:sz w:val="20"/>
          <w:szCs w:val="20"/>
          <w:color w:val="auto"/>
        </w:rPr>
      </w:pPr>
      <w:r>
        <w:rPr>
          <w:rFonts w:ascii="Arial" w:cs="Arial" w:eastAsia="Arial" w:hAnsi="Arial"/>
          <w:sz w:val="18"/>
          <w:szCs w:val="18"/>
          <w:color w:val="auto"/>
        </w:rPr>
        <w:t>For fiscal 2024, achievement of the non-financial performance goals (weighted 20%) and the percentages of target annual cash incentive earned and approved by the Committee, or Board with respect to the CEO, with respect to the non-financial goals were as follows:</w:t>
      </w:r>
    </w:p>
    <w:p>
      <w:pPr>
        <w:spacing w:after="0" w:line="148" w:lineRule="exact"/>
        <w:rPr>
          <w:sz w:val="20"/>
          <w:szCs w:val="20"/>
          <w:color w:val="auto"/>
        </w:rPr>
      </w:pPr>
    </w:p>
    <w:tbl>
      <w:tblPr>
        <w:tblLayout w:type="fixed"/>
        <w:tblInd w:w="990" w:type="dxa"/>
        <w:tblCellMar>
          <w:top w:w="0" w:type="dxa"/>
          <w:left w:w="0" w:type="dxa"/>
          <w:bottom w:w="0" w:type="dxa"/>
          <w:right w:w="0" w:type="dxa"/>
        </w:tblCellMar>
      </w:tblPr>
      <w:tr>
        <w:trPr>
          <w:trHeight w:val="310"/>
        </w:trPr>
        <w:tc>
          <w:tcPr>
            <w:tcW w:w="220" w:type="dxa"/>
            <w:vAlign w:val="bottom"/>
            <w:tcBorders>
              <w:left w:val="single" w:sz="8" w:color="53C072"/>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w:t>
            </w:r>
          </w:p>
        </w:tc>
        <w:tc>
          <w:tcPr>
            <w:tcW w:w="2160" w:type="dxa"/>
            <w:vAlign w:val="bottom"/>
            <w:shd w:val="clear" w:color="auto" w:fill="53C072"/>
          </w:tcPr>
          <w:p>
            <w:pPr>
              <w:spacing w:after="0"/>
              <w:rPr>
                <w:sz w:val="24"/>
                <w:szCs w:val="24"/>
                <w:color w:val="auto"/>
              </w:rPr>
            </w:pPr>
          </w:p>
        </w:tc>
        <w:tc>
          <w:tcPr>
            <w:tcW w:w="4000" w:type="dxa"/>
            <w:vAlign w:val="bottom"/>
            <w:gridSpan w:val="2"/>
            <w:shd w:val="clear" w:color="auto" w:fill="53C072"/>
          </w:tcPr>
          <w:p>
            <w:pPr>
              <w:ind w:left="1380"/>
              <w:spacing w:after="0"/>
              <w:rPr>
                <w:sz w:val="20"/>
                <w:szCs w:val="20"/>
                <w:color w:val="auto"/>
              </w:rPr>
            </w:pPr>
            <w:r>
              <w:rPr>
                <w:rFonts w:ascii="Arial" w:cs="Arial" w:eastAsia="Arial" w:hAnsi="Arial"/>
                <w:sz w:val="14"/>
                <w:szCs w:val="14"/>
                <w:b w:val="1"/>
                <w:bCs w:val="1"/>
                <w:color w:val="FEFEFE"/>
              </w:rPr>
              <w:t>Non-Financial Goals</w:t>
            </w:r>
          </w:p>
        </w:tc>
        <w:tc>
          <w:tcPr>
            <w:tcW w:w="720" w:type="dxa"/>
            <w:vAlign w:val="bottom"/>
            <w:shd w:val="clear" w:color="auto" w:fill="53C072"/>
          </w:tcPr>
          <w:p>
            <w:pPr>
              <w:spacing w:after="0"/>
              <w:rPr>
                <w:sz w:val="24"/>
                <w:szCs w:val="24"/>
                <w:color w:val="auto"/>
              </w:rPr>
            </w:pPr>
          </w:p>
        </w:tc>
        <w:tc>
          <w:tcPr>
            <w:tcW w:w="200" w:type="dxa"/>
            <w:vAlign w:val="bottom"/>
            <w:tcBorders>
              <w:right w:val="single" w:sz="8" w:color="53C072"/>
            </w:tcBorders>
            <w:shd w:val="clear" w:color="auto" w:fill="53C072"/>
          </w:tcPr>
          <w:p>
            <w:pPr>
              <w:spacing w:after="0"/>
              <w:rPr>
                <w:sz w:val="24"/>
                <w:szCs w:val="24"/>
                <w:color w:val="auto"/>
              </w:rPr>
            </w:pPr>
          </w:p>
        </w:tc>
        <w:tc>
          <w:tcPr>
            <w:tcW w:w="360" w:type="dxa"/>
            <w:vAlign w:val="bottom"/>
            <w:shd w:val="clear" w:color="auto" w:fill="53C072"/>
          </w:tcPr>
          <w:p>
            <w:pPr>
              <w:spacing w:after="0"/>
              <w:rPr>
                <w:sz w:val="24"/>
                <w:szCs w:val="24"/>
                <w:color w:val="auto"/>
              </w:rPr>
            </w:pPr>
          </w:p>
        </w:tc>
        <w:tc>
          <w:tcPr>
            <w:tcW w:w="1020" w:type="dxa"/>
            <w:vAlign w:val="bottom"/>
            <w:shd w:val="clear" w:color="auto" w:fill="53C072"/>
          </w:tcPr>
          <w:p>
            <w:pPr>
              <w:spacing w:after="0"/>
              <w:rPr>
                <w:sz w:val="24"/>
                <w:szCs w:val="24"/>
                <w:color w:val="auto"/>
              </w:rPr>
            </w:pPr>
          </w:p>
        </w:tc>
        <w:tc>
          <w:tcPr>
            <w:tcW w:w="80" w:type="dxa"/>
            <w:vAlign w:val="bottom"/>
            <w:tcBorders>
              <w:right w:val="single" w:sz="8" w:color="53C072"/>
            </w:tcBorders>
            <w:shd w:val="clear" w:color="auto" w:fill="53C072"/>
          </w:tcPr>
          <w:p>
            <w:pPr>
              <w:spacing w:after="0"/>
              <w:rPr>
                <w:sz w:val="24"/>
                <w:szCs w:val="24"/>
                <w:color w:val="auto"/>
              </w:rPr>
            </w:pPr>
          </w:p>
        </w:tc>
      </w:tr>
      <w:tr>
        <w:trPr>
          <w:trHeight w:val="256"/>
        </w:trPr>
        <w:tc>
          <w:tcPr>
            <w:tcW w:w="220" w:type="dxa"/>
            <w:vAlign w:val="bottom"/>
            <w:tcBorders>
              <w:left w:val="single" w:sz="8" w:color="53C072"/>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w:t>
            </w:r>
          </w:p>
        </w:tc>
        <w:tc>
          <w:tcPr>
            <w:tcW w:w="216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NEO</w:t>
            </w:r>
          </w:p>
        </w:tc>
        <w:tc>
          <w:tcPr>
            <w:tcW w:w="6300" w:type="dxa"/>
            <w:vAlign w:val="bottom"/>
            <w:gridSpan w:val="6"/>
            <w:shd w:val="clear" w:color="auto" w:fill="53C072"/>
          </w:tcPr>
          <w:p>
            <w:pPr>
              <w:ind w:left="3680"/>
              <w:spacing w:after="0" w:line="257" w:lineRule="exact"/>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Achievement </w:t>
            </w: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Payout % of Target</w:t>
            </w:r>
          </w:p>
        </w:tc>
        <w:tc>
          <w:tcPr>
            <w:tcW w:w="80" w:type="dxa"/>
            <w:vAlign w:val="bottom"/>
            <w:tcBorders>
              <w:right w:val="single" w:sz="8" w:color="53C072"/>
            </w:tcBorders>
            <w:shd w:val="clear" w:color="auto" w:fill="53C072"/>
          </w:tcPr>
          <w:p>
            <w:pPr>
              <w:spacing w:after="0"/>
              <w:rPr>
                <w:sz w:val="22"/>
                <w:szCs w:val="22"/>
                <w:color w:val="auto"/>
              </w:rPr>
            </w:pPr>
          </w:p>
        </w:tc>
      </w:tr>
      <w:tr>
        <w:trPr>
          <w:trHeight w:val="284"/>
        </w:trPr>
        <w:tc>
          <w:tcPr>
            <w:tcW w:w="2380" w:type="dxa"/>
            <w:vAlign w:val="bottom"/>
            <w:tcBorders>
              <w:left w:val="single" w:sz="8" w:color="53C072"/>
              <w:bottom w:val="single" w:sz="8" w:color="53C072"/>
            </w:tcBorders>
            <w:gridSpan w:val="2"/>
          </w:tcPr>
          <w:p>
            <w:pPr>
              <w:ind w:left="1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Gallagher</w:t>
            </w:r>
          </w:p>
        </w:tc>
        <w:tc>
          <w:tcPr>
            <w:tcW w:w="3760" w:type="dxa"/>
            <w:vAlign w:val="bottom"/>
            <w:tcBorders>
              <w:bottom w:val="single" w:sz="8" w:color="53C072"/>
              <w:right w:val="single" w:sz="8" w:color="53C072"/>
            </w:tcBorders>
          </w:tcPr>
          <w:p>
            <w:pPr>
              <w:ind w:left="3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53C072"/>
            </w:tcBorders>
          </w:tcPr>
          <w:p>
            <w:pPr>
              <w:ind w:left="1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3"/>
        </w:trPr>
        <w:tc>
          <w:tcPr>
            <w:tcW w:w="2380" w:type="dxa"/>
            <w:vAlign w:val="bottom"/>
            <w:tcBorders>
              <w:left w:val="single" w:sz="8" w:color="53C072"/>
              <w:bottom w:val="single" w:sz="8" w:color="53C072"/>
            </w:tcBorders>
            <w:gridSpan w:val="2"/>
          </w:tcPr>
          <w:p>
            <w:pPr>
              <w:ind w:left="1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Jacobson</w:t>
            </w:r>
          </w:p>
        </w:tc>
        <w:tc>
          <w:tcPr>
            <w:tcW w:w="3760" w:type="dxa"/>
            <w:vAlign w:val="bottom"/>
            <w:tcBorders>
              <w:bottom w:val="single" w:sz="8" w:color="53C072"/>
              <w:right w:val="single" w:sz="8" w:color="53C072"/>
            </w:tcBorders>
          </w:tcPr>
          <w:p>
            <w:pPr>
              <w:ind w:left="3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53C072"/>
            </w:tcBorders>
          </w:tcPr>
          <w:p>
            <w:pPr>
              <w:ind w:left="1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3"/>
        </w:trPr>
        <w:tc>
          <w:tcPr>
            <w:tcW w:w="2380" w:type="dxa"/>
            <w:vAlign w:val="bottom"/>
            <w:tcBorders>
              <w:left w:val="single" w:sz="8" w:color="53C072"/>
              <w:bottom w:val="single" w:sz="8" w:color="53C072"/>
            </w:tcBorders>
            <w:gridSpan w:val="2"/>
          </w:tcPr>
          <w:p>
            <w:pPr>
              <w:ind w:left="1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Arnold</w:t>
            </w:r>
          </w:p>
        </w:tc>
        <w:tc>
          <w:tcPr>
            <w:tcW w:w="3760" w:type="dxa"/>
            <w:vAlign w:val="bottom"/>
            <w:tcBorders>
              <w:bottom w:val="single" w:sz="8" w:color="53C072"/>
              <w:right w:val="single" w:sz="8" w:color="53C072"/>
            </w:tcBorders>
          </w:tcPr>
          <w:p>
            <w:pPr>
              <w:ind w:left="3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53C072"/>
            </w:tcBorders>
          </w:tcPr>
          <w:p>
            <w:pPr>
              <w:ind w:left="1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4"/>
        </w:trPr>
        <w:tc>
          <w:tcPr>
            <w:tcW w:w="2380" w:type="dxa"/>
            <w:vAlign w:val="bottom"/>
            <w:tcBorders>
              <w:left w:val="single" w:sz="8" w:color="53C072"/>
              <w:bottom w:val="single" w:sz="8" w:color="53C072"/>
            </w:tcBorders>
            <w:gridSpan w:val="2"/>
          </w:tcPr>
          <w:p>
            <w:pPr>
              <w:ind w:left="1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Chan</w:t>
            </w:r>
          </w:p>
        </w:tc>
        <w:tc>
          <w:tcPr>
            <w:tcW w:w="3760" w:type="dxa"/>
            <w:vAlign w:val="bottom"/>
            <w:tcBorders>
              <w:bottom w:val="single" w:sz="8" w:color="53C072"/>
              <w:right w:val="single" w:sz="8" w:color="53C072"/>
            </w:tcBorders>
          </w:tcPr>
          <w:p>
            <w:pPr>
              <w:ind w:left="3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53C072"/>
            </w:tcBorders>
          </w:tcPr>
          <w:p>
            <w:pPr>
              <w:ind w:left="1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r>
        <w:trPr>
          <w:trHeight w:val="263"/>
        </w:trPr>
        <w:tc>
          <w:tcPr>
            <w:tcW w:w="2380" w:type="dxa"/>
            <w:vAlign w:val="bottom"/>
            <w:tcBorders>
              <w:left w:val="single" w:sz="8" w:color="53C072"/>
              <w:bottom w:val="single" w:sz="8" w:color="53C072"/>
            </w:tcBorders>
            <w:gridSpan w:val="2"/>
          </w:tcPr>
          <w:p>
            <w:pPr>
              <w:ind w:left="1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McCoy</w:t>
            </w:r>
          </w:p>
        </w:tc>
        <w:tc>
          <w:tcPr>
            <w:tcW w:w="3760" w:type="dxa"/>
            <w:vAlign w:val="bottom"/>
            <w:tcBorders>
              <w:bottom w:val="single" w:sz="8" w:color="53C072"/>
              <w:right w:val="single" w:sz="8" w:color="53C072"/>
            </w:tcBorders>
          </w:tcPr>
          <w:p>
            <w:pPr>
              <w:ind w:left="3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53C072"/>
            </w:tcBorders>
          </w:tcPr>
          <w:p>
            <w:pPr>
              <w:ind w:left="1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200" w:type="dxa"/>
            <w:vAlign w:val="bottom"/>
            <w:tcBorders>
              <w:bottom w:val="single" w:sz="8" w:color="53C072"/>
              <w:right w:val="single" w:sz="8" w:color="53C072"/>
            </w:tcBorders>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-908050</wp:posOffset>
            </wp:positionV>
            <wp:extent cx="55378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3783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-1070610</wp:posOffset>
            </wp:positionV>
            <wp:extent cx="5537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10" w:lineRule="exact"/>
        <w:rPr>
          <w:sz w:val="20"/>
          <w:szCs w:val="20"/>
          <w:color w:val="auto"/>
        </w:rPr>
      </w:pPr>
    </w:p>
    <w:p>
      <w:pPr>
        <w:jc w:val="both"/>
        <w:ind w:left="1000" w:right="239"/>
        <w:spacing w:after="0" w:line="284" w:lineRule="auto"/>
        <w:rPr>
          <w:sz w:val="20"/>
          <w:szCs w:val="20"/>
          <w:color w:val="auto"/>
        </w:rPr>
      </w:pPr>
      <w:r>
        <w:rPr>
          <w:rFonts w:ascii="Arial" w:cs="Arial" w:eastAsia="Arial" w:hAnsi="Arial"/>
          <w:sz w:val="18"/>
          <w:szCs w:val="18"/>
          <w:color w:val="auto"/>
        </w:rPr>
        <w:t>Based on achieving both the financial and the non-financial performance goals, the total incentive payout was 52% of target for all the NEOs. The below table reflects the achievement of the goals and the total annual cash incentive payout for each NEO.</w:t>
      </w:r>
    </w:p>
    <w:p>
      <w:pPr>
        <w:spacing w:after="0" w:line="28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50     </w:t>
      </w:r>
      <w:r>
        <w:rPr>
          <w:sz w:val="1"/>
          <w:szCs w:val="1"/>
          <w:color w:val="auto"/>
        </w:rPr>
        <w:drawing>
          <wp:inline distT="0" distB="0" distL="0" distR="0">
            <wp:extent cx="1242695" cy="24003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81" w:lineRule="exact"/>
        <w:rPr>
          <w:sz w:val="20"/>
          <w:szCs w:val="20"/>
          <w:color w:val="auto"/>
        </w:rPr>
      </w:pPr>
    </w:p>
    <w:tbl>
      <w:tblPr>
        <w:tblLayout w:type="fixed"/>
        <w:tblInd w:w="1000" w:type="dxa"/>
        <w:tblCellMar>
          <w:top w:w="0" w:type="dxa"/>
          <w:left w:w="0" w:type="dxa"/>
          <w:bottom w:w="0" w:type="dxa"/>
          <w:right w:w="0" w:type="dxa"/>
        </w:tblCellMar>
      </w:tblPr>
      <w:tr>
        <w:trPr>
          <w:trHeight w:val="196"/>
        </w:trPr>
        <w:tc>
          <w:tcPr>
            <w:tcW w:w="3820" w:type="dxa"/>
            <w:vAlign w:val="bottom"/>
          </w:tcPr>
          <w:p>
            <w:pPr>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tbl>
      <w:tblPr>
        <w:tblLayout w:type="fixed"/>
        <w:tblInd w:w="980" w:type="dxa"/>
        <w:tblCellMar>
          <w:top w:w="0" w:type="dxa"/>
          <w:left w:w="0" w:type="dxa"/>
          <w:bottom w:w="0" w:type="dxa"/>
          <w:right w:w="0" w:type="dxa"/>
        </w:tblCellMar>
      </w:tblPr>
      <w:tr>
        <w:trPr>
          <w:trHeight w:val="268"/>
        </w:trPr>
        <w:tc>
          <w:tcPr>
            <w:tcW w:w="1920" w:type="dxa"/>
            <w:vAlign w:val="bottom"/>
            <w:shd w:val="clear" w:color="auto" w:fill="53C072"/>
          </w:tcPr>
          <w:p>
            <w:pPr>
              <w:spacing w:after="0"/>
              <w:rPr>
                <w:sz w:val="23"/>
                <w:szCs w:val="23"/>
                <w:color w:val="auto"/>
              </w:rPr>
            </w:pPr>
          </w:p>
        </w:tc>
        <w:tc>
          <w:tcPr>
            <w:tcW w:w="300" w:type="dxa"/>
            <w:vAlign w:val="bottom"/>
            <w:shd w:val="clear" w:color="auto" w:fill="53C072"/>
          </w:tcPr>
          <w:p>
            <w:pPr>
              <w:spacing w:after="0"/>
              <w:rPr>
                <w:sz w:val="23"/>
                <w:szCs w:val="23"/>
                <w:color w:val="auto"/>
              </w:rPr>
            </w:pPr>
          </w:p>
        </w:tc>
        <w:tc>
          <w:tcPr>
            <w:tcW w:w="820" w:type="dxa"/>
            <w:vAlign w:val="bottom"/>
            <w:shd w:val="clear" w:color="auto" w:fill="53C072"/>
          </w:tcPr>
          <w:p>
            <w:pPr>
              <w:spacing w:after="0"/>
              <w:rPr>
                <w:sz w:val="23"/>
                <w:szCs w:val="23"/>
                <w:color w:val="auto"/>
              </w:rPr>
            </w:pPr>
          </w:p>
        </w:tc>
        <w:tc>
          <w:tcPr>
            <w:tcW w:w="3960" w:type="dxa"/>
            <w:vAlign w:val="bottom"/>
            <w:gridSpan w:val="13"/>
            <w:shd w:val="clear" w:color="auto" w:fill="53C072"/>
          </w:tcPr>
          <w:p>
            <w:pPr>
              <w:ind w:left="680"/>
              <w:spacing w:after="0"/>
              <w:rPr>
                <w:sz w:val="20"/>
                <w:szCs w:val="20"/>
                <w:color w:val="auto"/>
              </w:rPr>
            </w:pPr>
            <w:r>
              <w:rPr>
                <w:rFonts w:ascii="Arial" w:cs="Arial" w:eastAsia="Arial" w:hAnsi="Arial"/>
                <w:sz w:val="18"/>
                <w:szCs w:val="18"/>
                <w:b w:val="1"/>
                <w:bCs w:val="1"/>
                <w:color w:val="FEFEFE"/>
                <w:w w:val="99"/>
              </w:rPr>
              <w:t>FY24 Annual Cash Incentives Payouts</w:t>
            </w:r>
            <w:r>
              <w:rPr>
                <w:rFonts w:ascii="Arial" w:cs="Arial" w:eastAsia="Arial" w:hAnsi="Arial"/>
                <w:sz w:val="14"/>
                <w:szCs w:val="14"/>
                <w:b w:val="1"/>
                <w:bCs w:val="1"/>
                <w:color w:val="FEFEFE"/>
                <w:w w:val="99"/>
              </w:rPr>
              <w:t>​</w:t>
            </w:r>
          </w:p>
        </w:tc>
        <w:tc>
          <w:tcPr>
            <w:tcW w:w="780" w:type="dxa"/>
            <w:vAlign w:val="bottom"/>
            <w:shd w:val="clear" w:color="auto" w:fill="53C072"/>
          </w:tcPr>
          <w:p>
            <w:pPr>
              <w:spacing w:after="0"/>
              <w:rPr>
                <w:sz w:val="23"/>
                <w:szCs w:val="23"/>
                <w:color w:val="auto"/>
              </w:rPr>
            </w:pPr>
          </w:p>
        </w:tc>
        <w:tc>
          <w:tcPr>
            <w:tcW w:w="120" w:type="dxa"/>
            <w:vAlign w:val="bottom"/>
            <w:shd w:val="clear" w:color="auto" w:fill="53C072"/>
          </w:tcPr>
          <w:p>
            <w:pPr>
              <w:spacing w:after="0"/>
              <w:rPr>
                <w:sz w:val="23"/>
                <w:szCs w:val="23"/>
                <w:color w:val="auto"/>
              </w:rPr>
            </w:pPr>
          </w:p>
        </w:tc>
        <w:tc>
          <w:tcPr>
            <w:tcW w:w="740" w:type="dxa"/>
            <w:vAlign w:val="bottom"/>
            <w:shd w:val="clear" w:color="auto" w:fill="53C072"/>
          </w:tcPr>
          <w:p>
            <w:pPr>
              <w:spacing w:after="0"/>
              <w:rPr>
                <w:sz w:val="23"/>
                <w:szCs w:val="23"/>
                <w:color w:val="auto"/>
              </w:rPr>
            </w:pPr>
          </w:p>
        </w:tc>
        <w:tc>
          <w:tcPr>
            <w:tcW w:w="120" w:type="dxa"/>
            <w:vAlign w:val="bottom"/>
            <w:shd w:val="clear" w:color="auto" w:fill="53C072"/>
          </w:tcPr>
          <w:p>
            <w:pPr>
              <w:spacing w:after="0"/>
              <w:rPr>
                <w:sz w:val="23"/>
                <w:szCs w:val="23"/>
                <w:color w:val="auto"/>
              </w:rPr>
            </w:pPr>
          </w:p>
        </w:tc>
      </w:tr>
      <w:tr>
        <w:trPr>
          <w:trHeight w:val="238"/>
        </w:trPr>
        <w:tc>
          <w:tcPr>
            <w:tcW w:w="1920" w:type="dxa"/>
            <w:vAlign w:val="bottom"/>
            <w:shd w:val="clear" w:color="auto" w:fill="53C072"/>
          </w:tcPr>
          <w:p>
            <w:pPr>
              <w:spacing w:after="0"/>
              <w:rPr>
                <w:sz w:val="20"/>
                <w:szCs w:val="20"/>
                <w:color w:val="auto"/>
              </w:rPr>
            </w:pPr>
          </w:p>
        </w:tc>
        <w:tc>
          <w:tcPr>
            <w:tcW w:w="300" w:type="dxa"/>
            <w:vAlign w:val="bottom"/>
            <w:shd w:val="clear" w:color="auto" w:fill="53C072"/>
          </w:tcPr>
          <w:p>
            <w:pPr>
              <w:spacing w:after="0"/>
              <w:rPr>
                <w:sz w:val="20"/>
                <w:szCs w:val="20"/>
                <w:color w:val="auto"/>
              </w:rPr>
            </w:pPr>
          </w:p>
        </w:tc>
        <w:tc>
          <w:tcPr>
            <w:tcW w:w="820" w:type="dxa"/>
            <w:vAlign w:val="bottom"/>
            <w:shd w:val="clear" w:color="auto" w:fill="53C072"/>
          </w:tcPr>
          <w:p>
            <w:pPr>
              <w:spacing w:after="0"/>
              <w:rPr>
                <w:sz w:val="20"/>
                <w:szCs w:val="20"/>
                <w:color w:val="auto"/>
              </w:rPr>
            </w:pPr>
          </w:p>
        </w:tc>
        <w:tc>
          <w:tcPr>
            <w:tcW w:w="1760" w:type="dxa"/>
            <w:vAlign w:val="bottom"/>
            <w:tcBorders>
              <w:right w:val="single" w:sz="8" w:color="53C072"/>
            </w:tcBorders>
            <w:gridSpan w:val="4"/>
            <w:shd w:val="clear" w:color="auto" w:fill="53C072"/>
          </w:tcPr>
          <w:p>
            <w:pPr>
              <w:jc w:val="right"/>
              <w:ind w:right="100"/>
              <w:spacing w:after="0"/>
              <w:rPr>
                <w:sz w:val="20"/>
                <w:szCs w:val="20"/>
                <w:color w:val="auto"/>
              </w:rPr>
            </w:pPr>
            <w:r>
              <w:rPr>
                <w:rFonts w:ascii="Arial" w:cs="Arial" w:eastAsia="Arial" w:hAnsi="Arial"/>
                <w:sz w:val="14"/>
                <w:szCs w:val="14"/>
                <w:b w:val="1"/>
                <w:bCs w:val="1"/>
                <w:color w:val="FEFEFE"/>
              </w:rPr>
              <w:t>Financial (80% Weight)</w:t>
            </w:r>
          </w:p>
        </w:tc>
        <w:tc>
          <w:tcPr>
            <w:tcW w:w="80" w:type="dxa"/>
            <w:vAlign w:val="bottom"/>
            <w:shd w:val="clear" w:color="auto" w:fill="53C072"/>
          </w:tcPr>
          <w:p>
            <w:pPr>
              <w:spacing w:after="0"/>
              <w:rPr>
                <w:sz w:val="20"/>
                <w:szCs w:val="20"/>
                <w:color w:val="auto"/>
              </w:rPr>
            </w:pPr>
          </w:p>
        </w:tc>
        <w:tc>
          <w:tcPr>
            <w:tcW w:w="2120" w:type="dxa"/>
            <w:vAlign w:val="bottom"/>
            <w:gridSpan w:val="8"/>
            <w:shd w:val="clear" w:color="auto" w:fill="53C072"/>
          </w:tcPr>
          <w:p>
            <w:pPr>
              <w:jc w:val="center"/>
              <w:ind w:right="180"/>
              <w:spacing w:after="0"/>
              <w:rPr>
                <w:sz w:val="20"/>
                <w:szCs w:val="20"/>
                <w:color w:val="auto"/>
              </w:rPr>
            </w:pPr>
            <w:r>
              <w:rPr>
                <w:rFonts w:ascii="Arial" w:cs="Arial" w:eastAsia="Arial" w:hAnsi="Arial"/>
                <w:sz w:val="14"/>
                <w:szCs w:val="14"/>
                <w:b w:val="1"/>
                <w:bCs w:val="1"/>
                <w:color w:val="FEFEFE"/>
              </w:rPr>
              <w:t>Non-Financial (20% Weight)</w:t>
            </w:r>
          </w:p>
        </w:tc>
        <w:tc>
          <w:tcPr>
            <w:tcW w:w="1760" w:type="dxa"/>
            <w:vAlign w:val="bottom"/>
            <w:gridSpan w:val="4"/>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Total Incentive Payout</w:t>
            </w:r>
          </w:p>
        </w:tc>
      </w:tr>
      <w:tr>
        <w:trPr>
          <w:trHeight w:val="247"/>
        </w:trPr>
        <w:tc>
          <w:tcPr>
            <w:tcW w:w="1920" w:type="dxa"/>
            <w:vAlign w:val="bottom"/>
            <w:tcBorders>
              <w:top w:val="single" w:sz="8" w:color="53C072"/>
            </w:tcBorders>
            <w:shd w:val="clear" w:color="auto" w:fill="53C072"/>
          </w:tcPr>
          <w:p>
            <w:pPr>
              <w:spacing w:after="0"/>
              <w:rPr>
                <w:sz w:val="21"/>
                <w:szCs w:val="21"/>
                <w:color w:val="auto"/>
              </w:rPr>
            </w:pPr>
          </w:p>
        </w:tc>
        <w:tc>
          <w:tcPr>
            <w:tcW w:w="300" w:type="dxa"/>
            <w:vAlign w:val="bottom"/>
            <w:tcBorders>
              <w:top w:val="single" w:sz="8" w:color="53C072"/>
            </w:tcBorders>
            <w:shd w:val="clear" w:color="auto" w:fill="53C072"/>
          </w:tcPr>
          <w:p>
            <w:pPr>
              <w:spacing w:after="0"/>
              <w:rPr>
                <w:sz w:val="21"/>
                <w:szCs w:val="21"/>
                <w:color w:val="auto"/>
              </w:rPr>
            </w:pPr>
          </w:p>
        </w:tc>
        <w:tc>
          <w:tcPr>
            <w:tcW w:w="820" w:type="dxa"/>
            <w:vAlign w:val="bottom"/>
            <w:tcBorders>
              <w:top w:val="single" w:sz="8" w:color="53C072"/>
            </w:tcBorders>
            <w:shd w:val="clear" w:color="auto" w:fill="53C072"/>
          </w:tcPr>
          <w:p>
            <w:pPr>
              <w:spacing w:after="0"/>
              <w:rPr>
                <w:sz w:val="21"/>
                <w:szCs w:val="21"/>
                <w:color w:val="auto"/>
              </w:rPr>
            </w:pPr>
          </w:p>
        </w:tc>
        <w:tc>
          <w:tcPr>
            <w:tcW w:w="800" w:type="dxa"/>
            <w:vAlign w:val="bottom"/>
            <w:tcBorders>
              <w:top w:val="single" w:sz="8" w:color="auto"/>
            </w:tcBorders>
            <w:shd w:val="clear" w:color="auto" w:fill="53C072"/>
          </w:tcPr>
          <w:p>
            <w:pPr>
              <w:ind w:left="20"/>
              <w:spacing w:after="0"/>
              <w:rPr>
                <w:sz w:val="20"/>
                <w:szCs w:val="20"/>
                <w:color w:val="auto"/>
              </w:rPr>
            </w:pPr>
            <w:r>
              <w:rPr>
                <w:rFonts w:ascii="Arial" w:cs="Arial" w:eastAsia="Arial" w:hAnsi="Arial"/>
                <w:sz w:val="14"/>
                <w:szCs w:val="14"/>
                <w:b w:val="1"/>
                <w:bCs w:val="1"/>
                <w:color w:val="FEFEFE"/>
                <w:w w:val="99"/>
              </w:rPr>
              <w:t>% of Target</w:t>
            </w:r>
          </w:p>
        </w:tc>
        <w:tc>
          <w:tcPr>
            <w:tcW w:w="100" w:type="dxa"/>
            <w:vAlign w:val="bottom"/>
            <w:tcBorders>
              <w:top w:val="single" w:sz="8" w:color="auto"/>
            </w:tcBorders>
            <w:shd w:val="clear" w:color="auto" w:fill="53C072"/>
          </w:tcPr>
          <w:p>
            <w:pPr>
              <w:spacing w:after="0"/>
              <w:rPr>
                <w:sz w:val="21"/>
                <w:szCs w:val="21"/>
                <w:color w:val="auto"/>
              </w:rPr>
            </w:pPr>
          </w:p>
        </w:tc>
        <w:tc>
          <w:tcPr>
            <w:tcW w:w="760" w:type="dxa"/>
            <w:vAlign w:val="bottom"/>
            <w:tcBorders>
              <w:top w:val="single" w:sz="8" w:color="auto"/>
            </w:tcBorders>
            <w:shd w:val="clear" w:color="auto" w:fill="53C072"/>
          </w:tcPr>
          <w:p>
            <w:pPr>
              <w:spacing w:after="0"/>
              <w:rPr>
                <w:sz w:val="21"/>
                <w:szCs w:val="21"/>
                <w:color w:val="auto"/>
              </w:rPr>
            </w:pPr>
          </w:p>
        </w:tc>
        <w:tc>
          <w:tcPr>
            <w:tcW w:w="100" w:type="dxa"/>
            <w:vAlign w:val="bottom"/>
            <w:tcBorders>
              <w:top w:val="single" w:sz="8" w:color="53C072"/>
              <w:right w:val="single" w:sz="8" w:color="53C072"/>
            </w:tcBorders>
            <w:shd w:val="clear" w:color="auto" w:fill="53C072"/>
          </w:tcPr>
          <w:p>
            <w:pPr>
              <w:spacing w:after="0"/>
              <w:rPr>
                <w:sz w:val="21"/>
                <w:szCs w:val="21"/>
                <w:color w:val="auto"/>
              </w:rPr>
            </w:pPr>
          </w:p>
        </w:tc>
        <w:tc>
          <w:tcPr>
            <w:tcW w:w="80" w:type="dxa"/>
            <w:vAlign w:val="bottom"/>
            <w:tcBorders>
              <w:top w:val="single" w:sz="8" w:color="53C072"/>
            </w:tcBorders>
            <w:shd w:val="clear" w:color="auto" w:fill="53C072"/>
          </w:tcPr>
          <w:p>
            <w:pPr>
              <w:spacing w:after="0"/>
              <w:rPr>
                <w:sz w:val="21"/>
                <w:szCs w:val="21"/>
                <w:color w:val="auto"/>
              </w:rPr>
            </w:pPr>
          </w:p>
        </w:tc>
        <w:tc>
          <w:tcPr>
            <w:tcW w:w="920" w:type="dxa"/>
            <w:vAlign w:val="bottom"/>
            <w:tcBorders>
              <w:top w:val="single" w:sz="8" w:color="auto"/>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 of Target</w:t>
            </w:r>
          </w:p>
        </w:tc>
        <w:tc>
          <w:tcPr>
            <w:tcW w:w="160" w:type="dxa"/>
            <w:vAlign w:val="bottom"/>
            <w:tcBorders>
              <w:top w:val="single" w:sz="8" w:color="auto"/>
            </w:tcBorders>
            <w:shd w:val="clear" w:color="auto" w:fill="53C072"/>
          </w:tcPr>
          <w:p>
            <w:pPr>
              <w:spacing w:after="0"/>
              <w:rPr>
                <w:sz w:val="21"/>
                <w:szCs w:val="21"/>
                <w:color w:val="auto"/>
              </w:rPr>
            </w:pPr>
          </w:p>
        </w:tc>
        <w:tc>
          <w:tcPr>
            <w:tcW w:w="220" w:type="dxa"/>
            <w:vAlign w:val="bottom"/>
            <w:tcBorders>
              <w:top w:val="single" w:sz="8" w:color="auto"/>
            </w:tcBorders>
            <w:shd w:val="clear" w:color="auto" w:fill="53C072"/>
          </w:tcPr>
          <w:p>
            <w:pPr>
              <w:spacing w:after="0"/>
              <w:rPr>
                <w:sz w:val="21"/>
                <w:szCs w:val="21"/>
                <w:color w:val="auto"/>
              </w:rPr>
            </w:pPr>
          </w:p>
        </w:tc>
        <w:tc>
          <w:tcPr>
            <w:tcW w:w="580" w:type="dxa"/>
            <w:vAlign w:val="bottom"/>
            <w:tcBorders>
              <w:top w:val="single" w:sz="8" w:color="auto"/>
            </w:tcBorders>
            <w:shd w:val="clear" w:color="auto" w:fill="53C072"/>
          </w:tcPr>
          <w:p>
            <w:pPr>
              <w:spacing w:after="0"/>
              <w:rPr>
                <w:sz w:val="21"/>
                <w:szCs w:val="21"/>
                <w:color w:val="auto"/>
              </w:rPr>
            </w:pPr>
          </w:p>
        </w:tc>
        <w:tc>
          <w:tcPr>
            <w:tcW w:w="40" w:type="dxa"/>
            <w:vAlign w:val="bottom"/>
            <w:tcBorders>
              <w:top w:val="single" w:sz="8" w:color="auto"/>
            </w:tcBorders>
            <w:shd w:val="clear" w:color="auto" w:fill="53C072"/>
          </w:tcPr>
          <w:p>
            <w:pPr>
              <w:spacing w:after="0"/>
              <w:rPr>
                <w:sz w:val="21"/>
                <w:szCs w:val="21"/>
                <w:color w:val="auto"/>
              </w:rPr>
            </w:pPr>
          </w:p>
        </w:tc>
        <w:tc>
          <w:tcPr>
            <w:tcW w:w="100" w:type="dxa"/>
            <w:vAlign w:val="bottom"/>
            <w:tcBorders>
              <w:top w:val="single" w:sz="8" w:color="53C072"/>
              <w:right w:val="single" w:sz="8" w:color="53C072"/>
            </w:tcBorders>
            <w:shd w:val="clear" w:color="auto" w:fill="53C072"/>
          </w:tcPr>
          <w:p>
            <w:pPr>
              <w:spacing w:after="0"/>
              <w:rPr>
                <w:sz w:val="21"/>
                <w:szCs w:val="21"/>
                <w:color w:val="auto"/>
              </w:rPr>
            </w:pPr>
          </w:p>
        </w:tc>
        <w:tc>
          <w:tcPr>
            <w:tcW w:w="80" w:type="dxa"/>
            <w:vAlign w:val="bottom"/>
            <w:tcBorders>
              <w:top w:val="single" w:sz="8" w:color="53C072"/>
            </w:tcBorders>
            <w:shd w:val="clear" w:color="auto" w:fill="53C072"/>
          </w:tcPr>
          <w:p>
            <w:pPr>
              <w:spacing w:after="0"/>
              <w:rPr>
                <w:sz w:val="21"/>
                <w:szCs w:val="21"/>
                <w:color w:val="auto"/>
              </w:rPr>
            </w:pPr>
          </w:p>
        </w:tc>
        <w:tc>
          <w:tcPr>
            <w:tcW w:w="20" w:type="dxa"/>
            <w:vAlign w:val="bottom"/>
            <w:tcBorders>
              <w:top w:val="single" w:sz="8" w:color="auto"/>
            </w:tcBorders>
            <w:shd w:val="clear" w:color="auto" w:fill="53C072"/>
          </w:tcPr>
          <w:p>
            <w:pPr>
              <w:spacing w:after="0"/>
              <w:rPr>
                <w:sz w:val="21"/>
                <w:szCs w:val="21"/>
                <w:color w:val="auto"/>
              </w:rPr>
            </w:pPr>
          </w:p>
        </w:tc>
        <w:tc>
          <w:tcPr>
            <w:tcW w:w="780" w:type="dxa"/>
            <w:vAlign w:val="bottom"/>
            <w:tcBorders>
              <w:top w:val="single" w:sz="8" w:color="auto"/>
            </w:tcBorders>
            <w:shd w:val="clear" w:color="auto" w:fill="53C072"/>
          </w:tcPr>
          <w:p>
            <w:pPr>
              <w:spacing w:after="0"/>
              <w:rPr>
                <w:sz w:val="21"/>
                <w:szCs w:val="21"/>
                <w:color w:val="auto"/>
              </w:rPr>
            </w:pPr>
          </w:p>
        </w:tc>
        <w:tc>
          <w:tcPr>
            <w:tcW w:w="120" w:type="dxa"/>
            <w:vAlign w:val="bottom"/>
            <w:tcBorders>
              <w:top w:val="single" w:sz="8" w:color="auto"/>
            </w:tcBorders>
            <w:shd w:val="clear" w:color="auto" w:fill="53C072"/>
          </w:tcPr>
          <w:p>
            <w:pPr>
              <w:spacing w:after="0"/>
              <w:rPr>
                <w:sz w:val="21"/>
                <w:szCs w:val="21"/>
                <w:color w:val="auto"/>
              </w:rPr>
            </w:pPr>
          </w:p>
        </w:tc>
        <w:tc>
          <w:tcPr>
            <w:tcW w:w="740" w:type="dxa"/>
            <w:vAlign w:val="bottom"/>
            <w:tcBorders>
              <w:top w:val="single" w:sz="8" w:color="auto"/>
            </w:tcBorders>
            <w:shd w:val="clear" w:color="auto" w:fill="53C072"/>
          </w:tcPr>
          <w:p>
            <w:pPr>
              <w:spacing w:after="0"/>
              <w:rPr>
                <w:sz w:val="21"/>
                <w:szCs w:val="21"/>
                <w:color w:val="auto"/>
              </w:rPr>
            </w:pPr>
          </w:p>
        </w:tc>
        <w:tc>
          <w:tcPr>
            <w:tcW w:w="120" w:type="dxa"/>
            <w:vAlign w:val="bottom"/>
            <w:tcBorders>
              <w:top w:val="single" w:sz="8" w:color="53C072"/>
            </w:tcBorders>
            <w:shd w:val="clear" w:color="auto" w:fill="53C072"/>
          </w:tcPr>
          <w:p>
            <w:pPr>
              <w:spacing w:after="0"/>
              <w:rPr>
                <w:sz w:val="21"/>
                <w:szCs w:val="21"/>
                <w:color w:val="auto"/>
              </w:rPr>
            </w:pPr>
          </w:p>
        </w:tc>
      </w:tr>
      <w:tr>
        <w:trPr>
          <w:trHeight w:val="185"/>
        </w:trPr>
        <w:tc>
          <w:tcPr>
            <w:tcW w:w="192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NEO</w:t>
            </w:r>
          </w:p>
        </w:tc>
        <w:tc>
          <w:tcPr>
            <w:tcW w:w="300" w:type="dxa"/>
            <w:vAlign w:val="bottom"/>
            <w:shd w:val="clear" w:color="auto" w:fill="53C072"/>
          </w:tcPr>
          <w:p>
            <w:pPr>
              <w:spacing w:after="0"/>
              <w:rPr>
                <w:sz w:val="16"/>
                <w:szCs w:val="16"/>
                <w:color w:val="auto"/>
              </w:rPr>
            </w:pPr>
          </w:p>
        </w:tc>
        <w:tc>
          <w:tcPr>
            <w:tcW w:w="820" w:type="dxa"/>
            <w:vAlign w:val="bottom"/>
            <w:shd w:val="clear" w:color="auto" w:fill="53C072"/>
          </w:tcPr>
          <w:p>
            <w:pPr>
              <w:jc w:val="right"/>
              <w:ind w:right="101"/>
              <w:spacing w:after="0"/>
              <w:rPr>
                <w:sz w:val="20"/>
                <w:szCs w:val="20"/>
                <w:color w:val="auto"/>
              </w:rPr>
            </w:pPr>
            <w:r>
              <w:rPr>
                <w:rFonts w:ascii="Arial" w:cs="Arial" w:eastAsia="Arial" w:hAnsi="Arial"/>
                <w:sz w:val="14"/>
                <w:szCs w:val="14"/>
                <w:b w:val="1"/>
                <w:bCs w:val="1"/>
                <w:color w:val="FEFEFE"/>
              </w:rPr>
              <w:t>Target $</w:t>
            </w:r>
          </w:p>
        </w:tc>
        <w:tc>
          <w:tcPr>
            <w:tcW w:w="800" w:type="dxa"/>
            <w:vAlign w:val="bottom"/>
            <w:shd w:val="clear" w:color="auto" w:fill="53C072"/>
          </w:tcPr>
          <w:p>
            <w:pPr>
              <w:ind w:left="300"/>
              <w:spacing w:after="0"/>
              <w:rPr>
                <w:sz w:val="20"/>
                <w:szCs w:val="20"/>
                <w:color w:val="auto"/>
              </w:rPr>
            </w:pPr>
            <w:r>
              <w:rPr>
                <w:rFonts w:ascii="Arial" w:cs="Arial" w:eastAsia="Arial" w:hAnsi="Arial"/>
                <w:sz w:val="14"/>
                <w:szCs w:val="14"/>
                <w:b w:val="1"/>
                <w:bCs w:val="1"/>
                <w:color w:val="FEFEFE"/>
              </w:rPr>
              <w:t>Earned</w:t>
            </w:r>
          </w:p>
        </w:tc>
        <w:tc>
          <w:tcPr>
            <w:tcW w:w="100" w:type="dxa"/>
            <w:vAlign w:val="bottom"/>
            <w:shd w:val="clear" w:color="auto" w:fill="53C072"/>
          </w:tcPr>
          <w:p>
            <w:pPr>
              <w:spacing w:after="0"/>
              <w:rPr>
                <w:sz w:val="16"/>
                <w:szCs w:val="16"/>
                <w:color w:val="auto"/>
              </w:rPr>
            </w:pPr>
          </w:p>
        </w:tc>
        <w:tc>
          <w:tcPr>
            <w:tcW w:w="860" w:type="dxa"/>
            <w:vAlign w:val="bottom"/>
            <w:tcBorders>
              <w:right w:val="single" w:sz="8" w:color="53C072"/>
            </w:tcBorders>
            <w:gridSpan w:val="2"/>
            <w:shd w:val="clear" w:color="auto" w:fill="53C072"/>
          </w:tcPr>
          <w:p>
            <w:pPr>
              <w:jc w:val="right"/>
              <w:ind w:right="100"/>
              <w:spacing w:after="0"/>
              <w:rPr>
                <w:sz w:val="20"/>
                <w:szCs w:val="20"/>
                <w:color w:val="auto"/>
              </w:rPr>
            </w:pPr>
            <w:r>
              <w:rPr>
                <w:rFonts w:ascii="Arial" w:cs="Arial" w:eastAsia="Arial" w:hAnsi="Arial"/>
                <w:sz w:val="14"/>
                <w:szCs w:val="14"/>
                <w:b w:val="1"/>
                <w:bCs w:val="1"/>
                <w:color w:val="FEFEFE"/>
              </w:rPr>
              <w:t>$ Actual</w:t>
            </w:r>
          </w:p>
        </w:tc>
        <w:tc>
          <w:tcPr>
            <w:tcW w:w="80" w:type="dxa"/>
            <w:vAlign w:val="bottom"/>
            <w:shd w:val="clear" w:color="auto" w:fill="53C072"/>
          </w:tcPr>
          <w:p>
            <w:pPr>
              <w:spacing w:after="0"/>
              <w:rPr>
                <w:sz w:val="16"/>
                <w:szCs w:val="16"/>
                <w:color w:val="auto"/>
              </w:rPr>
            </w:pPr>
          </w:p>
        </w:tc>
        <w:tc>
          <w:tcPr>
            <w:tcW w:w="920" w:type="dxa"/>
            <w:vAlign w:val="bottom"/>
            <w:shd w:val="clear" w:color="auto" w:fill="53C072"/>
          </w:tcPr>
          <w:p>
            <w:pPr>
              <w:ind w:left="280"/>
              <w:spacing w:after="0"/>
              <w:rPr>
                <w:sz w:val="20"/>
                <w:szCs w:val="20"/>
                <w:color w:val="auto"/>
              </w:rPr>
            </w:pPr>
            <w:r>
              <w:rPr>
                <w:rFonts w:ascii="Arial" w:cs="Arial" w:eastAsia="Arial" w:hAnsi="Arial"/>
                <w:sz w:val="14"/>
                <w:szCs w:val="14"/>
                <w:b w:val="1"/>
                <w:bCs w:val="1"/>
                <w:color w:val="FEFEFE"/>
                <w:w w:val="99"/>
              </w:rPr>
              <w:t>Achieved</w:t>
            </w:r>
          </w:p>
        </w:tc>
        <w:tc>
          <w:tcPr>
            <w:tcW w:w="160" w:type="dxa"/>
            <w:vAlign w:val="bottom"/>
            <w:shd w:val="clear" w:color="auto" w:fill="53C072"/>
          </w:tcPr>
          <w:p>
            <w:pPr>
              <w:spacing w:after="0"/>
              <w:rPr>
                <w:sz w:val="16"/>
                <w:szCs w:val="16"/>
                <w:color w:val="auto"/>
              </w:rPr>
            </w:pPr>
          </w:p>
        </w:tc>
        <w:tc>
          <w:tcPr>
            <w:tcW w:w="220" w:type="dxa"/>
            <w:vAlign w:val="bottom"/>
            <w:shd w:val="clear" w:color="auto" w:fill="53C072"/>
          </w:tcPr>
          <w:p>
            <w:pPr>
              <w:spacing w:after="0"/>
              <w:rPr>
                <w:sz w:val="16"/>
                <w:szCs w:val="16"/>
                <w:color w:val="auto"/>
              </w:rPr>
            </w:pPr>
          </w:p>
        </w:tc>
        <w:tc>
          <w:tcPr>
            <w:tcW w:w="820" w:type="dxa"/>
            <w:vAlign w:val="bottom"/>
            <w:gridSpan w:val="5"/>
            <w:shd w:val="clear" w:color="auto" w:fill="53C072"/>
          </w:tcPr>
          <w:p>
            <w:pPr>
              <w:ind w:left="60"/>
              <w:spacing w:after="0"/>
              <w:rPr>
                <w:sz w:val="20"/>
                <w:szCs w:val="20"/>
                <w:color w:val="auto"/>
              </w:rPr>
            </w:pPr>
            <w:r>
              <w:rPr>
                <w:rFonts w:ascii="Arial" w:cs="Arial" w:eastAsia="Arial" w:hAnsi="Arial"/>
                <w:sz w:val="14"/>
                <w:szCs w:val="14"/>
                <w:b w:val="1"/>
                <w:bCs w:val="1"/>
                <w:color w:val="FEFEFE"/>
              </w:rPr>
              <w:t>$ Actual</w:t>
            </w:r>
          </w:p>
        </w:tc>
        <w:tc>
          <w:tcPr>
            <w:tcW w:w="78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w w:val="99"/>
              </w:rPr>
              <w:t>% of Target</w:t>
            </w:r>
          </w:p>
        </w:tc>
        <w:tc>
          <w:tcPr>
            <w:tcW w:w="120" w:type="dxa"/>
            <w:vAlign w:val="bottom"/>
            <w:shd w:val="clear" w:color="auto" w:fill="53C072"/>
          </w:tcPr>
          <w:p>
            <w:pPr>
              <w:spacing w:after="0"/>
              <w:rPr>
                <w:sz w:val="16"/>
                <w:szCs w:val="16"/>
                <w:color w:val="auto"/>
              </w:rPr>
            </w:pPr>
          </w:p>
        </w:tc>
        <w:tc>
          <w:tcPr>
            <w:tcW w:w="860" w:type="dxa"/>
            <w:vAlign w:val="bottom"/>
            <w:gridSpan w:val="2"/>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 Actual</w:t>
            </w:r>
          </w:p>
        </w:tc>
      </w:tr>
      <w:tr>
        <w:trPr>
          <w:trHeight w:val="243"/>
        </w:trPr>
        <w:tc>
          <w:tcPr>
            <w:tcW w:w="1920" w:type="dxa"/>
            <w:vAlign w:val="bottom"/>
          </w:tcPr>
          <w:p>
            <w:pPr>
              <w:ind w:left="60"/>
              <w:spacing w:after="0"/>
              <w:rPr>
                <w:sz w:val="20"/>
                <w:szCs w:val="20"/>
                <w:color w:val="auto"/>
              </w:rPr>
            </w:pPr>
            <w:r>
              <w:rPr>
                <w:rFonts w:ascii="Arial" w:cs="Arial" w:eastAsia="Arial" w:hAnsi="Arial"/>
                <w:sz w:val="16"/>
                <w:szCs w:val="16"/>
                <w:color w:val="auto"/>
              </w:rPr>
              <w:t>​Gallagher</w:t>
            </w: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​$1,800,000</w:t>
            </w:r>
          </w:p>
        </w:tc>
        <w:tc>
          <w:tcPr>
            <w:tcW w:w="800" w:type="dxa"/>
            <w:vAlign w:val="bottom"/>
          </w:tcPr>
          <w:p>
            <w:pPr>
              <w:ind w:left="30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​$576,000</w:t>
            </w:r>
          </w:p>
        </w:tc>
        <w:tc>
          <w:tcPr>
            <w:tcW w:w="80" w:type="dxa"/>
            <w:vAlign w:val="bottom"/>
          </w:tcPr>
          <w:p>
            <w:pPr>
              <w:spacing w:after="0"/>
              <w:rPr>
                <w:sz w:val="21"/>
                <w:szCs w:val="21"/>
                <w:color w:val="auto"/>
              </w:rPr>
            </w:pPr>
          </w:p>
        </w:tc>
        <w:tc>
          <w:tcPr>
            <w:tcW w:w="920" w:type="dxa"/>
            <w:vAlign w:val="bottom"/>
          </w:tcPr>
          <w:p>
            <w:pPr>
              <w:ind w:left="320"/>
              <w:spacing w:after="0"/>
              <w:rPr>
                <w:sz w:val="20"/>
                <w:szCs w:val="20"/>
                <w:color w:val="auto"/>
              </w:rPr>
            </w:pPr>
            <w:r>
              <w:rPr>
                <w:rFonts w:ascii="Arial" w:cs="Arial" w:eastAsia="Arial" w:hAnsi="Arial"/>
                <w:sz w:val="16"/>
                <w:szCs w:val="16"/>
                <w:color w:val="auto"/>
              </w:rPr>
              <w:t>​100%</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53C072"/>
            </w:tcBorders>
            <w:gridSpan w:val="4"/>
          </w:tcPr>
          <w:p>
            <w:pPr>
              <w:jc w:val="right"/>
              <w:ind w:right="60"/>
              <w:spacing w:after="0"/>
              <w:rPr>
                <w:sz w:val="20"/>
                <w:szCs w:val="20"/>
                <w:color w:val="auto"/>
              </w:rPr>
            </w:pPr>
            <w:r>
              <w:rPr>
                <w:rFonts w:ascii="Arial" w:cs="Arial" w:eastAsia="Arial" w:hAnsi="Arial"/>
                <w:sz w:val="16"/>
                <w:szCs w:val="16"/>
                <w:color w:val="auto"/>
              </w:rPr>
              <w:t>​$360,000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ind w:left="28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60"/>
              <w:spacing w:after="0"/>
              <w:rPr>
                <w:sz w:val="20"/>
                <w:szCs w:val="20"/>
                <w:color w:val="auto"/>
              </w:rPr>
            </w:pPr>
            <w:r>
              <w:rPr>
                <w:rFonts w:ascii="Arial" w:cs="Arial" w:eastAsia="Arial" w:hAnsi="Arial"/>
                <w:sz w:val="16"/>
                <w:szCs w:val="16"/>
                <w:color w:val="auto"/>
              </w:rPr>
              <w:t>​$936,000</w:t>
            </w:r>
          </w:p>
        </w:tc>
      </w:tr>
      <w:tr>
        <w:trPr>
          <w:trHeight w:val="243"/>
        </w:trPr>
        <w:tc>
          <w:tcPr>
            <w:tcW w:w="1920" w:type="dxa"/>
            <w:vAlign w:val="bottom"/>
            <w:shd w:val="clear" w:color="auto" w:fill="CBECD5"/>
          </w:tcPr>
          <w:p>
            <w:pPr>
              <w:ind w:left="60"/>
              <w:spacing w:after="0"/>
              <w:rPr>
                <w:sz w:val="20"/>
                <w:szCs w:val="20"/>
                <w:color w:val="auto"/>
              </w:rPr>
            </w:pPr>
            <w:r>
              <w:rPr>
                <w:rFonts w:ascii="Arial" w:cs="Arial" w:eastAsia="Arial" w:hAnsi="Arial"/>
                <w:sz w:val="16"/>
                <w:szCs w:val="16"/>
                <w:color w:val="auto"/>
              </w:rPr>
              <w:t>​Jacobson</w:t>
            </w:r>
          </w:p>
        </w:tc>
        <w:tc>
          <w:tcPr>
            <w:tcW w:w="300" w:type="dxa"/>
            <w:vAlign w:val="bottom"/>
            <w:shd w:val="clear" w:color="auto" w:fill="CBECD5"/>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BECD5"/>
          </w:tcPr>
          <w:p>
            <w:pPr>
              <w:jc w:val="right"/>
              <w:ind w:right="81"/>
              <w:spacing w:after="0"/>
              <w:rPr>
                <w:sz w:val="20"/>
                <w:szCs w:val="20"/>
                <w:color w:val="auto"/>
              </w:rPr>
            </w:pPr>
            <w:r>
              <w:rPr>
                <w:rFonts w:ascii="Arial" w:cs="Arial" w:eastAsia="Arial" w:hAnsi="Arial"/>
                <w:sz w:val="16"/>
                <w:szCs w:val="16"/>
                <w:color w:val="auto"/>
              </w:rPr>
              <w:t>600,000</w:t>
            </w:r>
          </w:p>
        </w:tc>
        <w:tc>
          <w:tcPr>
            <w:tcW w:w="800" w:type="dxa"/>
            <w:vAlign w:val="bottom"/>
            <w:shd w:val="clear" w:color="auto" w:fill="CBECD5"/>
          </w:tcPr>
          <w:p>
            <w:pPr>
              <w:ind w:left="30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BECD5"/>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53C072"/>
            </w:tcBorders>
            <w:gridSpan w:val="2"/>
            <w:shd w:val="clear" w:color="auto" w:fill="CBECD5"/>
          </w:tcPr>
          <w:p>
            <w:pPr>
              <w:ind w:left="80"/>
              <w:spacing w:after="0"/>
              <w:rPr>
                <w:sz w:val="20"/>
                <w:szCs w:val="20"/>
                <w:color w:val="auto"/>
              </w:rPr>
            </w:pPr>
            <w:r>
              <w:rPr>
                <w:rFonts w:ascii="Arial" w:cs="Arial" w:eastAsia="Arial" w:hAnsi="Arial"/>
                <w:sz w:val="16"/>
                <w:szCs w:val="16"/>
                <w:color w:val="auto"/>
              </w:rPr>
              <w:t>​$192,000</w:t>
            </w:r>
          </w:p>
        </w:tc>
        <w:tc>
          <w:tcPr>
            <w:tcW w:w="80" w:type="dxa"/>
            <w:vAlign w:val="bottom"/>
            <w:shd w:val="clear" w:color="auto" w:fill="CBECD5"/>
          </w:tcPr>
          <w:p>
            <w:pPr>
              <w:spacing w:after="0"/>
              <w:rPr>
                <w:sz w:val="21"/>
                <w:szCs w:val="21"/>
                <w:color w:val="auto"/>
              </w:rPr>
            </w:pPr>
          </w:p>
        </w:tc>
        <w:tc>
          <w:tcPr>
            <w:tcW w:w="920" w:type="dxa"/>
            <w:vAlign w:val="bottom"/>
            <w:shd w:val="clear" w:color="auto" w:fill="CBECD5"/>
          </w:tcPr>
          <w:p>
            <w:pPr>
              <w:ind w:left="32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BECD5"/>
          </w:tcPr>
          <w:p>
            <w:pPr>
              <w:jc w:val="cente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BECD5"/>
          </w:tcPr>
          <w:p>
            <w:pPr>
              <w:jc w:val="right"/>
              <w:spacing w:after="0"/>
              <w:rPr>
                <w:sz w:val="20"/>
                <w:szCs w:val="20"/>
                <w:color w:val="auto"/>
              </w:rPr>
            </w:pPr>
            <w:r>
              <w:rPr>
                <w:rFonts w:ascii="Arial" w:cs="Arial" w:eastAsia="Arial" w:hAnsi="Arial"/>
                <w:sz w:val="16"/>
                <w:szCs w:val="16"/>
                <w:color w:val="auto"/>
              </w:rPr>
              <w:t>​$120,000</w:t>
            </w:r>
          </w:p>
        </w:tc>
        <w:tc>
          <w:tcPr>
            <w:tcW w:w="140" w:type="dxa"/>
            <w:vAlign w:val="bottom"/>
            <w:tcBorders>
              <w:right w:val="single" w:sz="8" w:color="53C072"/>
            </w:tcBorders>
            <w:gridSpan w:val="2"/>
            <w:shd w:val="clear" w:color="auto" w:fill="CBECD5"/>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BECD5"/>
          </w:tcPr>
          <w:p>
            <w:pPr>
              <w:spacing w:after="0"/>
              <w:rPr>
                <w:sz w:val="21"/>
                <w:szCs w:val="21"/>
                <w:color w:val="auto"/>
              </w:rPr>
            </w:pPr>
          </w:p>
        </w:tc>
        <w:tc>
          <w:tcPr>
            <w:tcW w:w="20" w:type="dxa"/>
            <w:vAlign w:val="bottom"/>
            <w:shd w:val="clear" w:color="auto" w:fill="CBECD5"/>
          </w:tcPr>
          <w:p>
            <w:pPr>
              <w:spacing w:after="0"/>
              <w:rPr>
                <w:sz w:val="21"/>
                <w:szCs w:val="21"/>
                <w:color w:val="auto"/>
              </w:rPr>
            </w:pPr>
          </w:p>
        </w:tc>
        <w:tc>
          <w:tcPr>
            <w:tcW w:w="780" w:type="dxa"/>
            <w:vAlign w:val="bottom"/>
            <w:shd w:val="clear" w:color="auto" w:fill="CBECD5"/>
          </w:tcPr>
          <w:p>
            <w:pPr>
              <w:ind w:left="280"/>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BECD5"/>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BECD5"/>
          </w:tcPr>
          <w:p>
            <w:pPr>
              <w:ind w:left="60"/>
              <w:spacing w:after="0"/>
              <w:rPr>
                <w:sz w:val="20"/>
                <w:szCs w:val="20"/>
                <w:color w:val="auto"/>
              </w:rPr>
            </w:pPr>
            <w:r>
              <w:rPr>
                <w:rFonts w:ascii="Arial" w:cs="Arial" w:eastAsia="Arial" w:hAnsi="Arial"/>
                <w:sz w:val="16"/>
                <w:szCs w:val="16"/>
                <w:color w:val="auto"/>
              </w:rPr>
              <w:t>​$312,000</w:t>
            </w:r>
          </w:p>
        </w:tc>
      </w:tr>
      <w:tr>
        <w:trPr>
          <w:trHeight w:val="243"/>
        </w:trPr>
        <w:tc>
          <w:tcPr>
            <w:tcW w:w="1920" w:type="dxa"/>
            <w:vAlign w:val="bottom"/>
          </w:tcPr>
          <w:p>
            <w:pPr>
              <w:ind w:left="60"/>
              <w:spacing w:after="0"/>
              <w:rPr>
                <w:sz w:val="20"/>
                <w:szCs w:val="20"/>
                <w:color w:val="auto"/>
              </w:rPr>
            </w:pPr>
            <w:r>
              <w:rPr>
                <w:rFonts w:ascii="Arial" w:cs="Arial" w:eastAsia="Arial" w:hAnsi="Arial"/>
                <w:sz w:val="16"/>
                <w:szCs w:val="16"/>
                <w:color w:val="auto"/>
              </w:rPr>
              <w:t>​Arnold</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420,000</w:t>
            </w:r>
          </w:p>
        </w:tc>
        <w:tc>
          <w:tcPr>
            <w:tcW w:w="800" w:type="dxa"/>
            <w:vAlign w:val="bottom"/>
          </w:tcPr>
          <w:p>
            <w:pPr>
              <w:ind w:left="30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​$134,400</w:t>
            </w:r>
          </w:p>
        </w:tc>
        <w:tc>
          <w:tcPr>
            <w:tcW w:w="80" w:type="dxa"/>
            <w:vAlign w:val="bottom"/>
          </w:tcPr>
          <w:p>
            <w:pPr>
              <w:spacing w:after="0"/>
              <w:rPr>
                <w:sz w:val="21"/>
                <w:szCs w:val="21"/>
                <w:color w:val="auto"/>
              </w:rPr>
            </w:pPr>
          </w:p>
        </w:tc>
        <w:tc>
          <w:tcPr>
            <w:tcW w:w="920" w:type="dxa"/>
            <w:vAlign w:val="bottom"/>
          </w:tcPr>
          <w:p>
            <w:pPr>
              <w:ind w:left="320"/>
              <w:spacing w:after="0"/>
              <w:rPr>
                <w:sz w:val="20"/>
                <w:szCs w:val="20"/>
                <w:color w:val="auto"/>
              </w:rPr>
            </w:pPr>
            <w:r>
              <w:rPr>
                <w:rFonts w:ascii="Arial" w:cs="Arial" w:eastAsia="Arial" w:hAnsi="Arial"/>
                <w:sz w:val="16"/>
                <w:szCs w:val="16"/>
                <w:color w:val="auto"/>
              </w:rPr>
              <w:t>​100%</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84,000</w:t>
            </w:r>
          </w:p>
        </w:tc>
        <w:tc>
          <w:tcPr>
            <w:tcW w:w="140" w:type="dxa"/>
            <w:vAlign w:val="bottom"/>
            <w:tcBorders>
              <w:right w:val="single" w:sz="8" w:color="53C072"/>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ind w:left="28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60"/>
              <w:spacing w:after="0"/>
              <w:rPr>
                <w:sz w:val="20"/>
                <w:szCs w:val="20"/>
                <w:color w:val="auto"/>
              </w:rPr>
            </w:pPr>
            <w:r>
              <w:rPr>
                <w:rFonts w:ascii="Arial" w:cs="Arial" w:eastAsia="Arial" w:hAnsi="Arial"/>
                <w:sz w:val="16"/>
                <w:szCs w:val="16"/>
                <w:color w:val="auto"/>
              </w:rPr>
              <w:t>​$218,400</w:t>
            </w:r>
          </w:p>
        </w:tc>
      </w:tr>
      <w:tr>
        <w:trPr>
          <w:trHeight w:val="243"/>
        </w:trPr>
        <w:tc>
          <w:tcPr>
            <w:tcW w:w="1920" w:type="dxa"/>
            <w:vAlign w:val="bottom"/>
            <w:shd w:val="clear" w:color="auto" w:fill="CBECD5"/>
          </w:tcPr>
          <w:p>
            <w:pPr>
              <w:ind w:left="60"/>
              <w:spacing w:after="0"/>
              <w:rPr>
                <w:sz w:val="20"/>
                <w:szCs w:val="20"/>
                <w:color w:val="auto"/>
              </w:rPr>
            </w:pPr>
            <w:r>
              <w:rPr>
                <w:rFonts w:ascii="Arial" w:cs="Arial" w:eastAsia="Arial" w:hAnsi="Arial"/>
                <w:sz w:val="16"/>
                <w:szCs w:val="16"/>
                <w:color w:val="auto"/>
              </w:rPr>
              <w:t>​Chan</w:t>
            </w:r>
          </w:p>
        </w:tc>
        <w:tc>
          <w:tcPr>
            <w:tcW w:w="300" w:type="dxa"/>
            <w:vAlign w:val="bottom"/>
            <w:shd w:val="clear" w:color="auto" w:fill="CBECD5"/>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BECD5"/>
          </w:tcPr>
          <w:p>
            <w:pPr>
              <w:jc w:val="right"/>
              <w:ind w:right="81"/>
              <w:spacing w:after="0"/>
              <w:rPr>
                <w:sz w:val="20"/>
                <w:szCs w:val="20"/>
                <w:color w:val="auto"/>
              </w:rPr>
            </w:pPr>
            <w:r>
              <w:rPr>
                <w:rFonts w:ascii="Arial" w:cs="Arial" w:eastAsia="Arial" w:hAnsi="Arial"/>
                <w:sz w:val="16"/>
                <w:szCs w:val="16"/>
                <w:color w:val="auto"/>
              </w:rPr>
              <w:t>440,000</w:t>
            </w:r>
          </w:p>
        </w:tc>
        <w:tc>
          <w:tcPr>
            <w:tcW w:w="800" w:type="dxa"/>
            <w:vAlign w:val="bottom"/>
            <w:shd w:val="clear" w:color="auto" w:fill="CBECD5"/>
          </w:tcPr>
          <w:p>
            <w:pPr>
              <w:ind w:left="30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BECD5"/>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53C072"/>
            </w:tcBorders>
            <w:gridSpan w:val="2"/>
            <w:shd w:val="clear" w:color="auto" w:fill="CBECD5"/>
          </w:tcPr>
          <w:p>
            <w:pPr>
              <w:ind w:left="80"/>
              <w:spacing w:after="0"/>
              <w:rPr>
                <w:sz w:val="20"/>
                <w:szCs w:val="20"/>
                <w:color w:val="auto"/>
              </w:rPr>
            </w:pPr>
            <w:r>
              <w:rPr>
                <w:rFonts w:ascii="Arial" w:cs="Arial" w:eastAsia="Arial" w:hAnsi="Arial"/>
                <w:sz w:val="16"/>
                <w:szCs w:val="16"/>
                <w:color w:val="auto"/>
              </w:rPr>
              <w:t>​$140,800</w:t>
            </w:r>
          </w:p>
        </w:tc>
        <w:tc>
          <w:tcPr>
            <w:tcW w:w="80" w:type="dxa"/>
            <w:vAlign w:val="bottom"/>
            <w:shd w:val="clear" w:color="auto" w:fill="CBECD5"/>
          </w:tcPr>
          <w:p>
            <w:pPr>
              <w:spacing w:after="0"/>
              <w:rPr>
                <w:sz w:val="21"/>
                <w:szCs w:val="21"/>
                <w:color w:val="auto"/>
              </w:rPr>
            </w:pPr>
          </w:p>
        </w:tc>
        <w:tc>
          <w:tcPr>
            <w:tcW w:w="920" w:type="dxa"/>
            <w:vAlign w:val="bottom"/>
            <w:shd w:val="clear" w:color="auto" w:fill="CBECD5"/>
          </w:tcPr>
          <w:p>
            <w:pPr>
              <w:ind w:left="32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BECD5"/>
          </w:tcPr>
          <w:p>
            <w:pPr>
              <w:jc w:val="center"/>
              <w:spacing w:after="0"/>
              <w:rPr>
                <w:sz w:val="20"/>
                <w:szCs w:val="20"/>
                <w:color w:val="auto"/>
              </w:rPr>
            </w:pPr>
            <w:r>
              <w:rPr>
                <w:rFonts w:ascii="Arial" w:cs="Arial" w:eastAsia="Arial" w:hAnsi="Arial"/>
                <w:sz w:val="16"/>
                <w:szCs w:val="16"/>
                <w:color w:val="auto"/>
              </w:rPr>
              <w:t>​</w:t>
            </w:r>
          </w:p>
        </w:tc>
        <w:tc>
          <w:tcPr>
            <w:tcW w:w="220" w:type="dxa"/>
            <w:vAlign w:val="bottom"/>
            <w:shd w:val="clear" w:color="auto" w:fill="CBECD5"/>
          </w:tcPr>
          <w:p>
            <w:pPr>
              <w:ind w:lef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88,000</w:t>
            </w:r>
          </w:p>
        </w:tc>
        <w:tc>
          <w:tcPr>
            <w:tcW w:w="140" w:type="dxa"/>
            <w:vAlign w:val="bottom"/>
            <w:tcBorders>
              <w:right w:val="single" w:sz="8" w:color="53C072"/>
            </w:tcBorders>
            <w:gridSpan w:val="2"/>
            <w:shd w:val="clear" w:color="auto" w:fill="CBECD5"/>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BECD5"/>
          </w:tcPr>
          <w:p>
            <w:pPr>
              <w:spacing w:after="0"/>
              <w:rPr>
                <w:sz w:val="21"/>
                <w:szCs w:val="21"/>
                <w:color w:val="auto"/>
              </w:rPr>
            </w:pPr>
          </w:p>
        </w:tc>
        <w:tc>
          <w:tcPr>
            <w:tcW w:w="20" w:type="dxa"/>
            <w:vAlign w:val="bottom"/>
            <w:shd w:val="clear" w:color="auto" w:fill="CBECD5"/>
          </w:tcPr>
          <w:p>
            <w:pPr>
              <w:spacing w:after="0"/>
              <w:rPr>
                <w:sz w:val="21"/>
                <w:szCs w:val="21"/>
                <w:color w:val="auto"/>
              </w:rPr>
            </w:pPr>
          </w:p>
        </w:tc>
        <w:tc>
          <w:tcPr>
            <w:tcW w:w="780" w:type="dxa"/>
            <w:vAlign w:val="bottom"/>
            <w:shd w:val="clear" w:color="auto" w:fill="CBECD5"/>
          </w:tcPr>
          <w:p>
            <w:pPr>
              <w:ind w:left="280"/>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BECD5"/>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BECD5"/>
          </w:tcPr>
          <w:p>
            <w:pPr>
              <w:ind w:left="60"/>
              <w:spacing w:after="0"/>
              <w:rPr>
                <w:sz w:val="20"/>
                <w:szCs w:val="20"/>
                <w:color w:val="auto"/>
              </w:rPr>
            </w:pPr>
            <w:r>
              <w:rPr>
                <w:rFonts w:ascii="Arial" w:cs="Arial" w:eastAsia="Arial" w:hAnsi="Arial"/>
                <w:sz w:val="16"/>
                <w:szCs w:val="16"/>
                <w:color w:val="auto"/>
              </w:rPr>
              <w:t>​$228,800</w:t>
            </w:r>
          </w:p>
        </w:tc>
      </w:tr>
      <w:tr>
        <w:trPr>
          <w:trHeight w:val="277"/>
        </w:trPr>
        <w:tc>
          <w:tcPr>
            <w:tcW w:w="1920" w:type="dxa"/>
            <w:vAlign w:val="bottom"/>
            <w:tcBorders>
              <w:bottom w:val="single" w:sz="8" w:color="53C072"/>
            </w:tcBorders>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McCoy</w:t>
            </w:r>
          </w:p>
        </w:tc>
        <w:tc>
          <w:tcPr>
            <w:tcW w:w="300" w:type="dxa"/>
            <w:vAlign w:val="bottom"/>
            <w:tcBorders>
              <w:bottom w:val="single" w:sz="8" w:color="53C072"/>
            </w:tcBorders>
          </w:tcPr>
          <w:p>
            <w:pPr>
              <w:ind w:left="1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w:t>
            </w:r>
          </w:p>
        </w:tc>
        <w:tc>
          <w:tcPr>
            <w:tcW w:w="820" w:type="dxa"/>
            <w:vAlign w:val="bottom"/>
            <w:tcBorders>
              <w:bottom w:val="single" w:sz="8" w:color="53C072"/>
            </w:tcBorders>
          </w:tcPr>
          <w:p>
            <w:pPr>
              <w:jc w:val="right"/>
              <w:ind w:right="81"/>
              <w:spacing w:after="0"/>
              <w:rPr>
                <w:sz w:val="20"/>
                <w:szCs w:val="20"/>
                <w:color w:val="auto"/>
              </w:rPr>
            </w:pPr>
            <w:r>
              <w:rPr>
                <w:rFonts w:ascii="Arial" w:cs="Arial" w:eastAsia="Arial" w:hAnsi="Arial"/>
                <w:sz w:val="16"/>
                <w:szCs w:val="16"/>
                <w:color w:val="auto"/>
              </w:rPr>
              <w:t>476,000</w:t>
            </w:r>
          </w:p>
        </w:tc>
        <w:tc>
          <w:tcPr>
            <w:tcW w:w="800" w:type="dxa"/>
            <w:vAlign w:val="bottom"/>
            <w:tcBorders>
              <w:bottom w:val="single" w:sz="8" w:color="53C072"/>
            </w:tcBorders>
          </w:tcPr>
          <w:p>
            <w:pPr>
              <w:ind w:left="3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32%</w:t>
            </w:r>
          </w:p>
        </w:tc>
        <w:tc>
          <w:tcPr>
            <w:tcW w:w="100" w:type="dxa"/>
            <w:vAlign w:val="bottom"/>
            <w:tcBorders>
              <w:bottom w:val="single" w:sz="8" w:color="53C072"/>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53C072"/>
              <w:right w:val="single" w:sz="8" w:color="53C072"/>
            </w:tcBorders>
            <w:gridSpan w:val="2"/>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$152,320</w:t>
            </w:r>
          </w:p>
        </w:tc>
        <w:tc>
          <w:tcPr>
            <w:tcW w:w="80" w:type="dxa"/>
            <w:vAlign w:val="bottom"/>
            <w:tcBorders>
              <w:bottom w:val="single" w:sz="8" w:color="53C072"/>
            </w:tcBorders>
          </w:tcPr>
          <w:p>
            <w:pPr>
              <w:spacing w:after="0"/>
              <w:rPr>
                <w:sz w:val="24"/>
                <w:szCs w:val="24"/>
                <w:color w:val="auto"/>
              </w:rPr>
            </w:pPr>
          </w:p>
        </w:tc>
        <w:tc>
          <w:tcPr>
            <w:tcW w:w="920" w:type="dxa"/>
            <w:vAlign w:val="bottom"/>
            <w:tcBorders>
              <w:bottom w:val="single" w:sz="8" w:color="53C072"/>
            </w:tcBorders>
          </w:tcPr>
          <w:p>
            <w:pPr>
              <w:ind w:left="3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100%</w:t>
            </w:r>
          </w:p>
        </w:tc>
        <w:tc>
          <w:tcPr>
            <w:tcW w:w="160" w:type="dxa"/>
            <w:vAlign w:val="bottom"/>
            <w:tcBorders>
              <w:bottom w:val="single" w:sz="8" w:color="53C072"/>
            </w:tcBorders>
          </w:tcPr>
          <w:p>
            <w:pPr>
              <w:jc w:val="center"/>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53C072"/>
            </w:tcBorders>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w:t>
            </w:r>
          </w:p>
        </w:tc>
        <w:tc>
          <w:tcPr>
            <w:tcW w:w="580" w:type="dxa"/>
            <w:vAlign w:val="bottom"/>
            <w:tcBorders>
              <w:bottom w:val="single" w:sz="8" w:color="53C072"/>
            </w:tcBorders>
          </w:tcPr>
          <w:p>
            <w:pPr>
              <w:jc w:val="right"/>
              <w:spacing w:after="0"/>
              <w:rPr>
                <w:sz w:val="20"/>
                <w:szCs w:val="20"/>
                <w:color w:val="auto"/>
              </w:rPr>
            </w:pPr>
            <w:r>
              <w:rPr>
                <w:rFonts w:ascii="Arial" w:cs="Arial" w:eastAsia="Arial" w:hAnsi="Arial"/>
                <w:sz w:val="16"/>
                <w:szCs w:val="16"/>
                <w:color w:val="auto"/>
              </w:rPr>
              <w:t>95,200</w:t>
            </w:r>
          </w:p>
        </w:tc>
        <w:tc>
          <w:tcPr>
            <w:tcW w:w="140" w:type="dxa"/>
            <w:vAlign w:val="bottom"/>
            <w:tcBorders>
              <w:bottom w:val="single" w:sz="8" w:color="53C072"/>
              <w:right w:val="single" w:sz="8" w:color="53C072"/>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53C072"/>
            </w:tcBorders>
          </w:tcPr>
          <w:p>
            <w:pPr>
              <w:spacing w:after="0"/>
              <w:rPr>
                <w:sz w:val="24"/>
                <w:szCs w:val="24"/>
                <w:color w:val="auto"/>
              </w:rPr>
            </w:pPr>
          </w:p>
        </w:tc>
        <w:tc>
          <w:tcPr>
            <w:tcW w:w="20" w:type="dxa"/>
            <w:vAlign w:val="bottom"/>
            <w:tcBorders>
              <w:bottom w:val="single" w:sz="8" w:color="53C072"/>
            </w:tcBorders>
          </w:tcPr>
          <w:p>
            <w:pPr>
              <w:spacing w:after="0"/>
              <w:rPr>
                <w:sz w:val="24"/>
                <w:szCs w:val="24"/>
                <w:color w:val="auto"/>
              </w:rPr>
            </w:pPr>
          </w:p>
        </w:tc>
        <w:tc>
          <w:tcPr>
            <w:tcW w:w="780" w:type="dxa"/>
            <w:vAlign w:val="bottom"/>
            <w:tcBorders>
              <w:bottom w:val="single" w:sz="8" w:color="53C072"/>
            </w:tcBorders>
          </w:tcPr>
          <w:p>
            <w:pPr>
              <w:ind w:left="2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52%</w:t>
            </w:r>
          </w:p>
        </w:tc>
        <w:tc>
          <w:tcPr>
            <w:tcW w:w="120" w:type="dxa"/>
            <w:vAlign w:val="bottom"/>
            <w:tcBorders>
              <w:bottom w:val="single" w:sz="8" w:color="53C072"/>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53C072"/>
            </w:tcBorders>
            <w:gridSpan w:val="2"/>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$247,520</w:t>
            </w:r>
          </w:p>
        </w:tc>
      </w:tr>
    </w:tbl>
    <w:p>
      <w:pPr>
        <w:spacing w:after="0" w:line="152"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Long-Term Incentives</w:t>
      </w:r>
    </w:p>
    <w:p>
      <w:pPr>
        <w:spacing w:after="0" w:line="153" w:lineRule="exact"/>
        <w:rPr>
          <w:sz w:val="20"/>
          <w:szCs w:val="20"/>
          <w:color w:val="auto"/>
        </w:rPr>
      </w:pPr>
    </w:p>
    <w:p>
      <w:pPr>
        <w:ind w:left="1000" w:right="279"/>
        <w:spacing w:after="0" w:line="247" w:lineRule="auto"/>
        <w:rPr>
          <w:sz w:val="20"/>
          <w:szCs w:val="20"/>
          <w:color w:val="auto"/>
        </w:rPr>
      </w:pPr>
      <w:r>
        <w:rPr>
          <w:rFonts w:ascii="Arial" w:cs="Arial" w:eastAsia="Arial" w:hAnsi="Arial"/>
          <w:sz w:val="18"/>
          <w:szCs w:val="18"/>
          <w:color w:val="auto"/>
        </w:rPr>
        <w:t>For fiscal 2024, the Compensation Committee approved the NEOs’ participation in the Company’s long-term incentive plan, making them eligible to receive a mix of equity incentive compensation, to provide a strong incentive to increase shareholder value over time, align the NEOs’ interests with shareholders, and encourage retention. The fiscal 2024 equity incentive compensation consisted of restricted stock units (“RSUs”) and performance share units (“PSUs”) as set forth in the following table.</w:t>
      </w:r>
    </w:p>
    <w:p>
      <w:pPr>
        <w:spacing w:after="0" w:line="169" w:lineRule="exact"/>
        <w:rPr>
          <w:sz w:val="20"/>
          <w:szCs w:val="20"/>
          <w:color w:val="auto"/>
        </w:rPr>
      </w:pPr>
    </w:p>
    <w:tbl>
      <w:tblPr>
        <w:tblLayout w:type="fixed"/>
        <w:tblInd w:w="990" w:type="dxa"/>
        <w:tblCellMar>
          <w:top w:w="0" w:type="dxa"/>
          <w:left w:w="0" w:type="dxa"/>
          <w:bottom w:w="0" w:type="dxa"/>
          <w:right w:w="0" w:type="dxa"/>
        </w:tblCellMar>
      </w:tblPr>
      <w:tr>
        <w:trPr>
          <w:trHeight w:val="234"/>
        </w:trPr>
        <w:tc>
          <w:tcPr>
            <w:tcW w:w="2560" w:type="dxa"/>
            <w:vAlign w:val="bottom"/>
            <w:tcBorders>
              <w:left w:val="single" w:sz="8" w:color="53C072"/>
            </w:tcBorders>
            <w:shd w:val="clear" w:color="auto" w:fill="53C072"/>
          </w:tcPr>
          <w:p>
            <w:pPr>
              <w:spacing w:after="0"/>
              <w:rPr>
                <w:sz w:val="20"/>
                <w:szCs w:val="20"/>
                <w:color w:val="auto"/>
              </w:rPr>
            </w:pPr>
          </w:p>
        </w:tc>
        <w:tc>
          <w:tcPr>
            <w:tcW w:w="1340" w:type="dxa"/>
            <w:vAlign w:val="bottom"/>
            <w:tcBorders>
              <w:right w:val="single" w:sz="8" w:color="53C072"/>
            </w:tcBorders>
            <w:shd w:val="clear" w:color="auto" w:fill="53C072"/>
          </w:tcPr>
          <w:p>
            <w:pPr>
              <w:spacing w:after="0"/>
              <w:rPr>
                <w:sz w:val="20"/>
                <w:szCs w:val="20"/>
                <w:color w:val="auto"/>
              </w:rPr>
            </w:pPr>
          </w:p>
        </w:tc>
        <w:tc>
          <w:tcPr>
            <w:tcW w:w="100" w:type="dxa"/>
            <w:vAlign w:val="bottom"/>
            <w:shd w:val="clear" w:color="auto" w:fill="53C072"/>
          </w:tcPr>
          <w:p>
            <w:pPr>
              <w:spacing w:after="0"/>
              <w:rPr>
                <w:sz w:val="20"/>
                <w:szCs w:val="20"/>
                <w:color w:val="auto"/>
              </w:rPr>
            </w:pPr>
          </w:p>
        </w:tc>
        <w:tc>
          <w:tcPr>
            <w:tcW w:w="138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 of Target Value of</w:t>
            </w:r>
          </w:p>
        </w:tc>
        <w:tc>
          <w:tcPr>
            <w:tcW w:w="140" w:type="dxa"/>
            <w:vAlign w:val="bottom"/>
            <w:tcBorders>
              <w:right w:val="single" w:sz="8" w:color="53C072"/>
            </w:tcBorders>
            <w:shd w:val="clear" w:color="auto" w:fill="53C072"/>
          </w:tcPr>
          <w:p>
            <w:pPr>
              <w:spacing w:after="0"/>
              <w:rPr>
                <w:sz w:val="20"/>
                <w:szCs w:val="20"/>
                <w:color w:val="auto"/>
              </w:rPr>
            </w:pPr>
          </w:p>
        </w:tc>
        <w:tc>
          <w:tcPr>
            <w:tcW w:w="220" w:type="dxa"/>
            <w:vAlign w:val="bottom"/>
            <w:shd w:val="clear" w:color="auto" w:fill="53C072"/>
          </w:tcPr>
          <w:p>
            <w:pPr>
              <w:spacing w:after="0"/>
              <w:rPr>
                <w:sz w:val="20"/>
                <w:szCs w:val="20"/>
                <w:color w:val="auto"/>
              </w:rPr>
            </w:pPr>
          </w:p>
        </w:tc>
        <w:tc>
          <w:tcPr>
            <w:tcW w:w="1580" w:type="dxa"/>
            <w:vAlign w:val="bottom"/>
            <w:shd w:val="clear" w:color="auto" w:fill="53C072"/>
          </w:tcPr>
          <w:p>
            <w:pPr>
              <w:spacing w:after="0"/>
              <w:rPr>
                <w:sz w:val="20"/>
                <w:szCs w:val="20"/>
                <w:color w:val="auto"/>
              </w:rPr>
            </w:pPr>
          </w:p>
        </w:tc>
        <w:tc>
          <w:tcPr>
            <w:tcW w:w="140" w:type="dxa"/>
            <w:vAlign w:val="bottom"/>
            <w:tcBorders>
              <w:right w:val="single" w:sz="8" w:color="53C072"/>
            </w:tcBorders>
            <w:shd w:val="clear" w:color="auto" w:fill="53C072"/>
          </w:tcPr>
          <w:p>
            <w:pPr>
              <w:spacing w:after="0"/>
              <w:rPr>
                <w:sz w:val="20"/>
                <w:szCs w:val="20"/>
                <w:color w:val="auto"/>
              </w:rPr>
            </w:pPr>
          </w:p>
        </w:tc>
        <w:tc>
          <w:tcPr>
            <w:tcW w:w="260" w:type="dxa"/>
            <w:vAlign w:val="bottom"/>
            <w:shd w:val="clear" w:color="auto" w:fill="53C072"/>
          </w:tcPr>
          <w:p>
            <w:pPr>
              <w:spacing w:after="0"/>
              <w:rPr>
                <w:sz w:val="20"/>
                <w:szCs w:val="20"/>
                <w:color w:val="auto"/>
              </w:rPr>
            </w:pPr>
          </w:p>
        </w:tc>
        <w:tc>
          <w:tcPr>
            <w:tcW w:w="960" w:type="dxa"/>
            <w:vAlign w:val="bottom"/>
            <w:shd w:val="clear" w:color="auto" w:fill="53C072"/>
          </w:tcPr>
          <w:p>
            <w:pPr>
              <w:spacing w:after="0"/>
              <w:rPr>
                <w:sz w:val="20"/>
                <w:szCs w:val="20"/>
                <w:color w:val="auto"/>
              </w:rPr>
            </w:pPr>
          </w:p>
        </w:tc>
        <w:tc>
          <w:tcPr>
            <w:tcW w:w="80" w:type="dxa"/>
            <w:vAlign w:val="bottom"/>
            <w:tcBorders>
              <w:right w:val="single" w:sz="8" w:color="53C072"/>
            </w:tcBorders>
            <w:shd w:val="clear" w:color="auto" w:fill="53C072"/>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60" w:type="dxa"/>
            <w:vAlign w:val="bottom"/>
            <w:tcBorders>
              <w:left w:val="single" w:sz="8" w:color="53C072"/>
            </w:tcBorders>
            <w:shd w:val="clear" w:color="auto" w:fill="53C072"/>
          </w:tcPr>
          <w:p>
            <w:pPr>
              <w:ind w:left="120"/>
              <w:spacing w:after="0" w:line="199" w:lineRule="exact"/>
              <w:rPr>
                <w:sz w:val="20"/>
                <w:szCs w:val="20"/>
                <w:color w:val="auto"/>
              </w:rPr>
            </w:pPr>
            <w:r>
              <w:rPr>
                <w:rFonts w:ascii="Arial" w:cs="Arial" w:eastAsia="Arial" w:hAnsi="Arial"/>
                <w:sz w:val="22"/>
                <w:szCs w:val="22"/>
                <w:b w:val="1"/>
                <w:bCs w:val="1"/>
                <w:color w:val="FEFEFE"/>
                <w:vertAlign w:val="subscript"/>
              </w:rPr>
              <w:t>​</w:t>
            </w:r>
            <w:r>
              <w:rPr>
                <w:rFonts w:ascii="Arial" w:cs="Arial" w:eastAsia="Arial" w:hAnsi="Arial"/>
                <w:sz w:val="12"/>
                <w:szCs w:val="12"/>
                <w:b w:val="1"/>
                <w:bCs w:val="1"/>
                <w:color w:val="FEFEFE"/>
              </w:rPr>
              <w:t xml:space="preserve"> Equity Vehicles</w:t>
            </w:r>
          </w:p>
        </w:tc>
        <w:tc>
          <w:tcPr>
            <w:tcW w:w="1440" w:type="dxa"/>
            <w:vAlign w:val="bottom"/>
            <w:gridSpan w:val="2"/>
            <w:shd w:val="clear" w:color="auto" w:fill="53C072"/>
          </w:tcPr>
          <w:p>
            <w:pPr>
              <w:ind w:left="1280"/>
              <w:spacing w:after="0"/>
              <w:rPr>
                <w:sz w:val="20"/>
                <w:szCs w:val="20"/>
                <w:color w:val="auto"/>
              </w:rPr>
            </w:pPr>
            <w:r>
              <w:rPr>
                <w:rFonts w:ascii="Arial" w:cs="Arial" w:eastAsia="Arial" w:hAnsi="Arial"/>
                <w:sz w:val="14"/>
                <w:szCs w:val="14"/>
                <w:b w:val="1"/>
                <w:bCs w:val="1"/>
                <w:color w:val="FEFEFE"/>
              </w:rPr>
              <w:t>​ ​</w:t>
            </w:r>
          </w:p>
        </w:tc>
        <w:tc>
          <w:tcPr>
            <w:tcW w:w="138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LTIP Award</w:t>
            </w:r>
          </w:p>
        </w:tc>
        <w:tc>
          <w:tcPr>
            <w:tcW w:w="36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 ​</w:t>
            </w:r>
          </w:p>
        </w:tc>
        <w:tc>
          <w:tcPr>
            <w:tcW w:w="1580" w:type="dxa"/>
            <w:vAlign w:val="bottom"/>
            <w:shd w:val="clear" w:color="auto" w:fill="53C072"/>
          </w:tcPr>
          <w:p>
            <w:pPr>
              <w:jc w:val="center"/>
              <w:ind w:right="39"/>
              <w:spacing w:after="0"/>
              <w:rPr>
                <w:sz w:val="20"/>
                <w:szCs w:val="20"/>
                <w:color w:val="auto"/>
              </w:rPr>
            </w:pPr>
            <w:r>
              <w:rPr>
                <w:rFonts w:ascii="Arial" w:cs="Arial" w:eastAsia="Arial" w:hAnsi="Arial"/>
                <w:sz w:val="14"/>
                <w:szCs w:val="14"/>
                <w:b w:val="1"/>
                <w:bCs w:val="1"/>
                <w:color w:val="FEFEFE"/>
              </w:rPr>
              <w:t>Metrics</w:t>
            </w:r>
          </w:p>
        </w:tc>
        <w:tc>
          <w:tcPr>
            <w:tcW w:w="400" w:type="dxa"/>
            <w:vAlign w:val="bottom"/>
            <w:gridSpan w:val="2"/>
            <w:shd w:val="clear" w:color="auto" w:fill="53C072"/>
          </w:tcPr>
          <w:p>
            <w:pPr>
              <w:ind w:left="60"/>
              <w:spacing w:after="0"/>
              <w:rPr>
                <w:sz w:val="20"/>
                <w:szCs w:val="20"/>
                <w:color w:val="auto"/>
              </w:rPr>
            </w:pPr>
            <w:r>
              <w:rPr>
                <w:rFonts w:ascii="Arial" w:cs="Arial" w:eastAsia="Arial" w:hAnsi="Arial"/>
                <w:sz w:val="14"/>
                <w:szCs w:val="14"/>
                <w:b w:val="1"/>
                <w:bCs w:val="1"/>
                <w:color w:val="FEFEFE"/>
              </w:rPr>
              <w:t>​ ​</w:t>
            </w:r>
          </w:p>
        </w:tc>
        <w:tc>
          <w:tcPr>
            <w:tcW w:w="960" w:type="dxa"/>
            <w:vAlign w:val="bottom"/>
            <w:shd w:val="clear" w:color="auto" w:fill="53C072"/>
          </w:tcPr>
          <w:p>
            <w:pPr>
              <w:ind w:left="160"/>
              <w:spacing w:after="0"/>
              <w:rPr>
                <w:sz w:val="20"/>
                <w:szCs w:val="20"/>
                <w:color w:val="auto"/>
              </w:rPr>
            </w:pPr>
            <w:r>
              <w:rPr>
                <w:rFonts w:ascii="Arial" w:cs="Arial" w:eastAsia="Arial" w:hAnsi="Arial"/>
                <w:sz w:val="14"/>
                <w:szCs w:val="14"/>
                <w:b w:val="1"/>
                <w:bCs w:val="1"/>
                <w:color w:val="FEFEFE"/>
              </w:rPr>
              <w:t>Weight</w:t>
            </w:r>
          </w:p>
        </w:tc>
        <w:tc>
          <w:tcPr>
            <w:tcW w:w="80" w:type="dxa"/>
            <w:vAlign w:val="bottom"/>
            <w:tcBorders>
              <w:right w:val="single" w:sz="8" w:color="53C072"/>
            </w:tcBorders>
            <w:shd w:val="clear" w:color="auto" w:fill="53C072"/>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560" w:type="dxa"/>
            <w:vAlign w:val="bottom"/>
            <w:tcBorders>
              <w:left w:val="single" w:sz="8" w:color="53C072"/>
              <w:bottom w:val="single" w:sz="8" w:color="53C072"/>
            </w:tcBorders>
          </w:tcPr>
          <w:p>
            <w:pPr>
              <w:ind w:left="1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RSUs</w:t>
            </w:r>
          </w:p>
        </w:tc>
        <w:tc>
          <w:tcPr>
            <w:tcW w:w="1340" w:type="dxa"/>
            <w:vAlign w:val="bottom"/>
            <w:tcBorders>
              <w:bottom w:val="single" w:sz="8" w:color="53C072"/>
              <w:right w:val="single" w:sz="8" w:color="53C072"/>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53C072"/>
            </w:tcBorders>
          </w:tcPr>
          <w:p>
            <w:pPr>
              <w:ind w:left="5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50%</w:t>
            </w:r>
          </w:p>
        </w:tc>
        <w:tc>
          <w:tcPr>
            <w:tcW w:w="14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53C072"/>
            </w:tcBorders>
            <w:gridSpan w:val="2"/>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Time-based Vesting</w:t>
            </w:r>
          </w:p>
        </w:tc>
        <w:tc>
          <w:tcPr>
            <w:tcW w:w="140" w:type="dxa"/>
            <w:vAlign w:val="bottom"/>
            <w:tcBorders>
              <w:bottom w:val="single" w:sz="8" w:color="53C072"/>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53C072"/>
            </w:tcBorders>
          </w:tcPr>
          <w:p>
            <w:pPr>
              <w:ind w:left="2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100%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560" w:type="dxa"/>
            <w:vAlign w:val="bottom"/>
            <w:tcBorders>
              <w:left w:val="single" w:sz="8" w:color="53C072"/>
            </w:tcBorders>
          </w:tcPr>
          <w:p>
            <w:pPr>
              <w:spacing w:after="0"/>
              <w:rPr>
                <w:sz w:val="23"/>
                <w:szCs w:val="23"/>
                <w:color w:val="auto"/>
              </w:rPr>
            </w:pPr>
          </w:p>
        </w:tc>
        <w:tc>
          <w:tcPr>
            <w:tcW w:w="1340" w:type="dxa"/>
            <w:vAlign w:val="bottom"/>
            <w:tcBorders>
              <w:right w:val="single" w:sz="8" w:color="53C072"/>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Borders>
              <w:right w:val="single" w:sz="8" w:color="53C072"/>
            </w:tcBorders>
          </w:tcPr>
          <w:p>
            <w:pPr>
              <w:spacing w:after="0"/>
              <w:rPr>
                <w:sz w:val="23"/>
                <w:szCs w:val="23"/>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tcPr>
          <w:p>
            <w:pPr>
              <w:jc w:val="center"/>
              <w:ind w:right="39"/>
              <w:spacing w:after="0"/>
              <w:rPr>
                <w:sz w:val="20"/>
                <w:szCs w:val="20"/>
                <w:color w:val="auto"/>
              </w:rPr>
            </w:pPr>
            <w:r>
              <w:rPr>
                <w:rFonts w:ascii="Arial" w:cs="Arial" w:eastAsia="Arial" w:hAnsi="Arial"/>
                <w:sz w:val="18"/>
                <w:szCs w:val="18"/>
                <w:color w:val="auto"/>
                <w:w w:val="97"/>
              </w:rPr>
              <w:t>ROIC &gt; WACC</w:t>
            </w:r>
          </w:p>
        </w:tc>
        <w:tc>
          <w:tcPr>
            <w:tcW w:w="140" w:type="dxa"/>
            <w:vAlign w:val="bottom"/>
            <w:tcBorders>
              <w:right w:val="single" w:sz="8" w:color="53C072"/>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 50%</w:t>
            </w:r>
          </w:p>
        </w:tc>
        <w:tc>
          <w:tcPr>
            <w:tcW w:w="80" w:type="dxa"/>
            <w:vAlign w:val="bottom"/>
            <w:tcBorders>
              <w:right w:val="single" w:sz="8" w:color="53C072"/>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
        </w:trPr>
        <w:tc>
          <w:tcPr>
            <w:tcW w:w="2560" w:type="dxa"/>
            <w:vAlign w:val="bottom"/>
            <w:tcBorders>
              <w:left w:val="single" w:sz="8" w:color="53C072"/>
            </w:tcBorders>
            <w:vMerge w:val="restart"/>
          </w:tcPr>
          <w:p>
            <w:pPr>
              <w:ind w:left="120"/>
              <w:spacing w:after="0"/>
              <w:rPr>
                <w:sz w:val="20"/>
                <w:szCs w:val="20"/>
                <w:color w:val="auto"/>
              </w:rPr>
            </w:pPr>
            <w:r>
              <w:rPr>
                <w:rFonts w:ascii="Arial" w:cs="Arial" w:eastAsia="Arial" w:hAnsi="Arial"/>
                <w:sz w:val="18"/>
                <w:szCs w:val="18"/>
                <w:color w:val="auto"/>
              </w:rPr>
              <w:t>​ PSUs</w:t>
            </w:r>
          </w:p>
        </w:tc>
        <w:tc>
          <w:tcPr>
            <w:tcW w:w="1340" w:type="dxa"/>
            <w:vAlign w:val="bottom"/>
            <w:tcBorders>
              <w:right w:val="single" w:sz="8" w:color="53C072"/>
            </w:tcBorders>
            <w:vMerge w:val="restart"/>
          </w:tcPr>
          <w:p>
            <w:pPr>
              <w:ind w:left="12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ind w:left="580"/>
              <w:spacing w:after="0"/>
              <w:rPr>
                <w:sz w:val="20"/>
                <w:szCs w:val="20"/>
                <w:color w:val="auto"/>
              </w:rPr>
            </w:pPr>
            <w:r>
              <w:rPr>
                <w:rFonts w:ascii="Arial" w:cs="Arial" w:eastAsia="Arial" w:hAnsi="Arial"/>
                <w:sz w:val="18"/>
                <w:szCs w:val="18"/>
                <w:color w:val="auto"/>
              </w:rPr>
              <w:t>​50%</w:t>
            </w:r>
          </w:p>
        </w:tc>
        <w:tc>
          <w:tcPr>
            <w:tcW w:w="140" w:type="dxa"/>
            <w:vAlign w:val="bottom"/>
            <w:tcBorders>
              <w:right w:val="single" w:sz="8" w:color="53C072"/>
            </w:tcBorders>
            <w:vMerge w:val="restart"/>
          </w:tcPr>
          <w:p>
            <w:pPr>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53C072"/>
              <w:right w:val="single" w:sz="8" w:color="53C072"/>
            </w:tcBorders>
            <w:gridSpan w:val="3"/>
          </w:tcPr>
          <w:p>
            <w:pPr>
              <w:spacing w:after="0"/>
              <w:rPr>
                <w:sz w:val="3"/>
                <w:szCs w:val="3"/>
                <w:color w:val="auto"/>
              </w:rPr>
            </w:pPr>
          </w:p>
        </w:tc>
        <w:tc>
          <w:tcPr>
            <w:tcW w:w="260" w:type="dxa"/>
            <w:vAlign w:val="bottom"/>
            <w:tcBorders>
              <w:bottom w:val="single" w:sz="8" w:color="53C072"/>
            </w:tcBorders>
          </w:tcPr>
          <w:p>
            <w:pPr>
              <w:spacing w:after="0"/>
              <w:rPr>
                <w:sz w:val="3"/>
                <w:szCs w:val="3"/>
                <w:color w:val="auto"/>
              </w:rPr>
            </w:pPr>
          </w:p>
        </w:tc>
        <w:tc>
          <w:tcPr>
            <w:tcW w:w="960" w:type="dxa"/>
            <w:vAlign w:val="bottom"/>
            <w:tcBorders>
              <w:bottom w:val="single" w:sz="8" w:color="53C072"/>
            </w:tcBorders>
          </w:tcPr>
          <w:p>
            <w:pPr>
              <w:spacing w:after="0"/>
              <w:rPr>
                <w:sz w:val="3"/>
                <w:szCs w:val="3"/>
                <w:color w:val="auto"/>
              </w:rPr>
            </w:pPr>
          </w:p>
        </w:tc>
        <w:tc>
          <w:tcPr>
            <w:tcW w:w="80" w:type="dxa"/>
            <w:vAlign w:val="bottom"/>
            <w:tcBorders>
              <w:bottom w:val="single" w:sz="8" w:color="53C072"/>
              <w:right w:val="single" w:sz="8" w:color="53C072"/>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left w:val="single" w:sz="8" w:color="53C072"/>
            </w:tcBorders>
            <w:vMerge w:val="continue"/>
          </w:tcPr>
          <w:p>
            <w:pPr>
              <w:spacing w:after="0"/>
              <w:rPr>
                <w:sz w:val="22"/>
                <w:szCs w:val="22"/>
                <w:color w:val="auto"/>
              </w:rPr>
            </w:pPr>
          </w:p>
        </w:tc>
        <w:tc>
          <w:tcPr>
            <w:tcW w:w="1340" w:type="dxa"/>
            <w:vAlign w:val="bottom"/>
            <w:tcBorders>
              <w:right w:val="single" w:sz="8" w:color="53C072"/>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0" w:type="dxa"/>
            <w:vAlign w:val="bottom"/>
            <w:tcBorders>
              <w:right w:val="single" w:sz="8" w:color="53C072"/>
            </w:tcBorders>
            <w:vMerge w:val="continue"/>
          </w:tcPr>
          <w:p>
            <w:pPr>
              <w:spacing w:after="0"/>
              <w:rPr>
                <w:sz w:val="22"/>
                <w:szCs w:val="22"/>
                <w:color w:val="auto"/>
              </w:rPr>
            </w:pPr>
          </w:p>
        </w:tc>
        <w:tc>
          <w:tcPr>
            <w:tcW w:w="1940" w:type="dxa"/>
            <w:vAlign w:val="bottom"/>
            <w:tcBorders>
              <w:bottom w:val="single" w:sz="8" w:color="53C072"/>
              <w:right w:val="single" w:sz="8" w:color="53C072"/>
            </w:tcBorders>
            <w:gridSpan w:val="3"/>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Relative EPS Growth </w:t>
            </w:r>
            <w:r>
              <w:rPr>
                <w:rFonts w:ascii="Arial" w:cs="Arial" w:eastAsia="Arial" w:hAnsi="Arial"/>
                <w:sz w:val="30"/>
                <w:szCs w:val="30"/>
                <w:color w:val="auto"/>
                <w:vertAlign w:val="subscript"/>
              </w:rPr>
              <w:t>​</w:t>
            </w:r>
          </w:p>
        </w:tc>
        <w:tc>
          <w:tcPr>
            <w:tcW w:w="2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53C072"/>
            </w:tcBorders>
          </w:tcPr>
          <w:p>
            <w:pPr>
              <w:ind w:left="2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50%</w:t>
            </w:r>
          </w:p>
        </w:tc>
        <w:tc>
          <w:tcPr>
            <w:tcW w:w="80" w:type="dxa"/>
            <w:vAlign w:val="bottom"/>
            <w:tcBorders>
              <w:bottom w:val="single" w:sz="8" w:color="53C072"/>
              <w:right w:val="single" w:sz="8" w:color="53C072"/>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560" w:type="dxa"/>
            <w:vAlign w:val="bottom"/>
            <w:tcBorders>
              <w:left w:val="single" w:sz="8" w:color="53C072"/>
              <w:bottom w:val="single" w:sz="8" w:color="53C072"/>
            </w:tcBorders>
          </w:tcPr>
          <w:p>
            <w:pPr>
              <w:spacing w:after="0"/>
              <w:rPr>
                <w:sz w:val="22"/>
                <w:szCs w:val="22"/>
                <w:color w:val="auto"/>
              </w:rPr>
            </w:pPr>
          </w:p>
        </w:tc>
        <w:tc>
          <w:tcPr>
            <w:tcW w:w="1340" w:type="dxa"/>
            <w:vAlign w:val="bottom"/>
            <w:tcBorders>
              <w:bottom w:val="single" w:sz="8" w:color="53C072"/>
              <w:right w:val="single" w:sz="8" w:color="53C072"/>
            </w:tcBorders>
          </w:tcPr>
          <w:p>
            <w:pPr>
              <w:spacing w:after="0"/>
              <w:rPr>
                <w:sz w:val="22"/>
                <w:szCs w:val="22"/>
                <w:color w:val="auto"/>
              </w:rPr>
            </w:pPr>
          </w:p>
        </w:tc>
        <w:tc>
          <w:tcPr>
            <w:tcW w:w="100" w:type="dxa"/>
            <w:vAlign w:val="bottom"/>
            <w:tcBorders>
              <w:bottom w:val="single" w:sz="8" w:color="53C072"/>
            </w:tcBorders>
          </w:tcPr>
          <w:p>
            <w:pPr>
              <w:spacing w:after="0"/>
              <w:rPr>
                <w:sz w:val="22"/>
                <w:szCs w:val="22"/>
                <w:color w:val="auto"/>
              </w:rPr>
            </w:pPr>
          </w:p>
        </w:tc>
        <w:tc>
          <w:tcPr>
            <w:tcW w:w="1380" w:type="dxa"/>
            <w:vAlign w:val="bottom"/>
            <w:tcBorders>
              <w:bottom w:val="single" w:sz="8" w:color="53C072"/>
            </w:tcBorders>
          </w:tcPr>
          <w:p>
            <w:pPr>
              <w:spacing w:after="0"/>
              <w:rPr>
                <w:sz w:val="22"/>
                <w:szCs w:val="22"/>
                <w:color w:val="auto"/>
              </w:rPr>
            </w:pPr>
          </w:p>
        </w:tc>
        <w:tc>
          <w:tcPr>
            <w:tcW w:w="140" w:type="dxa"/>
            <w:vAlign w:val="bottom"/>
            <w:tcBorders>
              <w:bottom w:val="single" w:sz="8" w:color="53C072"/>
              <w:right w:val="single" w:sz="8" w:color="53C072"/>
            </w:tcBorders>
          </w:tcPr>
          <w:p>
            <w:pPr>
              <w:spacing w:after="0"/>
              <w:rPr>
                <w:sz w:val="22"/>
                <w:szCs w:val="22"/>
                <w:color w:val="auto"/>
              </w:rPr>
            </w:pPr>
          </w:p>
        </w:tc>
        <w:tc>
          <w:tcPr>
            <w:tcW w:w="1940" w:type="dxa"/>
            <w:vAlign w:val="bottom"/>
            <w:tcBorders>
              <w:bottom w:val="single" w:sz="8" w:color="53C072"/>
              <w:right w:val="single" w:sz="8" w:color="53C072"/>
            </w:tcBorders>
            <w:gridSpan w:val="3"/>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Relative TSR Modifier </w:t>
            </w:r>
            <w:r>
              <w:rPr>
                <w:rFonts w:ascii="Arial" w:cs="Arial" w:eastAsia="Arial" w:hAnsi="Arial"/>
                <w:sz w:val="30"/>
                <w:szCs w:val="30"/>
                <w:color w:val="auto"/>
                <w:vertAlign w:val="subscript"/>
              </w:rPr>
              <w:t>​</w:t>
            </w:r>
          </w:p>
        </w:tc>
        <w:tc>
          <w:tcPr>
            <w:tcW w:w="1220" w:type="dxa"/>
            <w:vAlign w:val="bottom"/>
            <w:tcBorders>
              <w:bottom w:val="single" w:sz="8" w:color="53C072"/>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 to +10%</w:t>
            </w:r>
          </w:p>
        </w:tc>
        <w:tc>
          <w:tcPr>
            <w:tcW w:w="80" w:type="dxa"/>
            <w:vAlign w:val="bottom"/>
            <w:tcBorders>
              <w:bottom w:val="single" w:sz="8" w:color="53C072"/>
              <w:right w:val="single" w:sz="8" w:color="53C072"/>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-753745</wp:posOffset>
            </wp:positionV>
            <wp:extent cx="5537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83"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b w:val="1"/>
          <w:bCs w:val="1"/>
          <w:color w:val="53C072"/>
        </w:rPr>
        <w:t xml:space="preserve">Target Long-Term Incentives. </w:t>
      </w:r>
      <w:r>
        <w:rPr>
          <w:rFonts w:ascii="Arial" w:cs="Arial" w:eastAsia="Arial" w:hAnsi="Arial"/>
          <w:sz w:val="18"/>
          <w:szCs w:val="18"/>
          <w:color w:val="000000"/>
        </w:rPr>
        <w:t>The Committee sets each NEO’s target LTIP incentive value based on a</w:t>
      </w:r>
      <w:r>
        <w:rPr>
          <w:rFonts w:ascii="Arial" w:cs="Arial" w:eastAsia="Arial" w:hAnsi="Arial"/>
          <w:sz w:val="18"/>
          <w:szCs w:val="18"/>
          <w:b w:val="1"/>
          <w:bCs w:val="1"/>
          <w:color w:val="53C072"/>
        </w:rPr>
        <w:t xml:space="preserve"> </w:t>
      </w:r>
      <w:r>
        <w:rPr>
          <w:rFonts w:ascii="Arial" w:cs="Arial" w:eastAsia="Arial" w:hAnsi="Arial"/>
          <w:sz w:val="18"/>
          <w:szCs w:val="18"/>
          <w:color w:val="000000"/>
        </w:rPr>
        <w:t>number of factors, including benchmark data, the NEO’s responsibilities and duties, the NEO’s prior-year performance, and the Company’s performance. As a result, fiscal 2024 target LTIP incentive values vary among the NEOs and can vary from year to year.</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fiscal 2024 LTIP equity incentive compensation is listed in the following table.</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193"/>
        </w:trPr>
        <w:tc>
          <w:tcPr>
            <w:tcW w:w="2960" w:type="dxa"/>
            <w:vAlign w:val="bottom"/>
            <w:shd w:val="clear" w:color="auto" w:fill="53C072"/>
          </w:tcPr>
          <w:p>
            <w:pPr>
              <w:spacing w:after="0"/>
              <w:rPr>
                <w:sz w:val="16"/>
                <w:szCs w:val="16"/>
                <w:color w:val="auto"/>
              </w:rPr>
            </w:pPr>
          </w:p>
        </w:tc>
        <w:tc>
          <w:tcPr>
            <w:tcW w:w="2840" w:type="dxa"/>
            <w:vAlign w:val="bottom"/>
            <w:shd w:val="clear" w:color="auto" w:fill="53C072"/>
          </w:tcPr>
          <w:p>
            <w:pPr>
              <w:spacing w:after="0"/>
              <w:rPr>
                <w:sz w:val="16"/>
                <w:szCs w:val="16"/>
                <w:color w:val="auto"/>
              </w:rPr>
            </w:pPr>
          </w:p>
        </w:tc>
        <w:tc>
          <w:tcPr>
            <w:tcW w:w="820" w:type="dxa"/>
            <w:vAlign w:val="bottom"/>
            <w:shd w:val="clear" w:color="auto" w:fill="53C072"/>
          </w:tcPr>
          <w:p>
            <w:pPr>
              <w:spacing w:after="0"/>
              <w:rPr>
                <w:sz w:val="16"/>
                <w:szCs w:val="16"/>
                <w:color w:val="auto"/>
              </w:rPr>
            </w:pPr>
          </w:p>
        </w:tc>
        <w:tc>
          <w:tcPr>
            <w:tcW w:w="112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w w:val="99"/>
              </w:rPr>
              <w:t>Target Value</w:t>
            </w:r>
          </w:p>
        </w:tc>
        <w:tc>
          <w:tcPr>
            <w:tcW w:w="102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Total Value</w:t>
            </w:r>
          </w:p>
        </w:tc>
      </w:tr>
      <w:tr>
        <w:trPr>
          <w:trHeight w:val="185"/>
        </w:trPr>
        <w:tc>
          <w:tcPr>
            <w:tcW w:w="2960" w:type="dxa"/>
            <w:vAlign w:val="bottom"/>
            <w:shd w:val="clear" w:color="auto" w:fill="53C072"/>
          </w:tcPr>
          <w:p>
            <w:pPr>
              <w:spacing w:after="0"/>
              <w:rPr>
                <w:sz w:val="16"/>
                <w:szCs w:val="16"/>
                <w:color w:val="auto"/>
              </w:rPr>
            </w:pPr>
          </w:p>
        </w:tc>
        <w:tc>
          <w:tcPr>
            <w:tcW w:w="2840" w:type="dxa"/>
            <w:vAlign w:val="bottom"/>
            <w:shd w:val="clear" w:color="auto" w:fill="53C072"/>
          </w:tcPr>
          <w:p>
            <w:pPr>
              <w:spacing w:after="0"/>
              <w:rPr>
                <w:sz w:val="16"/>
                <w:szCs w:val="16"/>
                <w:color w:val="auto"/>
              </w:rPr>
            </w:pPr>
          </w:p>
        </w:tc>
        <w:tc>
          <w:tcPr>
            <w:tcW w:w="820" w:type="dxa"/>
            <w:vAlign w:val="bottom"/>
            <w:shd w:val="clear" w:color="auto" w:fill="53C072"/>
          </w:tcPr>
          <w:p>
            <w:pPr>
              <w:spacing w:after="0"/>
              <w:rPr>
                <w:sz w:val="16"/>
                <w:szCs w:val="16"/>
                <w:color w:val="auto"/>
              </w:rPr>
            </w:pPr>
          </w:p>
        </w:tc>
        <w:tc>
          <w:tcPr>
            <w:tcW w:w="1120" w:type="dxa"/>
            <w:vAlign w:val="bottom"/>
            <w:shd w:val="clear" w:color="auto" w:fill="53C072"/>
          </w:tcPr>
          <w:p>
            <w:pPr>
              <w:jc w:val="right"/>
              <w:ind w:right="37"/>
              <w:spacing w:after="0"/>
              <w:rPr>
                <w:sz w:val="20"/>
                <w:szCs w:val="20"/>
                <w:color w:val="auto"/>
              </w:rPr>
            </w:pPr>
            <w:r>
              <w:rPr>
                <w:rFonts w:ascii="Arial" w:cs="Arial" w:eastAsia="Arial" w:hAnsi="Arial"/>
                <w:sz w:val="14"/>
                <w:szCs w:val="14"/>
                <w:b w:val="1"/>
                <w:bCs w:val="1"/>
                <w:color w:val="FEFEFE"/>
              </w:rPr>
              <w:t>of LTIP</w:t>
            </w:r>
          </w:p>
        </w:tc>
        <w:tc>
          <w:tcPr>
            <w:tcW w:w="1020" w:type="dxa"/>
            <w:vAlign w:val="bottom"/>
            <w:shd w:val="clear" w:color="auto" w:fill="53C072"/>
          </w:tcPr>
          <w:p>
            <w:pPr>
              <w:ind w:left="200"/>
              <w:spacing w:after="0"/>
              <w:rPr>
                <w:sz w:val="20"/>
                <w:szCs w:val="20"/>
                <w:color w:val="auto"/>
              </w:rPr>
            </w:pPr>
            <w:r>
              <w:rPr>
                <w:rFonts w:ascii="Arial" w:cs="Arial" w:eastAsia="Arial" w:hAnsi="Arial"/>
                <w:sz w:val="14"/>
                <w:szCs w:val="14"/>
                <w:b w:val="1"/>
                <w:bCs w:val="1"/>
                <w:color w:val="FEFEFE"/>
              </w:rPr>
              <w:t>% Change</w:t>
            </w:r>
          </w:p>
        </w:tc>
      </w:tr>
      <w:tr>
        <w:trPr>
          <w:trHeight w:val="230"/>
        </w:trPr>
        <w:tc>
          <w:tcPr>
            <w:tcW w:w="296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NEO</w:t>
            </w:r>
          </w:p>
        </w:tc>
        <w:tc>
          <w:tcPr>
            <w:tcW w:w="2840" w:type="dxa"/>
            <w:vAlign w:val="bottom"/>
            <w:shd w:val="clear" w:color="auto" w:fill="53C072"/>
          </w:tcPr>
          <w:p>
            <w:pPr>
              <w:ind w:left="2100"/>
              <w:spacing w:after="0"/>
              <w:rPr>
                <w:sz w:val="20"/>
                <w:szCs w:val="20"/>
                <w:color w:val="auto"/>
              </w:rPr>
            </w:pPr>
            <w:r>
              <w:rPr>
                <w:rFonts w:ascii="Arial" w:cs="Arial" w:eastAsia="Arial" w:hAnsi="Arial"/>
                <w:sz w:val="14"/>
                <w:szCs w:val="14"/>
                <w:b w:val="1"/>
                <w:bCs w:val="1"/>
                <w:color w:val="FEFEFE"/>
              </w:rPr>
              <w:t>RSUs (#)</w:t>
            </w:r>
          </w:p>
        </w:tc>
        <w:tc>
          <w:tcPr>
            <w:tcW w:w="82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PSUs (#)</w:t>
            </w:r>
          </w:p>
        </w:tc>
        <w:tc>
          <w:tcPr>
            <w:tcW w:w="1120" w:type="dxa"/>
            <w:vAlign w:val="bottom"/>
            <w:shd w:val="clear" w:color="auto" w:fill="53C072"/>
          </w:tcPr>
          <w:p>
            <w:pPr>
              <w:jc w:val="right"/>
              <w:ind w:right="37"/>
              <w:spacing w:after="0"/>
              <w:rPr>
                <w:sz w:val="20"/>
                <w:szCs w:val="20"/>
                <w:color w:val="auto"/>
              </w:rPr>
            </w:pPr>
            <w:r>
              <w:rPr>
                <w:rFonts w:ascii="Arial" w:cs="Arial" w:eastAsia="Arial" w:hAnsi="Arial"/>
                <w:sz w:val="14"/>
                <w:szCs w:val="14"/>
                <w:b w:val="1"/>
                <w:bCs w:val="1"/>
                <w:color w:val="FEFEFE"/>
              </w:rPr>
              <w:t>Incentive ($)</w:t>
            </w:r>
          </w:p>
        </w:tc>
        <w:tc>
          <w:tcPr>
            <w:tcW w:w="1020" w:type="dxa"/>
            <w:vAlign w:val="bottom"/>
            <w:shd w:val="clear" w:color="auto" w:fill="53C072"/>
          </w:tcPr>
          <w:p>
            <w:pPr>
              <w:ind w:left="200"/>
              <w:spacing w:after="0"/>
              <w:rPr>
                <w:sz w:val="20"/>
                <w:szCs w:val="20"/>
                <w:color w:val="auto"/>
              </w:rPr>
            </w:pPr>
            <w:r>
              <w:rPr>
                <w:rFonts w:ascii="Arial" w:cs="Arial" w:eastAsia="Arial" w:hAnsi="Arial"/>
                <w:sz w:val="14"/>
                <w:szCs w:val="14"/>
                <w:b w:val="1"/>
                <w:bCs w:val="1"/>
                <w:color w:val="FEFEFE"/>
              </w:rPr>
              <w:t>from FY23</w:t>
            </w:r>
          </w:p>
        </w:tc>
      </w:tr>
      <w:tr>
        <w:trPr>
          <w:trHeight w:val="256"/>
        </w:trPr>
        <w:tc>
          <w:tcPr>
            <w:tcW w:w="2960" w:type="dxa"/>
            <w:vAlign w:val="bottom"/>
          </w:tcPr>
          <w:p>
            <w:pPr>
              <w:ind w:left="60"/>
              <w:spacing w:after="0"/>
              <w:rPr>
                <w:sz w:val="20"/>
                <w:szCs w:val="20"/>
                <w:color w:val="auto"/>
              </w:rPr>
            </w:pPr>
            <w:r>
              <w:rPr>
                <w:rFonts w:ascii="Arial" w:cs="Arial" w:eastAsia="Arial" w:hAnsi="Arial"/>
                <w:sz w:val="18"/>
                <w:szCs w:val="18"/>
                <w:color w:val="auto"/>
              </w:rPr>
              <w:t>​Gallagher</w:t>
            </w:r>
          </w:p>
        </w:tc>
        <w:tc>
          <w:tcPr>
            <w:tcW w:w="2840" w:type="dxa"/>
            <w:vAlign w:val="bottom"/>
          </w:tcPr>
          <w:p>
            <w:pPr>
              <w:ind w:left="2120"/>
              <w:spacing w:after="0"/>
              <w:rPr>
                <w:sz w:val="20"/>
                <w:szCs w:val="20"/>
                <w:color w:val="auto"/>
              </w:rPr>
            </w:pPr>
            <w:r>
              <w:rPr>
                <w:rFonts w:ascii="Arial" w:cs="Arial" w:eastAsia="Arial" w:hAnsi="Arial"/>
                <w:sz w:val="18"/>
                <w:szCs w:val="18"/>
                <w:color w:val="auto"/>
              </w:rPr>
              <w:t>​69,988 ​</w:t>
            </w:r>
          </w:p>
        </w:tc>
        <w:tc>
          <w:tcPr>
            <w:tcW w:w="820" w:type="dxa"/>
            <w:vAlign w:val="bottom"/>
          </w:tcPr>
          <w:p>
            <w:pPr>
              <w:ind w:left="100"/>
              <w:spacing w:after="0"/>
              <w:rPr>
                <w:sz w:val="20"/>
                <w:szCs w:val="20"/>
                <w:color w:val="auto"/>
              </w:rPr>
            </w:pPr>
            <w:r>
              <w:rPr>
                <w:rFonts w:ascii="Arial" w:cs="Arial" w:eastAsia="Arial" w:hAnsi="Arial"/>
                <w:sz w:val="18"/>
                <w:szCs w:val="18"/>
                <w:color w:val="auto"/>
              </w:rPr>
              <w:t>​69,986 ​</w:t>
            </w:r>
          </w:p>
        </w:tc>
        <w:tc>
          <w:tcPr>
            <w:tcW w:w="1120" w:type="dxa"/>
            <w:vAlign w:val="bottom"/>
          </w:tcPr>
          <w:p>
            <w:pPr>
              <w:jc w:val="center"/>
              <w:spacing w:after="0"/>
              <w:rPr>
                <w:sz w:val="20"/>
                <w:szCs w:val="20"/>
                <w:color w:val="auto"/>
              </w:rPr>
            </w:pPr>
            <w:r>
              <w:rPr>
                <w:rFonts w:ascii="Arial" w:cs="Arial" w:eastAsia="Arial" w:hAnsi="Arial"/>
                <w:sz w:val="18"/>
                <w:szCs w:val="18"/>
                <w:color w:val="auto"/>
              </w:rPr>
              <w:t>​$7,000,000</w:t>
            </w:r>
          </w:p>
        </w:tc>
        <w:tc>
          <w:tcPr>
            <w:tcW w:w="1020" w:type="dxa"/>
            <w:vAlign w:val="bottom"/>
          </w:tcPr>
          <w:p>
            <w:pPr>
              <w:ind w:left="320"/>
              <w:spacing w:after="0"/>
              <w:rPr>
                <w:sz w:val="20"/>
                <w:szCs w:val="20"/>
                <w:color w:val="auto"/>
              </w:rPr>
            </w:pPr>
            <w:r>
              <w:rPr>
                <w:rFonts w:ascii="Arial" w:cs="Arial" w:eastAsia="Arial" w:hAnsi="Arial"/>
                <w:sz w:val="18"/>
                <w:szCs w:val="18"/>
                <w:color w:val="auto"/>
              </w:rPr>
              <w:t>​ 7.7% ​</w:t>
            </w:r>
          </w:p>
        </w:tc>
      </w:tr>
      <w:tr>
        <w:trPr>
          <w:trHeight w:val="257"/>
        </w:trPr>
        <w:tc>
          <w:tcPr>
            <w:tcW w:w="2960" w:type="dxa"/>
            <w:vAlign w:val="bottom"/>
            <w:shd w:val="clear" w:color="auto" w:fill="CBECD5"/>
          </w:tcPr>
          <w:p>
            <w:pPr>
              <w:ind w:left="60"/>
              <w:spacing w:after="0"/>
              <w:rPr>
                <w:sz w:val="20"/>
                <w:szCs w:val="20"/>
                <w:color w:val="auto"/>
              </w:rPr>
            </w:pPr>
            <w:r>
              <w:rPr>
                <w:rFonts w:ascii="Arial" w:cs="Arial" w:eastAsia="Arial" w:hAnsi="Arial"/>
                <w:sz w:val="18"/>
                <w:szCs w:val="18"/>
                <w:color w:val="auto"/>
              </w:rPr>
              <w:t>​Jacobson</w:t>
            </w:r>
          </w:p>
        </w:tc>
        <w:tc>
          <w:tcPr>
            <w:tcW w:w="2840" w:type="dxa"/>
            <w:vAlign w:val="bottom"/>
            <w:shd w:val="clear" w:color="auto" w:fill="CBECD5"/>
          </w:tcPr>
          <w:p>
            <w:pPr>
              <w:ind w:left="2120"/>
              <w:spacing w:after="0"/>
              <w:rPr>
                <w:sz w:val="20"/>
                <w:szCs w:val="20"/>
                <w:color w:val="auto"/>
              </w:rPr>
            </w:pPr>
            <w:r>
              <w:rPr>
                <w:rFonts w:ascii="Arial" w:cs="Arial" w:eastAsia="Arial" w:hAnsi="Arial"/>
                <w:sz w:val="18"/>
                <w:szCs w:val="18"/>
                <w:color w:val="auto"/>
              </w:rPr>
              <w:t>​14,996 ​</w:t>
            </w:r>
          </w:p>
        </w:tc>
        <w:tc>
          <w:tcPr>
            <w:tcW w:w="820" w:type="dxa"/>
            <w:vAlign w:val="bottom"/>
            <w:shd w:val="clear" w:color="auto" w:fill="CBECD5"/>
          </w:tcPr>
          <w:p>
            <w:pPr>
              <w:ind w:left="100"/>
              <w:spacing w:after="0"/>
              <w:rPr>
                <w:sz w:val="20"/>
                <w:szCs w:val="20"/>
                <w:color w:val="auto"/>
              </w:rPr>
            </w:pPr>
            <w:r>
              <w:rPr>
                <w:rFonts w:ascii="Arial" w:cs="Arial" w:eastAsia="Arial" w:hAnsi="Arial"/>
                <w:sz w:val="18"/>
                <w:szCs w:val="18"/>
                <w:color w:val="auto"/>
              </w:rPr>
              <w:t>​14,997 ​</w:t>
            </w:r>
          </w:p>
        </w:tc>
        <w:tc>
          <w:tcPr>
            <w:tcW w:w="112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​$1,500,000</w:t>
            </w:r>
          </w:p>
        </w:tc>
        <w:tc>
          <w:tcPr>
            <w:tcW w:w="1020" w:type="dxa"/>
            <w:vAlign w:val="bottom"/>
            <w:shd w:val="clear" w:color="auto" w:fill="CBECD5"/>
          </w:tcPr>
          <w:p>
            <w:pPr>
              <w:ind w:left="320"/>
              <w:spacing w:after="0"/>
              <w:rPr>
                <w:sz w:val="20"/>
                <w:szCs w:val="20"/>
                <w:color w:val="auto"/>
              </w:rPr>
            </w:pPr>
            <w:r>
              <w:rPr>
                <w:rFonts w:ascii="Arial" w:cs="Arial" w:eastAsia="Arial" w:hAnsi="Arial"/>
                <w:sz w:val="18"/>
                <w:szCs w:val="18"/>
                <w:color w:val="auto"/>
              </w:rPr>
              <w:t>​20.0% ​</w:t>
            </w:r>
          </w:p>
        </w:tc>
      </w:tr>
      <w:tr>
        <w:trPr>
          <w:trHeight w:val="256"/>
        </w:trPr>
        <w:tc>
          <w:tcPr>
            <w:tcW w:w="2960" w:type="dxa"/>
            <w:vAlign w:val="bottom"/>
          </w:tcPr>
          <w:p>
            <w:pPr>
              <w:ind w:left="60"/>
              <w:spacing w:after="0"/>
              <w:rPr>
                <w:sz w:val="20"/>
                <w:szCs w:val="20"/>
                <w:color w:val="auto"/>
              </w:rPr>
            </w:pPr>
            <w:r>
              <w:rPr>
                <w:rFonts w:ascii="Arial" w:cs="Arial" w:eastAsia="Arial" w:hAnsi="Arial"/>
                <w:sz w:val="18"/>
                <w:szCs w:val="18"/>
                <w:color w:val="auto"/>
              </w:rPr>
              <w:t>​Arnold</w:t>
            </w:r>
          </w:p>
        </w:tc>
        <w:tc>
          <w:tcPr>
            <w:tcW w:w="2840" w:type="dxa"/>
            <w:vAlign w:val="bottom"/>
          </w:tcPr>
          <w:p>
            <w:pPr>
              <w:ind w:left="2120"/>
              <w:spacing w:after="0"/>
              <w:rPr>
                <w:sz w:val="20"/>
                <w:szCs w:val="20"/>
                <w:color w:val="auto"/>
              </w:rPr>
            </w:pPr>
            <w:r>
              <w:rPr>
                <w:rFonts w:ascii="Arial" w:cs="Arial" w:eastAsia="Arial" w:hAnsi="Arial"/>
                <w:sz w:val="18"/>
                <w:szCs w:val="18"/>
                <w:color w:val="auto"/>
              </w:rPr>
              <w:t>​11,996 ​</w:t>
            </w:r>
          </w:p>
        </w:tc>
        <w:tc>
          <w:tcPr>
            <w:tcW w:w="820" w:type="dxa"/>
            <w:vAlign w:val="bottom"/>
          </w:tcPr>
          <w:p>
            <w:pPr>
              <w:ind w:left="100"/>
              <w:spacing w:after="0"/>
              <w:rPr>
                <w:sz w:val="20"/>
                <w:szCs w:val="20"/>
                <w:color w:val="auto"/>
              </w:rPr>
            </w:pPr>
            <w:r>
              <w:rPr>
                <w:rFonts w:ascii="Arial" w:cs="Arial" w:eastAsia="Arial" w:hAnsi="Arial"/>
                <w:sz w:val="18"/>
                <w:szCs w:val="18"/>
                <w:color w:val="auto"/>
              </w:rPr>
              <w:t>​11,998 ​</w:t>
            </w:r>
          </w:p>
        </w:tc>
        <w:tc>
          <w:tcPr>
            <w:tcW w:w="1120" w:type="dxa"/>
            <w:vAlign w:val="bottom"/>
          </w:tcPr>
          <w:p>
            <w:pPr>
              <w:jc w:val="center"/>
              <w:spacing w:after="0"/>
              <w:rPr>
                <w:sz w:val="20"/>
                <w:szCs w:val="20"/>
                <w:color w:val="auto"/>
              </w:rPr>
            </w:pPr>
            <w:r>
              <w:rPr>
                <w:rFonts w:ascii="Arial" w:cs="Arial" w:eastAsia="Arial" w:hAnsi="Arial"/>
                <w:sz w:val="18"/>
                <w:szCs w:val="18"/>
                <w:color w:val="auto"/>
              </w:rPr>
              <w:t>​$1,200,000</w:t>
            </w:r>
          </w:p>
        </w:tc>
        <w:tc>
          <w:tcPr>
            <w:tcW w:w="1020" w:type="dxa"/>
            <w:vAlign w:val="bottom"/>
          </w:tcPr>
          <w:p>
            <w:pPr>
              <w:ind w:left="320"/>
              <w:spacing w:after="0"/>
              <w:rPr>
                <w:sz w:val="20"/>
                <w:szCs w:val="20"/>
                <w:color w:val="auto"/>
              </w:rPr>
            </w:pPr>
            <w:r>
              <w:rPr>
                <w:rFonts w:ascii="Arial" w:cs="Arial" w:eastAsia="Arial" w:hAnsi="Arial"/>
                <w:sz w:val="18"/>
                <w:szCs w:val="18"/>
                <w:color w:val="auto"/>
              </w:rPr>
              <w:t>​26.3% ​</w:t>
            </w:r>
          </w:p>
        </w:tc>
      </w:tr>
      <w:tr>
        <w:trPr>
          <w:trHeight w:val="257"/>
        </w:trPr>
        <w:tc>
          <w:tcPr>
            <w:tcW w:w="2960" w:type="dxa"/>
            <w:vAlign w:val="bottom"/>
            <w:shd w:val="clear" w:color="auto" w:fill="CBECD5"/>
          </w:tcPr>
          <w:p>
            <w:pPr>
              <w:ind w:left="60"/>
              <w:spacing w:after="0"/>
              <w:rPr>
                <w:sz w:val="20"/>
                <w:szCs w:val="20"/>
                <w:color w:val="auto"/>
              </w:rPr>
            </w:pPr>
            <w:r>
              <w:rPr>
                <w:rFonts w:ascii="Arial" w:cs="Arial" w:eastAsia="Arial" w:hAnsi="Arial"/>
                <w:sz w:val="18"/>
                <w:szCs w:val="18"/>
                <w:color w:val="auto"/>
              </w:rPr>
              <w:t>​Chan</w:t>
            </w:r>
          </w:p>
        </w:tc>
        <w:tc>
          <w:tcPr>
            <w:tcW w:w="2840" w:type="dxa"/>
            <w:vAlign w:val="bottom"/>
            <w:shd w:val="clear" w:color="auto" w:fill="CBECD5"/>
          </w:tcPr>
          <w:p>
            <w:pPr>
              <w:ind w:left="2120"/>
              <w:spacing w:after="0"/>
              <w:rPr>
                <w:sz w:val="20"/>
                <w:szCs w:val="20"/>
                <w:color w:val="auto"/>
              </w:rPr>
            </w:pPr>
            <w:r>
              <w:rPr>
                <w:rFonts w:ascii="Arial" w:cs="Arial" w:eastAsia="Arial" w:hAnsi="Arial"/>
                <w:sz w:val="18"/>
                <w:szCs w:val="18"/>
                <w:color w:val="auto"/>
              </w:rPr>
              <w:t>​ 7,500 ​</w:t>
            </w:r>
          </w:p>
        </w:tc>
        <w:tc>
          <w:tcPr>
            <w:tcW w:w="820" w:type="dxa"/>
            <w:vAlign w:val="bottom"/>
            <w:shd w:val="clear" w:color="auto" w:fill="CBECD5"/>
          </w:tcPr>
          <w:p>
            <w:pPr>
              <w:ind w:left="100"/>
              <w:spacing w:after="0"/>
              <w:rPr>
                <w:sz w:val="20"/>
                <w:szCs w:val="20"/>
                <w:color w:val="auto"/>
              </w:rPr>
            </w:pPr>
            <w:r>
              <w:rPr>
                <w:rFonts w:ascii="Arial" w:cs="Arial" w:eastAsia="Arial" w:hAnsi="Arial"/>
                <w:sz w:val="18"/>
                <w:szCs w:val="18"/>
                <w:color w:val="auto"/>
              </w:rPr>
              <w:t>​ 7,499 ​</w:t>
            </w:r>
          </w:p>
        </w:tc>
        <w:tc>
          <w:tcPr>
            <w:tcW w:w="112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  750,000</w:t>
            </w:r>
          </w:p>
        </w:tc>
        <w:tc>
          <w:tcPr>
            <w:tcW w:w="1020" w:type="dxa"/>
            <w:vAlign w:val="bottom"/>
            <w:shd w:val="clear" w:color="auto" w:fill="CBECD5"/>
          </w:tcPr>
          <w:p>
            <w:pPr>
              <w:ind w:left="320"/>
              <w:spacing w:after="0"/>
              <w:rPr>
                <w:sz w:val="20"/>
                <w:szCs w:val="20"/>
                <w:color w:val="auto"/>
              </w:rPr>
            </w:pPr>
            <w:r>
              <w:rPr>
                <w:rFonts w:ascii="Arial" w:cs="Arial" w:eastAsia="Arial" w:hAnsi="Arial"/>
                <w:sz w:val="18"/>
                <w:szCs w:val="18"/>
                <w:color w:val="auto"/>
              </w:rPr>
              <w:t>​50.0% ​</w:t>
            </w:r>
          </w:p>
        </w:tc>
      </w:tr>
      <w:tr>
        <w:trPr>
          <w:trHeight w:val="290"/>
        </w:trPr>
        <w:tc>
          <w:tcPr>
            <w:tcW w:w="2960" w:type="dxa"/>
            <w:vAlign w:val="bottom"/>
            <w:tcBorders>
              <w:bottom w:val="single" w:sz="8" w:color="53C072"/>
            </w:tcBorders>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McCoy</w:t>
            </w:r>
          </w:p>
        </w:tc>
        <w:tc>
          <w:tcPr>
            <w:tcW w:w="2840" w:type="dxa"/>
            <w:vAlign w:val="bottom"/>
            <w:tcBorders>
              <w:bottom w:val="single" w:sz="8" w:color="53C072"/>
            </w:tcBorders>
          </w:tcPr>
          <w:p>
            <w:pPr>
              <w:ind w:left="21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12,996 </w:t>
            </w:r>
            <w:r>
              <w:rPr>
                <w:rFonts w:ascii="Arial" w:cs="Arial" w:eastAsia="Arial" w:hAnsi="Arial"/>
                <w:sz w:val="32"/>
                <w:szCs w:val="32"/>
                <w:color w:val="auto"/>
                <w:vertAlign w:val="subscript"/>
              </w:rPr>
              <w:t>​</w:t>
            </w:r>
          </w:p>
        </w:tc>
        <w:tc>
          <w:tcPr>
            <w:tcW w:w="820" w:type="dxa"/>
            <w:vAlign w:val="bottom"/>
            <w:tcBorders>
              <w:bottom w:val="single" w:sz="8" w:color="53C072"/>
            </w:tcBorders>
          </w:tcPr>
          <w:p>
            <w:pPr>
              <w:ind w:left="1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12,997 </w:t>
            </w:r>
            <w:r>
              <w:rPr>
                <w:rFonts w:ascii="Arial" w:cs="Arial" w:eastAsia="Arial" w:hAnsi="Arial"/>
                <w:sz w:val="32"/>
                <w:szCs w:val="32"/>
                <w:color w:val="auto"/>
                <w:vertAlign w:val="subscript"/>
              </w:rPr>
              <w:t>​</w:t>
            </w:r>
          </w:p>
        </w:tc>
        <w:tc>
          <w:tcPr>
            <w:tcW w:w="1120" w:type="dxa"/>
            <w:vAlign w:val="bottom"/>
            <w:tcBorders>
              <w:bottom w:val="single" w:sz="8" w:color="53C072"/>
            </w:tcBorders>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$1,300,000</w:t>
            </w:r>
          </w:p>
        </w:tc>
        <w:tc>
          <w:tcPr>
            <w:tcW w:w="1020" w:type="dxa"/>
            <w:vAlign w:val="bottom"/>
            <w:tcBorders>
              <w:bottom w:val="single" w:sz="8" w:color="53C072"/>
            </w:tcBorders>
          </w:tcPr>
          <w:p>
            <w:pPr>
              <w:ind w:left="3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23.8% </w:t>
            </w:r>
            <w:r>
              <w:rPr>
                <w:rFonts w:ascii="Arial" w:cs="Arial" w:eastAsia="Arial" w:hAnsi="Arial"/>
                <w:sz w:val="32"/>
                <w:szCs w:val="32"/>
                <w:color w:val="auto"/>
                <w:vertAlign w:val="subscript"/>
              </w:rPr>
              <w:t>​</w:t>
            </w:r>
          </w:p>
        </w:tc>
      </w:tr>
    </w:tbl>
    <w:p>
      <w:pPr>
        <w:spacing w:after="0" w:line="76" w:lineRule="exact"/>
        <w:rPr>
          <w:sz w:val="20"/>
          <w:szCs w:val="20"/>
          <w:color w:val="auto"/>
        </w:rPr>
      </w:pPr>
    </w:p>
    <w:p>
      <w:pPr>
        <w:ind w:left="1000" w:right="299"/>
        <w:spacing w:after="0" w:line="252" w:lineRule="auto"/>
        <w:rPr>
          <w:sz w:val="20"/>
          <w:szCs w:val="20"/>
          <w:color w:val="auto"/>
        </w:rPr>
      </w:pPr>
      <w:r>
        <w:rPr>
          <w:rFonts w:ascii="Arial" w:cs="Arial" w:eastAsia="Arial" w:hAnsi="Arial"/>
          <w:sz w:val="18"/>
          <w:szCs w:val="18"/>
          <w:b w:val="1"/>
          <w:bCs w:val="1"/>
          <w:color w:val="53C072"/>
        </w:rPr>
        <w:t xml:space="preserve">Restricted Stock Units. </w:t>
      </w:r>
      <w:r>
        <w:rPr>
          <w:rFonts w:ascii="Arial" w:cs="Arial" w:eastAsia="Arial" w:hAnsi="Arial"/>
          <w:sz w:val="18"/>
          <w:szCs w:val="18"/>
          <w:color w:val="000000"/>
        </w:rPr>
        <w:t>RSUs allow the NEOs to earn shares of the Company’s common stock over a</w:t>
      </w:r>
      <w:r>
        <w:rPr>
          <w:rFonts w:ascii="Arial" w:cs="Arial" w:eastAsia="Arial" w:hAnsi="Arial"/>
          <w:sz w:val="18"/>
          <w:szCs w:val="18"/>
          <w:b w:val="1"/>
          <w:bCs w:val="1"/>
          <w:color w:val="53C072"/>
        </w:rPr>
        <w:t xml:space="preserve"> </w:t>
      </w:r>
      <w:r>
        <w:rPr>
          <w:rFonts w:ascii="Arial" w:cs="Arial" w:eastAsia="Arial" w:hAnsi="Arial"/>
          <w:sz w:val="18"/>
          <w:szCs w:val="18"/>
          <w:color w:val="000000"/>
        </w:rPr>
        <w:t>vesting period. Each RSU is the economic equivalent of one share of the Company’s common stock. When vested, the number of RSUs will be settled in a like number of shares of the Company’s common stock. RSUs granted in fiscal 2024 vest in four equal installments over three-and-a-half years.</w:t>
      </w:r>
    </w:p>
    <w:p>
      <w:pPr>
        <w:spacing w:after="0" w:line="103" w:lineRule="exact"/>
        <w:rPr>
          <w:sz w:val="20"/>
          <w:szCs w:val="20"/>
          <w:color w:val="auto"/>
        </w:rPr>
      </w:pPr>
    </w:p>
    <w:p>
      <w:pPr>
        <w:ind w:left="1000" w:right="459"/>
        <w:spacing w:after="0" w:line="252" w:lineRule="auto"/>
        <w:rPr>
          <w:sz w:val="20"/>
          <w:szCs w:val="20"/>
          <w:color w:val="auto"/>
        </w:rPr>
      </w:pPr>
      <w:r>
        <w:rPr>
          <w:rFonts w:ascii="Arial" w:cs="Arial" w:eastAsia="Arial" w:hAnsi="Arial"/>
          <w:sz w:val="18"/>
          <w:szCs w:val="18"/>
          <w:b w:val="1"/>
          <w:bCs w:val="1"/>
          <w:color w:val="53C072"/>
        </w:rPr>
        <w:t xml:space="preserve">Performance Stock Units. </w:t>
      </w:r>
      <w:r>
        <w:rPr>
          <w:rFonts w:ascii="Arial" w:cs="Arial" w:eastAsia="Arial" w:hAnsi="Arial"/>
          <w:sz w:val="18"/>
          <w:szCs w:val="18"/>
          <w:color w:val="000000"/>
        </w:rPr>
        <w:t>PSUs provide the NEOs the opportunity to earn shares of the Company’s</w:t>
      </w:r>
      <w:r>
        <w:rPr>
          <w:rFonts w:ascii="Arial" w:cs="Arial" w:eastAsia="Arial" w:hAnsi="Arial"/>
          <w:sz w:val="18"/>
          <w:szCs w:val="18"/>
          <w:b w:val="1"/>
          <w:bCs w:val="1"/>
          <w:color w:val="53C072"/>
        </w:rPr>
        <w:t xml:space="preserve"> </w:t>
      </w:r>
      <w:r>
        <w:rPr>
          <w:rFonts w:ascii="Arial" w:cs="Arial" w:eastAsia="Arial" w:hAnsi="Arial"/>
          <w:sz w:val="18"/>
          <w:szCs w:val="18"/>
          <w:color w:val="000000"/>
        </w:rPr>
        <w:t>common stock based on the achievement of pre-approved performance metrics. Each PSU is the economic equivalent of one share of the Company’s common stock. If earned and vested, the number of PSUs will be settled in a like number of shares of the Company’s common stock.</w:t>
      </w:r>
    </w:p>
    <w:p>
      <w:pPr>
        <w:spacing w:after="0" w:line="103" w:lineRule="exact"/>
        <w:rPr>
          <w:sz w:val="20"/>
          <w:szCs w:val="20"/>
          <w:color w:val="auto"/>
        </w:rPr>
      </w:pPr>
    </w:p>
    <w:p>
      <w:pPr>
        <w:ind w:left="1000" w:right="179"/>
        <w:spacing w:after="0" w:line="301" w:lineRule="auto"/>
        <w:rPr>
          <w:sz w:val="20"/>
          <w:szCs w:val="20"/>
          <w:color w:val="auto"/>
        </w:rPr>
      </w:pPr>
      <w:r>
        <w:rPr>
          <w:rFonts w:ascii="Arial" w:cs="Arial" w:eastAsia="Arial" w:hAnsi="Arial"/>
          <w:sz w:val="17"/>
          <w:szCs w:val="17"/>
          <w:color w:val="auto"/>
        </w:rPr>
        <w:t>The PSUs granted in fiscal 2024 were equally divided into three tranches, each with a separate performance period (fiscal years 2024, 2025, and 2026). The PSUs earned under each tranche are based on the Company’s</w:t>
      </w:r>
    </w:p>
    <w:p>
      <w:pPr>
        <w:sectPr>
          <w:pgSz w:w="11900" w:h="16838" w:orient="portrait"/>
          <w:cols w:equalWidth="0" w:num="1">
            <w:col w:w="9879"/>
          </w:cols>
          <w:pgMar w:left="580" w:top="97" w:right="1440" w:bottom="1440" w:gutter="0" w:footer="0" w:header="0"/>
        </w:sectPr>
      </w:pPr>
    </w:p>
    <w:p>
      <w:pPr>
        <w:spacing w:after="0" w:line="97"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439"/>
        <w:spacing w:after="0" w:line="248" w:lineRule="auto"/>
        <w:rPr>
          <w:sz w:val="20"/>
          <w:szCs w:val="20"/>
          <w:color w:val="auto"/>
        </w:rPr>
      </w:pPr>
      <w:r>
        <w:rPr>
          <w:rFonts w:ascii="Arial" w:cs="Arial" w:eastAsia="Arial" w:hAnsi="Arial"/>
          <w:sz w:val="18"/>
          <w:szCs w:val="18"/>
          <w:color w:val="auto"/>
        </w:rPr>
        <w:t>achievement during the applicable performance period of the performance metrics of (1) Adjusted Return on Invested Capital (“ROIC”) exceeding Weighted Average Cost of Capital (“WACC”) and (2) Relative Adjusted Earnings Per Share (“EPS”) Growth, both subject to the effect of a Relative TSR modifier (“rTSR”). The potential payout for each tranche will range from 0% to 200% of the NEOs target number of PSUs for each tranche. PSUs earned under each tranche will vest collectively at the end of the performance period ending June 27, 2026.</w:t>
      </w:r>
    </w:p>
    <w:p>
      <w:pPr>
        <w:spacing w:after="0" w:line="107" w:lineRule="exact"/>
        <w:rPr>
          <w:sz w:val="20"/>
          <w:szCs w:val="20"/>
          <w:color w:val="auto"/>
        </w:rPr>
      </w:pPr>
    </w:p>
    <w:p>
      <w:pPr>
        <w:ind w:left="1000" w:right="159"/>
        <w:spacing w:after="0" w:line="248" w:lineRule="auto"/>
        <w:rPr>
          <w:sz w:val="20"/>
          <w:szCs w:val="20"/>
          <w:color w:val="auto"/>
        </w:rPr>
      </w:pPr>
      <w:r>
        <w:rPr>
          <w:rFonts w:ascii="Arial" w:cs="Arial" w:eastAsia="Arial" w:hAnsi="Arial"/>
          <w:sz w:val="18"/>
          <w:szCs w:val="18"/>
          <w:color w:val="auto"/>
        </w:rPr>
        <w:t>The Committee selected ROIC &gt; WACC as a measure of long-term performance because it aligns with shareholders’ interest in the Company creating value by earning a return on invested capital that is greater than costs of the capital. The Committee also selected Relative Adjusted EPS Growth because it is a relevant metric to incentivize and measure performance against competitors and benchmarking peer group. In addition, the use of the rTSR modifier promotes a closer alignment between long-term incentive payments and shareholder returns delivered during each of the performance periods.</w:t>
      </w:r>
    </w:p>
    <w:p>
      <w:pPr>
        <w:spacing w:after="0" w:line="107" w:lineRule="exact"/>
        <w:rPr>
          <w:sz w:val="20"/>
          <w:szCs w:val="20"/>
          <w:color w:val="auto"/>
        </w:rPr>
      </w:pPr>
    </w:p>
    <w:p>
      <w:pPr>
        <w:ind w:left="1000" w:right="439"/>
        <w:spacing w:after="0" w:line="271" w:lineRule="auto"/>
        <w:rPr>
          <w:sz w:val="20"/>
          <w:szCs w:val="20"/>
          <w:color w:val="auto"/>
        </w:rPr>
      </w:pPr>
      <w:r>
        <w:rPr>
          <w:rFonts w:ascii="Arial" w:cs="Arial" w:eastAsia="Arial" w:hAnsi="Arial"/>
          <w:sz w:val="18"/>
          <w:szCs w:val="18"/>
          <w:color w:val="auto"/>
        </w:rPr>
        <w:t>For the purposes of the fiscal 2024 PSU awards, the definitions of the metrics and performance goals are as follows:</w:t>
      </w:r>
    </w:p>
    <w:p>
      <w:pPr>
        <w:spacing w:after="0" w:line="32" w:lineRule="exact"/>
        <w:rPr>
          <w:sz w:val="20"/>
          <w:szCs w:val="20"/>
          <w:color w:val="auto"/>
        </w:rPr>
      </w:pPr>
    </w:p>
    <w:p>
      <w:pPr>
        <w:ind w:left="1620" w:right="179" w:hanging="270"/>
        <w:spacing w:after="0" w:line="268" w:lineRule="auto"/>
        <w:tabs>
          <w:tab w:leader="none" w:pos="1620" w:val="left"/>
        </w:tabs>
        <w:numPr>
          <w:ilvl w:val="0"/>
          <w:numId w:val="51"/>
        </w:numPr>
        <w:rPr>
          <w:rFonts w:ascii="Arial" w:cs="Arial" w:eastAsia="Arial" w:hAnsi="Arial"/>
          <w:sz w:val="18"/>
          <w:szCs w:val="18"/>
          <w:color w:val="53C072"/>
        </w:rPr>
      </w:pPr>
      <w:r>
        <w:rPr>
          <w:rFonts w:ascii="Arial" w:cs="Arial" w:eastAsia="Arial" w:hAnsi="Arial"/>
          <w:sz w:val="18"/>
          <w:szCs w:val="18"/>
          <w:color w:val="auto"/>
        </w:rPr>
        <w:t>“ROIC &gt; WACC” is defined as the percentage (number of basis points) that the Company’s Adjusted ROIC exceeds its WACC as measured by an accredited third-party source using a quarter-end average for each quarter in a fiscal year.</w:t>
      </w:r>
    </w:p>
    <w:p>
      <w:pPr>
        <w:spacing w:after="0" w:line="162"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46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EFEFE"/>
              </w:rPr>
              <w:t>ROIC​</w:t>
            </w:r>
          </w:p>
        </w:tc>
        <w:tc>
          <w:tcPr>
            <w:tcW w:w="3540" w:type="dxa"/>
            <w:vAlign w:val="bottom"/>
            <w:shd w:val="clear" w:color="auto" w:fill="53C072"/>
          </w:tcPr>
          <w:p>
            <w:pPr>
              <w:ind w:left="20"/>
              <w:spacing w:after="0"/>
              <w:rPr>
                <w:sz w:val="20"/>
                <w:szCs w:val="20"/>
                <w:color w:val="auto"/>
              </w:rPr>
            </w:pPr>
            <w:r>
              <w:rPr>
                <w:rFonts w:ascii="Arial" w:cs="Arial" w:eastAsia="Arial" w:hAnsi="Arial"/>
                <w:sz w:val="14"/>
                <w:szCs w:val="14"/>
                <w:b w:val="1"/>
                <w:bCs w:val="1"/>
                <w:color w:val="FEFEFE"/>
              </w:rPr>
              <w:t>&gt; WACC</w:t>
            </w:r>
          </w:p>
        </w:tc>
        <w:tc>
          <w:tcPr>
            <w:tcW w:w="2700" w:type="dxa"/>
            <w:vAlign w:val="bottom"/>
            <w:gridSpan w:val="2"/>
            <w:shd w:val="clear" w:color="auto" w:fill="53C072"/>
          </w:tcPr>
          <w:p>
            <w:pPr>
              <w:ind w:left="1880"/>
              <w:spacing w:after="0"/>
              <w:rPr>
                <w:sz w:val="20"/>
                <w:szCs w:val="20"/>
                <w:color w:val="auto"/>
              </w:rPr>
            </w:pPr>
            <w:r>
              <w:rPr>
                <w:rFonts w:ascii="Arial" w:cs="Arial" w:eastAsia="Arial" w:hAnsi="Arial"/>
                <w:sz w:val="14"/>
                <w:szCs w:val="14"/>
                <w:b w:val="1"/>
                <w:bCs w:val="1"/>
                <w:color w:val="FEFEFE"/>
              </w:rPr>
              <w:t>​ ​Threshold</w:t>
            </w:r>
          </w:p>
        </w:tc>
        <w:tc>
          <w:tcPr>
            <w:tcW w:w="66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 ​Target</w:t>
            </w:r>
          </w:p>
        </w:tc>
        <w:tc>
          <w:tcPr>
            <w:tcW w:w="1020" w:type="dxa"/>
            <w:vAlign w:val="bottom"/>
            <w:gridSpan w:val="3"/>
            <w:shd w:val="clear" w:color="auto" w:fill="53C072"/>
          </w:tcPr>
          <w:p>
            <w:pPr>
              <w:jc w:val="right"/>
              <w:ind w:right="53"/>
              <w:spacing w:after="0"/>
              <w:rPr>
                <w:sz w:val="20"/>
                <w:szCs w:val="20"/>
                <w:color w:val="auto"/>
              </w:rPr>
            </w:pPr>
            <w:r>
              <w:rPr>
                <w:rFonts w:ascii="Arial" w:cs="Arial" w:eastAsia="Arial" w:hAnsi="Arial"/>
                <w:sz w:val="14"/>
                <w:szCs w:val="14"/>
                <w:b w:val="1"/>
                <w:bCs w:val="1"/>
                <w:color w:val="FEFEFE"/>
              </w:rPr>
              <w:t>​ ​Maximum</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16"/>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​Performance Achievement</w:t>
            </w:r>
          </w:p>
        </w:tc>
        <w:tc>
          <w:tcPr>
            <w:tcW w:w="2080" w:type="dxa"/>
            <w:vAlign w:val="bottom"/>
          </w:tcPr>
          <w:p>
            <w:pPr>
              <w:ind w:left="1820"/>
              <w:spacing w:after="0"/>
              <w:rPr>
                <w:sz w:val="20"/>
                <w:szCs w:val="20"/>
                <w:color w:val="auto"/>
              </w:rPr>
            </w:pPr>
            <w:r>
              <w:rPr>
                <w:rFonts w:ascii="Arial" w:cs="Arial" w:eastAsia="Arial" w:hAnsi="Arial"/>
                <w:sz w:val="18"/>
                <w:szCs w:val="18"/>
                <w:color w:val="auto"/>
              </w:rPr>
              <w:t>​ ​</w:t>
            </w:r>
          </w:p>
        </w:tc>
        <w:tc>
          <w:tcPr>
            <w:tcW w:w="62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&gt;=0%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1.5%​​ ​</w:t>
            </w:r>
          </w:p>
        </w:tc>
        <w:tc>
          <w:tcPr>
            <w:tcW w:w="800" w:type="dxa"/>
            <w:vAlign w:val="bottom"/>
            <w:gridSpan w:val="3"/>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&gt;=3.0%​​</w:t>
            </w: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BECD5"/>
          </w:tcPr>
          <w:p>
            <w:pPr>
              <w:ind w:left="80"/>
              <w:spacing w:after="0" w:line="202" w:lineRule="exact"/>
              <w:rPr>
                <w:sz w:val="20"/>
                <w:szCs w:val="20"/>
                <w:color w:val="auto"/>
              </w:rPr>
            </w:pPr>
            <w:r>
              <w:rPr>
                <w:rFonts w:ascii="Arial" w:cs="Arial" w:eastAsia="Arial" w:hAnsi="Arial"/>
                <w:sz w:val="18"/>
                <w:szCs w:val="18"/>
                <w:color w:val="auto"/>
              </w:rPr>
              <w:t>Payout Percentage</w:t>
            </w:r>
          </w:p>
        </w:tc>
        <w:tc>
          <w:tcPr>
            <w:tcW w:w="2080" w:type="dxa"/>
            <w:vAlign w:val="bottom"/>
            <w:vMerge w:val="restart"/>
            <w:shd w:val="clear" w:color="auto" w:fill="CBECD5"/>
          </w:tcPr>
          <w:p>
            <w:pPr>
              <w:ind w:left="182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BECD5"/>
          </w:tcPr>
          <w:p>
            <w:pPr>
              <w:ind w:left="100"/>
              <w:spacing w:after="0" w:line="202" w:lineRule="exact"/>
              <w:rPr>
                <w:sz w:val="20"/>
                <w:szCs w:val="20"/>
                <w:color w:val="auto"/>
              </w:rPr>
            </w:pPr>
            <w:r>
              <w:rPr>
                <w:rFonts w:ascii="Arial" w:cs="Arial" w:eastAsia="Arial" w:hAnsi="Arial"/>
                <w:sz w:val="18"/>
                <w:szCs w:val="18"/>
                <w:color w:val="auto"/>
              </w:rPr>
              <w:t>​ 50%</w:t>
            </w:r>
          </w:p>
        </w:tc>
        <w:tc>
          <w:tcPr>
            <w:tcW w:w="920" w:type="dxa"/>
            <w:vAlign w:val="bottom"/>
            <w:gridSpan w:val="2"/>
            <w:shd w:val="clear" w:color="auto" w:fill="CBECD5"/>
          </w:tcPr>
          <w:p>
            <w:pPr>
              <w:jc w:val="right"/>
              <w:ind w:right="102"/>
              <w:spacing w:after="0" w:line="202" w:lineRule="exact"/>
              <w:rPr>
                <w:sz w:val="20"/>
                <w:szCs w:val="20"/>
                <w:color w:val="auto"/>
              </w:rPr>
            </w:pPr>
            <w:r>
              <w:rPr>
                <w:rFonts w:ascii="Arial" w:cs="Arial" w:eastAsia="Arial" w:hAnsi="Arial"/>
                <w:sz w:val="18"/>
                <w:szCs w:val="18"/>
                <w:color w:val="auto"/>
              </w:rPr>
              <w:t>​100%</w:t>
            </w:r>
          </w:p>
        </w:tc>
        <w:tc>
          <w:tcPr>
            <w:tcW w:w="180" w:type="dxa"/>
            <w:vAlign w:val="bottom"/>
            <w:shd w:val="clear" w:color="auto" w:fill="CBECD5"/>
          </w:tcPr>
          <w:p>
            <w:pPr>
              <w:ind w:left="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BECD5"/>
          </w:tcPr>
          <w:p>
            <w:pPr>
              <w:jc w:val="right"/>
              <w:spacing w:after="0" w:line="202" w:lineRule="exact"/>
              <w:rPr>
                <w:sz w:val="20"/>
                <w:szCs w:val="20"/>
                <w:color w:val="auto"/>
              </w:rPr>
            </w:pPr>
            <w:r>
              <w:rPr>
                <w:rFonts w:ascii="Arial" w:cs="Arial" w:eastAsia="Arial" w:hAnsi="Arial"/>
                <w:sz w:val="18"/>
                <w:szCs w:val="18"/>
                <w:color w:val="auto"/>
              </w:rPr>
              <w:t>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460" w:type="dxa"/>
            <w:vAlign w:val="bottom"/>
            <w:tcBorders>
              <w:bottom w:val="single" w:sz="8" w:color="53C072"/>
            </w:tcBorders>
            <w:shd w:val="clear" w:color="auto" w:fill="CBECD5"/>
          </w:tcPr>
          <w:p>
            <w:pPr>
              <w:ind w:left="40"/>
              <w:spacing w:after="0" w:line="81" w:lineRule="exact"/>
              <w:rPr>
                <w:sz w:val="20"/>
                <w:szCs w:val="20"/>
                <w:color w:val="auto"/>
              </w:rPr>
            </w:pPr>
            <w:r>
              <w:rPr>
                <w:rFonts w:ascii="Arial" w:cs="Arial" w:eastAsia="Arial" w:hAnsi="Arial"/>
                <w:sz w:val="9"/>
                <w:szCs w:val="9"/>
                <w:color w:val="auto"/>
              </w:rPr>
              <w:t>​</w:t>
            </w:r>
          </w:p>
        </w:tc>
        <w:tc>
          <w:tcPr>
            <w:tcW w:w="3540" w:type="dxa"/>
            <w:vAlign w:val="bottom"/>
            <w:tcBorders>
              <w:bottom w:val="single" w:sz="8" w:color="53C072"/>
            </w:tcBorders>
            <w:shd w:val="clear" w:color="auto" w:fill="CBECD5"/>
          </w:tcPr>
          <w:p>
            <w:pPr>
              <w:spacing w:after="0"/>
              <w:rPr>
                <w:sz w:val="7"/>
                <w:szCs w:val="7"/>
                <w:color w:val="auto"/>
              </w:rPr>
            </w:pPr>
          </w:p>
        </w:tc>
        <w:tc>
          <w:tcPr>
            <w:tcW w:w="2080" w:type="dxa"/>
            <w:vAlign w:val="bottom"/>
            <w:tcBorders>
              <w:bottom w:val="single" w:sz="8" w:color="53C072"/>
            </w:tcBorders>
            <w:vMerge w:val="continue"/>
            <w:shd w:val="clear" w:color="auto" w:fill="CBECD5"/>
          </w:tcPr>
          <w:p>
            <w:pPr>
              <w:spacing w:after="0"/>
              <w:rPr>
                <w:sz w:val="7"/>
                <w:szCs w:val="7"/>
                <w:color w:val="auto"/>
              </w:rPr>
            </w:pPr>
          </w:p>
        </w:tc>
        <w:tc>
          <w:tcPr>
            <w:tcW w:w="620" w:type="dxa"/>
            <w:vAlign w:val="bottom"/>
            <w:tcBorders>
              <w:bottom w:val="single" w:sz="8" w:color="53C072"/>
            </w:tcBorders>
            <w:shd w:val="clear" w:color="auto" w:fill="CBECD5"/>
          </w:tcPr>
          <w:p>
            <w:pPr>
              <w:ind w:left="10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53C072"/>
            </w:tcBorders>
            <w:shd w:val="clear" w:color="auto" w:fill="CBECD5"/>
          </w:tcPr>
          <w:p>
            <w:pPr>
              <w:spacing w:after="0" w:line="81" w:lineRule="exact"/>
              <w:rPr>
                <w:sz w:val="20"/>
                <w:szCs w:val="20"/>
                <w:color w:val="auto"/>
              </w:rPr>
            </w:pPr>
            <w:r>
              <w:rPr>
                <w:rFonts w:ascii="Arial" w:cs="Arial" w:eastAsia="Arial" w:hAnsi="Arial"/>
                <w:sz w:val="9"/>
                <w:szCs w:val="9"/>
                <w:color w:val="auto"/>
              </w:rPr>
              <w:t>​​ ​ ​</w:t>
            </w:r>
          </w:p>
        </w:tc>
        <w:tc>
          <w:tcPr>
            <w:tcW w:w="260" w:type="dxa"/>
            <w:vAlign w:val="bottom"/>
            <w:tcBorders>
              <w:bottom w:val="single" w:sz="8" w:color="53C072"/>
            </w:tcBorders>
            <w:shd w:val="clear" w:color="auto" w:fill="CBECD5"/>
          </w:tcPr>
          <w:p>
            <w:pPr>
              <w:jc w:val="right"/>
              <w:spacing w:after="0" w:line="81" w:lineRule="exact"/>
              <w:rPr>
                <w:sz w:val="20"/>
                <w:szCs w:val="20"/>
                <w:color w:val="auto"/>
              </w:rPr>
            </w:pPr>
            <w:r>
              <w:rPr>
                <w:rFonts w:ascii="Arial" w:cs="Arial" w:eastAsia="Arial" w:hAnsi="Arial"/>
                <w:sz w:val="9"/>
                <w:szCs w:val="9"/>
                <w:color w:val="auto"/>
              </w:rPr>
              <w:t>​​ ​</w:t>
            </w:r>
          </w:p>
        </w:tc>
        <w:tc>
          <w:tcPr>
            <w:tcW w:w="180" w:type="dxa"/>
            <w:vAlign w:val="bottom"/>
            <w:tcBorders>
              <w:bottom w:val="single" w:sz="8" w:color="53C072"/>
            </w:tcBorders>
            <w:shd w:val="clear" w:color="auto" w:fill="CBECD5"/>
          </w:tcPr>
          <w:p>
            <w:pPr>
              <w:ind w:left="60"/>
              <w:spacing w:after="0" w:line="81" w:lineRule="exact"/>
              <w:rPr>
                <w:sz w:val="20"/>
                <w:szCs w:val="20"/>
                <w:color w:val="auto"/>
              </w:rPr>
            </w:pPr>
            <w:r>
              <w:rPr>
                <w:rFonts w:ascii="Arial" w:cs="Arial" w:eastAsia="Arial" w:hAnsi="Arial"/>
                <w:sz w:val="9"/>
                <w:szCs w:val="9"/>
                <w:color w:val="auto"/>
              </w:rPr>
              <w:t>​</w:t>
            </w:r>
          </w:p>
        </w:tc>
        <w:tc>
          <w:tcPr>
            <w:tcW w:w="580" w:type="dxa"/>
            <w:vAlign w:val="bottom"/>
            <w:tcBorders>
              <w:bottom w:val="single" w:sz="8" w:color="53C072"/>
            </w:tcBorders>
            <w:shd w:val="clear" w:color="auto" w:fill="CBECD5"/>
          </w:tcPr>
          <w:p>
            <w:pPr>
              <w:jc w:val="right"/>
              <w:spacing w:after="0" w:line="81"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620" w:right="179" w:hanging="270"/>
        <w:spacing w:after="0" w:line="262" w:lineRule="auto"/>
        <w:tabs>
          <w:tab w:leader="none" w:pos="1620" w:val="left"/>
        </w:tabs>
        <w:numPr>
          <w:ilvl w:val="0"/>
          <w:numId w:val="52"/>
        </w:numPr>
        <w:rPr>
          <w:rFonts w:ascii="Arial" w:cs="Arial" w:eastAsia="Arial" w:hAnsi="Arial"/>
          <w:sz w:val="18"/>
          <w:szCs w:val="18"/>
          <w:color w:val="53C072"/>
        </w:rPr>
      </w:pPr>
      <w:r>
        <w:rPr>
          <w:rFonts w:ascii="Arial" w:cs="Arial" w:eastAsia="Arial" w:hAnsi="Arial"/>
          <w:sz w:val="18"/>
          <w:szCs w:val="18"/>
          <w:color w:val="auto"/>
        </w:rPr>
        <w:t>“Relative Adjusted EPS Growth” is defined as the Company’s adjusted EPS growth ranking in a given fiscal year as compared to that of each company included in the Company’s Benchmarking Peer Group for fiscal 2024. Please see “Compensation Governance and Process —  Benchmarking” for the list of peers for fiscal 2024.</w:t>
      </w:r>
    </w:p>
    <w:p>
      <w:pPr>
        <w:spacing w:after="0" w:line="155"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66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EFEFE"/>
              </w:rPr>
              <w:t>Relative​</w:t>
            </w:r>
          </w:p>
        </w:tc>
        <w:tc>
          <w:tcPr>
            <w:tcW w:w="3140" w:type="dxa"/>
            <w:vAlign w:val="bottom"/>
            <w:shd w:val="clear" w:color="auto" w:fill="53C072"/>
          </w:tcPr>
          <w:p>
            <w:pPr>
              <w:ind w:left="20"/>
              <w:spacing w:after="0"/>
              <w:rPr>
                <w:sz w:val="20"/>
                <w:szCs w:val="20"/>
                <w:color w:val="auto"/>
              </w:rPr>
            </w:pPr>
            <w:r>
              <w:rPr>
                <w:rFonts w:ascii="Arial" w:cs="Arial" w:eastAsia="Arial" w:hAnsi="Arial"/>
                <w:sz w:val="14"/>
                <w:szCs w:val="14"/>
                <w:b w:val="1"/>
                <w:bCs w:val="1"/>
                <w:color w:val="FEFEFE"/>
              </w:rPr>
              <w:t>Adjusted EPS Growth</w:t>
            </w:r>
          </w:p>
        </w:tc>
        <w:tc>
          <w:tcPr>
            <w:tcW w:w="1920" w:type="dxa"/>
            <w:vAlign w:val="bottom"/>
            <w:shd w:val="clear" w:color="auto" w:fill="53C072"/>
          </w:tcPr>
          <w:p>
            <w:pPr>
              <w:ind w:left="1680"/>
              <w:spacing w:after="0"/>
              <w:rPr>
                <w:sz w:val="20"/>
                <w:szCs w:val="20"/>
                <w:color w:val="auto"/>
              </w:rPr>
            </w:pPr>
            <w:r>
              <w:rPr>
                <w:rFonts w:ascii="Arial" w:cs="Arial" w:eastAsia="Arial" w:hAnsi="Arial"/>
                <w:sz w:val="14"/>
                <w:szCs w:val="14"/>
                <w:b w:val="1"/>
                <w:bCs w:val="1"/>
                <w:color w:val="FEFEFE"/>
              </w:rPr>
              <w:t>​ ​</w:t>
            </w:r>
          </w:p>
        </w:tc>
        <w:tc>
          <w:tcPr>
            <w:tcW w:w="82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Threshold</w:t>
            </w:r>
          </w:p>
        </w:tc>
        <w:tc>
          <w:tcPr>
            <w:tcW w:w="30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 ​</w:t>
            </w:r>
          </w:p>
        </w:tc>
        <w:tc>
          <w:tcPr>
            <w:tcW w:w="1440" w:type="dxa"/>
            <w:vAlign w:val="bottom"/>
            <w:gridSpan w:val="2"/>
            <w:shd w:val="clear" w:color="auto" w:fill="53C072"/>
          </w:tcPr>
          <w:p>
            <w:pPr>
              <w:ind w:left="80"/>
              <w:spacing w:after="0"/>
              <w:rPr>
                <w:sz w:val="20"/>
                <w:szCs w:val="20"/>
                <w:color w:val="auto"/>
              </w:rPr>
            </w:pPr>
            <w:r>
              <w:rPr>
                <w:rFonts w:ascii="Arial" w:cs="Arial" w:eastAsia="Arial" w:hAnsi="Arial"/>
                <w:sz w:val="14"/>
                <w:szCs w:val="14"/>
                <w:b w:val="1"/>
                <w:bCs w:val="1"/>
                <w:color w:val="FEFEFE"/>
              </w:rPr>
              <w:t>Target  ​ ​Maximum</w:t>
            </w:r>
          </w:p>
        </w:tc>
        <w:tc>
          <w:tcPr>
            <w:tcW w:w="100" w:type="dxa"/>
            <w:vAlign w:val="bottom"/>
            <w:shd w:val="clear" w:color="auto" w:fill="53C072"/>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16"/>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​Performance Achievement</w:t>
            </w:r>
          </w:p>
        </w:tc>
        <w:tc>
          <w:tcPr>
            <w:tcW w:w="3860" w:type="dxa"/>
            <w:vAlign w:val="bottom"/>
            <w:gridSpan w:val="4"/>
          </w:tcPr>
          <w:p>
            <w:pPr>
              <w:ind w:left="1620"/>
              <w:spacing w:after="0"/>
              <w:rPr>
                <w:sz w:val="20"/>
                <w:szCs w:val="20"/>
                <w:color w:val="auto"/>
              </w:rPr>
            </w:pPr>
            <w:r>
              <w:rPr>
                <w:rFonts w:ascii="Arial" w:cs="Arial" w:eastAsia="Arial" w:hAnsi="Arial"/>
                <w:sz w:val="18"/>
                <w:szCs w:val="18"/>
                <w:color w:val="auto"/>
              </w:rPr>
              <w:t>​ ​Next to Last ​ ​Median ​ ​</w:t>
            </w:r>
          </w:p>
        </w:tc>
        <w:tc>
          <w:tcPr>
            <w:tcW w:w="620" w:type="dxa"/>
            <w:vAlign w:val="bottom"/>
          </w:tcPr>
          <w:p>
            <w:pPr>
              <w:ind w:left="80"/>
              <w:spacing w:after="0"/>
              <w:rPr>
                <w:sz w:val="20"/>
                <w:szCs w:val="20"/>
                <w:color w:val="auto"/>
              </w:rPr>
            </w:pPr>
            <w:r>
              <w:rPr>
                <w:rFonts w:ascii="Arial" w:cs="Arial" w:eastAsia="Arial" w:hAnsi="Arial"/>
                <w:sz w:val="18"/>
                <w:szCs w:val="18"/>
                <w:color w:val="auto"/>
              </w:rPr>
              <w:t>First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90"/>
        </w:trPr>
        <w:tc>
          <w:tcPr>
            <w:tcW w:w="3800" w:type="dxa"/>
            <w:vAlign w:val="bottom"/>
            <w:tcBorders>
              <w:bottom w:val="single" w:sz="8" w:color="53C072"/>
            </w:tcBorders>
            <w:gridSpan w:val="2"/>
            <w:shd w:val="clear" w:color="auto" w:fill="CBECD5"/>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Payout Percentage</w:t>
            </w:r>
          </w:p>
        </w:tc>
        <w:tc>
          <w:tcPr>
            <w:tcW w:w="1920" w:type="dxa"/>
            <w:vAlign w:val="bottom"/>
            <w:tcBorders>
              <w:bottom w:val="single" w:sz="8" w:color="53C072"/>
            </w:tcBorders>
            <w:shd w:val="clear" w:color="auto" w:fill="CBECD5"/>
          </w:tcPr>
          <w:p>
            <w:pPr>
              <w:ind w:left="162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53C072"/>
            </w:tcBorders>
            <w:shd w:val="clear" w:color="auto" w:fill="CBECD5"/>
          </w:tcPr>
          <w:p>
            <w:pPr>
              <w:ind w:left="2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25%</w:t>
            </w:r>
          </w:p>
        </w:tc>
        <w:tc>
          <w:tcPr>
            <w:tcW w:w="30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53C072"/>
            </w:tcBorders>
            <w:shd w:val="clear" w:color="auto" w:fill="CBECD5"/>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​100%</w:t>
            </w:r>
            <w:r>
              <w:rPr>
                <w:rFonts w:ascii="Arial" w:cs="Arial" w:eastAsia="Arial" w:hAnsi="Arial"/>
                <w:sz w:val="32"/>
                <w:szCs w:val="32"/>
                <w:color w:val="auto"/>
                <w:vertAlign w:val="subscript"/>
              </w:rPr>
              <w:t>​​ ​</w:t>
            </w:r>
          </w:p>
        </w:tc>
        <w:tc>
          <w:tcPr>
            <w:tcW w:w="720" w:type="dxa"/>
            <w:vAlign w:val="bottom"/>
            <w:tcBorders>
              <w:bottom w:val="single" w:sz="8" w:color="53C072"/>
            </w:tcBorders>
            <w:gridSpan w:val="2"/>
            <w:shd w:val="clear" w:color="auto" w:fill="CBECD5"/>
          </w:tcPr>
          <w:p>
            <w:pPr>
              <w:jc w:val="right"/>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​200% </w:t>
            </w:r>
            <w:r>
              <w:rPr>
                <w:rFonts w:ascii="Arial" w:cs="Arial" w:eastAsia="Arial" w:hAnsi="Arial"/>
                <w:sz w:val="32"/>
                <w:szCs w:val="32"/>
                <w:color w:val="auto"/>
                <w:vertAlign w:val="subscript"/>
              </w:rPr>
              <w:t>​​</w:t>
            </w:r>
          </w:p>
        </w:tc>
        <w:tc>
          <w:tcPr>
            <w:tcW w:w="40" w:type="dxa"/>
            <w:vAlign w:val="bottom"/>
          </w:tcPr>
          <w:p>
            <w:pPr>
              <w:spacing w:after="0"/>
              <w:rPr>
                <w:sz w:val="24"/>
                <w:szCs w:val="24"/>
                <w:color w:val="auto"/>
              </w:rPr>
            </w:pPr>
          </w:p>
        </w:tc>
      </w:tr>
    </w:tbl>
    <w:p>
      <w:pPr>
        <w:spacing w:after="0" w:line="116" w:lineRule="exact"/>
        <w:rPr>
          <w:sz w:val="20"/>
          <w:szCs w:val="20"/>
          <w:color w:val="auto"/>
        </w:rPr>
      </w:pPr>
    </w:p>
    <w:p>
      <w:pPr>
        <w:ind w:left="1620" w:right="319" w:hanging="270"/>
        <w:spacing w:after="0" w:line="257" w:lineRule="auto"/>
        <w:tabs>
          <w:tab w:leader="none" w:pos="1620" w:val="left"/>
        </w:tabs>
        <w:numPr>
          <w:ilvl w:val="0"/>
          <w:numId w:val="53"/>
        </w:numPr>
        <w:rPr>
          <w:rFonts w:ascii="Arial" w:cs="Arial" w:eastAsia="Arial" w:hAnsi="Arial"/>
          <w:sz w:val="18"/>
          <w:szCs w:val="18"/>
          <w:color w:val="53C072"/>
        </w:rPr>
      </w:pPr>
      <w:r>
        <w:rPr>
          <w:rFonts w:ascii="Arial" w:cs="Arial" w:eastAsia="Arial" w:hAnsi="Arial"/>
          <w:sz w:val="18"/>
          <w:szCs w:val="18"/>
          <w:color w:val="auto"/>
        </w:rPr>
        <w:t>“Total Shareholder Return” (or​ “TSR”) is defined as the percent calculated using the following formula: average stock price at the end of period minus the average stock price at the start of period plus dividends, divided by the average stock price at the start of period. The term “average stock price” means the 30-trading day average immediately before and including the start day of the performance period and the 30-trading day average immediately before and including the end day of the performance period.</w:t>
      </w:r>
    </w:p>
    <w:p>
      <w:pPr>
        <w:spacing w:after="0" w:line="60" w:lineRule="exact"/>
        <w:rPr>
          <w:rFonts w:ascii="Arial" w:cs="Arial" w:eastAsia="Arial" w:hAnsi="Arial"/>
          <w:sz w:val="18"/>
          <w:szCs w:val="18"/>
          <w:color w:val="53C072"/>
        </w:rPr>
      </w:pPr>
    </w:p>
    <w:p>
      <w:pPr>
        <w:ind w:left="1620" w:right="459" w:hanging="270"/>
        <w:spacing w:after="0" w:line="287" w:lineRule="auto"/>
        <w:tabs>
          <w:tab w:leader="none" w:pos="1620" w:val="left"/>
        </w:tabs>
        <w:numPr>
          <w:ilvl w:val="0"/>
          <w:numId w:val="53"/>
        </w:numPr>
        <w:rPr>
          <w:rFonts w:ascii="Arial" w:cs="Arial" w:eastAsia="Arial" w:hAnsi="Arial"/>
          <w:sz w:val="18"/>
          <w:szCs w:val="18"/>
          <w:color w:val="53C072"/>
        </w:rPr>
      </w:pPr>
      <w:r>
        <w:rPr>
          <w:rFonts w:ascii="Arial" w:cs="Arial" w:eastAsia="Arial" w:hAnsi="Arial"/>
          <w:sz w:val="18"/>
          <w:szCs w:val="18"/>
          <w:color w:val="auto"/>
        </w:rPr>
        <w:t>rTSR is defined as the Company’s relative TSR ranking in a given fiscal year as compared to that of each company included in the Company’s Benchmarking Peer Group for fiscal 2024.</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402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EFEFE"/>
              </w:rPr>
              <w:t>​rTSR</w:t>
            </w:r>
          </w:p>
        </w:tc>
        <w:tc>
          <w:tcPr>
            <w:tcW w:w="2720" w:type="dxa"/>
            <w:vAlign w:val="bottom"/>
            <w:gridSpan w:val="2"/>
            <w:shd w:val="clear" w:color="auto" w:fill="53C072"/>
          </w:tcPr>
          <w:p>
            <w:pPr>
              <w:ind w:left="1880"/>
              <w:spacing w:after="0"/>
              <w:rPr>
                <w:sz w:val="20"/>
                <w:szCs w:val="20"/>
                <w:color w:val="auto"/>
              </w:rPr>
            </w:pPr>
            <w:r>
              <w:rPr>
                <w:rFonts w:ascii="Arial" w:cs="Arial" w:eastAsia="Arial" w:hAnsi="Arial"/>
                <w:sz w:val="14"/>
                <w:szCs w:val="14"/>
                <w:b w:val="1"/>
                <w:bCs w:val="1"/>
                <w:color w:val="FEFEFE"/>
              </w:rPr>
              <w:t>​ ​Threshold</w:t>
            </w:r>
          </w:p>
        </w:tc>
        <w:tc>
          <w:tcPr>
            <w:tcW w:w="660" w:type="dxa"/>
            <w:vAlign w:val="bottom"/>
            <w:gridSpan w:val="2"/>
            <w:shd w:val="clear" w:color="auto" w:fill="53C072"/>
          </w:tcPr>
          <w:p>
            <w:pPr>
              <w:ind w:left="80"/>
              <w:spacing w:after="0"/>
              <w:rPr>
                <w:sz w:val="20"/>
                <w:szCs w:val="20"/>
                <w:color w:val="auto"/>
              </w:rPr>
            </w:pPr>
            <w:r>
              <w:rPr>
                <w:rFonts w:ascii="Arial" w:cs="Arial" w:eastAsia="Arial" w:hAnsi="Arial"/>
                <w:sz w:val="14"/>
                <w:szCs w:val="14"/>
                <w:b w:val="1"/>
                <w:bCs w:val="1"/>
                <w:color w:val="FEFEFE"/>
              </w:rPr>
              <w:t>​ ​Target</w:t>
            </w:r>
          </w:p>
        </w:tc>
        <w:tc>
          <w:tcPr>
            <w:tcW w:w="880" w:type="dxa"/>
            <w:vAlign w:val="bottom"/>
            <w:gridSpan w:val="2"/>
            <w:shd w:val="clear" w:color="auto" w:fill="53C072"/>
          </w:tcPr>
          <w:p>
            <w:pPr>
              <w:ind w:left="80"/>
              <w:spacing w:after="0"/>
              <w:rPr>
                <w:sz w:val="20"/>
                <w:szCs w:val="20"/>
                <w:color w:val="auto"/>
              </w:rPr>
            </w:pPr>
            <w:r>
              <w:rPr>
                <w:rFonts w:ascii="Arial" w:cs="Arial" w:eastAsia="Arial" w:hAnsi="Arial"/>
                <w:sz w:val="14"/>
                <w:szCs w:val="14"/>
                <w:b w:val="1"/>
                <w:bCs w:val="1"/>
                <w:color w:val="FEFEFE"/>
              </w:rPr>
              <w:t>​ ​Maximum</w:t>
            </w:r>
          </w:p>
        </w:tc>
        <w:tc>
          <w:tcPr>
            <w:tcW w:w="100" w:type="dxa"/>
            <w:vAlign w:val="bottom"/>
            <w:shd w:val="clear" w:color="auto" w:fill="53C072"/>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​Performance Achievement</w:t>
            </w:r>
          </w:p>
        </w:tc>
        <w:tc>
          <w:tcPr>
            <w:tcW w:w="2100" w:type="dxa"/>
            <w:vAlign w:val="bottom"/>
          </w:tcPr>
          <w:p>
            <w:pPr>
              <w:ind w:left="1820"/>
              <w:spacing w:after="0"/>
              <w:rPr>
                <w:sz w:val="20"/>
                <w:szCs w:val="20"/>
                <w:color w:val="auto"/>
              </w:rPr>
            </w:pPr>
            <w:r>
              <w:rPr>
                <w:rFonts w:ascii="Arial" w:cs="Arial" w:eastAsia="Arial" w:hAnsi="Arial"/>
                <w:sz w:val="18"/>
                <w:szCs w:val="18"/>
                <w:color w:val="auto"/>
              </w:rPr>
              <w:t>​ ​</w:t>
            </w:r>
          </w:p>
        </w:tc>
        <w:tc>
          <w:tcPr>
            <w:tcW w:w="620" w:type="dxa"/>
            <w:vAlign w:val="bottom"/>
          </w:tcPr>
          <w:p>
            <w:pPr>
              <w:jc w:val="center"/>
              <w:ind w:right="50"/>
              <w:spacing w:after="0" w:line="256" w:lineRule="exact"/>
              <w:rPr>
                <w:sz w:val="20"/>
                <w:szCs w:val="20"/>
                <w:color w:val="auto"/>
              </w:rPr>
            </w:pPr>
            <w:r>
              <w:rPr>
                <w:rFonts w:ascii="Arial" w:cs="Arial" w:eastAsia="Arial" w:hAnsi="Arial"/>
                <w:sz w:val="18"/>
                <w:szCs w:val="18"/>
                <w:color w:val="auto"/>
                <w:w w:val="85"/>
              </w:rPr>
              <w:t>13</w:t>
            </w:r>
            <w:r>
              <w:rPr>
                <w:rFonts w:ascii="Arial" w:cs="Arial" w:eastAsia="Arial" w:hAnsi="Arial"/>
                <w:sz w:val="23"/>
                <w:szCs w:val="23"/>
                <w:color w:val="auto"/>
                <w:w w:val="85"/>
                <w:vertAlign w:val="superscript"/>
              </w:rPr>
              <w:t>th</w:t>
            </w:r>
          </w:p>
        </w:tc>
        <w:tc>
          <w:tcPr>
            <w:tcW w:w="240" w:type="dxa"/>
            <w:vAlign w:val="bottom"/>
          </w:tcPr>
          <w:p>
            <w:pPr>
              <w:ind w:left="20"/>
              <w:spacing w:after="0"/>
              <w:rPr>
                <w:sz w:val="20"/>
                <w:szCs w:val="20"/>
                <w:color w:val="auto"/>
              </w:rPr>
            </w:pPr>
            <w:r>
              <w:rPr>
                <w:rFonts w:ascii="Arial" w:cs="Arial" w:eastAsia="Arial" w:hAnsi="Arial"/>
                <w:sz w:val="18"/>
                <w:szCs w:val="18"/>
                <w:color w:val="auto"/>
              </w:rPr>
              <w:t>​ ​</w:t>
            </w:r>
          </w:p>
        </w:tc>
        <w:tc>
          <w:tcPr>
            <w:tcW w:w="420" w:type="dxa"/>
            <w:vAlign w:val="bottom"/>
          </w:tcPr>
          <w:p>
            <w:pPr>
              <w:jc w:val="center"/>
              <w:ind w:right="8"/>
              <w:spacing w:after="0" w:line="256" w:lineRule="exact"/>
              <w:rPr>
                <w:sz w:val="20"/>
                <w:szCs w:val="20"/>
                <w:color w:val="auto"/>
              </w:rPr>
            </w:pPr>
            <w:r>
              <w:rPr>
                <w:rFonts w:ascii="Arial" w:cs="Arial" w:eastAsia="Arial" w:hAnsi="Arial"/>
                <w:sz w:val="29"/>
                <w:szCs w:val="29"/>
                <w:color w:val="auto"/>
                <w:w w:val="90"/>
                <w:vertAlign w:val="subscript"/>
              </w:rPr>
              <w:t>8</w:t>
            </w:r>
            <w:r>
              <w:rPr>
                <w:rFonts w:ascii="Arial" w:cs="Arial" w:eastAsia="Arial" w:hAnsi="Arial"/>
                <w:sz w:val="11"/>
                <w:szCs w:val="11"/>
                <w:color w:val="auto"/>
                <w:w w:val="90"/>
              </w:rPr>
              <w:t>th</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580" w:type="dxa"/>
            <w:vAlign w:val="bottom"/>
          </w:tcPr>
          <w:p>
            <w:pPr>
              <w:jc w:val="center"/>
              <w:ind w:right="48"/>
              <w:spacing w:after="0" w:line="256" w:lineRule="exact"/>
              <w:rPr>
                <w:sz w:val="20"/>
                <w:szCs w:val="20"/>
                <w:color w:val="auto"/>
              </w:rPr>
            </w:pPr>
            <w:r>
              <w:rPr>
                <w:rFonts w:ascii="Arial" w:cs="Arial" w:eastAsia="Arial" w:hAnsi="Arial"/>
                <w:sz w:val="29"/>
                <w:szCs w:val="29"/>
                <w:color w:val="auto"/>
                <w:w w:val="90"/>
                <w:vertAlign w:val="subscript"/>
              </w:rPr>
              <w:t>4</w:t>
            </w:r>
            <w:r>
              <w:rPr>
                <w:rFonts w:ascii="Arial" w:cs="Arial" w:eastAsia="Arial" w:hAnsi="Arial"/>
                <w:sz w:val="11"/>
                <w:szCs w:val="11"/>
                <w:color w:val="auto"/>
                <w:w w:val="90"/>
              </w:rPr>
              <w:t>th</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rPr>
              <w:t>​</w:t>
            </w:r>
          </w:p>
        </w:tc>
      </w:tr>
      <w:tr>
        <w:trPr>
          <w:trHeight w:val="250"/>
        </w:trPr>
        <w:tc>
          <w:tcPr>
            <w:tcW w:w="4020" w:type="dxa"/>
            <w:vAlign w:val="bottom"/>
            <w:tcBorders>
              <w:bottom w:val="single" w:sz="8" w:color="53C072"/>
            </w:tcBorders>
            <w:shd w:val="clear" w:color="auto" w:fill="CBECD5"/>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Modifier</w:t>
            </w:r>
          </w:p>
        </w:tc>
        <w:tc>
          <w:tcPr>
            <w:tcW w:w="2100" w:type="dxa"/>
            <w:vAlign w:val="bottom"/>
            <w:tcBorders>
              <w:bottom w:val="single" w:sz="8" w:color="53C072"/>
            </w:tcBorders>
            <w:shd w:val="clear" w:color="auto" w:fill="CBECD5"/>
          </w:tcPr>
          <w:p>
            <w:pPr>
              <w:ind w:left="18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53C072"/>
            </w:tcBorders>
            <w:shd w:val="clear" w:color="auto" w:fill="CBECD5"/>
          </w:tcPr>
          <w:p>
            <w:pPr>
              <w:jc w:val="right"/>
              <w:ind w:right="170"/>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53C072"/>
            </w:tcBorders>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53C072"/>
            </w:tcBorders>
            <w:shd w:val="clear" w:color="auto" w:fill="CBECD5"/>
          </w:tcPr>
          <w:p>
            <w:pPr>
              <w:jc w:val="right"/>
              <w:ind w:right="48"/>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53C072"/>
            </w:tcBorders>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580" w:type="dxa"/>
            <w:vAlign w:val="bottom"/>
            <w:tcBorders>
              <w:bottom w:val="single" w:sz="8" w:color="53C072"/>
            </w:tcBorders>
            <w:shd w:val="clear" w:color="auto" w:fill="CBECD5"/>
          </w:tcPr>
          <w:p>
            <w:pPr>
              <w:jc w:val="right"/>
              <w:ind w:right="14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bl>
    <w:p>
      <w:pPr>
        <w:spacing w:after="0" w:line="76" w:lineRule="exact"/>
        <w:rPr>
          <w:sz w:val="20"/>
          <w:szCs w:val="20"/>
          <w:color w:val="auto"/>
        </w:rPr>
      </w:pPr>
    </w:p>
    <w:p>
      <w:pPr>
        <w:ind w:left="1000" w:right="179"/>
        <w:spacing w:after="0" w:line="261" w:lineRule="auto"/>
        <w:rPr>
          <w:sz w:val="20"/>
          <w:szCs w:val="20"/>
          <w:color w:val="auto"/>
        </w:rPr>
      </w:pPr>
      <w:r>
        <w:rPr>
          <w:rFonts w:ascii="Arial" w:cs="Arial" w:eastAsia="Arial" w:hAnsi="Arial"/>
          <w:sz w:val="18"/>
          <w:szCs w:val="18"/>
          <w:color w:val="auto"/>
        </w:rPr>
        <w:t>If the Company’s actual achievement of ROIC &gt; WACC, Relative Adjusted EPS Growth or rTSR is between two achievement levels set forth in the tables above, the percentage vesting shall be determined by linear interpolation.</w:t>
      </w:r>
    </w:p>
    <w:p>
      <w:pPr>
        <w:spacing w:after="0" w:line="94" w:lineRule="exact"/>
        <w:rPr>
          <w:sz w:val="20"/>
          <w:szCs w:val="20"/>
          <w:color w:val="auto"/>
        </w:rPr>
      </w:pPr>
    </w:p>
    <w:p>
      <w:pPr>
        <w:ind w:left="1000" w:right="279"/>
        <w:spacing w:after="0" w:line="247" w:lineRule="auto"/>
        <w:rPr>
          <w:sz w:val="20"/>
          <w:szCs w:val="20"/>
          <w:color w:val="auto"/>
        </w:rPr>
      </w:pPr>
      <w:r>
        <w:rPr>
          <w:rFonts w:ascii="Arial" w:cs="Arial" w:eastAsia="Arial" w:hAnsi="Arial"/>
          <w:sz w:val="18"/>
          <w:szCs w:val="18"/>
          <w:b w:val="1"/>
          <w:bCs w:val="1"/>
          <w:color w:val="53C072"/>
        </w:rPr>
        <w:t xml:space="preserve">PSUs Earned Under Second Tranche of Fiscal 2023 Grants. </w:t>
      </w:r>
      <w:r>
        <w:rPr>
          <w:rFonts w:ascii="Arial" w:cs="Arial" w:eastAsia="Arial" w:hAnsi="Arial"/>
          <w:sz w:val="18"/>
          <w:szCs w:val="18"/>
          <w:color w:val="000000"/>
        </w:rPr>
        <w:t>For PSU awards granted in fiscal 2023, the</w:t>
      </w:r>
      <w:r>
        <w:rPr>
          <w:rFonts w:ascii="Arial" w:cs="Arial" w:eastAsia="Arial" w:hAnsi="Arial"/>
          <w:sz w:val="18"/>
          <w:szCs w:val="18"/>
          <w:b w:val="1"/>
          <w:bCs w:val="1"/>
          <w:color w:val="53C072"/>
        </w:rPr>
        <w:t xml:space="preserve"> </w:t>
      </w:r>
      <w:r>
        <w:rPr>
          <w:rFonts w:ascii="Arial" w:cs="Arial" w:eastAsia="Arial" w:hAnsi="Arial"/>
          <w:sz w:val="18"/>
          <w:szCs w:val="18"/>
          <w:color w:val="000000"/>
        </w:rPr>
        <w:t>following tables summarize the achievement of performance goals under the second tranche during the performance period of fiscal year 2024 and the number of PSUs earned by each NEO. Earned PSUs will vest and become payable when the Committee certifies the results for the performance period for the third tranche, which ends on June 28, 2025.</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52     </w:t>
      </w:r>
      <w:r>
        <w:rPr>
          <w:sz w:val="1"/>
          <w:szCs w:val="1"/>
          <w:color w:val="auto"/>
        </w:rPr>
        <w:drawing>
          <wp:inline distT="0" distB="0" distL="0" distR="0">
            <wp:extent cx="1242695" cy="24003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81" w:lineRule="exact"/>
        <w:rPr>
          <w:sz w:val="20"/>
          <w:szCs w:val="20"/>
          <w:color w:val="auto"/>
        </w:rPr>
      </w:pPr>
    </w:p>
    <w:tbl>
      <w:tblPr>
        <w:tblLayout w:type="fixed"/>
        <w:tblInd w:w="980" w:type="dxa"/>
        <w:tblCellMar>
          <w:top w:w="0" w:type="dxa"/>
          <w:left w:w="0" w:type="dxa"/>
          <w:bottom w:w="0" w:type="dxa"/>
          <w:right w:w="0" w:type="dxa"/>
        </w:tblCellMar>
      </w:tblPr>
      <w:tr>
        <w:trPr>
          <w:trHeight w:val="196"/>
        </w:trPr>
        <w:tc>
          <w:tcPr>
            <w:tcW w:w="3360" w:type="dxa"/>
            <w:vAlign w:val="bottom"/>
          </w:tcPr>
          <w:p>
            <w:pPr>
              <w:ind w:left="2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2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80" w:type="dxa"/>
            <w:vAlign w:val="bottom"/>
            <w:gridSpan w:val="3"/>
            <w:vMerge w:val="restart"/>
          </w:tcPr>
          <w:p>
            <w:pPr>
              <w:ind w:left="10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PROXY STATEMENT</w:t>
            </w:r>
          </w:p>
        </w:tc>
        <w:tc>
          <w:tcPr>
            <w:tcW w:w="2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5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360" w:type="dxa"/>
            <w:vAlign w:val="bottom"/>
            <w:vMerge w:val="continue"/>
          </w:tcPr>
          <w:p>
            <w:pPr>
              <w:spacing w:after="0"/>
              <w:rPr>
                <w:sz w:val="11"/>
                <w:szCs w:val="11"/>
                <w:color w:val="auto"/>
              </w:rPr>
            </w:pPr>
          </w:p>
        </w:tc>
        <w:tc>
          <w:tcPr>
            <w:tcW w:w="2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8"/>
        </w:trPr>
        <w:tc>
          <w:tcPr>
            <w:tcW w:w="3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360" w:type="dxa"/>
            <w:vAlign w:val="bottom"/>
            <w:shd w:val="clear" w:color="auto" w:fill="53C072"/>
          </w:tcPr>
          <w:p>
            <w:pPr>
              <w:spacing w:after="0"/>
              <w:rPr>
                <w:sz w:val="16"/>
                <w:szCs w:val="16"/>
                <w:color w:val="auto"/>
              </w:rPr>
            </w:pPr>
          </w:p>
        </w:tc>
        <w:tc>
          <w:tcPr>
            <w:tcW w:w="2100" w:type="dxa"/>
            <w:vAlign w:val="bottom"/>
            <w:shd w:val="clear" w:color="auto" w:fill="53C072"/>
          </w:tcPr>
          <w:p>
            <w:pPr>
              <w:spacing w:after="0"/>
              <w:rPr>
                <w:sz w:val="16"/>
                <w:szCs w:val="16"/>
                <w:color w:val="auto"/>
              </w:rPr>
            </w:pPr>
          </w:p>
        </w:tc>
        <w:tc>
          <w:tcPr>
            <w:tcW w:w="720" w:type="dxa"/>
            <w:vAlign w:val="bottom"/>
            <w:shd w:val="clear" w:color="auto" w:fill="53C072"/>
          </w:tcPr>
          <w:p>
            <w:pPr>
              <w:spacing w:after="0"/>
              <w:rPr>
                <w:sz w:val="16"/>
                <w:szCs w:val="16"/>
                <w:color w:val="auto"/>
              </w:rPr>
            </w:pPr>
          </w:p>
        </w:tc>
        <w:tc>
          <w:tcPr>
            <w:tcW w:w="860" w:type="dxa"/>
            <w:vAlign w:val="bottom"/>
            <w:shd w:val="clear" w:color="auto" w:fill="53C072"/>
          </w:tcPr>
          <w:p>
            <w:pPr>
              <w:spacing w:after="0"/>
              <w:rPr>
                <w:sz w:val="16"/>
                <w:szCs w:val="16"/>
                <w:color w:val="auto"/>
              </w:rPr>
            </w:pPr>
          </w:p>
        </w:tc>
        <w:tc>
          <w:tcPr>
            <w:tcW w:w="820" w:type="dxa"/>
            <w:vAlign w:val="bottom"/>
            <w:shd w:val="clear" w:color="auto" w:fill="53C072"/>
          </w:tcPr>
          <w:p>
            <w:pPr>
              <w:spacing w:after="0"/>
              <w:rPr>
                <w:sz w:val="16"/>
                <w:szCs w:val="16"/>
                <w:color w:val="auto"/>
              </w:rPr>
            </w:pPr>
          </w:p>
        </w:tc>
        <w:tc>
          <w:tcPr>
            <w:tcW w:w="90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Weighted</w:t>
            </w:r>
          </w:p>
        </w:tc>
        <w:tc>
          <w:tcPr>
            <w:tcW w:w="0" w:type="dxa"/>
            <w:vAlign w:val="bottom"/>
          </w:tcPr>
          <w:p>
            <w:pPr>
              <w:spacing w:after="0"/>
              <w:rPr>
                <w:sz w:val="1"/>
                <w:szCs w:val="1"/>
                <w:color w:val="auto"/>
              </w:rPr>
            </w:pPr>
          </w:p>
        </w:tc>
      </w:tr>
      <w:tr>
        <w:trPr>
          <w:trHeight w:val="171"/>
        </w:trPr>
        <w:tc>
          <w:tcPr>
            <w:tcW w:w="336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rPr>
              <w:t>​Goal*</w:t>
            </w:r>
          </w:p>
        </w:tc>
        <w:tc>
          <w:tcPr>
            <w:tcW w:w="2100" w:type="dxa"/>
            <w:vAlign w:val="bottom"/>
            <w:shd w:val="clear" w:color="auto" w:fill="53C072"/>
          </w:tcPr>
          <w:p>
            <w:pPr>
              <w:jc w:val="center"/>
              <w:ind w:left="1373"/>
              <w:spacing w:after="0"/>
              <w:rPr>
                <w:sz w:val="20"/>
                <w:szCs w:val="20"/>
                <w:color w:val="auto"/>
              </w:rPr>
            </w:pPr>
            <w:r>
              <w:rPr>
                <w:rFonts w:ascii="Arial" w:cs="Arial" w:eastAsia="Arial" w:hAnsi="Arial"/>
                <w:sz w:val="14"/>
                <w:szCs w:val="14"/>
                <w:b w:val="1"/>
                <w:bCs w:val="1"/>
                <w:color w:val="FEFEFE"/>
                <w:w w:val="98"/>
              </w:rPr>
              <w:t>Target</w:t>
            </w:r>
          </w:p>
        </w:tc>
        <w:tc>
          <w:tcPr>
            <w:tcW w:w="72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Actual</w:t>
            </w:r>
          </w:p>
        </w:tc>
        <w:tc>
          <w:tcPr>
            <w:tcW w:w="86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Payout</w:t>
            </w:r>
          </w:p>
        </w:tc>
        <w:tc>
          <w:tcPr>
            <w:tcW w:w="82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Weight</w:t>
            </w:r>
          </w:p>
        </w:tc>
        <w:tc>
          <w:tcPr>
            <w:tcW w:w="90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Payout</w:t>
            </w:r>
          </w:p>
        </w:tc>
        <w:tc>
          <w:tcPr>
            <w:tcW w:w="0" w:type="dxa"/>
            <w:vAlign w:val="bottom"/>
          </w:tcPr>
          <w:p>
            <w:pPr>
              <w:spacing w:after="0"/>
              <w:rPr>
                <w:sz w:val="1"/>
                <w:szCs w:val="1"/>
                <w:color w:val="auto"/>
              </w:rPr>
            </w:pPr>
          </w:p>
        </w:tc>
      </w:tr>
      <w:tr>
        <w:trPr>
          <w:trHeight w:val="216"/>
        </w:trPr>
        <w:tc>
          <w:tcPr>
            <w:tcW w:w="3360" w:type="dxa"/>
            <w:vAlign w:val="bottom"/>
          </w:tcPr>
          <w:p>
            <w:pPr>
              <w:ind w:left="60"/>
              <w:spacing w:after="0"/>
              <w:rPr>
                <w:sz w:val="20"/>
                <w:szCs w:val="20"/>
                <w:color w:val="auto"/>
              </w:rPr>
            </w:pPr>
            <w:r>
              <w:rPr>
                <w:rFonts w:ascii="Arial" w:cs="Arial" w:eastAsia="Arial" w:hAnsi="Arial"/>
                <w:sz w:val="18"/>
                <w:szCs w:val="18"/>
                <w:color w:val="auto"/>
              </w:rPr>
              <w:t>​ROIC&gt;WACC</w:t>
            </w:r>
          </w:p>
        </w:tc>
        <w:tc>
          <w:tcPr>
            <w:tcW w:w="2100" w:type="dxa"/>
            <w:vAlign w:val="bottom"/>
          </w:tcPr>
          <w:p>
            <w:pPr>
              <w:jc w:val="center"/>
              <w:ind w:left="1373"/>
              <w:spacing w:after="0"/>
              <w:rPr>
                <w:sz w:val="20"/>
                <w:szCs w:val="20"/>
                <w:color w:val="auto"/>
              </w:rPr>
            </w:pPr>
            <w:r>
              <w:rPr>
                <w:rFonts w:ascii="Arial" w:cs="Arial" w:eastAsia="Arial" w:hAnsi="Arial"/>
                <w:sz w:val="18"/>
                <w:szCs w:val="18"/>
                <w:color w:val="auto"/>
              </w:rPr>
              <w:t>1.5%</w:t>
            </w:r>
          </w:p>
        </w:tc>
        <w:tc>
          <w:tcPr>
            <w:tcW w:w="720" w:type="dxa"/>
            <w:vAlign w:val="bottom"/>
          </w:tcPr>
          <w:p>
            <w:pPr>
              <w:jc w:val="center"/>
              <w:spacing w:after="0"/>
              <w:rPr>
                <w:sz w:val="20"/>
                <w:szCs w:val="20"/>
                <w:color w:val="auto"/>
              </w:rPr>
            </w:pPr>
            <w:r>
              <w:rPr>
                <w:rFonts w:ascii="Arial" w:cs="Arial" w:eastAsia="Arial" w:hAnsi="Arial"/>
                <w:sz w:val="18"/>
                <w:szCs w:val="18"/>
                <w:color w:val="auto"/>
                <w:w w:val="98"/>
              </w:rPr>
              <w:t>&gt;4 bps</w:t>
            </w:r>
          </w:p>
        </w:tc>
        <w:tc>
          <w:tcPr>
            <w:tcW w:w="860" w:type="dxa"/>
            <w:vAlign w:val="bottom"/>
          </w:tcPr>
          <w:p>
            <w:pPr>
              <w:jc w:val="center"/>
              <w:spacing w:after="0"/>
              <w:rPr>
                <w:sz w:val="20"/>
                <w:szCs w:val="20"/>
                <w:color w:val="auto"/>
              </w:rPr>
            </w:pPr>
            <w:r>
              <w:rPr>
                <w:rFonts w:ascii="Arial" w:cs="Arial" w:eastAsia="Arial" w:hAnsi="Arial"/>
                <w:sz w:val="18"/>
                <w:szCs w:val="18"/>
                <w:color w:val="auto"/>
                <w:w w:val="98"/>
              </w:rPr>
              <w:t>51.33%</w:t>
            </w:r>
          </w:p>
        </w:tc>
        <w:tc>
          <w:tcPr>
            <w:tcW w:w="820" w:type="dxa"/>
            <w:vAlign w:val="bottom"/>
          </w:tcPr>
          <w:p>
            <w:pPr>
              <w:jc w:val="center"/>
              <w:spacing w:after="0"/>
              <w:rPr>
                <w:sz w:val="20"/>
                <w:szCs w:val="20"/>
                <w:color w:val="auto"/>
              </w:rPr>
            </w:pPr>
            <w:r>
              <w:rPr>
                <w:rFonts w:ascii="Arial" w:cs="Arial" w:eastAsia="Arial" w:hAnsi="Arial"/>
                <w:sz w:val="18"/>
                <w:szCs w:val="18"/>
                <w:color w:val="auto"/>
                <w:w w:val="98"/>
              </w:rPr>
              <w:t>50.00%</w:t>
            </w: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25.67%</w:t>
            </w:r>
          </w:p>
        </w:tc>
        <w:tc>
          <w:tcPr>
            <w:tcW w:w="0" w:type="dxa"/>
            <w:vAlign w:val="bottom"/>
          </w:tcPr>
          <w:p>
            <w:pPr>
              <w:spacing w:after="0"/>
              <w:rPr>
                <w:sz w:val="1"/>
                <w:szCs w:val="1"/>
                <w:color w:val="auto"/>
              </w:rPr>
            </w:pPr>
          </w:p>
        </w:tc>
      </w:tr>
      <w:tr>
        <w:trPr>
          <w:trHeight w:val="243"/>
        </w:trPr>
        <w:tc>
          <w:tcPr>
            <w:tcW w:w="3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​Adjusted EPS Growth</w:t>
            </w:r>
          </w:p>
        </w:tc>
        <w:tc>
          <w:tcPr>
            <w:tcW w:w="2100" w:type="dxa"/>
            <w:vAlign w:val="bottom"/>
            <w:shd w:val="clear" w:color="auto" w:fill="CBECD5"/>
          </w:tcPr>
          <w:p>
            <w:pPr>
              <w:jc w:val="center"/>
              <w:ind w:left="1353"/>
              <w:spacing w:after="0" w:line="243" w:lineRule="exact"/>
              <w:rPr>
                <w:sz w:val="20"/>
                <w:szCs w:val="20"/>
                <w:color w:val="auto"/>
              </w:rPr>
            </w:pPr>
            <w:r>
              <w:rPr>
                <w:rFonts w:ascii="Arial" w:cs="Arial" w:eastAsia="Arial" w:hAnsi="Arial"/>
                <w:sz w:val="28"/>
                <w:szCs w:val="28"/>
                <w:color w:val="auto"/>
                <w:vertAlign w:val="subscript"/>
              </w:rPr>
              <w:t>8</w:t>
            </w:r>
            <w:r>
              <w:rPr>
                <w:rFonts w:ascii="Arial" w:cs="Arial" w:eastAsia="Arial" w:hAnsi="Arial"/>
                <w:sz w:val="11"/>
                <w:szCs w:val="11"/>
                <w:color w:val="auto"/>
              </w:rPr>
              <w:t>th</w:t>
            </w:r>
          </w:p>
        </w:tc>
        <w:tc>
          <w:tcPr>
            <w:tcW w:w="720" w:type="dxa"/>
            <w:vAlign w:val="bottom"/>
            <w:shd w:val="clear" w:color="auto" w:fill="CBECD5"/>
          </w:tcPr>
          <w:p>
            <w:pPr>
              <w:jc w:val="center"/>
              <w:spacing w:after="0" w:line="243" w:lineRule="exact"/>
              <w:rPr>
                <w:sz w:val="20"/>
                <w:szCs w:val="20"/>
                <w:color w:val="auto"/>
              </w:rPr>
            </w:pPr>
            <w:r>
              <w:rPr>
                <w:rFonts w:ascii="Arial" w:cs="Arial" w:eastAsia="Arial" w:hAnsi="Arial"/>
                <w:sz w:val="18"/>
                <w:szCs w:val="18"/>
                <w:color w:val="auto"/>
                <w:w w:val="91"/>
              </w:rPr>
              <w:t>13</w:t>
            </w:r>
            <w:r>
              <w:rPr>
                <w:rFonts w:ascii="Arial" w:cs="Arial" w:eastAsia="Arial" w:hAnsi="Arial"/>
                <w:sz w:val="23"/>
                <w:szCs w:val="23"/>
                <w:color w:val="auto"/>
                <w:w w:val="91"/>
                <w:vertAlign w:val="superscript"/>
              </w:rPr>
              <w:t>th</w:t>
            </w:r>
          </w:p>
        </w:tc>
        <w:tc>
          <w:tcPr>
            <w:tcW w:w="86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8"/>
              </w:rPr>
              <w:t>37.50%</w:t>
            </w:r>
          </w:p>
        </w:tc>
        <w:tc>
          <w:tcPr>
            <w:tcW w:w="82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8"/>
              </w:rPr>
              <w:t>50.00%</w:t>
            </w:r>
          </w:p>
        </w:tc>
        <w:tc>
          <w:tcPr>
            <w:tcW w:w="90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8"/>
              </w:rPr>
              <w:t>18.75%</w:t>
            </w:r>
          </w:p>
        </w:tc>
        <w:tc>
          <w:tcPr>
            <w:tcW w:w="0" w:type="dxa"/>
            <w:vAlign w:val="bottom"/>
          </w:tcPr>
          <w:p>
            <w:pPr>
              <w:spacing w:after="0"/>
              <w:rPr>
                <w:sz w:val="1"/>
                <w:szCs w:val="1"/>
                <w:color w:val="auto"/>
              </w:rPr>
            </w:pPr>
          </w:p>
        </w:tc>
      </w:tr>
      <w:tr>
        <w:trPr>
          <w:trHeight w:val="243"/>
        </w:trPr>
        <w:tc>
          <w:tcPr>
            <w:tcW w:w="3360" w:type="dxa"/>
            <w:vAlign w:val="bottom"/>
          </w:tcPr>
          <w:p>
            <w:pPr>
              <w:ind w:left="60"/>
              <w:spacing w:after="0"/>
              <w:rPr>
                <w:sz w:val="20"/>
                <w:szCs w:val="20"/>
                <w:color w:val="auto"/>
              </w:rPr>
            </w:pPr>
            <w:r>
              <w:rPr>
                <w:rFonts w:ascii="Arial" w:cs="Arial" w:eastAsia="Arial" w:hAnsi="Arial"/>
                <w:sz w:val="18"/>
                <w:szCs w:val="18"/>
                <w:color w:val="auto"/>
              </w:rPr>
              <w:t>​rTSR Modifier</w:t>
            </w:r>
          </w:p>
        </w:tc>
        <w:tc>
          <w:tcPr>
            <w:tcW w:w="2100" w:type="dxa"/>
            <w:vAlign w:val="bottom"/>
          </w:tcPr>
          <w:p>
            <w:pPr>
              <w:jc w:val="center"/>
              <w:ind w:left="1353"/>
              <w:spacing w:after="0" w:line="243" w:lineRule="exact"/>
              <w:rPr>
                <w:sz w:val="20"/>
                <w:szCs w:val="20"/>
                <w:color w:val="auto"/>
              </w:rPr>
            </w:pPr>
            <w:r>
              <w:rPr>
                <w:rFonts w:ascii="Arial" w:cs="Arial" w:eastAsia="Arial" w:hAnsi="Arial"/>
                <w:sz w:val="28"/>
                <w:szCs w:val="28"/>
                <w:color w:val="auto"/>
                <w:vertAlign w:val="subscript"/>
              </w:rPr>
              <w:t>8</w:t>
            </w:r>
            <w:r>
              <w:rPr>
                <w:rFonts w:ascii="Arial" w:cs="Arial" w:eastAsia="Arial" w:hAnsi="Arial"/>
                <w:sz w:val="11"/>
                <w:szCs w:val="11"/>
                <w:color w:val="auto"/>
              </w:rPr>
              <w:t>th</w:t>
            </w:r>
          </w:p>
        </w:tc>
        <w:tc>
          <w:tcPr>
            <w:tcW w:w="720" w:type="dxa"/>
            <w:vAlign w:val="bottom"/>
          </w:tcPr>
          <w:p>
            <w:pPr>
              <w:jc w:val="center"/>
              <w:spacing w:after="0" w:line="243" w:lineRule="exact"/>
              <w:rPr>
                <w:sz w:val="20"/>
                <w:szCs w:val="20"/>
                <w:color w:val="auto"/>
              </w:rPr>
            </w:pPr>
            <w:r>
              <w:rPr>
                <w:rFonts w:ascii="Arial" w:cs="Arial" w:eastAsia="Arial" w:hAnsi="Arial"/>
                <w:sz w:val="18"/>
                <w:szCs w:val="18"/>
                <w:color w:val="auto"/>
                <w:w w:val="85"/>
              </w:rPr>
              <w:t>11</w:t>
            </w:r>
            <w:r>
              <w:rPr>
                <w:rFonts w:ascii="Arial" w:cs="Arial" w:eastAsia="Arial" w:hAnsi="Arial"/>
                <w:sz w:val="23"/>
                <w:szCs w:val="23"/>
                <w:color w:val="auto"/>
                <w:w w:val="85"/>
                <w:vertAlign w:val="superscript"/>
              </w:rPr>
              <w:t>th</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360" w:type="dxa"/>
            <w:vAlign w:val="bottom"/>
            <w:tcBorders>
              <w:bottom w:val="single" w:sz="8" w:color="53C072"/>
            </w:tcBorders>
            <w:shd w:val="clear" w:color="auto" w:fill="CBECD5"/>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Total Earned</w:t>
            </w:r>
          </w:p>
        </w:tc>
        <w:tc>
          <w:tcPr>
            <w:tcW w:w="2100" w:type="dxa"/>
            <w:vAlign w:val="bottom"/>
            <w:tcBorders>
              <w:bottom w:val="single" w:sz="8" w:color="53C072"/>
            </w:tcBorders>
            <w:shd w:val="clear" w:color="auto" w:fill="CBECD5"/>
          </w:tcPr>
          <w:p>
            <w:pPr>
              <w:spacing w:after="0"/>
              <w:rPr>
                <w:sz w:val="24"/>
                <w:szCs w:val="24"/>
                <w:color w:val="auto"/>
              </w:rPr>
            </w:pPr>
          </w:p>
        </w:tc>
        <w:tc>
          <w:tcPr>
            <w:tcW w:w="720" w:type="dxa"/>
            <w:vAlign w:val="bottom"/>
            <w:tcBorders>
              <w:bottom w:val="single" w:sz="8" w:color="53C072"/>
            </w:tcBorders>
            <w:shd w:val="clear" w:color="auto" w:fill="CBECD5"/>
          </w:tcPr>
          <w:p>
            <w:pPr>
              <w:spacing w:after="0"/>
              <w:rPr>
                <w:sz w:val="24"/>
                <w:szCs w:val="24"/>
                <w:color w:val="auto"/>
              </w:rPr>
            </w:pPr>
          </w:p>
        </w:tc>
        <w:tc>
          <w:tcPr>
            <w:tcW w:w="86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w w:val="98"/>
              </w:rPr>
              <w:t>41.76%</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00" w:right="279"/>
        <w:spacing w:after="0" w:line="259" w:lineRule="auto"/>
        <w:rPr>
          <w:sz w:val="20"/>
          <w:szCs w:val="20"/>
          <w:color w:val="auto"/>
        </w:rPr>
      </w:pPr>
      <w:r>
        <w:rPr>
          <w:rFonts w:ascii="Arial" w:cs="Arial" w:eastAsia="Arial" w:hAnsi="Arial"/>
          <w:sz w:val="18"/>
          <w:szCs w:val="18"/>
          <w:b w:val="1"/>
          <w:bCs w:val="1"/>
          <w:color w:val="53C072"/>
        </w:rPr>
        <w:t xml:space="preserve">PSUs Earned Under First Tranche of Fiscal 2024 Grants. </w:t>
      </w:r>
      <w:r>
        <w:rPr>
          <w:rFonts w:ascii="Arial" w:cs="Arial" w:eastAsia="Arial" w:hAnsi="Arial"/>
          <w:sz w:val="18"/>
          <w:szCs w:val="18"/>
          <w:color w:val="000000"/>
        </w:rPr>
        <w:t>For PSU awards granted in fiscal 2024, the</w:t>
      </w:r>
      <w:r>
        <w:rPr>
          <w:rFonts w:ascii="Arial" w:cs="Arial" w:eastAsia="Arial" w:hAnsi="Arial"/>
          <w:sz w:val="18"/>
          <w:szCs w:val="18"/>
          <w:b w:val="1"/>
          <w:bCs w:val="1"/>
          <w:color w:val="53C072"/>
        </w:rPr>
        <w:t xml:space="preserve"> </w:t>
      </w:r>
      <w:r>
        <w:rPr>
          <w:rFonts w:ascii="Arial" w:cs="Arial" w:eastAsia="Arial" w:hAnsi="Arial"/>
          <w:sz w:val="18"/>
          <w:szCs w:val="18"/>
          <w:color w:val="000000"/>
        </w:rPr>
        <w:t>following tables summarize the achievement of performance goals under the first tranche during the performance period of fiscal year 2024 and the number of PSUs earned by each NEO. Earned PSUs will vest and become payable when the Committee certifies the results for the performance period for the third tranche, which ends on June 27, 2026.</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193"/>
        </w:trPr>
        <w:tc>
          <w:tcPr>
            <w:tcW w:w="3360" w:type="dxa"/>
            <w:vAlign w:val="bottom"/>
            <w:shd w:val="clear" w:color="auto" w:fill="53C072"/>
          </w:tcPr>
          <w:p>
            <w:pPr>
              <w:spacing w:after="0"/>
              <w:rPr>
                <w:sz w:val="16"/>
                <w:szCs w:val="16"/>
                <w:color w:val="auto"/>
              </w:rPr>
            </w:pPr>
          </w:p>
        </w:tc>
        <w:tc>
          <w:tcPr>
            <w:tcW w:w="2100" w:type="dxa"/>
            <w:vAlign w:val="bottom"/>
            <w:shd w:val="clear" w:color="auto" w:fill="53C072"/>
          </w:tcPr>
          <w:p>
            <w:pPr>
              <w:spacing w:after="0"/>
              <w:rPr>
                <w:sz w:val="16"/>
                <w:szCs w:val="16"/>
                <w:color w:val="auto"/>
              </w:rPr>
            </w:pPr>
          </w:p>
        </w:tc>
        <w:tc>
          <w:tcPr>
            <w:tcW w:w="740" w:type="dxa"/>
            <w:vAlign w:val="bottom"/>
            <w:shd w:val="clear" w:color="auto" w:fill="53C072"/>
          </w:tcPr>
          <w:p>
            <w:pPr>
              <w:spacing w:after="0"/>
              <w:rPr>
                <w:sz w:val="16"/>
                <w:szCs w:val="16"/>
                <w:color w:val="auto"/>
              </w:rPr>
            </w:pPr>
          </w:p>
        </w:tc>
        <w:tc>
          <w:tcPr>
            <w:tcW w:w="840" w:type="dxa"/>
            <w:vAlign w:val="bottom"/>
            <w:shd w:val="clear" w:color="auto" w:fill="53C072"/>
          </w:tcPr>
          <w:p>
            <w:pPr>
              <w:spacing w:after="0"/>
              <w:rPr>
                <w:sz w:val="16"/>
                <w:szCs w:val="16"/>
                <w:color w:val="auto"/>
              </w:rPr>
            </w:pPr>
          </w:p>
        </w:tc>
        <w:tc>
          <w:tcPr>
            <w:tcW w:w="820" w:type="dxa"/>
            <w:vAlign w:val="bottom"/>
            <w:shd w:val="clear" w:color="auto" w:fill="53C072"/>
          </w:tcPr>
          <w:p>
            <w:pPr>
              <w:spacing w:after="0"/>
              <w:rPr>
                <w:sz w:val="16"/>
                <w:szCs w:val="16"/>
                <w:color w:val="auto"/>
              </w:rPr>
            </w:pPr>
          </w:p>
        </w:tc>
        <w:tc>
          <w:tcPr>
            <w:tcW w:w="90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Weighted</w:t>
            </w:r>
          </w:p>
        </w:tc>
      </w:tr>
      <w:tr>
        <w:trPr>
          <w:trHeight w:val="171"/>
        </w:trPr>
        <w:tc>
          <w:tcPr>
            <w:tcW w:w="336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rPr>
              <w:t>​Goal*</w:t>
            </w:r>
          </w:p>
        </w:tc>
        <w:tc>
          <w:tcPr>
            <w:tcW w:w="2100" w:type="dxa"/>
            <w:vAlign w:val="bottom"/>
            <w:shd w:val="clear" w:color="auto" w:fill="53C072"/>
          </w:tcPr>
          <w:p>
            <w:pPr>
              <w:jc w:val="center"/>
              <w:ind w:left="1373"/>
              <w:spacing w:after="0"/>
              <w:rPr>
                <w:sz w:val="20"/>
                <w:szCs w:val="20"/>
                <w:color w:val="auto"/>
              </w:rPr>
            </w:pPr>
            <w:r>
              <w:rPr>
                <w:rFonts w:ascii="Arial" w:cs="Arial" w:eastAsia="Arial" w:hAnsi="Arial"/>
                <w:sz w:val="14"/>
                <w:szCs w:val="14"/>
                <w:b w:val="1"/>
                <w:bCs w:val="1"/>
                <w:color w:val="FEFEFE"/>
                <w:w w:val="98"/>
              </w:rPr>
              <w:t>Target</w:t>
            </w:r>
          </w:p>
        </w:tc>
        <w:tc>
          <w:tcPr>
            <w:tcW w:w="7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Actual</w:t>
            </w:r>
          </w:p>
        </w:tc>
        <w:tc>
          <w:tcPr>
            <w:tcW w:w="84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Payout</w:t>
            </w:r>
          </w:p>
        </w:tc>
        <w:tc>
          <w:tcPr>
            <w:tcW w:w="82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Weight</w:t>
            </w:r>
          </w:p>
        </w:tc>
        <w:tc>
          <w:tcPr>
            <w:tcW w:w="90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EFEFE"/>
              </w:rPr>
              <w:t>Payout</w:t>
            </w:r>
          </w:p>
        </w:tc>
      </w:tr>
      <w:tr>
        <w:trPr>
          <w:trHeight w:val="216"/>
        </w:trPr>
        <w:tc>
          <w:tcPr>
            <w:tcW w:w="3360" w:type="dxa"/>
            <w:vAlign w:val="bottom"/>
          </w:tcPr>
          <w:p>
            <w:pPr>
              <w:ind w:left="60"/>
              <w:spacing w:after="0"/>
              <w:rPr>
                <w:sz w:val="20"/>
                <w:szCs w:val="20"/>
                <w:color w:val="auto"/>
              </w:rPr>
            </w:pPr>
            <w:r>
              <w:rPr>
                <w:rFonts w:ascii="Arial" w:cs="Arial" w:eastAsia="Arial" w:hAnsi="Arial"/>
                <w:sz w:val="18"/>
                <w:szCs w:val="18"/>
                <w:color w:val="auto"/>
              </w:rPr>
              <w:t>​ROIC&gt;WACC</w:t>
            </w:r>
          </w:p>
        </w:tc>
        <w:tc>
          <w:tcPr>
            <w:tcW w:w="2100" w:type="dxa"/>
            <w:vAlign w:val="bottom"/>
          </w:tcPr>
          <w:p>
            <w:pPr>
              <w:jc w:val="center"/>
              <w:ind w:left="1373"/>
              <w:spacing w:after="0"/>
              <w:rPr>
                <w:sz w:val="20"/>
                <w:szCs w:val="20"/>
                <w:color w:val="auto"/>
              </w:rPr>
            </w:pPr>
            <w:r>
              <w:rPr>
                <w:rFonts w:ascii="Arial" w:cs="Arial" w:eastAsia="Arial" w:hAnsi="Arial"/>
                <w:sz w:val="18"/>
                <w:szCs w:val="18"/>
                <w:color w:val="auto"/>
              </w:rPr>
              <w:t>1.5%</w:t>
            </w:r>
          </w:p>
        </w:tc>
        <w:tc>
          <w:tcPr>
            <w:tcW w:w="740" w:type="dxa"/>
            <w:vAlign w:val="bottom"/>
          </w:tcPr>
          <w:p>
            <w:pPr>
              <w:jc w:val="center"/>
              <w:spacing w:after="0"/>
              <w:rPr>
                <w:sz w:val="20"/>
                <w:szCs w:val="20"/>
                <w:color w:val="auto"/>
              </w:rPr>
            </w:pPr>
            <w:r>
              <w:rPr>
                <w:rFonts w:ascii="Arial" w:cs="Arial" w:eastAsia="Arial" w:hAnsi="Arial"/>
                <w:sz w:val="18"/>
                <w:szCs w:val="18"/>
                <w:color w:val="auto"/>
                <w:w w:val="98"/>
              </w:rPr>
              <w:t>&gt;4 bps</w:t>
            </w:r>
          </w:p>
        </w:tc>
        <w:tc>
          <w:tcPr>
            <w:tcW w:w="840" w:type="dxa"/>
            <w:vAlign w:val="bottom"/>
          </w:tcPr>
          <w:p>
            <w:pPr>
              <w:jc w:val="center"/>
              <w:spacing w:after="0"/>
              <w:rPr>
                <w:sz w:val="20"/>
                <w:szCs w:val="20"/>
                <w:color w:val="auto"/>
              </w:rPr>
            </w:pPr>
            <w:r>
              <w:rPr>
                <w:rFonts w:ascii="Arial" w:cs="Arial" w:eastAsia="Arial" w:hAnsi="Arial"/>
                <w:sz w:val="18"/>
                <w:szCs w:val="18"/>
                <w:color w:val="auto"/>
                <w:w w:val="98"/>
              </w:rPr>
              <w:t>51.33%</w:t>
            </w:r>
          </w:p>
        </w:tc>
        <w:tc>
          <w:tcPr>
            <w:tcW w:w="820" w:type="dxa"/>
            <w:vAlign w:val="bottom"/>
          </w:tcPr>
          <w:p>
            <w:pPr>
              <w:jc w:val="center"/>
              <w:spacing w:after="0"/>
              <w:rPr>
                <w:sz w:val="20"/>
                <w:szCs w:val="20"/>
                <w:color w:val="auto"/>
              </w:rPr>
            </w:pPr>
            <w:r>
              <w:rPr>
                <w:rFonts w:ascii="Arial" w:cs="Arial" w:eastAsia="Arial" w:hAnsi="Arial"/>
                <w:sz w:val="18"/>
                <w:szCs w:val="18"/>
                <w:color w:val="auto"/>
                <w:w w:val="98"/>
              </w:rPr>
              <w:t>50.00%</w:t>
            </w: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25.67%</w:t>
            </w:r>
          </w:p>
        </w:tc>
      </w:tr>
      <w:tr>
        <w:trPr>
          <w:trHeight w:val="243"/>
        </w:trPr>
        <w:tc>
          <w:tcPr>
            <w:tcW w:w="3360" w:type="dxa"/>
            <w:vAlign w:val="bottom"/>
            <w:shd w:val="clear" w:color="auto" w:fill="CBECD5"/>
          </w:tcPr>
          <w:p>
            <w:pPr>
              <w:ind w:left="60"/>
              <w:spacing w:after="0"/>
              <w:rPr>
                <w:sz w:val="20"/>
                <w:szCs w:val="20"/>
                <w:color w:val="auto"/>
              </w:rPr>
            </w:pPr>
            <w:r>
              <w:rPr>
                <w:rFonts w:ascii="Arial" w:cs="Arial" w:eastAsia="Arial" w:hAnsi="Arial"/>
                <w:sz w:val="18"/>
                <w:szCs w:val="18"/>
                <w:color w:val="auto"/>
              </w:rPr>
              <w:t>​Adjusted EPS Growth</w:t>
            </w:r>
          </w:p>
        </w:tc>
        <w:tc>
          <w:tcPr>
            <w:tcW w:w="2100" w:type="dxa"/>
            <w:vAlign w:val="bottom"/>
            <w:shd w:val="clear" w:color="auto" w:fill="CBECD5"/>
          </w:tcPr>
          <w:p>
            <w:pPr>
              <w:jc w:val="center"/>
              <w:ind w:left="1353"/>
              <w:spacing w:after="0" w:line="243" w:lineRule="exact"/>
              <w:rPr>
                <w:sz w:val="20"/>
                <w:szCs w:val="20"/>
                <w:color w:val="auto"/>
              </w:rPr>
            </w:pPr>
            <w:r>
              <w:rPr>
                <w:rFonts w:ascii="Arial" w:cs="Arial" w:eastAsia="Arial" w:hAnsi="Arial"/>
                <w:sz w:val="28"/>
                <w:szCs w:val="28"/>
                <w:color w:val="auto"/>
                <w:vertAlign w:val="subscript"/>
              </w:rPr>
              <w:t>8</w:t>
            </w:r>
            <w:r>
              <w:rPr>
                <w:rFonts w:ascii="Arial" w:cs="Arial" w:eastAsia="Arial" w:hAnsi="Arial"/>
                <w:sz w:val="11"/>
                <w:szCs w:val="11"/>
                <w:color w:val="auto"/>
              </w:rPr>
              <w:t>th</w:t>
            </w:r>
          </w:p>
        </w:tc>
        <w:tc>
          <w:tcPr>
            <w:tcW w:w="740" w:type="dxa"/>
            <w:vAlign w:val="bottom"/>
            <w:shd w:val="clear" w:color="auto" w:fill="CBECD5"/>
          </w:tcPr>
          <w:p>
            <w:pPr>
              <w:jc w:val="center"/>
              <w:spacing w:after="0" w:line="243" w:lineRule="exact"/>
              <w:rPr>
                <w:sz w:val="20"/>
                <w:szCs w:val="20"/>
                <w:color w:val="auto"/>
              </w:rPr>
            </w:pPr>
            <w:r>
              <w:rPr>
                <w:rFonts w:ascii="Arial" w:cs="Arial" w:eastAsia="Arial" w:hAnsi="Arial"/>
                <w:sz w:val="18"/>
                <w:szCs w:val="18"/>
                <w:color w:val="auto"/>
                <w:w w:val="91"/>
              </w:rPr>
              <w:t>13</w:t>
            </w:r>
            <w:r>
              <w:rPr>
                <w:rFonts w:ascii="Arial" w:cs="Arial" w:eastAsia="Arial" w:hAnsi="Arial"/>
                <w:sz w:val="23"/>
                <w:szCs w:val="23"/>
                <w:color w:val="auto"/>
                <w:w w:val="91"/>
                <w:vertAlign w:val="superscript"/>
              </w:rPr>
              <w:t>th</w:t>
            </w:r>
          </w:p>
        </w:tc>
        <w:tc>
          <w:tcPr>
            <w:tcW w:w="84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8"/>
              </w:rPr>
              <w:t>37.50%</w:t>
            </w:r>
          </w:p>
        </w:tc>
        <w:tc>
          <w:tcPr>
            <w:tcW w:w="82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8"/>
              </w:rPr>
              <w:t>50.00%</w:t>
            </w:r>
          </w:p>
        </w:tc>
        <w:tc>
          <w:tcPr>
            <w:tcW w:w="90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8"/>
              </w:rPr>
              <w:t>18.75%</w:t>
            </w:r>
          </w:p>
        </w:tc>
      </w:tr>
      <w:tr>
        <w:trPr>
          <w:trHeight w:val="243"/>
        </w:trPr>
        <w:tc>
          <w:tcPr>
            <w:tcW w:w="3360" w:type="dxa"/>
            <w:vAlign w:val="bottom"/>
          </w:tcPr>
          <w:p>
            <w:pPr>
              <w:ind w:left="60"/>
              <w:spacing w:after="0"/>
              <w:rPr>
                <w:sz w:val="20"/>
                <w:szCs w:val="20"/>
                <w:color w:val="auto"/>
              </w:rPr>
            </w:pPr>
            <w:r>
              <w:rPr>
                <w:rFonts w:ascii="Arial" w:cs="Arial" w:eastAsia="Arial" w:hAnsi="Arial"/>
                <w:sz w:val="18"/>
                <w:szCs w:val="18"/>
                <w:color w:val="auto"/>
              </w:rPr>
              <w:t>​rTSR Modifier</w:t>
            </w:r>
          </w:p>
        </w:tc>
        <w:tc>
          <w:tcPr>
            <w:tcW w:w="2100" w:type="dxa"/>
            <w:vAlign w:val="bottom"/>
          </w:tcPr>
          <w:p>
            <w:pPr>
              <w:jc w:val="center"/>
              <w:ind w:left="1353"/>
              <w:spacing w:after="0" w:line="243" w:lineRule="exact"/>
              <w:rPr>
                <w:sz w:val="20"/>
                <w:szCs w:val="20"/>
                <w:color w:val="auto"/>
              </w:rPr>
            </w:pPr>
            <w:r>
              <w:rPr>
                <w:rFonts w:ascii="Arial" w:cs="Arial" w:eastAsia="Arial" w:hAnsi="Arial"/>
                <w:sz w:val="28"/>
                <w:szCs w:val="28"/>
                <w:color w:val="auto"/>
                <w:vertAlign w:val="subscript"/>
              </w:rPr>
              <w:t>8</w:t>
            </w:r>
            <w:r>
              <w:rPr>
                <w:rFonts w:ascii="Arial" w:cs="Arial" w:eastAsia="Arial" w:hAnsi="Arial"/>
                <w:sz w:val="11"/>
                <w:szCs w:val="11"/>
                <w:color w:val="auto"/>
              </w:rPr>
              <w:t>th</w:t>
            </w:r>
          </w:p>
        </w:tc>
        <w:tc>
          <w:tcPr>
            <w:tcW w:w="740" w:type="dxa"/>
            <w:vAlign w:val="bottom"/>
          </w:tcPr>
          <w:p>
            <w:pPr>
              <w:jc w:val="center"/>
              <w:spacing w:after="0" w:line="243" w:lineRule="exact"/>
              <w:rPr>
                <w:sz w:val="20"/>
                <w:szCs w:val="20"/>
                <w:color w:val="auto"/>
              </w:rPr>
            </w:pPr>
            <w:r>
              <w:rPr>
                <w:rFonts w:ascii="Arial" w:cs="Arial" w:eastAsia="Arial" w:hAnsi="Arial"/>
                <w:sz w:val="28"/>
                <w:szCs w:val="28"/>
                <w:color w:val="auto"/>
                <w:w w:val="93"/>
                <w:vertAlign w:val="subscript"/>
              </w:rPr>
              <w:t>11</w:t>
            </w:r>
            <w:r>
              <w:rPr>
                <w:rFonts w:ascii="Arial" w:cs="Arial" w:eastAsia="Arial" w:hAnsi="Arial"/>
                <w:sz w:val="11"/>
                <w:szCs w:val="11"/>
                <w:color w:val="auto"/>
                <w:w w:val="93"/>
              </w:rPr>
              <w:t>th</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77"/>
        </w:trPr>
        <w:tc>
          <w:tcPr>
            <w:tcW w:w="3360" w:type="dxa"/>
            <w:vAlign w:val="bottom"/>
            <w:tcBorders>
              <w:bottom w:val="single" w:sz="8" w:color="53C072"/>
            </w:tcBorders>
            <w:shd w:val="clear" w:color="auto" w:fill="CBECD5"/>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Total Earned</w:t>
            </w:r>
          </w:p>
        </w:tc>
        <w:tc>
          <w:tcPr>
            <w:tcW w:w="2100" w:type="dxa"/>
            <w:vAlign w:val="bottom"/>
            <w:tcBorders>
              <w:bottom w:val="single" w:sz="8" w:color="53C072"/>
            </w:tcBorders>
            <w:shd w:val="clear" w:color="auto" w:fill="CBECD5"/>
          </w:tcPr>
          <w:p>
            <w:pPr>
              <w:spacing w:after="0"/>
              <w:rPr>
                <w:sz w:val="24"/>
                <w:szCs w:val="24"/>
                <w:color w:val="auto"/>
              </w:rPr>
            </w:pPr>
          </w:p>
        </w:tc>
        <w:tc>
          <w:tcPr>
            <w:tcW w:w="740" w:type="dxa"/>
            <w:vAlign w:val="bottom"/>
            <w:tcBorders>
              <w:bottom w:val="single" w:sz="8" w:color="53C072"/>
            </w:tcBorders>
            <w:shd w:val="clear" w:color="auto" w:fill="CBECD5"/>
          </w:tcPr>
          <w:p>
            <w:pPr>
              <w:spacing w:after="0"/>
              <w:rPr>
                <w:sz w:val="24"/>
                <w:szCs w:val="24"/>
                <w:color w:val="auto"/>
              </w:rPr>
            </w:pPr>
          </w:p>
        </w:tc>
        <w:tc>
          <w:tcPr>
            <w:tcW w:w="84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w w:val="98"/>
              </w:rPr>
              <w:t>41.76%</w:t>
            </w:r>
          </w:p>
        </w:tc>
      </w:tr>
    </w:tbl>
    <w:p>
      <w:pPr>
        <w:spacing w:after="0" w:line="49" w:lineRule="exact"/>
        <w:rPr>
          <w:sz w:val="20"/>
          <w:szCs w:val="20"/>
          <w:color w:val="auto"/>
        </w:rPr>
      </w:pPr>
    </w:p>
    <w:p>
      <w:pPr>
        <w:ind w:left="1460" w:right="199" w:hanging="362"/>
        <w:spacing w:after="0" w:line="291" w:lineRule="auto"/>
        <w:tabs>
          <w:tab w:leader="none" w:pos="1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non-GAAP measures to the most directly comparable GAAP measures. For additional information regarding the fiscal 2024 performance of the Company, please refer to the Company’s Annual Report on Form 10-K for the year ended June 29, 2024.</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193"/>
        </w:trPr>
        <w:tc>
          <w:tcPr>
            <w:tcW w:w="1800" w:type="dxa"/>
            <w:vAlign w:val="bottom"/>
            <w:shd w:val="clear" w:color="auto" w:fill="53C072"/>
          </w:tcPr>
          <w:p>
            <w:pPr>
              <w:spacing w:after="0"/>
              <w:rPr>
                <w:sz w:val="16"/>
                <w:szCs w:val="16"/>
                <w:color w:val="auto"/>
              </w:rPr>
            </w:pPr>
          </w:p>
        </w:tc>
        <w:tc>
          <w:tcPr>
            <w:tcW w:w="1820" w:type="dxa"/>
            <w:vAlign w:val="bottom"/>
            <w:shd w:val="clear" w:color="auto" w:fill="53C072"/>
          </w:tcPr>
          <w:p>
            <w:pPr>
              <w:jc w:val="center"/>
              <w:ind w:left="858"/>
              <w:spacing w:after="0"/>
              <w:rPr>
                <w:sz w:val="20"/>
                <w:szCs w:val="20"/>
                <w:color w:val="auto"/>
              </w:rPr>
            </w:pPr>
            <w:r>
              <w:rPr>
                <w:rFonts w:ascii="Arial" w:cs="Arial" w:eastAsia="Arial" w:hAnsi="Arial"/>
                <w:sz w:val="14"/>
                <w:szCs w:val="14"/>
                <w:b w:val="1"/>
                <w:bCs w:val="1"/>
                <w:color w:val="FEFEFE"/>
              </w:rPr>
              <w:t>Target PSUs</w:t>
            </w:r>
          </w:p>
        </w:tc>
        <w:tc>
          <w:tcPr>
            <w:tcW w:w="160" w:type="dxa"/>
            <w:vAlign w:val="bottom"/>
            <w:shd w:val="clear" w:color="auto" w:fill="53C072"/>
          </w:tcPr>
          <w:p>
            <w:pPr>
              <w:spacing w:after="0"/>
              <w:rPr>
                <w:sz w:val="16"/>
                <w:szCs w:val="16"/>
                <w:color w:val="auto"/>
              </w:rPr>
            </w:pPr>
          </w:p>
        </w:tc>
        <w:tc>
          <w:tcPr>
            <w:tcW w:w="840" w:type="dxa"/>
            <w:vAlign w:val="bottom"/>
            <w:shd w:val="clear" w:color="auto" w:fill="53C072"/>
          </w:tcPr>
          <w:p>
            <w:pPr>
              <w:spacing w:after="0"/>
              <w:rPr>
                <w:sz w:val="16"/>
                <w:szCs w:val="16"/>
                <w:color w:val="auto"/>
              </w:rPr>
            </w:pPr>
          </w:p>
        </w:tc>
        <w:tc>
          <w:tcPr>
            <w:tcW w:w="340" w:type="dxa"/>
            <w:vAlign w:val="bottom"/>
            <w:shd w:val="clear" w:color="auto" w:fill="53C072"/>
          </w:tcPr>
          <w:p>
            <w:pPr>
              <w:spacing w:after="0"/>
              <w:rPr>
                <w:sz w:val="16"/>
                <w:szCs w:val="16"/>
                <w:color w:val="auto"/>
              </w:rPr>
            </w:pPr>
          </w:p>
        </w:tc>
        <w:tc>
          <w:tcPr>
            <w:tcW w:w="960" w:type="dxa"/>
            <w:vAlign w:val="bottom"/>
            <w:shd w:val="clear" w:color="auto" w:fill="53C072"/>
          </w:tcPr>
          <w:p>
            <w:pPr>
              <w:ind w:left="80"/>
              <w:spacing w:after="0"/>
              <w:rPr>
                <w:sz w:val="20"/>
                <w:szCs w:val="20"/>
                <w:color w:val="auto"/>
              </w:rPr>
            </w:pPr>
            <w:r>
              <w:rPr>
                <w:rFonts w:ascii="Arial" w:cs="Arial" w:eastAsia="Arial" w:hAnsi="Arial"/>
                <w:sz w:val="14"/>
                <w:szCs w:val="14"/>
                <w:b w:val="1"/>
                <w:bCs w:val="1"/>
                <w:color w:val="FEFEFE"/>
              </w:rPr>
              <w:t>Target PSUs</w:t>
            </w:r>
          </w:p>
        </w:tc>
        <w:tc>
          <w:tcPr>
            <w:tcW w:w="160" w:type="dxa"/>
            <w:vAlign w:val="bottom"/>
            <w:shd w:val="clear" w:color="auto" w:fill="53C072"/>
          </w:tcPr>
          <w:p>
            <w:pPr>
              <w:spacing w:after="0"/>
              <w:rPr>
                <w:sz w:val="16"/>
                <w:szCs w:val="16"/>
                <w:color w:val="auto"/>
              </w:rPr>
            </w:pPr>
          </w:p>
        </w:tc>
        <w:tc>
          <w:tcPr>
            <w:tcW w:w="1020" w:type="dxa"/>
            <w:vAlign w:val="bottom"/>
            <w:shd w:val="clear" w:color="auto" w:fill="53C072"/>
          </w:tcPr>
          <w:p>
            <w:pPr>
              <w:spacing w:after="0"/>
              <w:rPr>
                <w:sz w:val="16"/>
                <w:szCs w:val="16"/>
                <w:color w:val="auto"/>
              </w:rPr>
            </w:pPr>
          </w:p>
        </w:tc>
        <w:tc>
          <w:tcPr>
            <w:tcW w:w="140" w:type="dxa"/>
            <w:vAlign w:val="bottom"/>
            <w:shd w:val="clear" w:color="auto" w:fill="53C072"/>
          </w:tcPr>
          <w:p>
            <w:pPr>
              <w:spacing w:after="0"/>
              <w:rPr>
                <w:sz w:val="16"/>
                <w:szCs w:val="16"/>
                <w:color w:val="auto"/>
              </w:rPr>
            </w:pPr>
          </w:p>
        </w:tc>
        <w:tc>
          <w:tcPr>
            <w:tcW w:w="1520" w:type="dxa"/>
            <w:vAlign w:val="bottom"/>
            <w:shd w:val="clear" w:color="auto" w:fill="53C072"/>
          </w:tcPr>
          <w:p>
            <w:pPr>
              <w:spacing w:after="0"/>
              <w:rPr>
                <w:sz w:val="16"/>
                <w:szCs w:val="16"/>
                <w:color w:val="auto"/>
              </w:rPr>
            </w:pPr>
          </w:p>
        </w:tc>
      </w:tr>
      <w:tr>
        <w:trPr>
          <w:trHeight w:val="149"/>
        </w:trPr>
        <w:tc>
          <w:tcPr>
            <w:tcW w:w="1800" w:type="dxa"/>
            <w:vAlign w:val="bottom"/>
            <w:shd w:val="clear" w:color="auto" w:fill="53C072"/>
          </w:tcPr>
          <w:p>
            <w:pPr>
              <w:spacing w:after="0"/>
              <w:rPr>
                <w:sz w:val="12"/>
                <w:szCs w:val="12"/>
                <w:color w:val="auto"/>
              </w:rPr>
            </w:pPr>
          </w:p>
        </w:tc>
        <w:tc>
          <w:tcPr>
            <w:tcW w:w="1820" w:type="dxa"/>
            <w:vAlign w:val="bottom"/>
            <w:shd w:val="clear" w:color="auto" w:fill="53C072"/>
          </w:tcPr>
          <w:p>
            <w:pPr>
              <w:ind w:left="900"/>
              <w:spacing w:after="0" w:line="149" w:lineRule="exact"/>
              <w:rPr>
                <w:sz w:val="20"/>
                <w:szCs w:val="20"/>
                <w:color w:val="auto"/>
              </w:rPr>
            </w:pPr>
            <w:r>
              <w:rPr>
                <w:rFonts w:ascii="Arial" w:cs="Arial" w:eastAsia="Arial" w:hAnsi="Arial"/>
                <w:sz w:val="14"/>
                <w:szCs w:val="14"/>
                <w:b w:val="1"/>
                <w:bCs w:val="1"/>
                <w:color w:val="FEFEFE"/>
              </w:rPr>
              <w:t>FY23 Second</w:t>
            </w:r>
          </w:p>
        </w:tc>
        <w:tc>
          <w:tcPr>
            <w:tcW w:w="160" w:type="dxa"/>
            <w:vAlign w:val="bottom"/>
            <w:shd w:val="clear" w:color="auto" w:fill="53C072"/>
          </w:tcPr>
          <w:p>
            <w:pPr>
              <w:spacing w:after="0"/>
              <w:rPr>
                <w:sz w:val="12"/>
                <w:szCs w:val="12"/>
                <w:color w:val="auto"/>
              </w:rPr>
            </w:pPr>
          </w:p>
        </w:tc>
        <w:tc>
          <w:tcPr>
            <w:tcW w:w="1180" w:type="dxa"/>
            <w:vAlign w:val="bottom"/>
            <w:gridSpan w:val="2"/>
            <w:shd w:val="clear" w:color="auto" w:fill="53C072"/>
          </w:tcPr>
          <w:p>
            <w:pPr>
              <w:jc w:val="center"/>
              <w:spacing w:after="0" w:line="149" w:lineRule="exact"/>
              <w:rPr>
                <w:sz w:val="20"/>
                <w:szCs w:val="20"/>
                <w:color w:val="auto"/>
              </w:rPr>
            </w:pPr>
            <w:r>
              <w:rPr>
                <w:rFonts w:ascii="Arial" w:cs="Arial" w:eastAsia="Arial" w:hAnsi="Arial"/>
                <w:sz w:val="14"/>
                <w:szCs w:val="14"/>
                <w:b w:val="1"/>
                <w:bCs w:val="1"/>
                <w:color w:val="FEFEFE"/>
              </w:rPr>
              <w:t>PSUs Earned</w:t>
            </w:r>
          </w:p>
        </w:tc>
        <w:tc>
          <w:tcPr>
            <w:tcW w:w="960" w:type="dxa"/>
            <w:vAlign w:val="bottom"/>
            <w:shd w:val="clear" w:color="auto" w:fill="53C072"/>
          </w:tcPr>
          <w:p>
            <w:pPr>
              <w:ind w:left="240"/>
              <w:spacing w:after="0" w:line="149" w:lineRule="exact"/>
              <w:rPr>
                <w:sz w:val="20"/>
                <w:szCs w:val="20"/>
                <w:color w:val="auto"/>
              </w:rPr>
            </w:pPr>
            <w:r>
              <w:rPr>
                <w:rFonts w:ascii="Arial" w:cs="Arial" w:eastAsia="Arial" w:hAnsi="Arial"/>
                <w:sz w:val="14"/>
                <w:szCs w:val="14"/>
                <w:b w:val="1"/>
                <w:bCs w:val="1"/>
                <w:color w:val="FEFEFE"/>
              </w:rPr>
              <w:t>FY24 First</w:t>
            </w:r>
          </w:p>
        </w:tc>
        <w:tc>
          <w:tcPr>
            <w:tcW w:w="160" w:type="dxa"/>
            <w:vAlign w:val="bottom"/>
            <w:shd w:val="clear" w:color="auto" w:fill="53C072"/>
          </w:tcPr>
          <w:p>
            <w:pPr>
              <w:spacing w:after="0"/>
              <w:rPr>
                <w:sz w:val="12"/>
                <w:szCs w:val="12"/>
                <w:color w:val="auto"/>
              </w:rPr>
            </w:pPr>
          </w:p>
        </w:tc>
        <w:tc>
          <w:tcPr>
            <w:tcW w:w="1020" w:type="dxa"/>
            <w:vAlign w:val="bottom"/>
            <w:shd w:val="clear" w:color="auto" w:fill="53C072"/>
          </w:tcPr>
          <w:p>
            <w:pPr>
              <w:jc w:val="center"/>
              <w:spacing w:after="0" w:line="149" w:lineRule="exact"/>
              <w:rPr>
                <w:sz w:val="20"/>
                <w:szCs w:val="20"/>
                <w:color w:val="auto"/>
              </w:rPr>
            </w:pPr>
            <w:r>
              <w:rPr>
                <w:rFonts w:ascii="Arial" w:cs="Arial" w:eastAsia="Arial" w:hAnsi="Arial"/>
                <w:sz w:val="14"/>
                <w:szCs w:val="14"/>
                <w:b w:val="1"/>
                <w:bCs w:val="1"/>
                <w:color w:val="FEFEFE"/>
              </w:rPr>
              <w:t>PSUs Earned</w:t>
            </w:r>
          </w:p>
        </w:tc>
        <w:tc>
          <w:tcPr>
            <w:tcW w:w="140" w:type="dxa"/>
            <w:vAlign w:val="bottom"/>
            <w:shd w:val="clear" w:color="auto" w:fill="53C072"/>
          </w:tcPr>
          <w:p>
            <w:pPr>
              <w:spacing w:after="0"/>
              <w:rPr>
                <w:sz w:val="12"/>
                <w:szCs w:val="12"/>
                <w:color w:val="auto"/>
              </w:rPr>
            </w:pPr>
          </w:p>
        </w:tc>
        <w:tc>
          <w:tcPr>
            <w:tcW w:w="1520" w:type="dxa"/>
            <w:vAlign w:val="bottom"/>
            <w:shd w:val="clear" w:color="auto" w:fill="53C072"/>
          </w:tcPr>
          <w:p>
            <w:pPr>
              <w:jc w:val="right"/>
              <w:ind w:right="75"/>
              <w:spacing w:after="0" w:line="149" w:lineRule="exact"/>
              <w:rPr>
                <w:sz w:val="20"/>
                <w:szCs w:val="20"/>
                <w:color w:val="auto"/>
              </w:rPr>
            </w:pPr>
            <w:r>
              <w:rPr>
                <w:rFonts w:ascii="Arial" w:cs="Arial" w:eastAsia="Arial" w:hAnsi="Arial"/>
                <w:sz w:val="14"/>
                <w:szCs w:val="14"/>
                <w:b w:val="1"/>
                <w:bCs w:val="1"/>
                <w:color w:val="FEFEFE"/>
              </w:rPr>
              <w:t>Total PSUs Earned</w:t>
            </w:r>
          </w:p>
        </w:tc>
      </w:tr>
      <w:tr>
        <w:trPr>
          <w:trHeight w:val="184"/>
        </w:trPr>
        <w:tc>
          <w:tcPr>
            <w:tcW w:w="180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NEO</w:t>
            </w:r>
          </w:p>
        </w:tc>
        <w:tc>
          <w:tcPr>
            <w:tcW w:w="1980" w:type="dxa"/>
            <w:vAlign w:val="bottom"/>
            <w:gridSpan w:val="2"/>
            <w:shd w:val="clear" w:color="auto" w:fill="53C072"/>
          </w:tcPr>
          <w:p>
            <w:pPr>
              <w:ind w:left="1300"/>
              <w:spacing w:after="0"/>
              <w:rPr>
                <w:sz w:val="20"/>
                <w:szCs w:val="20"/>
                <w:color w:val="auto"/>
              </w:rPr>
            </w:pPr>
            <w:r>
              <w:rPr>
                <w:rFonts w:ascii="Arial" w:cs="Arial" w:eastAsia="Arial" w:hAnsi="Arial"/>
                <w:sz w:val="14"/>
                <w:szCs w:val="14"/>
                <w:b w:val="1"/>
                <w:bCs w:val="1"/>
                <w:color w:val="FEFEFE"/>
              </w:rPr>
              <w:t>Tranche</w:t>
            </w:r>
          </w:p>
        </w:tc>
        <w:tc>
          <w:tcPr>
            <w:tcW w:w="840" w:type="dxa"/>
            <w:vAlign w:val="bottom"/>
            <w:shd w:val="clear" w:color="auto" w:fill="53C072"/>
          </w:tcPr>
          <w:p>
            <w:pPr>
              <w:spacing w:after="0"/>
              <w:rPr>
                <w:sz w:val="15"/>
                <w:szCs w:val="15"/>
                <w:color w:val="auto"/>
              </w:rPr>
            </w:pPr>
          </w:p>
        </w:tc>
        <w:tc>
          <w:tcPr>
            <w:tcW w:w="34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(A)</w:t>
            </w:r>
          </w:p>
        </w:tc>
        <w:tc>
          <w:tcPr>
            <w:tcW w:w="960" w:type="dxa"/>
            <w:vAlign w:val="bottom"/>
            <w:shd w:val="clear" w:color="auto" w:fill="53C072"/>
          </w:tcPr>
          <w:p>
            <w:pPr>
              <w:ind w:left="420"/>
              <w:spacing w:after="0"/>
              <w:rPr>
                <w:sz w:val="20"/>
                <w:szCs w:val="20"/>
                <w:color w:val="auto"/>
              </w:rPr>
            </w:pPr>
            <w:r>
              <w:rPr>
                <w:rFonts w:ascii="Arial" w:cs="Arial" w:eastAsia="Arial" w:hAnsi="Arial"/>
                <w:sz w:val="14"/>
                <w:szCs w:val="14"/>
                <w:b w:val="1"/>
                <w:bCs w:val="1"/>
                <w:color w:val="FEFEFE"/>
                <w:w w:val="95"/>
              </w:rPr>
              <w:t>Tranche</w:t>
            </w:r>
          </w:p>
        </w:tc>
        <w:tc>
          <w:tcPr>
            <w:tcW w:w="160" w:type="dxa"/>
            <w:vAlign w:val="bottom"/>
            <w:shd w:val="clear" w:color="auto" w:fill="53C072"/>
          </w:tcPr>
          <w:p>
            <w:pPr>
              <w:spacing w:after="0"/>
              <w:rPr>
                <w:sz w:val="15"/>
                <w:szCs w:val="15"/>
                <w:color w:val="auto"/>
              </w:rPr>
            </w:pPr>
          </w:p>
        </w:tc>
        <w:tc>
          <w:tcPr>
            <w:tcW w:w="1020" w:type="dxa"/>
            <w:vAlign w:val="bottom"/>
            <w:shd w:val="clear" w:color="auto" w:fill="53C072"/>
          </w:tcPr>
          <w:p>
            <w:pPr>
              <w:ind w:left="820"/>
              <w:spacing w:after="0"/>
              <w:rPr>
                <w:sz w:val="20"/>
                <w:szCs w:val="20"/>
                <w:color w:val="auto"/>
              </w:rPr>
            </w:pPr>
            <w:r>
              <w:rPr>
                <w:rFonts w:ascii="Arial" w:cs="Arial" w:eastAsia="Arial" w:hAnsi="Arial"/>
                <w:sz w:val="14"/>
                <w:szCs w:val="14"/>
                <w:b w:val="1"/>
                <w:bCs w:val="1"/>
                <w:color w:val="FEFEFE"/>
                <w:w w:val="92"/>
              </w:rPr>
              <w:t>(B)</w:t>
            </w:r>
          </w:p>
        </w:tc>
        <w:tc>
          <w:tcPr>
            <w:tcW w:w="140" w:type="dxa"/>
            <w:vAlign w:val="bottom"/>
            <w:shd w:val="clear" w:color="auto" w:fill="53C072"/>
          </w:tcPr>
          <w:p>
            <w:pPr>
              <w:spacing w:after="0"/>
              <w:rPr>
                <w:sz w:val="15"/>
                <w:szCs w:val="15"/>
                <w:color w:val="auto"/>
              </w:rPr>
            </w:pPr>
          </w:p>
        </w:tc>
        <w:tc>
          <w:tcPr>
            <w:tcW w:w="1520" w:type="dxa"/>
            <w:vAlign w:val="bottom"/>
            <w:shd w:val="clear" w:color="auto" w:fill="53C072"/>
          </w:tcPr>
          <w:p>
            <w:pPr>
              <w:jc w:val="right"/>
              <w:ind w:right="35"/>
              <w:spacing w:after="0" w:line="184" w:lineRule="exact"/>
              <w:rPr>
                <w:sz w:val="20"/>
                <w:szCs w:val="20"/>
                <w:color w:val="auto"/>
              </w:rPr>
            </w:pPr>
            <w:r>
              <w:rPr>
                <w:rFonts w:ascii="Arial" w:cs="Arial" w:eastAsia="Arial" w:hAnsi="Arial"/>
                <w:sz w:val="14"/>
                <w:szCs w:val="14"/>
                <w:b w:val="1"/>
                <w:bCs w:val="1"/>
                <w:color w:val="FEFEFE"/>
              </w:rPr>
              <w:t>in FY24</w:t>
            </w:r>
            <w:r>
              <w:rPr>
                <w:rFonts w:ascii="Arial" w:cs="Arial" w:eastAsia="Arial" w:hAnsi="Arial"/>
                <w:sz w:val="17"/>
                <w:szCs w:val="17"/>
                <w:b w:val="1"/>
                <w:bCs w:val="1"/>
                <w:color w:val="FEFEFE"/>
                <w:vertAlign w:val="superscript"/>
              </w:rPr>
              <w:t>(1)</w:t>
            </w:r>
            <w:r>
              <w:rPr>
                <w:rFonts w:ascii="Arial" w:cs="Arial" w:eastAsia="Arial" w:hAnsi="Arial"/>
                <w:sz w:val="14"/>
                <w:szCs w:val="14"/>
                <w:b w:val="1"/>
                <w:bCs w:val="1"/>
                <w:color w:val="FEFEFE"/>
              </w:rPr>
              <w:t xml:space="preserve"> (A+B)</w:t>
            </w:r>
          </w:p>
        </w:tc>
      </w:tr>
      <w:tr>
        <w:trPr>
          <w:trHeight w:val="216"/>
        </w:trPr>
        <w:tc>
          <w:tcPr>
            <w:tcW w:w="1800" w:type="dxa"/>
            <w:vAlign w:val="bottom"/>
          </w:tcPr>
          <w:p>
            <w:pPr>
              <w:ind w:left="60"/>
              <w:spacing w:after="0"/>
              <w:rPr>
                <w:sz w:val="20"/>
                <w:szCs w:val="20"/>
                <w:color w:val="auto"/>
              </w:rPr>
            </w:pPr>
            <w:r>
              <w:rPr>
                <w:rFonts w:ascii="Arial" w:cs="Arial" w:eastAsia="Arial" w:hAnsi="Arial"/>
                <w:sz w:val="18"/>
                <w:szCs w:val="18"/>
                <w:color w:val="auto"/>
              </w:rPr>
              <w:t>​Gallagher</w:t>
            </w:r>
          </w:p>
        </w:tc>
        <w:tc>
          <w:tcPr>
            <w:tcW w:w="1820" w:type="dxa"/>
            <w:vAlign w:val="bottom"/>
          </w:tcPr>
          <w:p>
            <w:pPr>
              <w:jc w:val="center"/>
              <w:ind w:left="838"/>
              <w:spacing w:after="0"/>
              <w:rPr>
                <w:sz w:val="20"/>
                <w:szCs w:val="20"/>
                <w:color w:val="auto"/>
              </w:rPr>
            </w:pPr>
            <w:r>
              <w:rPr>
                <w:rFonts w:ascii="Arial" w:cs="Arial" w:eastAsia="Arial" w:hAnsi="Arial"/>
                <w:sz w:val="18"/>
                <w:szCs w:val="18"/>
                <w:color w:val="auto"/>
              </w:rPr>
              <w:t>​24,621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194"/>
              <w:spacing w:after="0"/>
              <w:rPr>
                <w:sz w:val="20"/>
                <w:szCs w:val="20"/>
                <w:color w:val="auto"/>
              </w:rPr>
            </w:pPr>
            <w:r>
              <w:rPr>
                <w:rFonts w:ascii="Arial" w:cs="Arial" w:eastAsia="Arial" w:hAnsi="Arial"/>
                <w:sz w:val="18"/>
                <w:szCs w:val="18"/>
                <w:color w:val="auto"/>
              </w:rPr>
              <w:t>​10,282</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​23,329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rPr>
              <w:t>​9,742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5"/>
              <w:spacing w:after="0"/>
              <w:rPr>
                <w:sz w:val="20"/>
                <w:szCs w:val="20"/>
                <w:color w:val="auto"/>
              </w:rPr>
            </w:pPr>
            <w:r>
              <w:rPr>
                <w:rFonts w:ascii="Arial" w:cs="Arial" w:eastAsia="Arial" w:hAnsi="Arial"/>
                <w:sz w:val="18"/>
                <w:szCs w:val="18"/>
                <w:color w:val="auto"/>
              </w:rPr>
              <w:t>20,024</w:t>
            </w:r>
          </w:p>
        </w:tc>
      </w:tr>
      <w:tr>
        <w:trPr>
          <w:trHeight w:val="216"/>
        </w:trPr>
        <w:tc>
          <w:tcPr>
            <w:tcW w:w="1800" w:type="dxa"/>
            <w:vAlign w:val="bottom"/>
            <w:shd w:val="clear" w:color="auto" w:fill="CBECD5"/>
          </w:tcPr>
          <w:p>
            <w:pPr>
              <w:ind w:left="60"/>
              <w:spacing w:after="0"/>
              <w:rPr>
                <w:sz w:val="20"/>
                <w:szCs w:val="20"/>
                <w:color w:val="auto"/>
              </w:rPr>
            </w:pPr>
            <w:r>
              <w:rPr>
                <w:rFonts w:ascii="Arial" w:cs="Arial" w:eastAsia="Arial" w:hAnsi="Arial"/>
                <w:sz w:val="18"/>
                <w:szCs w:val="18"/>
                <w:color w:val="auto"/>
              </w:rPr>
              <w:t>​Jacobson</w:t>
            </w:r>
          </w:p>
        </w:tc>
        <w:tc>
          <w:tcPr>
            <w:tcW w:w="1820" w:type="dxa"/>
            <w:vAlign w:val="bottom"/>
            <w:shd w:val="clear" w:color="auto" w:fill="CBECD5"/>
          </w:tcPr>
          <w:p>
            <w:pPr>
              <w:jc w:val="center"/>
              <w:ind w:left="838"/>
              <w:spacing w:after="0"/>
              <w:rPr>
                <w:sz w:val="20"/>
                <w:szCs w:val="20"/>
                <w:color w:val="auto"/>
              </w:rPr>
            </w:pPr>
            <w:r>
              <w:rPr>
                <w:rFonts w:ascii="Arial" w:cs="Arial" w:eastAsia="Arial" w:hAnsi="Arial"/>
                <w:sz w:val="18"/>
                <w:szCs w:val="18"/>
                <w:color w:val="auto"/>
              </w:rPr>
              <w:t>​ 4,735</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center"/>
              <w:ind w:left="194"/>
              <w:spacing w:after="0"/>
              <w:rPr>
                <w:sz w:val="20"/>
                <w:szCs w:val="20"/>
                <w:color w:val="auto"/>
              </w:rPr>
            </w:pPr>
            <w:r>
              <w:rPr>
                <w:rFonts w:ascii="Arial" w:cs="Arial" w:eastAsia="Arial" w:hAnsi="Arial"/>
                <w:sz w:val="18"/>
                <w:szCs w:val="18"/>
                <w:color w:val="auto"/>
              </w:rPr>
              <w:t>​ 1,978</w:t>
            </w:r>
          </w:p>
        </w:tc>
        <w:tc>
          <w:tcPr>
            <w:tcW w:w="340" w:type="dxa"/>
            <w:vAlign w:val="bottom"/>
            <w:shd w:val="clear" w:color="auto" w:fill="CBECD5"/>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BECD5"/>
          </w:tcPr>
          <w:p>
            <w:pPr>
              <w:ind w:left="240"/>
              <w:spacing w:after="0"/>
              <w:rPr>
                <w:sz w:val="20"/>
                <w:szCs w:val="20"/>
                <w:color w:val="auto"/>
              </w:rPr>
            </w:pPr>
            <w:r>
              <w:rPr>
                <w:rFonts w:ascii="Arial" w:cs="Arial" w:eastAsia="Arial" w:hAnsi="Arial"/>
                <w:sz w:val="18"/>
                <w:szCs w:val="18"/>
                <w:color w:val="auto"/>
              </w:rPr>
              <w:t>​ 4,999</w:t>
            </w:r>
          </w:p>
        </w:tc>
        <w:tc>
          <w:tcPr>
            <w:tcW w:w="16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​2,087</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520" w:type="dxa"/>
            <w:vAlign w:val="bottom"/>
            <w:shd w:val="clear" w:color="auto" w:fill="CBECD5"/>
          </w:tcPr>
          <w:p>
            <w:pPr>
              <w:jc w:val="right"/>
              <w:ind w:right="415"/>
              <w:spacing w:after="0"/>
              <w:rPr>
                <w:sz w:val="20"/>
                <w:szCs w:val="20"/>
                <w:color w:val="auto"/>
              </w:rPr>
            </w:pPr>
            <w:r>
              <w:rPr>
                <w:rFonts w:ascii="Arial" w:cs="Arial" w:eastAsia="Arial" w:hAnsi="Arial"/>
                <w:sz w:val="18"/>
                <w:szCs w:val="18"/>
                <w:color w:val="auto"/>
              </w:rPr>
              <w:t>4,065</w:t>
            </w:r>
          </w:p>
        </w:tc>
      </w:tr>
      <w:tr>
        <w:trPr>
          <w:trHeight w:val="216"/>
        </w:trPr>
        <w:tc>
          <w:tcPr>
            <w:tcW w:w="1800" w:type="dxa"/>
            <w:vAlign w:val="bottom"/>
          </w:tcPr>
          <w:p>
            <w:pPr>
              <w:ind w:left="60"/>
              <w:spacing w:after="0"/>
              <w:rPr>
                <w:sz w:val="20"/>
                <w:szCs w:val="20"/>
                <w:color w:val="auto"/>
              </w:rPr>
            </w:pPr>
            <w:r>
              <w:rPr>
                <w:rFonts w:ascii="Arial" w:cs="Arial" w:eastAsia="Arial" w:hAnsi="Arial"/>
                <w:sz w:val="18"/>
                <w:szCs w:val="18"/>
                <w:color w:val="auto"/>
              </w:rPr>
              <w:t>​Arnold</w:t>
            </w:r>
          </w:p>
        </w:tc>
        <w:tc>
          <w:tcPr>
            <w:tcW w:w="1820" w:type="dxa"/>
            <w:vAlign w:val="bottom"/>
          </w:tcPr>
          <w:p>
            <w:pPr>
              <w:jc w:val="center"/>
              <w:ind w:left="838"/>
              <w:spacing w:after="0"/>
              <w:rPr>
                <w:sz w:val="20"/>
                <w:szCs w:val="20"/>
                <w:color w:val="auto"/>
              </w:rPr>
            </w:pPr>
            <w:r>
              <w:rPr>
                <w:rFonts w:ascii="Arial" w:cs="Arial" w:eastAsia="Arial" w:hAnsi="Arial"/>
                <w:sz w:val="18"/>
                <w:szCs w:val="18"/>
                <w:color w:val="auto"/>
              </w:rPr>
              <w:t>​ 3,598</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194"/>
              <w:spacing w:after="0"/>
              <w:rPr>
                <w:sz w:val="20"/>
                <w:szCs w:val="20"/>
                <w:color w:val="auto"/>
              </w:rPr>
            </w:pPr>
            <w:r>
              <w:rPr>
                <w:rFonts w:ascii="Arial" w:cs="Arial" w:eastAsia="Arial" w:hAnsi="Arial"/>
                <w:sz w:val="18"/>
                <w:szCs w:val="18"/>
                <w:color w:val="auto"/>
              </w:rPr>
              <w:t>​ 1,502</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960" w:type="dxa"/>
            <w:vAlign w:val="bottom"/>
          </w:tcPr>
          <w:p>
            <w:pPr>
              <w:ind w:left="240"/>
              <w:spacing w:after="0"/>
              <w:rPr>
                <w:sz w:val="20"/>
                <w:szCs w:val="20"/>
                <w:color w:val="auto"/>
              </w:rPr>
            </w:pPr>
            <w:r>
              <w:rPr>
                <w:rFonts w:ascii="Arial" w:cs="Arial" w:eastAsia="Arial" w:hAnsi="Arial"/>
                <w:sz w:val="18"/>
                <w:szCs w:val="18"/>
                <w:color w:val="auto"/>
              </w:rPr>
              <w:t>​ 3,999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rPr>
              <w:t>​1,670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15"/>
              <w:spacing w:after="0"/>
              <w:rPr>
                <w:sz w:val="20"/>
                <w:szCs w:val="20"/>
                <w:color w:val="auto"/>
              </w:rPr>
            </w:pPr>
            <w:r>
              <w:rPr>
                <w:rFonts w:ascii="Arial" w:cs="Arial" w:eastAsia="Arial" w:hAnsi="Arial"/>
                <w:sz w:val="18"/>
                <w:szCs w:val="18"/>
                <w:color w:val="auto"/>
              </w:rPr>
              <w:t>3,172</w:t>
            </w:r>
          </w:p>
        </w:tc>
      </w:tr>
      <w:tr>
        <w:trPr>
          <w:trHeight w:val="216"/>
        </w:trPr>
        <w:tc>
          <w:tcPr>
            <w:tcW w:w="1800" w:type="dxa"/>
            <w:vAlign w:val="bottom"/>
            <w:shd w:val="clear" w:color="auto" w:fill="CBECD5"/>
          </w:tcPr>
          <w:p>
            <w:pPr>
              <w:ind w:left="60"/>
              <w:spacing w:after="0"/>
              <w:rPr>
                <w:sz w:val="20"/>
                <w:szCs w:val="20"/>
                <w:color w:val="auto"/>
              </w:rPr>
            </w:pPr>
            <w:r>
              <w:rPr>
                <w:rFonts w:ascii="Arial" w:cs="Arial" w:eastAsia="Arial" w:hAnsi="Arial"/>
                <w:sz w:val="18"/>
                <w:szCs w:val="18"/>
                <w:color w:val="auto"/>
              </w:rPr>
              <w:t>​Chan</w:t>
            </w:r>
          </w:p>
        </w:tc>
        <w:tc>
          <w:tcPr>
            <w:tcW w:w="1820" w:type="dxa"/>
            <w:vAlign w:val="bottom"/>
            <w:shd w:val="clear" w:color="auto" w:fill="CBECD5"/>
          </w:tcPr>
          <w:p>
            <w:pPr>
              <w:jc w:val="center"/>
              <w:ind w:left="838"/>
              <w:spacing w:after="0"/>
              <w:rPr>
                <w:sz w:val="20"/>
                <w:szCs w:val="20"/>
                <w:color w:val="auto"/>
              </w:rPr>
            </w:pPr>
            <w:r>
              <w:rPr>
                <w:rFonts w:ascii="Arial" w:cs="Arial" w:eastAsia="Arial" w:hAnsi="Arial"/>
                <w:sz w:val="18"/>
                <w:szCs w:val="18"/>
                <w:color w:val="auto"/>
              </w:rPr>
              <w:t>​ 1,894</w:t>
            </w:r>
          </w:p>
        </w:tc>
        <w:tc>
          <w:tcPr>
            <w:tcW w:w="16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BECD5"/>
          </w:tcPr>
          <w:p>
            <w:pPr>
              <w:jc w:val="center"/>
              <w:ind w:left="194"/>
              <w:spacing w:after="0"/>
              <w:rPr>
                <w:sz w:val="20"/>
                <w:szCs w:val="20"/>
                <w:color w:val="auto"/>
              </w:rPr>
            </w:pPr>
            <w:r>
              <w:rPr>
                <w:rFonts w:ascii="Arial" w:cs="Arial" w:eastAsia="Arial" w:hAnsi="Arial"/>
                <w:sz w:val="18"/>
                <w:szCs w:val="18"/>
                <w:color w:val="auto"/>
              </w:rPr>
              <w:t>​   791</w:t>
            </w:r>
          </w:p>
        </w:tc>
        <w:tc>
          <w:tcPr>
            <w:tcW w:w="340" w:type="dxa"/>
            <w:vAlign w:val="bottom"/>
            <w:shd w:val="clear" w:color="auto" w:fill="CBECD5"/>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BECD5"/>
          </w:tcPr>
          <w:p>
            <w:pPr>
              <w:ind w:left="240"/>
              <w:spacing w:after="0"/>
              <w:rPr>
                <w:sz w:val="20"/>
                <w:szCs w:val="20"/>
                <w:color w:val="auto"/>
              </w:rPr>
            </w:pPr>
            <w:r>
              <w:rPr>
                <w:rFonts w:ascii="Arial" w:cs="Arial" w:eastAsia="Arial" w:hAnsi="Arial"/>
                <w:sz w:val="18"/>
                <w:szCs w:val="18"/>
                <w:color w:val="auto"/>
              </w:rPr>
              <w:t>​ 2,500</w:t>
            </w:r>
          </w:p>
        </w:tc>
        <w:tc>
          <w:tcPr>
            <w:tcW w:w="16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BECD5"/>
          </w:tcPr>
          <w:p>
            <w:pPr>
              <w:jc w:val="center"/>
              <w:spacing w:after="0"/>
              <w:rPr>
                <w:sz w:val="20"/>
                <w:szCs w:val="20"/>
                <w:color w:val="auto"/>
              </w:rPr>
            </w:pPr>
            <w:r>
              <w:rPr>
                <w:rFonts w:ascii="Arial" w:cs="Arial" w:eastAsia="Arial" w:hAnsi="Arial"/>
                <w:sz w:val="18"/>
                <w:szCs w:val="18"/>
                <w:color w:val="auto"/>
              </w:rPr>
              <w:t>​1,044</w:t>
            </w:r>
          </w:p>
        </w:tc>
        <w:tc>
          <w:tcPr>
            <w:tcW w:w="14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520" w:type="dxa"/>
            <w:vAlign w:val="bottom"/>
            <w:shd w:val="clear" w:color="auto" w:fill="CBECD5"/>
          </w:tcPr>
          <w:p>
            <w:pPr>
              <w:jc w:val="right"/>
              <w:ind w:right="415"/>
              <w:spacing w:after="0"/>
              <w:rPr>
                <w:sz w:val="20"/>
                <w:szCs w:val="20"/>
                <w:color w:val="auto"/>
              </w:rPr>
            </w:pPr>
            <w:r>
              <w:rPr>
                <w:rFonts w:ascii="Arial" w:cs="Arial" w:eastAsia="Arial" w:hAnsi="Arial"/>
                <w:sz w:val="18"/>
                <w:szCs w:val="18"/>
                <w:color w:val="auto"/>
              </w:rPr>
              <w:t>1,835</w:t>
            </w:r>
          </w:p>
        </w:tc>
      </w:tr>
      <w:tr>
        <w:trPr>
          <w:trHeight w:val="277"/>
        </w:trPr>
        <w:tc>
          <w:tcPr>
            <w:tcW w:w="1800" w:type="dxa"/>
            <w:vAlign w:val="bottom"/>
            <w:tcBorders>
              <w:bottom w:val="single" w:sz="8" w:color="53C072"/>
            </w:tcBorders>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McCoy</w:t>
            </w:r>
          </w:p>
        </w:tc>
        <w:tc>
          <w:tcPr>
            <w:tcW w:w="1820" w:type="dxa"/>
            <w:vAlign w:val="bottom"/>
            <w:tcBorders>
              <w:bottom w:val="single" w:sz="8" w:color="53C072"/>
            </w:tcBorders>
          </w:tcPr>
          <w:p>
            <w:pPr>
              <w:jc w:val="center"/>
              <w:ind w:left="838"/>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3,977</w:t>
            </w:r>
          </w:p>
        </w:tc>
        <w:tc>
          <w:tcPr>
            <w:tcW w:w="16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53C072"/>
            </w:tcBorders>
          </w:tcPr>
          <w:p>
            <w:pPr>
              <w:jc w:val="center"/>
              <w:ind w:left="194"/>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1,661</w:t>
            </w:r>
          </w:p>
        </w:tc>
        <w:tc>
          <w:tcPr>
            <w:tcW w:w="340" w:type="dxa"/>
            <w:vAlign w:val="bottom"/>
            <w:tcBorders>
              <w:bottom w:val="single" w:sz="8" w:color="53C072"/>
            </w:tcBorders>
          </w:tcPr>
          <w:p>
            <w:pPr>
              <w:ind w:lef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53C072"/>
            </w:tcBorders>
          </w:tcPr>
          <w:p>
            <w:pPr>
              <w:ind w:left="2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4,332</w:t>
            </w:r>
          </w:p>
        </w:tc>
        <w:tc>
          <w:tcPr>
            <w:tcW w:w="16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53C072"/>
            </w:tcBorders>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1,809</w:t>
            </w:r>
          </w:p>
        </w:tc>
        <w:tc>
          <w:tcPr>
            <w:tcW w:w="140" w:type="dxa"/>
            <w:vAlign w:val="bottom"/>
            <w:tcBorders>
              <w:bottom w:val="single" w:sz="8" w:color="53C072"/>
            </w:tcBorders>
          </w:tcPr>
          <w:p>
            <w:pPr>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53C072"/>
            </w:tcBorders>
          </w:tcPr>
          <w:p>
            <w:pPr>
              <w:jc w:val="right"/>
              <w:ind w:right="415"/>
              <w:spacing w:after="0"/>
              <w:rPr>
                <w:sz w:val="20"/>
                <w:szCs w:val="20"/>
                <w:color w:val="auto"/>
              </w:rPr>
            </w:pPr>
            <w:r>
              <w:rPr>
                <w:rFonts w:ascii="Arial" w:cs="Arial" w:eastAsia="Arial" w:hAnsi="Arial"/>
                <w:sz w:val="18"/>
                <w:szCs w:val="18"/>
                <w:color w:val="auto"/>
              </w:rPr>
              <w:t>3,470</w:t>
            </w:r>
          </w:p>
        </w:tc>
      </w:tr>
    </w:tbl>
    <w:p>
      <w:pPr>
        <w:spacing w:after="0" w:line="49" w:lineRule="exact"/>
        <w:rPr>
          <w:sz w:val="20"/>
          <w:szCs w:val="20"/>
          <w:color w:val="auto"/>
        </w:rPr>
      </w:pPr>
    </w:p>
    <w:p>
      <w:pPr>
        <w:ind w:left="1820" w:right="879" w:hanging="722"/>
        <w:spacing w:after="0" w:line="287" w:lineRule="auto"/>
        <w:tabs>
          <w:tab w:leader="none" w:pos="1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Earned PSUs will vest and become payable when the Committee certifies the results for the performance period for the third tranche under each plan.</w:t>
      </w:r>
    </w:p>
    <w:p>
      <w:pPr>
        <w:spacing w:after="0" w:line="8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Additional Compensation Elements</w:t>
      </w:r>
    </w:p>
    <w:p>
      <w:pPr>
        <w:spacing w:after="0" w:line="153" w:lineRule="exact"/>
        <w:rPr>
          <w:sz w:val="20"/>
          <w:szCs w:val="20"/>
          <w:color w:val="auto"/>
        </w:rPr>
      </w:pPr>
    </w:p>
    <w:p>
      <w:pPr>
        <w:ind w:left="1000" w:right="319"/>
        <w:spacing w:after="0" w:line="256" w:lineRule="auto"/>
        <w:rPr>
          <w:sz w:val="20"/>
          <w:szCs w:val="20"/>
          <w:color w:val="auto"/>
        </w:rPr>
      </w:pPr>
      <w:r>
        <w:rPr>
          <w:rFonts w:ascii="Arial" w:cs="Arial" w:eastAsia="Arial" w:hAnsi="Arial"/>
          <w:sz w:val="18"/>
          <w:szCs w:val="18"/>
          <w:b w:val="1"/>
          <w:bCs w:val="1"/>
          <w:color w:val="53C072"/>
        </w:rPr>
        <w:t xml:space="preserve">Qualified Pension Plan. </w:t>
      </w:r>
      <w:r>
        <w:rPr>
          <w:rFonts w:ascii="Arial" w:cs="Arial" w:eastAsia="Arial" w:hAnsi="Arial"/>
          <w:sz w:val="18"/>
          <w:szCs w:val="18"/>
          <w:color w:val="000000"/>
        </w:rPr>
        <w:t>The Company provides a retirement benefit to certain employees under a tax-qualified retirement plan (a type of tax-qualified defined-benefit plan commonly referred to as a cash balance plan). Cash balance plans are similar to a defined-contribution plan in that a participant’s benefit is a stated account balance. As a cash balance plan, the Pension Plan allows the Company to apply any earnings on the Plan’s investments beyond the fixed return provided to participants toward the Company’s future cash funding obligations. The Pension Plan, including NEO participation, is more fully described in the “Pension Benefits” section.</w:t>
      </w:r>
    </w:p>
    <w:p>
      <w:pPr>
        <w:spacing w:after="0" w:line="102" w:lineRule="exact"/>
        <w:rPr>
          <w:sz w:val="20"/>
          <w:szCs w:val="20"/>
          <w:color w:val="auto"/>
        </w:rPr>
      </w:pPr>
    </w:p>
    <w:p>
      <w:pPr>
        <w:ind w:left="1000" w:right="199"/>
        <w:spacing w:after="0" w:line="257" w:lineRule="auto"/>
        <w:rPr>
          <w:sz w:val="20"/>
          <w:szCs w:val="20"/>
          <w:color w:val="auto"/>
        </w:rPr>
      </w:pPr>
      <w:r>
        <w:rPr>
          <w:rFonts w:ascii="Arial" w:cs="Arial" w:eastAsia="Arial" w:hAnsi="Arial"/>
          <w:sz w:val="18"/>
          <w:szCs w:val="18"/>
          <w:b w:val="1"/>
          <w:bCs w:val="1"/>
          <w:color w:val="53C072"/>
        </w:rPr>
        <w:t xml:space="preserve">401(k) Plan. </w:t>
      </w:r>
      <w:r>
        <w:rPr>
          <w:rFonts w:ascii="Arial" w:cs="Arial" w:eastAsia="Arial" w:hAnsi="Arial"/>
          <w:sz w:val="18"/>
          <w:szCs w:val="18"/>
          <w:color w:val="000000"/>
        </w:rPr>
        <w:t>The Company provides a tax-qualified defined-contribution 401(k) Plan for employees after a 30-day waiting period. The plan allows eligible employees to make contributions on a pre- and post-tax basis through payroll deductions (up to IRS limits) and invest their contributions in one or more investment options. New employees are automatically enrolled for a 3% pre-tax contribution but have the ability to opt out before the effective date. The plan does not provide a Company match. Instead, the Company provides retirement contributions to eligible employees through the Pension Plan.</w:t>
      </w:r>
    </w:p>
    <w:p>
      <w:pPr>
        <w:spacing w:after="0" w:line="115" w:lineRule="exact"/>
        <w:rPr>
          <w:sz w:val="20"/>
          <w:szCs w:val="20"/>
          <w:color w:val="auto"/>
        </w:rPr>
      </w:pPr>
    </w:p>
    <w:p>
      <w:pPr>
        <w:ind w:left="1000" w:right="219"/>
        <w:spacing w:after="0" w:line="268" w:lineRule="auto"/>
        <w:rPr>
          <w:sz w:val="20"/>
          <w:szCs w:val="20"/>
          <w:color w:val="auto"/>
        </w:rPr>
      </w:pPr>
      <w:r>
        <w:rPr>
          <w:rFonts w:ascii="Arial" w:cs="Arial" w:eastAsia="Arial" w:hAnsi="Arial"/>
          <w:sz w:val="18"/>
          <w:szCs w:val="18"/>
          <w:b w:val="1"/>
          <w:bCs w:val="1"/>
          <w:color w:val="53C072"/>
        </w:rPr>
        <w:t xml:space="preserve">Nonqualified Retirement Plans. </w:t>
      </w:r>
      <w:r>
        <w:rPr>
          <w:rFonts w:ascii="Arial" w:cs="Arial" w:eastAsia="Arial" w:hAnsi="Arial"/>
          <w:sz w:val="18"/>
          <w:szCs w:val="18"/>
          <w:color w:val="000000"/>
        </w:rPr>
        <w:t>The Company provides a retirement benefit to certain employees under the</w:t>
      </w:r>
      <w:r>
        <w:rPr>
          <w:rFonts w:ascii="Arial" w:cs="Arial" w:eastAsia="Arial" w:hAnsi="Arial"/>
          <w:sz w:val="18"/>
          <w:szCs w:val="18"/>
          <w:b w:val="1"/>
          <w:bCs w:val="1"/>
          <w:color w:val="53C072"/>
        </w:rPr>
        <w:t xml:space="preserve"> </w:t>
      </w:r>
      <w:r>
        <w:rPr>
          <w:rFonts w:ascii="Arial" w:cs="Arial" w:eastAsia="Arial" w:hAnsi="Arial"/>
          <w:sz w:val="18"/>
          <w:szCs w:val="18"/>
          <w:color w:val="000000"/>
        </w:rPr>
        <w:t>following nonqualified retirement plans: (1) the restoration pension plan (the “Restoration Plan”) and (2) the supplemental executive officers’ retirement plan (the “SERP”). The SERP was closed to new participants</w:t>
      </w:r>
    </w:p>
    <w:p>
      <w:pPr>
        <w:spacing w:after="0" w:line="111"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159"/>
        <w:spacing w:after="0" w:line="246" w:lineRule="auto"/>
        <w:rPr>
          <w:sz w:val="20"/>
          <w:szCs w:val="20"/>
          <w:color w:val="auto"/>
        </w:rPr>
      </w:pPr>
      <w:r>
        <w:rPr>
          <w:rFonts w:ascii="Arial" w:cs="Arial" w:eastAsia="Arial" w:hAnsi="Arial"/>
          <w:sz w:val="18"/>
          <w:szCs w:val="18"/>
          <w:color w:val="auto"/>
        </w:rPr>
        <w:t>effective December 31, 2011, and the Restoration Plan was adopted effective January 1, 2012. Any benefit payable under the Restoration Plan reduces the benefit payable under the SERP. A retirement plan is an important retention tool in the Company’s compensation program because the receipt of benefits is contingent on certain age and service requirements. Additionally, the nonqualified retirement plans include a performance-based element, because they are based in part on a participant’s yearly cash compensation. The Company balances the effectiveness of these plans as a compensation and retention tool with the cost of these plans. The SERP and Restoration Plan, including NEO participation, are more fully described in the “Pension Benefits” section.</w:t>
      </w:r>
    </w:p>
    <w:p>
      <w:pPr>
        <w:spacing w:after="0" w:line="112" w:lineRule="exact"/>
        <w:rPr>
          <w:sz w:val="20"/>
          <w:szCs w:val="20"/>
          <w:color w:val="auto"/>
        </w:rPr>
      </w:pPr>
    </w:p>
    <w:p>
      <w:pPr>
        <w:ind w:left="1000" w:right="239"/>
        <w:spacing w:after="0" w:line="247" w:lineRule="auto"/>
        <w:rPr>
          <w:sz w:val="20"/>
          <w:szCs w:val="20"/>
          <w:color w:val="auto"/>
        </w:rPr>
      </w:pPr>
      <w:r>
        <w:rPr>
          <w:rFonts w:ascii="Arial" w:cs="Arial" w:eastAsia="Arial" w:hAnsi="Arial"/>
          <w:sz w:val="18"/>
          <w:szCs w:val="18"/>
          <w:b w:val="1"/>
          <w:bCs w:val="1"/>
          <w:color w:val="53C072"/>
        </w:rPr>
        <w:t xml:space="preserve">Executive Benefits. </w:t>
      </w:r>
      <w:r>
        <w:rPr>
          <w:rFonts w:ascii="Arial" w:cs="Arial" w:eastAsia="Arial" w:hAnsi="Arial"/>
          <w:sz w:val="18"/>
          <w:szCs w:val="18"/>
          <w:color w:val="000000"/>
        </w:rPr>
        <w:t>The Company provides NEOs with a limited number of perquisites that the Company</w:t>
      </w:r>
      <w:r>
        <w:rPr>
          <w:rFonts w:ascii="Arial" w:cs="Arial" w:eastAsia="Arial" w:hAnsi="Arial"/>
          <w:sz w:val="18"/>
          <w:szCs w:val="18"/>
          <w:b w:val="1"/>
          <w:bCs w:val="1"/>
          <w:color w:val="53C072"/>
        </w:rPr>
        <w:t xml:space="preserve"> </w:t>
      </w:r>
      <w:r>
        <w:rPr>
          <w:rFonts w:ascii="Arial" w:cs="Arial" w:eastAsia="Arial" w:hAnsi="Arial"/>
          <w:sz w:val="18"/>
          <w:szCs w:val="18"/>
          <w:color w:val="000000"/>
        </w:rPr>
        <w:t>and the Committee believe are reasonable, consistent with the Company’s overall compensation program, and necessary to remain competitive. Perquisites include automobile program and cost of annual physical exams. Costs associated with the perquisites provided by the Company are included in the “All Other Compensation” column in the Summary Compensation Table.</w:t>
      </w:r>
    </w:p>
    <w:p>
      <w:pPr>
        <w:spacing w:after="0" w:line="109" w:lineRule="exact"/>
        <w:rPr>
          <w:sz w:val="20"/>
          <w:szCs w:val="20"/>
          <w:color w:val="auto"/>
        </w:rPr>
      </w:pPr>
    </w:p>
    <w:p>
      <w:pPr>
        <w:ind w:left="1000" w:right="179"/>
        <w:spacing w:after="0" w:line="246" w:lineRule="auto"/>
        <w:rPr>
          <w:sz w:val="20"/>
          <w:szCs w:val="20"/>
          <w:color w:val="auto"/>
        </w:rPr>
      </w:pPr>
      <w:r>
        <w:rPr>
          <w:rFonts w:ascii="Arial" w:cs="Arial" w:eastAsia="Arial" w:hAnsi="Arial"/>
          <w:sz w:val="18"/>
          <w:szCs w:val="18"/>
          <w:b w:val="1"/>
          <w:bCs w:val="1"/>
          <w:color w:val="53C072"/>
        </w:rPr>
        <w:t xml:space="preserve">Change of Control Agreements. </w:t>
      </w:r>
      <w:r>
        <w:rPr>
          <w:rFonts w:ascii="Arial" w:cs="Arial" w:eastAsia="Arial" w:hAnsi="Arial"/>
          <w:sz w:val="18"/>
          <w:szCs w:val="18"/>
          <w:color w:val="000000"/>
        </w:rPr>
        <w:t>The Company has entered into a change of control agreement with each of</w:t>
      </w:r>
      <w:r>
        <w:rPr>
          <w:rFonts w:ascii="Arial" w:cs="Arial" w:eastAsia="Arial" w:hAnsi="Arial"/>
          <w:sz w:val="18"/>
          <w:szCs w:val="18"/>
          <w:b w:val="1"/>
          <w:bCs w:val="1"/>
          <w:color w:val="53C072"/>
        </w:rPr>
        <w:t xml:space="preserve"> </w:t>
      </w:r>
      <w:r>
        <w:rPr>
          <w:rFonts w:ascii="Arial" w:cs="Arial" w:eastAsia="Arial" w:hAnsi="Arial"/>
          <w:sz w:val="18"/>
          <w:szCs w:val="18"/>
          <w:color w:val="000000"/>
        </w:rPr>
        <w:t>the NEOs. The change of control agreements encourage retention in the face of the disruptive impact of an actual or attempted change of control of the Company. The agreements also align NEO and shareholder interests by enabling the NEOs to consider corporate transactions that are in the best interests of the shareholders and other Company constituents without undue concern about their own employment. The change of control agreements do not provide for excise tax reimbursements to any of the NEOs. For more information, see “Potential Payouts Upon Termination and Change of Control” section.</w:t>
      </w:r>
    </w:p>
    <w:p>
      <w:pPr>
        <w:spacing w:after="0" w:line="108" w:lineRule="exact"/>
        <w:rPr>
          <w:sz w:val="20"/>
          <w:szCs w:val="20"/>
          <w:color w:val="auto"/>
        </w:rPr>
      </w:pPr>
    </w:p>
    <w:p>
      <w:pPr>
        <w:ind w:left="1000" w:right="219"/>
        <w:spacing w:after="0" w:line="260" w:lineRule="auto"/>
        <w:rPr>
          <w:sz w:val="20"/>
          <w:szCs w:val="20"/>
          <w:color w:val="auto"/>
        </w:rPr>
      </w:pPr>
      <w:r>
        <w:rPr>
          <w:rFonts w:ascii="Arial" w:cs="Arial" w:eastAsia="Arial" w:hAnsi="Arial"/>
          <w:sz w:val="17"/>
          <w:szCs w:val="17"/>
          <w:b w:val="1"/>
          <w:bCs w:val="1"/>
          <w:color w:val="53C072"/>
        </w:rPr>
        <w:t xml:space="preserve">Severance Benefits. </w:t>
      </w:r>
      <w:r>
        <w:rPr>
          <w:rFonts w:ascii="Arial" w:cs="Arial" w:eastAsia="Arial" w:hAnsi="Arial"/>
          <w:sz w:val="17"/>
          <w:szCs w:val="17"/>
          <w:color w:val="000000"/>
        </w:rPr>
        <w:t>The Company approved an Executive Severance Plan on August 10, 2017, whereby</w:t>
      </w:r>
      <w:r>
        <w:rPr>
          <w:rFonts w:ascii="Arial" w:cs="Arial" w:eastAsia="Arial" w:hAnsi="Arial"/>
          <w:sz w:val="17"/>
          <w:szCs w:val="17"/>
          <w:b w:val="1"/>
          <w:bCs w:val="1"/>
          <w:color w:val="53C072"/>
        </w:rPr>
        <w:t xml:space="preserve"> </w:t>
      </w:r>
      <w:r>
        <w:rPr>
          <w:rFonts w:ascii="Arial" w:cs="Arial" w:eastAsia="Arial" w:hAnsi="Arial"/>
          <w:sz w:val="17"/>
          <w:szCs w:val="17"/>
          <w:color w:val="000000"/>
        </w:rPr>
        <w:t>executive officers may be eligible to receive severance benefits if they are not entitled to severance payments under any other employment agreement. Under the Executive Severance Plan, if the Company terminates an executive’s employment without cause, the executive will receive: (1) one times their annual base salary, or in the case of the CEO two times their annual base salary; (2) health care benefit continuation for the duration of the severance period; and (3) the incentive payment based on the relevant performance factors in the year of termination. “Cause” generally includes gross misconduct, breach of any material term of the agreement, willful breach, habitual neglect or wanton disregard of the executive’s duties, or conviction of certain criminal acts.</w:t>
      </w:r>
    </w:p>
    <w:p>
      <w:pPr>
        <w:spacing w:after="0" w:line="101" w:lineRule="exact"/>
        <w:rPr>
          <w:sz w:val="20"/>
          <w:szCs w:val="20"/>
          <w:color w:val="auto"/>
        </w:rPr>
      </w:pPr>
    </w:p>
    <w:p>
      <w:pPr>
        <w:ind w:left="1000" w:right="159"/>
        <w:spacing w:after="0" w:line="248" w:lineRule="auto"/>
        <w:rPr>
          <w:sz w:val="20"/>
          <w:szCs w:val="20"/>
          <w:color w:val="auto"/>
        </w:rPr>
      </w:pPr>
      <w:r>
        <w:rPr>
          <w:rFonts w:ascii="Arial" w:cs="Arial" w:eastAsia="Arial" w:hAnsi="Arial"/>
          <w:sz w:val="18"/>
          <w:szCs w:val="18"/>
          <w:color w:val="auto"/>
        </w:rPr>
        <w:t>The NEOs are not covered by the Executive Severance Plan, but they are eligible for severance benefits under their employment agreements. Those agreements provide that, if the Company terminates their employment without cause, they will receive a lump sum equal to: (1) base annual salary, and (2) target bonus for the year in which the termination occurs. “Cause” generally includes gross misconduct, breach of any material term of the agreement, willful breach, habitual neglect or wanton disregard of the executive’s duties, or conviction of any criminal act.</w:t>
      </w:r>
    </w:p>
    <w:p>
      <w:pPr>
        <w:spacing w:after="0" w:line="10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more information, see “Potential Payouts Upon Termination and Change of Control” section.</w:t>
      </w:r>
    </w:p>
    <w:p>
      <w:pPr>
        <w:spacing w:after="0" w:line="158" w:lineRule="exact"/>
        <w:rPr>
          <w:sz w:val="20"/>
          <w:szCs w:val="20"/>
          <w:color w:val="auto"/>
        </w:rPr>
      </w:pPr>
    </w:p>
    <w:p>
      <w:pPr>
        <w:ind w:left="1000" w:right="259"/>
        <w:spacing w:after="0" w:line="247" w:lineRule="auto"/>
        <w:rPr>
          <w:sz w:val="20"/>
          <w:szCs w:val="20"/>
          <w:color w:val="auto"/>
        </w:rPr>
      </w:pPr>
      <w:r>
        <w:rPr>
          <w:rFonts w:ascii="Arial" w:cs="Arial" w:eastAsia="Arial" w:hAnsi="Arial"/>
          <w:sz w:val="18"/>
          <w:szCs w:val="18"/>
          <w:b w:val="1"/>
          <w:bCs w:val="1"/>
          <w:color w:val="53C072"/>
        </w:rPr>
        <w:t xml:space="preserve">Employee Stock Purchase Plan (ESPP). </w:t>
      </w:r>
      <w:r>
        <w:rPr>
          <w:rFonts w:ascii="Arial" w:cs="Arial" w:eastAsia="Arial" w:hAnsi="Arial"/>
          <w:sz w:val="18"/>
          <w:szCs w:val="18"/>
          <w:color w:val="000000"/>
        </w:rPr>
        <w:t>The Company maintains the ESPP, which is a tax-qualified plan</w:t>
      </w:r>
      <w:r>
        <w:rPr>
          <w:rFonts w:ascii="Arial" w:cs="Arial" w:eastAsia="Arial" w:hAnsi="Arial"/>
          <w:sz w:val="18"/>
          <w:szCs w:val="18"/>
          <w:b w:val="1"/>
          <w:bCs w:val="1"/>
          <w:color w:val="53C072"/>
        </w:rPr>
        <w:t xml:space="preserve"> </w:t>
      </w:r>
      <w:r>
        <w:rPr>
          <w:rFonts w:ascii="Arial" w:cs="Arial" w:eastAsia="Arial" w:hAnsi="Arial"/>
          <w:sz w:val="18"/>
          <w:szCs w:val="18"/>
          <w:color w:val="000000"/>
        </w:rPr>
        <w:t>available to all employees of the Company and designated U.S. and Canadian subsidiaries who have been employed for at least three continuous months for at least 20 hours per week. The ESPP provides an opportunity to acquire an ownership interest in the Company through the purchase of the Company’s Common Stock at a 5% discount through payroll deductions.</w:t>
      </w:r>
    </w:p>
    <w:p>
      <w:pPr>
        <w:spacing w:after="0" w:line="16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ADDITIONAL PRACTICES, POLICIES AND GUIDELINES</w:t>
      </w:r>
    </w:p>
    <w:p>
      <w:pPr>
        <w:spacing w:after="0" w:line="15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Stock Ownership Guidelines</w:t>
      </w:r>
    </w:p>
    <w:p>
      <w:pPr>
        <w:spacing w:after="0" w:line="139" w:lineRule="exact"/>
        <w:rPr>
          <w:sz w:val="20"/>
          <w:szCs w:val="20"/>
          <w:color w:val="auto"/>
        </w:rPr>
      </w:pPr>
    </w:p>
    <w:p>
      <w:pPr>
        <w:ind w:left="1000" w:right="179"/>
        <w:spacing w:after="0" w:line="251" w:lineRule="auto"/>
        <w:rPr>
          <w:sz w:val="20"/>
          <w:szCs w:val="20"/>
          <w:color w:val="auto"/>
        </w:rPr>
      </w:pPr>
      <w:r>
        <w:rPr>
          <w:rFonts w:ascii="Arial" w:cs="Arial" w:eastAsia="Arial" w:hAnsi="Arial"/>
          <w:sz w:val="18"/>
          <w:szCs w:val="18"/>
          <w:color w:val="auto"/>
        </w:rPr>
        <w:t>With a significant portion of each NEO’s total compensation in equity-based incentives, NEOs have a substantial interest to ensure profitable growth of the Company and to drive long-term shareholder value. To further reinforce this focus, the Committee has established stock ownership guidelines for all NEOs. The guidelines provide that NEOs are required to hold shares of the Company’s Common Stock with a market value equal to a multiple of each NEO’s base salary, as set forth below:</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54     </w:t>
      </w:r>
      <w:r>
        <w:rPr>
          <w:sz w:val="1"/>
          <w:szCs w:val="1"/>
          <w:color w:val="auto"/>
        </w:rPr>
        <w:drawing>
          <wp:inline distT="0" distB="0" distL="0" distR="0">
            <wp:extent cx="1242695" cy="24003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81" w:lineRule="exact"/>
        <w:rPr>
          <w:sz w:val="20"/>
          <w:szCs w:val="20"/>
          <w:color w:val="auto"/>
        </w:rPr>
      </w:pPr>
    </w:p>
    <w:tbl>
      <w:tblPr>
        <w:tblLayout w:type="fixed"/>
        <w:tblInd w:w="1000" w:type="dxa"/>
        <w:tblCellMar>
          <w:top w:w="0" w:type="dxa"/>
          <w:left w:w="0" w:type="dxa"/>
          <w:bottom w:w="0" w:type="dxa"/>
          <w:right w:w="0" w:type="dxa"/>
        </w:tblCellMar>
      </w:tblPr>
      <w:tr>
        <w:trPr>
          <w:trHeight w:val="196"/>
        </w:trPr>
        <w:tc>
          <w:tcPr>
            <w:tcW w:w="3820" w:type="dxa"/>
            <w:vAlign w:val="bottom"/>
          </w:tcPr>
          <w:p>
            <w:pPr>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980" w:type="dxa"/>
        <w:tblCellMar>
          <w:top w:w="0" w:type="dxa"/>
          <w:left w:w="0" w:type="dxa"/>
          <w:bottom w:w="0" w:type="dxa"/>
          <w:right w:w="0" w:type="dxa"/>
        </w:tblCellMar>
      </w:tblPr>
      <w:tr>
        <w:trPr>
          <w:trHeight w:val="291"/>
        </w:trPr>
        <w:tc>
          <w:tcPr>
            <w:tcW w:w="4480" w:type="dxa"/>
            <w:vAlign w:val="bottom"/>
            <w:tcBorders>
              <w:top w:val="single" w:sz="8" w:color="53C072"/>
              <w:bottom w:val="single" w:sz="8" w:color="CBECD5"/>
            </w:tcBorders>
            <w:shd w:val="clear" w:color="auto" w:fill="CBECD5"/>
          </w:tcPr>
          <w:p>
            <w:pPr>
              <w:ind w:left="60"/>
              <w:spacing w:after="0"/>
              <w:rPr>
                <w:sz w:val="20"/>
                <w:szCs w:val="20"/>
                <w:color w:val="auto"/>
              </w:rPr>
            </w:pPr>
            <w:r>
              <w:rPr>
                <w:rFonts w:ascii="Arial" w:cs="Arial" w:eastAsia="Arial" w:hAnsi="Arial"/>
                <w:sz w:val="18"/>
                <w:szCs w:val="18"/>
                <w:color w:val="404040"/>
              </w:rPr>
              <w:t>CEO</w:t>
            </w:r>
          </w:p>
        </w:tc>
        <w:tc>
          <w:tcPr>
            <w:tcW w:w="4280" w:type="dxa"/>
            <w:vAlign w:val="bottom"/>
            <w:tcBorders>
              <w:top w:val="single" w:sz="8" w:color="53C072"/>
              <w:bottom w:val="single" w:sz="8" w:color="CBECD5"/>
            </w:tcBorders>
            <w:shd w:val="clear" w:color="auto" w:fill="CBECD5"/>
          </w:tcPr>
          <w:p>
            <w:pPr>
              <w:ind w:left="2280"/>
              <w:spacing w:after="0"/>
              <w:rPr>
                <w:sz w:val="20"/>
                <w:szCs w:val="20"/>
                <w:color w:val="auto"/>
              </w:rPr>
            </w:pPr>
            <w:r>
              <w:rPr>
                <w:rFonts w:ascii="Arial" w:cs="Arial" w:eastAsia="Arial" w:hAnsi="Arial"/>
                <w:sz w:val="18"/>
                <w:szCs w:val="18"/>
                <w:color w:val="404040"/>
              </w:rPr>
              <w:t>5x base salary</w:t>
            </w:r>
          </w:p>
        </w:tc>
      </w:tr>
      <w:tr>
        <w:trPr>
          <w:trHeight w:val="248"/>
        </w:trPr>
        <w:tc>
          <w:tcPr>
            <w:tcW w:w="4480" w:type="dxa"/>
            <w:vAlign w:val="bottom"/>
          </w:tcPr>
          <w:p>
            <w:pPr>
              <w:ind w:left="60"/>
              <w:spacing w:after="0"/>
              <w:rPr>
                <w:sz w:val="20"/>
                <w:szCs w:val="20"/>
                <w:color w:val="auto"/>
              </w:rPr>
            </w:pPr>
            <w:r>
              <w:rPr>
                <w:rFonts w:ascii="Arial" w:cs="Arial" w:eastAsia="Arial" w:hAnsi="Arial"/>
                <w:sz w:val="18"/>
                <w:szCs w:val="18"/>
                <w:color w:val="404040"/>
              </w:rPr>
              <w:t>CFO and General Counsel</w:t>
            </w:r>
          </w:p>
        </w:tc>
        <w:tc>
          <w:tcPr>
            <w:tcW w:w="4280" w:type="dxa"/>
            <w:vAlign w:val="bottom"/>
          </w:tcPr>
          <w:p>
            <w:pPr>
              <w:ind w:left="2280"/>
              <w:spacing w:after="0"/>
              <w:rPr>
                <w:sz w:val="20"/>
                <w:szCs w:val="20"/>
                <w:color w:val="auto"/>
              </w:rPr>
            </w:pPr>
            <w:r>
              <w:rPr>
                <w:rFonts w:ascii="Arial" w:cs="Arial" w:eastAsia="Arial" w:hAnsi="Arial"/>
                <w:sz w:val="18"/>
                <w:szCs w:val="18"/>
                <w:color w:val="404040"/>
              </w:rPr>
              <w:t>3x base salary</w:t>
            </w:r>
          </w:p>
        </w:tc>
      </w:tr>
      <w:tr>
        <w:trPr>
          <w:trHeight w:val="259"/>
        </w:trPr>
        <w:tc>
          <w:tcPr>
            <w:tcW w:w="4480" w:type="dxa"/>
            <w:vAlign w:val="bottom"/>
            <w:tcBorders>
              <w:bottom w:val="single" w:sz="8" w:color="53C072"/>
            </w:tcBorders>
            <w:shd w:val="clear" w:color="auto" w:fill="CBECD5"/>
          </w:tcPr>
          <w:p>
            <w:pPr>
              <w:ind w:left="60"/>
              <w:spacing w:after="0"/>
              <w:rPr>
                <w:sz w:val="20"/>
                <w:szCs w:val="20"/>
                <w:color w:val="auto"/>
              </w:rPr>
            </w:pPr>
            <w:r>
              <w:rPr>
                <w:rFonts w:ascii="Arial" w:cs="Arial" w:eastAsia="Arial" w:hAnsi="Arial"/>
                <w:sz w:val="18"/>
                <w:szCs w:val="18"/>
                <w:color w:val="404040"/>
              </w:rPr>
              <w:t>Other Officers</w:t>
            </w:r>
          </w:p>
        </w:tc>
        <w:tc>
          <w:tcPr>
            <w:tcW w:w="4280" w:type="dxa"/>
            <w:vAlign w:val="bottom"/>
            <w:tcBorders>
              <w:bottom w:val="single" w:sz="8" w:color="53C072"/>
            </w:tcBorders>
            <w:shd w:val="clear" w:color="auto" w:fill="CBECD5"/>
          </w:tcPr>
          <w:p>
            <w:pPr>
              <w:ind w:left="2280"/>
              <w:spacing w:after="0"/>
              <w:rPr>
                <w:sz w:val="20"/>
                <w:szCs w:val="20"/>
                <w:color w:val="auto"/>
              </w:rPr>
            </w:pPr>
            <w:r>
              <w:rPr>
                <w:rFonts w:ascii="Arial" w:cs="Arial" w:eastAsia="Arial" w:hAnsi="Arial"/>
                <w:sz w:val="18"/>
                <w:szCs w:val="18"/>
                <w:color w:val="404040"/>
              </w:rPr>
              <w:t>1x base salary</w:t>
            </w:r>
          </w:p>
        </w:tc>
      </w:tr>
    </w:tbl>
    <w:p>
      <w:pPr>
        <w:spacing w:after="0" w:line="89" w:lineRule="exact"/>
        <w:rPr>
          <w:sz w:val="20"/>
          <w:szCs w:val="20"/>
          <w:color w:val="auto"/>
        </w:rPr>
      </w:pPr>
    </w:p>
    <w:p>
      <w:pPr>
        <w:ind w:left="1000" w:right="419"/>
        <w:spacing w:after="0" w:line="287" w:lineRule="auto"/>
        <w:rPr>
          <w:sz w:val="20"/>
          <w:szCs w:val="20"/>
          <w:color w:val="auto"/>
        </w:rPr>
      </w:pPr>
      <w:r>
        <w:rPr>
          <w:rFonts w:ascii="Arial" w:cs="Arial" w:eastAsia="Arial" w:hAnsi="Arial"/>
          <w:sz w:val="18"/>
          <w:szCs w:val="18"/>
          <w:color w:val="auto"/>
        </w:rPr>
        <w:t>Shares that count towards the guidelines include shares actually owned, vested and unvested RSUs, vested PSUs, and shares acquired from the exercise of stock options.</w:t>
      </w:r>
    </w:p>
    <w:p>
      <w:pPr>
        <w:spacing w:after="0" w:line="85" w:lineRule="exact"/>
        <w:rPr>
          <w:sz w:val="20"/>
          <w:szCs w:val="20"/>
          <w:color w:val="auto"/>
        </w:rPr>
      </w:pPr>
    </w:p>
    <w:p>
      <w:pPr>
        <w:ind w:left="1000" w:right="139"/>
        <w:spacing w:after="0" w:line="262" w:lineRule="auto"/>
        <w:rPr>
          <w:sz w:val="20"/>
          <w:szCs w:val="20"/>
          <w:color w:val="auto"/>
        </w:rPr>
      </w:pPr>
      <w:r>
        <w:rPr>
          <w:rFonts w:ascii="Arial" w:cs="Arial" w:eastAsia="Arial" w:hAnsi="Arial"/>
          <w:sz w:val="18"/>
          <w:szCs w:val="18"/>
          <w:color w:val="auto"/>
        </w:rPr>
        <w:t>The guidelines do not provide a time frame by which ownership must be achieved. However, until the ownership level under the guidelines is met, the NEO must hold at least 50% of any net shares he or she receives upon the exercise of stock options or upon the delivery of any RSU or PSU awards. As of June 29, 2024, all NEOs satisfy these requirements.</w:t>
      </w:r>
    </w:p>
    <w:p>
      <w:pPr>
        <w:spacing w:after="0" w:line="10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Recoupment Policy</w:t>
      </w:r>
    </w:p>
    <w:p>
      <w:pPr>
        <w:spacing w:after="0" w:line="153" w:lineRule="exact"/>
        <w:rPr>
          <w:sz w:val="20"/>
          <w:szCs w:val="20"/>
          <w:color w:val="auto"/>
        </w:rPr>
      </w:pPr>
    </w:p>
    <w:p>
      <w:pPr>
        <w:ind w:left="1000" w:right="159"/>
        <w:spacing w:after="0" w:line="266" w:lineRule="auto"/>
        <w:rPr>
          <w:sz w:val="20"/>
          <w:szCs w:val="20"/>
          <w:color w:val="auto"/>
        </w:rPr>
      </w:pPr>
      <w:r>
        <w:rPr>
          <w:rFonts w:ascii="Arial" w:cs="Arial" w:eastAsia="Arial" w:hAnsi="Arial"/>
          <w:sz w:val="17"/>
          <w:szCs w:val="17"/>
          <w:color w:val="auto"/>
        </w:rPr>
        <w:t>Under the Company’s Incentive-Based Compensation Recoupment Policy, also known as a clawback policy, the Company is required to recoup incentive-based compensation erroneously received by any current or former executive officer in the case of a restatement of the Company’s financial results. The Company may also seek to recover all or part of incentive-based compensation if a current or former executive officer: (i) engaged in misconduct, (ii) knew or should have known about misconduct and failed to report it to the Company, or (iii) was in a position, including a supervisory role, to reasonably prevent the misconduct. Further, the Company is authorized to recover compensation paid to any current or former employee to the extent required by law or applicable exchange’s listing standards. Incentive-based compensation includes any cash or stock-based award which is granted, earned, or vested based wholly or in part upon the attainment of financial reporting measures, including measures derived from financial reporting measures, stock price, and total shareholder returns. The policy defines misconduct as willfully or grossly negligent conduct or omission resulting in, or constituting, a criminal conviction (including a guilty plea, plea of nolo contendere, plea of no contest, or other similar admission of guilt), theft, fraud, material violation of the Company’s Code of Conduct, material reputational or financial harm to the Company, or material responsibility for the Company issuing a restatement of its financial results. In determining whether to take action in the case of misconduct, the Independent Directors may consider: (i) any benefit received by the executive officer, (ii) the seriousness of the misconduct,</w:t>
      </w:r>
    </w:p>
    <w:p>
      <w:pPr>
        <w:spacing w:after="0" w:line="8" w:lineRule="exact"/>
        <w:rPr>
          <w:sz w:val="20"/>
          <w:szCs w:val="20"/>
          <w:color w:val="auto"/>
        </w:rPr>
      </w:pPr>
    </w:p>
    <w:p>
      <w:pPr>
        <w:ind w:left="1000" w:right="539" w:hanging="10"/>
        <w:spacing w:after="0" w:line="255" w:lineRule="auto"/>
        <w:tabs>
          <w:tab w:leader="none" w:pos="128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the misconduct on the Company, and (iv) any other factors that the Independent Directors consider relevant. The Company does not reimburse executive officers for recouped incentive- based compensation or indemnify or insure executive officers in connection with recoupment of incentive- based compensation under this policy.</w:t>
      </w:r>
    </w:p>
    <w:p>
      <w:pPr>
        <w:spacing w:after="0" w:line="9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Equity Grant Practices</w:t>
      </w:r>
    </w:p>
    <w:p>
      <w:pPr>
        <w:spacing w:after="0" w:line="153" w:lineRule="exact"/>
        <w:rPr>
          <w:sz w:val="20"/>
          <w:szCs w:val="20"/>
          <w:color w:val="auto"/>
        </w:rPr>
      </w:pPr>
    </w:p>
    <w:p>
      <w:pPr>
        <w:ind w:left="1000" w:right="179"/>
        <w:spacing w:after="0" w:line="274" w:lineRule="auto"/>
        <w:rPr>
          <w:sz w:val="20"/>
          <w:szCs w:val="20"/>
          <w:color w:val="auto"/>
        </w:rPr>
      </w:pPr>
      <w:r>
        <w:rPr>
          <w:rFonts w:ascii="Arial" w:cs="Arial" w:eastAsia="Arial" w:hAnsi="Arial"/>
          <w:sz w:val="17"/>
          <w:szCs w:val="17"/>
          <w:color w:val="auto"/>
        </w:rPr>
        <w:t>Equity incentive compensation decisions are generally made at the Board’s or Committee’s regularly scheduled meetings in August, which are generally scheduled at least one year in advance. Pursuant to the Company’s equity incentive plans, the exercise price of each stock option awarded to the executive officers is the closing price of the Company’s Common Stock on the date of grant. Options and other equity-based compensation may be granted in connection with a new hire or a promotion, in which case equity compensation may be granted at the Compensation Committee meeting at or about the time of hiring or promotion. Grants are made without regard to anticipated earnings or major announcements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8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920" w:type="dxa"/>
            <w:vAlign w:val="bottom"/>
            <w:vMerge w:val="restart"/>
          </w:tcPr>
          <w:p>
            <w:pPr>
              <w:ind w:left="244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8"/>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820" w:type="dxa"/>
            <w:vAlign w:val="bottom"/>
            <w:vMerge w:val="continue"/>
          </w:tcPr>
          <w:p>
            <w:pPr>
              <w:spacing w:after="0"/>
              <w:rPr>
                <w:sz w:val="11"/>
                <w:szCs w:val="11"/>
                <w:color w:val="auto"/>
              </w:rPr>
            </w:pPr>
          </w:p>
        </w:tc>
        <w:tc>
          <w:tcPr>
            <w:tcW w:w="4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309880</wp:posOffset>
            </wp:positionV>
            <wp:extent cx="5554980" cy="685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20"/>
        <w:spacing w:after="0"/>
        <w:rPr>
          <w:sz w:val="20"/>
          <w:szCs w:val="20"/>
          <w:color w:val="auto"/>
        </w:rPr>
      </w:pPr>
      <w:r>
        <w:rPr>
          <w:rFonts w:ascii="Arial" w:cs="Arial" w:eastAsia="Arial" w:hAnsi="Arial"/>
          <w:sz w:val="40"/>
          <w:szCs w:val="40"/>
          <w:b w:val="1"/>
          <w:bCs w:val="1"/>
          <w:color w:val="FEFEFE"/>
        </w:rPr>
        <w:t>COMPENSATION AND LEADERSHIP</w:t>
      </w:r>
    </w:p>
    <w:p>
      <w:pPr>
        <w:spacing w:after="0" w:line="66" w:lineRule="exact"/>
        <w:rPr>
          <w:sz w:val="20"/>
          <w:szCs w:val="20"/>
          <w:color w:val="auto"/>
        </w:rPr>
      </w:pPr>
    </w:p>
    <w:p>
      <w:pPr>
        <w:ind w:left="1800"/>
        <w:spacing w:after="0"/>
        <w:rPr>
          <w:sz w:val="20"/>
          <w:szCs w:val="20"/>
          <w:color w:val="auto"/>
        </w:rPr>
      </w:pPr>
      <w:r>
        <w:rPr>
          <w:rFonts w:ascii="Arial" w:cs="Arial" w:eastAsia="Arial" w:hAnsi="Arial"/>
          <w:sz w:val="40"/>
          <w:szCs w:val="40"/>
          <w:b w:val="1"/>
          <w:bCs w:val="1"/>
          <w:color w:val="FEFEFE"/>
        </w:rPr>
        <w:t>DEVELOPMENT COMMITTEE REPORT</w:t>
      </w:r>
      <w:r>
        <w:rPr>
          <w:rFonts w:ascii="Times New Roman" w:cs="Times New Roman" w:eastAsia="Times New Roman" w:hAnsi="Times New Roman"/>
          <w:sz w:val="17"/>
          <w:szCs w:val="17"/>
          <w:color w:val="FEFEFE"/>
        </w:rPr>
        <w:t>​</w:t>
      </w:r>
    </w:p>
    <w:p>
      <w:pPr>
        <w:spacing w:after="0" w:line="366" w:lineRule="exact"/>
        <w:rPr>
          <w:sz w:val="20"/>
          <w:szCs w:val="20"/>
          <w:color w:val="auto"/>
        </w:rPr>
      </w:pPr>
    </w:p>
    <w:p>
      <w:pPr>
        <w:ind w:left="1000" w:right="199"/>
        <w:spacing w:after="0" w:line="259" w:lineRule="auto"/>
        <w:rPr>
          <w:sz w:val="20"/>
          <w:szCs w:val="20"/>
          <w:color w:val="auto"/>
        </w:rPr>
      </w:pPr>
      <w:r>
        <w:rPr>
          <w:rFonts w:ascii="Arial" w:cs="Arial" w:eastAsia="Arial" w:hAnsi="Arial"/>
          <w:sz w:val="18"/>
          <w:szCs w:val="18"/>
          <w:color w:val="auto"/>
        </w:rPr>
        <w:t>The Compensation and Leadership Development Committee has reviewed the Compensation Discussion and Analysis (“CD&amp;A”) and discussed it with management. Based on its review and discussion with management, the Committee recommended to the Board of Directors that the CD&amp;A be included in the Company’s 2024 Proxy Statement and incorporated by reference into the Company’s annual report on Form 10-K. This Report is provided by the following Independent Directors, who comprise the Committee:</w:t>
      </w:r>
    </w:p>
    <w:p>
      <w:pPr>
        <w:spacing w:after="0" w:line="11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Jo Ann Jenkins, Chair</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James A. Lawrence,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Avid Modjtabai</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Adalio T. Sanchez</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56     </w:t>
      </w:r>
      <w:r>
        <w:rPr>
          <w:sz w:val="1"/>
          <w:szCs w:val="1"/>
          <w:color w:val="auto"/>
        </w:rPr>
        <w:drawing>
          <wp:inline distT="0" distB="0" distL="0" distR="0">
            <wp:extent cx="1242695" cy="24003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80"/>
        <w:spacing w:after="0"/>
        <w:rPr>
          <w:sz w:val="20"/>
          <w:szCs w:val="20"/>
          <w:color w:val="auto"/>
        </w:rPr>
      </w:pPr>
      <w:r>
        <w:rPr>
          <w:rFonts w:ascii="Arial" w:cs="Arial" w:eastAsia="Arial" w:hAnsi="Arial"/>
          <w:sz w:val="40"/>
          <w:szCs w:val="40"/>
          <w:b w:val="1"/>
          <w:bCs w:val="1"/>
          <w:color w:val="FEFEFE"/>
        </w:rPr>
        <w:t>COMPENSATION OF EXECUTIVE OFFICERS</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319"/>
        <w:spacing w:after="0" w:line="271" w:lineRule="auto"/>
        <w:rPr>
          <w:sz w:val="20"/>
          <w:szCs w:val="20"/>
          <w:color w:val="auto"/>
        </w:rPr>
      </w:pPr>
      <w:r>
        <w:rPr>
          <w:rFonts w:ascii="Arial" w:cs="Arial" w:eastAsia="Arial" w:hAnsi="Arial"/>
          <w:sz w:val="18"/>
          <w:szCs w:val="18"/>
          <w:color w:val="auto"/>
        </w:rPr>
        <w:t>The following table sets forth information concerning the compensation provided to NEOs by the Company for fiscal years 2022 through 2024.</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132080</wp:posOffset>
            </wp:positionV>
            <wp:extent cx="5554980" cy="796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54980" cy="796925"/>
                    </a:xfrm>
                    <a:prstGeom prst="rect">
                      <a:avLst/>
                    </a:prstGeom>
                    <a:noFill/>
                  </pic:spPr>
                </pic:pic>
              </a:graphicData>
            </a:graphic>
          </wp:anchor>
        </w:drawing>
      </w:r>
    </w:p>
    <w:p>
      <w:pPr>
        <w:spacing w:after="0" w:line="200" w:lineRule="exact"/>
        <w:rPr>
          <w:sz w:val="20"/>
          <w:szCs w:val="20"/>
          <w:color w:val="auto"/>
        </w:rPr>
      </w:pPr>
    </w:p>
    <w:p>
      <w:pPr>
        <w:jc w:val="right"/>
        <w:ind w:right="1999"/>
        <w:spacing w:after="0"/>
        <w:rPr>
          <w:sz w:val="20"/>
          <w:szCs w:val="20"/>
          <w:color w:val="auto"/>
        </w:rPr>
      </w:pPr>
      <w:r>
        <w:rPr>
          <w:rFonts w:ascii="Arial" w:cs="Arial" w:eastAsia="Arial" w:hAnsi="Arial"/>
          <w:sz w:val="13"/>
          <w:szCs w:val="13"/>
          <w:b w:val="1"/>
          <w:bCs w:val="1"/>
          <w:color w:val="FEFEFE"/>
        </w:rPr>
        <w:t>Change in</w:t>
      </w:r>
    </w:p>
    <w:p>
      <w:pPr>
        <w:spacing w:after="0" w:line="12" w:lineRule="exact"/>
        <w:rPr>
          <w:sz w:val="20"/>
          <w:szCs w:val="20"/>
          <w:color w:val="auto"/>
        </w:rPr>
      </w:pPr>
    </w:p>
    <w:p>
      <w:pPr>
        <w:jc w:val="right"/>
        <w:ind w:right="1999"/>
        <w:spacing w:after="0"/>
        <w:rPr>
          <w:sz w:val="20"/>
          <w:szCs w:val="20"/>
          <w:color w:val="auto"/>
        </w:rPr>
      </w:pPr>
      <w:r>
        <w:rPr>
          <w:rFonts w:ascii="Arial" w:cs="Arial" w:eastAsia="Arial" w:hAnsi="Arial"/>
          <w:sz w:val="13"/>
          <w:szCs w:val="13"/>
          <w:b w:val="1"/>
          <w:bCs w:val="1"/>
          <w:color w:val="FEFEFE"/>
        </w:rPr>
        <w:t>Pension</w:t>
      </w:r>
    </w:p>
    <w:p>
      <w:pPr>
        <w:jc w:val="right"/>
        <w:ind w:right="1999"/>
        <w:spacing w:after="0"/>
        <w:rPr>
          <w:sz w:val="20"/>
          <w:szCs w:val="20"/>
          <w:color w:val="auto"/>
        </w:rPr>
      </w:pPr>
      <w:r>
        <w:rPr>
          <w:rFonts w:ascii="Arial" w:cs="Arial" w:eastAsia="Arial" w:hAnsi="Arial"/>
          <w:sz w:val="13"/>
          <w:szCs w:val="13"/>
          <w:b w:val="1"/>
          <w:bCs w:val="1"/>
          <w:color w:val="FEFEFE"/>
        </w:rPr>
        <w:t>Value and</w:t>
      </w:r>
    </w:p>
    <w:tbl>
      <w:tblPr>
        <w:tblLayout w:type="fixed"/>
        <w:tblInd w:w="980" w:type="dxa"/>
        <w:tblCellMar>
          <w:top w:w="0" w:type="dxa"/>
          <w:left w:w="0" w:type="dxa"/>
          <w:bottom w:w="0" w:type="dxa"/>
          <w:right w:w="0" w:type="dxa"/>
        </w:tblCellMar>
      </w:tblPr>
      <w:tr>
        <w:trPr>
          <w:trHeight w:val="147"/>
        </w:trPr>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FEFEFE"/>
              </w:rPr>
              <w:t>Non-Equity</w:t>
            </w:r>
          </w:p>
        </w:tc>
        <w:tc>
          <w:tcPr>
            <w:tcW w:w="1060" w:type="dxa"/>
            <w:vAlign w:val="bottom"/>
          </w:tcPr>
          <w:p>
            <w:pPr>
              <w:jc w:val="right"/>
              <w:ind w:right="13"/>
              <w:spacing w:after="0" w:line="148" w:lineRule="exact"/>
              <w:rPr>
                <w:sz w:val="20"/>
                <w:szCs w:val="20"/>
                <w:color w:val="auto"/>
              </w:rPr>
            </w:pPr>
            <w:r>
              <w:rPr>
                <w:rFonts w:ascii="Arial" w:cs="Arial" w:eastAsia="Arial" w:hAnsi="Arial"/>
                <w:sz w:val="13"/>
                <w:szCs w:val="13"/>
                <w:b w:val="1"/>
                <w:bCs w:val="1"/>
                <w:color w:val="FEFEFE"/>
              </w:rPr>
              <w:t>Nonqualified</w:t>
            </w: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FEFEFE"/>
              </w:rPr>
              <w:t>Stock</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Option</w:t>
            </w:r>
          </w:p>
        </w:tc>
        <w:tc>
          <w:tcPr>
            <w:tcW w:w="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FEFEFE"/>
              </w:rPr>
              <w:t>Deferred</w:t>
            </w: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FEFEFE"/>
              </w:rPr>
              <w:t>All Other</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Salary</w:t>
            </w:r>
          </w:p>
        </w:tc>
        <w:tc>
          <w:tcPr>
            <w:tcW w:w="580" w:type="dxa"/>
            <w:vAlign w:val="bottom"/>
            <w:vMerge w:val="restart"/>
          </w:tcPr>
          <w:p>
            <w:pPr>
              <w:ind w:left="40"/>
              <w:spacing w:after="0"/>
              <w:rPr>
                <w:sz w:val="20"/>
                <w:szCs w:val="20"/>
                <w:color w:val="auto"/>
              </w:rPr>
            </w:pPr>
            <w:r>
              <w:rPr>
                <w:rFonts w:ascii="Arial" w:cs="Arial" w:eastAsia="Arial" w:hAnsi="Arial"/>
                <w:sz w:val="13"/>
                <w:szCs w:val="13"/>
                <w:b w:val="1"/>
                <w:bCs w:val="1"/>
                <w:color w:val="FEFEFE"/>
              </w:rPr>
              <w:t>Bonus</w:t>
            </w:r>
          </w:p>
        </w:tc>
        <w:tc>
          <w:tcPr>
            <w:tcW w:w="6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FEFEFE"/>
              </w:rPr>
              <w:t>Incentive Plan</w:t>
            </w: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FEFEFE"/>
              </w:rPr>
              <w:t>Compensation</w:t>
            </w:r>
          </w:p>
        </w:tc>
        <w:tc>
          <w:tcPr>
            <w:tcW w:w="1080" w:type="dxa"/>
            <w:vAlign w:val="bottom"/>
            <w:vMerge w:val="continue"/>
          </w:tcPr>
          <w:p>
            <w:pPr>
              <w:spacing w:after="0"/>
              <w:rPr>
                <w:sz w:val="12"/>
                <w:szCs w:val="12"/>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FEFEFE"/>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b w:val="1"/>
                <w:bCs w:val="1"/>
                <w:color w:val="FEFEFE"/>
              </w:rPr>
              <w:t>Awards</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FEFEFE"/>
              </w:rPr>
              <w:t>Awards</w:t>
            </w:r>
          </w:p>
        </w:tc>
        <w:tc>
          <w:tcPr>
            <w:tcW w:w="80" w:type="dxa"/>
            <w:vAlign w:val="bottom"/>
          </w:tcPr>
          <w:p>
            <w:pPr>
              <w:spacing w:after="0"/>
              <w:rPr>
                <w:sz w:val="12"/>
                <w:szCs w:val="12"/>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FEFEFE"/>
              </w:rPr>
              <w:t>Compensation</w:t>
            </w: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FEFEFE"/>
              </w:rPr>
              <w:t>Earnings</w:t>
            </w:r>
          </w:p>
        </w:tc>
        <w:tc>
          <w:tcPr>
            <w:tcW w:w="1080" w:type="dxa"/>
            <w:vAlign w:val="bottom"/>
          </w:tcPr>
          <w:p>
            <w:pPr>
              <w:jc w:val="right"/>
              <w:ind w:right="33"/>
              <w:spacing w:after="0"/>
              <w:rPr>
                <w:sz w:val="20"/>
                <w:szCs w:val="20"/>
                <w:color w:val="auto"/>
              </w:rPr>
            </w:pPr>
            <w:r>
              <w:rPr>
                <w:rFonts w:ascii="Arial" w:cs="Arial" w:eastAsia="Arial" w:hAnsi="Arial"/>
                <w:sz w:val="13"/>
                <w:szCs w:val="13"/>
                <w:b w:val="1"/>
                <w:bCs w:val="1"/>
                <w:color w:val="FEFEFE"/>
              </w:rPr>
              <w:t>Compensation</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20" w:type="dxa"/>
            <w:vAlign w:val="bottom"/>
          </w:tcPr>
          <w:p>
            <w:pPr>
              <w:ind w:left="40"/>
              <w:spacing w:after="0"/>
              <w:rPr>
                <w:sz w:val="20"/>
                <w:szCs w:val="20"/>
                <w:color w:val="auto"/>
              </w:rPr>
            </w:pPr>
            <w:r>
              <w:rPr>
                <w:rFonts w:ascii="Arial" w:cs="Arial" w:eastAsia="Arial" w:hAnsi="Arial"/>
                <w:sz w:val="13"/>
                <w:szCs w:val="13"/>
                <w:b w:val="1"/>
                <w:bCs w:val="1"/>
                <w:color w:val="FEFEFE"/>
              </w:rPr>
              <w:t>Name and Principal Position</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FEFEFE"/>
              </w:rPr>
              <w:t>Year</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580" w:type="dxa"/>
            <w:vAlign w:val="bottom"/>
          </w:tcPr>
          <w:p>
            <w:pPr>
              <w:ind w:left="340"/>
              <w:spacing w:after="0"/>
              <w:rPr>
                <w:sz w:val="20"/>
                <w:szCs w:val="20"/>
                <w:color w:val="auto"/>
              </w:rPr>
            </w:pPr>
            <w:r>
              <w:rPr>
                <w:rFonts w:ascii="Arial" w:cs="Arial" w:eastAsia="Arial" w:hAnsi="Arial"/>
                <w:sz w:val="13"/>
                <w:szCs w:val="13"/>
                <w:b w:val="1"/>
                <w:bCs w:val="1"/>
                <w:color w:val="FEFEFE"/>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FEFEFE"/>
              </w:rPr>
              <w:t>($)(1)</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FEFEFE"/>
              </w:rPr>
              <w:t>($)(2)</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FEFEFE"/>
              </w:rPr>
              <w:t>($)(3)</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FEFEFE"/>
              </w:rPr>
              <w:t>($)(4)</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89"/>
        </w:trPr>
        <w:tc>
          <w:tcPr>
            <w:tcW w:w="1920" w:type="dxa"/>
            <w:vAlign w:val="bottom"/>
          </w:tcPr>
          <w:p>
            <w:pPr>
              <w:ind w:left="40"/>
              <w:spacing w:after="0"/>
              <w:rPr>
                <w:sz w:val="20"/>
                <w:szCs w:val="20"/>
                <w:color w:val="auto"/>
              </w:rPr>
            </w:pPr>
            <w:r>
              <w:rPr>
                <w:rFonts w:ascii="Arial" w:cs="Arial" w:eastAsia="Arial" w:hAnsi="Arial"/>
                <w:sz w:val="13"/>
                <w:szCs w:val="13"/>
                <w:color w:val="auto"/>
              </w:rPr>
              <w:t>Philip R. Gallagher</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2024 1,200,000</w:t>
            </w:r>
          </w:p>
        </w:tc>
        <w:tc>
          <w:tcPr>
            <w:tcW w:w="120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6,572,830</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936,000</w:t>
            </w:r>
          </w:p>
        </w:tc>
        <w:tc>
          <w:tcPr>
            <w:tcW w:w="1060" w:type="dxa"/>
            <w:vAlign w:val="bottom"/>
          </w:tcPr>
          <w:p>
            <w:pPr>
              <w:jc w:val="right"/>
              <w:spacing w:after="0"/>
              <w:rPr>
                <w:sz w:val="20"/>
                <w:szCs w:val="20"/>
                <w:color w:val="auto"/>
              </w:rPr>
            </w:pPr>
            <w:r>
              <w:rPr>
                <w:rFonts w:ascii="Arial" w:cs="Arial" w:eastAsia="Arial" w:hAnsi="Arial"/>
                <w:sz w:val="13"/>
                <w:szCs w:val="13"/>
                <w:color w:val="auto"/>
              </w:rPr>
              <w:t>34,126</w:t>
            </w:r>
          </w:p>
        </w:tc>
        <w:tc>
          <w:tcPr>
            <w:tcW w:w="1080" w:type="dxa"/>
            <w:vAlign w:val="bottom"/>
          </w:tcPr>
          <w:p>
            <w:pPr>
              <w:jc w:val="right"/>
              <w:spacing w:after="0"/>
              <w:rPr>
                <w:sz w:val="20"/>
                <w:szCs w:val="20"/>
                <w:color w:val="auto"/>
              </w:rPr>
            </w:pPr>
            <w:r>
              <w:rPr>
                <w:rFonts w:ascii="Arial" w:cs="Arial" w:eastAsia="Arial" w:hAnsi="Arial"/>
                <w:sz w:val="13"/>
                <w:szCs w:val="13"/>
                <w:color w:val="auto"/>
              </w:rPr>
              <w:t>33,022</w:t>
            </w:r>
          </w:p>
        </w:tc>
        <w:tc>
          <w:tcPr>
            <w:tcW w:w="700" w:type="dxa"/>
            <w:vAlign w:val="bottom"/>
          </w:tcPr>
          <w:p>
            <w:pPr>
              <w:jc w:val="right"/>
              <w:spacing w:after="0"/>
              <w:rPr>
                <w:sz w:val="20"/>
                <w:szCs w:val="20"/>
                <w:color w:val="auto"/>
              </w:rPr>
            </w:pPr>
            <w:r>
              <w:rPr>
                <w:rFonts w:ascii="Arial" w:cs="Arial" w:eastAsia="Arial" w:hAnsi="Arial"/>
                <w:sz w:val="13"/>
                <w:szCs w:val="13"/>
                <w:color w:val="auto"/>
              </w:rPr>
              <w:t>8,775,978</w:t>
            </w:r>
          </w:p>
        </w:tc>
        <w:tc>
          <w:tcPr>
            <w:tcW w:w="0" w:type="dxa"/>
            <w:vAlign w:val="bottom"/>
          </w:tcPr>
          <w:p>
            <w:pPr>
              <w:spacing w:after="0"/>
              <w:rPr>
                <w:sz w:val="1"/>
                <w:szCs w:val="1"/>
                <w:color w:val="auto"/>
              </w:rPr>
            </w:pPr>
          </w:p>
        </w:tc>
      </w:tr>
      <w:tr>
        <w:trPr>
          <w:trHeight w:val="189"/>
        </w:trPr>
        <w:tc>
          <w:tcPr>
            <w:tcW w:w="1920" w:type="dxa"/>
            <w:vAlign w:val="bottom"/>
          </w:tcPr>
          <w:p>
            <w:pPr>
              <w:ind w:left="40"/>
              <w:spacing w:after="0"/>
              <w:rPr>
                <w:sz w:val="20"/>
                <w:szCs w:val="20"/>
                <w:color w:val="auto"/>
              </w:rPr>
            </w:pPr>
            <w:r>
              <w:rPr>
                <w:rFonts w:ascii="Arial" w:cs="Arial" w:eastAsia="Arial" w:hAnsi="Arial"/>
                <w:sz w:val="13"/>
                <w:szCs w:val="13"/>
                <w:color w:val="auto"/>
              </w:rPr>
              <w:t>Chief Executive Officer</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2023 1,150,000</w:t>
            </w:r>
          </w:p>
        </w:tc>
        <w:tc>
          <w:tcPr>
            <w:tcW w:w="120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6,078,268</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2,432,526</w:t>
            </w:r>
          </w:p>
        </w:tc>
        <w:tc>
          <w:tcPr>
            <w:tcW w:w="1060" w:type="dxa"/>
            <w:vAlign w:val="bottom"/>
          </w:tcPr>
          <w:p>
            <w:pPr>
              <w:jc w:val="right"/>
              <w:spacing w:after="0"/>
              <w:rPr>
                <w:sz w:val="20"/>
                <w:szCs w:val="20"/>
                <w:color w:val="auto"/>
              </w:rPr>
            </w:pPr>
            <w:r>
              <w:rPr>
                <w:rFonts w:ascii="Arial" w:cs="Arial" w:eastAsia="Arial" w:hAnsi="Arial"/>
                <w:sz w:val="13"/>
                <w:szCs w:val="13"/>
                <w:color w:val="auto"/>
              </w:rPr>
              <w:t>27,780</w:t>
            </w:r>
          </w:p>
        </w:tc>
        <w:tc>
          <w:tcPr>
            <w:tcW w:w="1080" w:type="dxa"/>
            <w:vAlign w:val="bottom"/>
          </w:tcPr>
          <w:p>
            <w:pPr>
              <w:jc w:val="right"/>
              <w:spacing w:after="0"/>
              <w:rPr>
                <w:sz w:val="20"/>
                <w:szCs w:val="20"/>
                <w:color w:val="auto"/>
              </w:rPr>
            </w:pPr>
            <w:r>
              <w:rPr>
                <w:rFonts w:ascii="Arial" w:cs="Arial" w:eastAsia="Arial" w:hAnsi="Arial"/>
                <w:sz w:val="13"/>
                <w:szCs w:val="13"/>
                <w:color w:val="auto"/>
              </w:rPr>
              <w:t>28,253</w:t>
            </w:r>
          </w:p>
        </w:tc>
        <w:tc>
          <w:tcPr>
            <w:tcW w:w="700" w:type="dxa"/>
            <w:vAlign w:val="bottom"/>
          </w:tcPr>
          <w:p>
            <w:pPr>
              <w:jc w:val="right"/>
              <w:spacing w:after="0"/>
              <w:rPr>
                <w:sz w:val="20"/>
                <w:szCs w:val="20"/>
                <w:color w:val="auto"/>
              </w:rPr>
            </w:pPr>
            <w:r>
              <w:rPr>
                <w:rFonts w:ascii="Arial" w:cs="Arial" w:eastAsia="Arial" w:hAnsi="Arial"/>
                <w:sz w:val="13"/>
                <w:szCs w:val="13"/>
                <w:color w:val="auto"/>
              </w:rPr>
              <w:t>9,716,827</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2022</w:t>
            </w:r>
          </w:p>
        </w:tc>
        <w:tc>
          <w:tcPr>
            <w:tcW w:w="660" w:type="dxa"/>
            <w:vAlign w:val="bottom"/>
          </w:tcPr>
          <w:p>
            <w:pPr>
              <w:jc w:val="right"/>
              <w:spacing w:after="0"/>
              <w:rPr>
                <w:sz w:val="20"/>
                <w:szCs w:val="20"/>
                <w:color w:val="auto"/>
              </w:rPr>
            </w:pPr>
            <w:r>
              <w:rPr>
                <w:rFonts w:ascii="Arial" w:cs="Arial" w:eastAsia="Arial" w:hAnsi="Arial"/>
                <w:sz w:val="13"/>
                <w:szCs w:val="13"/>
                <w:color w:val="auto"/>
              </w:rPr>
              <w:t>1,100,000</w:t>
            </w:r>
          </w:p>
        </w:tc>
        <w:tc>
          <w:tcPr>
            <w:tcW w:w="1200" w:type="dxa"/>
            <w:vAlign w:val="bottom"/>
            <w:gridSpan w:val="2"/>
          </w:tcPr>
          <w:p>
            <w:pPr>
              <w:jc w:val="right"/>
              <w:spacing w:after="0" w:line="216"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2,380,763</w:t>
            </w:r>
          </w:p>
        </w:tc>
        <w:tc>
          <w:tcPr>
            <w:tcW w:w="640" w:type="dxa"/>
            <w:vAlign w:val="bottom"/>
          </w:tcPr>
          <w:p>
            <w:pPr>
              <w:jc w:val="right"/>
              <w:spacing w:after="0"/>
              <w:rPr>
                <w:sz w:val="20"/>
                <w:szCs w:val="20"/>
                <w:color w:val="auto"/>
              </w:rPr>
            </w:pPr>
            <w:r>
              <w:rPr>
                <w:rFonts w:ascii="Arial" w:cs="Arial" w:eastAsia="Arial" w:hAnsi="Arial"/>
                <w:sz w:val="13"/>
                <w:szCs w:val="13"/>
                <w:color w:val="auto"/>
              </w:rPr>
              <w:t>1,835,681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2,769,360</w:t>
            </w:r>
          </w:p>
        </w:tc>
        <w:tc>
          <w:tcPr>
            <w:tcW w:w="1060" w:type="dxa"/>
            <w:vAlign w:val="bottom"/>
          </w:tcPr>
          <w:p>
            <w:pPr>
              <w:jc w:val="right"/>
              <w:spacing w:after="0"/>
              <w:rPr>
                <w:sz w:val="20"/>
                <w:szCs w:val="20"/>
                <w:color w:val="auto"/>
              </w:rPr>
            </w:pPr>
            <w:r>
              <w:rPr>
                <w:rFonts w:ascii="Arial" w:cs="Arial" w:eastAsia="Arial" w:hAnsi="Arial"/>
                <w:sz w:val="13"/>
                <w:szCs w:val="13"/>
                <w:color w:val="auto"/>
              </w:rPr>
              <w:t>17,711</w:t>
            </w:r>
          </w:p>
        </w:tc>
        <w:tc>
          <w:tcPr>
            <w:tcW w:w="1080" w:type="dxa"/>
            <w:vAlign w:val="bottom"/>
          </w:tcPr>
          <w:p>
            <w:pPr>
              <w:jc w:val="right"/>
              <w:spacing w:after="0"/>
              <w:rPr>
                <w:sz w:val="20"/>
                <w:szCs w:val="20"/>
                <w:color w:val="auto"/>
              </w:rPr>
            </w:pPr>
            <w:r>
              <w:rPr>
                <w:rFonts w:ascii="Arial" w:cs="Arial" w:eastAsia="Arial" w:hAnsi="Arial"/>
                <w:sz w:val="13"/>
                <w:szCs w:val="13"/>
                <w:color w:val="auto"/>
              </w:rPr>
              <w:t>26,385</w:t>
            </w:r>
          </w:p>
        </w:tc>
        <w:tc>
          <w:tcPr>
            <w:tcW w:w="700" w:type="dxa"/>
            <w:vAlign w:val="bottom"/>
          </w:tcPr>
          <w:p>
            <w:pPr>
              <w:jc w:val="right"/>
              <w:spacing w:after="0"/>
              <w:rPr>
                <w:sz w:val="20"/>
                <w:szCs w:val="20"/>
                <w:color w:val="auto"/>
              </w:rPr>
            </w:pPr>
            <w:r>
              <w:rPr>
                <w:rFonts w:ascii="Arial" w:cs="Arial" w:eastAsia="Arial" w:hAnsi="Arial"/>
                <w:sz w:val="13"/>
                <w:szCs w:val="13"/>
                <w:color w:val="auto"/>
              </w:rPr>
              <w:t>8,129,900</w:t>
            </w:r>
          </w:p>
        </w:tc>
        <w:tc>
          <w:tcPr>
            <w:tcW w:w="0" w:type="dxa"/>
            <w:vAlign w:val="bottom"/>
          </w:tcPr>
          <w:p>
            <w:pPr>
              <w:spacing w:after="0"/>
              <w:rPr>
                <w:sz w:val="1"/>
                <w:szCs w:val="1"/>
                <w:color w:val="auto"/>
              </w:rPr>
            </w:pPr>
          </w:p>
        </w:tc>
      </w:tr>
      <w:tr>
        <w:trPr>
          <w:trHeight w:val="163"/>
        </w:trPr>
        <w:tc>
          <w:tcPr>
            <w:tcW w:w="1920" w:type="dxa"/>
            <w:vAlign w:val="bottom"/>
            <w:shd w:val="clear" w:color="auto" w:fill="CBECD5"/>
          </w:tcPr>
          <w:p>
            <w:pPr>
              <w:ind w:left="40"/>
              <w:spacing w:after="0"/>
              <w:rPr>
                <w:sz w:val="20"/>
                <w:szCs w:val="20"/>
                <w:color w:val="auto"/>
              </w:rPr>
            </w:pPr>
            <w:r>
              <w:rPr>
                <w:rFonts w:ascii="Arial" w:cs="Arial" w:eastAsia="Arial" w:hAnsi="Arial"/>
                <w:sz w:val="13"/>
                <w:szCs w:val="13"/>
                <w:color w:val="auto"/>
              </w:rPr>
              <w:t>Kenneth Jacobson</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2024</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600,000</w:t>
            </w:r>
          </w:p>
        </w:tc>
        <w:tc>
          <w:tcPr>
            <w:tcW w:w="1200" w:type="dxa"/>
            <w:vAlign w:val="bottom"/>
            <w:gridSpan w:val="2"/>
            <w:shd w:val="clear" w:color="auto" w:fill="CBECD5"/>
          </w:tcPr>
          <w:p>
            <w:pPr>
              <w:jc w:val="right"/>
              <w:spacing w:after="0" w:line="163"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1,408,395</w:t>
            </w:r>
          </w:p>
        </w:tc>
        <w:tc>
          <w:tcPr>
            <w:tcW w:w="640" w:type="dxa"/>
            <w:vAlign w:val="bottom"/>
            <w:shd w:val="clear" w:color="auto" w:fill="CBECD5"/>
          </w:tcPr>
          <w:p>
            <w:pPr>
              <w:spacing w:after="0"/>
              <w:rPr>
                <w:sz w:val="14"/>
                <w:szCs w:val="14"/>
                <w:color w:val="auto"/>
              </w:rPr>
            </w:pP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10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312,000</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39,965</w:t>
            </w:r>
          </w:p>
        </w:tc>
        <w:tc>
          <w:tcPr>
            <w:tcW w:w="10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28,402</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2,388,762</w:t>
            </w:r>
          </w:p>
        </w:tc>
        <w:tc>
          <w:tcPr>
            <w:tcW w:w="0" w:type="dxa"/>
            <w:vAlign w:val="bottom"/>
          </w:tcPr>
          <w:p>
            <w:pPr>
              <w:spacing w:after="0"/>
              <w:rPr>
                <w:sz w:val="1"/>
                <w:szCs w:val="1"/>
                <w:color w:val="auto"/>
              </w:rPr>
            </w:pPr>
          </w:p>
        </w:tc>
      </w:tr>
      <w:tr>
        <w:trPr>
          <w:trHeight w:val="215"/>
        </w:trPr>
        <w:tc>
          <w:tcPr>
            <w:tcW w:w="1920" w:type="dxa"/>
            <w:vAlign w:val="bottom"/>
            <w:shd w:val="clear" w:color="auto" w:fill="CBECD5"/>
          </w:tcPr>
          <w:p>
            <w:pPr>
              <w:ind w:left="40"/>
              <w:spacing w:after="0"/>
              <w:rPr>
                <w:sz w:val="20"/>
                <w:szCs w:val="20"/>
                <w:color w:val="auto"/>
              </w:rPr>
            </w:pPr>
            <w:r>
              <w:rPr>
                <w:rFonts w:ascii="Arial" w:cs="Arial" w:eastAsia="Arial" w:hAnsi="Arial"/>
                <w:sz w:val="13"/>
                <w:szCs w:val="13"/>
                <w:color w:val="auto"/>
              </w:rPr>
              <w:t>Chief Financial Officer</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2023</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482,081</w:t>
            </w:r>
          </w:p>
        </w:tc>
        <w:tc>
          <w:tcPr>
            <w:tcW w:w="1200" w:type="dxa"/>
            <w:vAlign w:val="bottom"/>
            <w:gridSpan w:val="2"/>
            <w:shd w:val="clear" w:color="auto" w:fill="CBECD5"/>
          </w:tcPr>
          <w:p>
            <w:pPr>
              <w:jc w:val="right"/>
              <w:spacing w:after="0" w:line="216"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1,168,888</w:t>
            </w:r>
          </w:p>
        </w:tc>
        <w:tc>
          <w:tcPr>
            <w:tcW w:w="640" w:type="dxa"/>
            <w:vAlign w:val="bottom"/>
            <w:shd w:val="clear" w:color="auto" w:fill="CBECD5"/>
          </w:tcPr>
          <w:p>
            <w:pPr>
              <w:spacing w:after="0"/>
              <w:rPr>
                <w:sz w:val="18"/>
                <w:szCs w:val="18"/>
                <w:color w:val="auto"/>
              </w:rPr>
            </w:pP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10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618,113</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16,493</w:t>
            </w:r>
          </w:p>
        </w:tc>
        <w:tc>
          <w:tcPr>
            <w:tcW w:w="10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26,474</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2,312,049</w:t>
            </w:r>
          </w:p>
        </w:tc>
        <w:tc>
          <w:tcPr>
            <w:tcW w:w="0" w:type="dxa"/>
            <w:vAlign w:val="bottom"/>
          </w:tcPr>
          <w:p>
            <w:pPr>
              <w:spacing w:after="0"/>
              <w:rPr>
                <w:sz w:val="1"/>
                <w:szCs w:val="1"/>
                <w:color w:val="auto"/>
              </w:rPr>
            </w:pPr>
          </w:p>
        </w:tc>
      </w:tr>
      <w:tr>
        <w:trPr>
          <w:trHeight w:val="163"/>
        </w:trPr>
        <w:tc>
          <w:tcPr>
            <w:tcW w:w="1920" w:type="dxa"/>
            <w:vAlign w:val="bottom"/>
          </w:tcPr>
          <w:p>
            <w:pPr>
              <w:ind w:left="40"/>
              <w:spacing w:after="0"/>
              <w:rPr>
                <w:sz w:val="20"/>
                <w:szCs w:val="20"/>
                <w:color w:val="auto"/>
              </w:rPr>
            </w:pPr>
            <w:r>
              <w:rPr>
                <w:rFonts w:ascii="Arial" w:cs="Arial" w:eastAsia="Arial" w:hAnsi="Arial"/>
                <w:sz w:val="13"/>
                <w:szCs w:val="13"/>
                <w:color w:val="auto"/>
              </w:rPr>
              <w:t>Ken E. Arnold</w:t>
            </w:r>
          </w:p>
        </w:tc>
        <w:tc>
          <w:tcPr>
            <w:tcW w:w="380" w:type="dxa"/>
            <w:vAlign w:val="bottom"/>
          </w:tcPr>
          <w:p>
            <w:pPr>
              <w:jc w:val="right"/>
              <w:spacing w:after="0"/>
              <w:rPr>
                <w:sz w:val="20"/>
                <w:szCs w:val="20"/>
                <w:color w:val="auto"/>
              </w:rPr>
            </w:pPr>
            <w:r>
              <w:rPr>
                <w:rFonts w:ascii="Arial" w:cs="Arial" w:eastAsia="Arial" w:hAnsi="Arial"/>
                <w:sz w:val="13"/>
                <w:szCs w:val="13"/>
                <w:color w:val="auto"/>
              </w:rPr>
              <w:t>2024</w:t>
            </w:r>
          </w:p>
        </w:tc>
        <w:tc>
          <w:tcPr>
            <w:tcW w:w="660" w:type="dxa"/>
            <w:vAlign w:val="bottom"/>
          </w:tcPr>
          <w:p>
            <w:pPr>
              <w:jc w:val="right"/>
              <w:spacing w:after="0"/>
              <w:rPr>
                <w:sz w:val="20"/>
                <w:szCs w:val="20"/>
                <w:color w:val="auto"/>
              </w:rPr>
            </w:pPr>
            <w:r>
              <w:rPr>
                <w:rFonts w:ascii="Arial" w:cs="Arial" w:eastAsia="Arial" w:hAnsi="Arial"/>
                <w:sz w:val="13"/>
                <w:szCs w:val="13"/>
                <w:color w:val="auto"/>
              </w:rPr>
              <w:t>560,000</w:t>
            </w:r>
          </w:p>
        </w:tc>
        <w:tc>
          <w:tcPr>
            <w:tcW w:w="1200" w:type="dxa"/>
            <w:vAlign w:val="bottom"/>
            <w:gridSpan w:val="2"/>
          </w:tcPr>
          <w:p>
            <w:pPr>
              <w:jc w:val="right"/>
              <w:spacing w:after="0" w:line="163"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1,126,697</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218.400</w:t>
            </w:r>
          </w:p>
        </w:tc>
        <w:tc>
          <w:tcPr>
            <w:tcW w:w="1060" w:type="dxa"/>
            <w:vAlign w:val="bottom"/>
          </w:tcPr>
          <w:p>
            <w:pPr>
              <w:jc w:val="right"/>
              <w:spacing w:after="0"/>
              <w:rPr>
                <w:sz w:val="20"/>
                <w:szCs w:val="20"/>
                <w:color w:val="auto"/>
              </w:rPr>
            </w:pPr>
            <w:r>
              <w:rPr>
                <w:rFonts w:ascii="Arial" w:cs="Arial" w:eastAsia="Arial" w:hAnsi="Arial"/>
                <w:sz w:val="13"/>
                <w:szCs w:val="13"/>
                <w:color w:val="auto"/>
              </w:rPr>
              <w:t>97,467</w:t>
            </w:r>
          </w:p>
        </w:tc>
        <w:tc>
          <w:tcPr>
            <w:tcW w:w="1080" w:type="dxa"/>
            <w:vAlign w:val="bottom"/>
          </w:tcPr>
          <w:p>
            <w:pPr>
              <w:jc w:val="right"/>
              <w:spacing w:after="0"/>
              <w:rPr>
                <w:sz w:val="20"/>
                <w:szCs w:val="20"/>
                <w:color w:val="auto"/>
              </w:rPr>
            </w:pPr>
            <w:r>
              <w:rPr>
                <w:rFonts w:ascii="Arial" w:cs="Arial" w:eastAsia="Arial" w:hAnsi="Arial"/>
                <w:sz w:val="13"/>
                <w:szCs w:val="13"/>
                <w:color w:val="auto"/>
              </w:rPr>
              <w:t>18,590</w:t>
            </w:r>
          </w:p>
        </w:tc>
        <w:tc>
          <w:tcPr>
            <w:tcW w:w="700" w:type="dxa"/>
            <w:vAlign w:val="bottom"/>
          </w:tcPr>
          <w:p>
            <w:pPr>
              <w:jc w:val="right"/>
              <w:spacing w:after="0"/>
              <w:rPr>
                <w:sz w:val="20"/>
                <w:szCs w:val="20"/>
                <w:color w:val="auto"/>
              </w:rPr>
            </w:pPr>
            <w:r>
              <w:rPr>
                <w:rFonts w:ascii="Arial" w:cs="Arial" w:eastAsia="Arial" w:hAnsi="Arial"/>
                <w:sz w:val="13"/>
                <w:szCs w:val="13"/>
                <w:color w:val="auto"/>
              </w:rPr>
              <w:t>2,021,154</w:t>
            </w:r>
          </w:p>
        </w:tc>
        <w:tc>
          <w:tcPr>
            <w:tcW w:w="0" w:type="dxa"/>
            <w:vAlign w:val="bottom"/>
          </w:tcPr>
          <w:p>
            <w:pPr>
              <w:spacing w:after="0"/>
              <w:rPr>
                <w:sz w:val="1"/>
                <w:szCs w:val="1"/>
                <w:color w:val="auto"/>
              </w:rPr>
            </w:pPr>
          </w:p>
        </w:tc>
      </w:tr>
      <w:tr>
        <w:trPr>
          <w:trHeight w:val="189"/>
        </w:trPr>
        <w:tc>
          <w:tcPr>
            <w:tcW w:w="1920" w:type="dxa"/>
            <w:vAlign w:val="bottom"/>
          </w:tcPr>
          <w:p>
            <w:pPr>
              <w:ind w:left="40"/>
              <w:spacing w:after="0"/>
              <w:rPr>
                <w:sz w:val="20"/>
                <w:szCs w:val="20"/>
                <w:color w:val="auto"/>
              </w:rPr>
            </w:pPr>
            <w:r>
              <w:rPr>
                <w:rFonts w:ascii="Arial" w:cs="Arial" w:eastAsia="Arial" w:hAnsi="Arial"/>
                <w:sz w:val="13"/>
                <w:szCs w:val="13"/>
                <w:color w:val="auto"/>
              </w:rPr>
              <w:t>Chief People Officer</w:t>
            </w:r>
          </w:p>
        </w:tc>
        <w:tc>
          <w:tcPr>
            <w:tcW w:w="380" w:type="dxa"/>
            <w:vAlign w:val="bottom"/>
          </w:tcPr>
          <w:p>
            <w:pPr>
              <w:jc w:val="right"/>
              <w:spacing w:after="0"/>
              <w:rPr>
                <w:sz w:val="20"/>
                <w:szCs w:val="20"/>
                <w:color w:val="auto"/>
              </w:rPr>
            </w:pPr>
            <w:r>
              <w:rPr>
                <w:rFonts w:ascii="Arial" w:cs="Arial" w:eastAsia="Arial" w:hAnsi="Arial"/>
                <w:sz w:val="13"/>
                <w:szCs w:val="13"/>
                <w:color w:val="auto"/>
              </w:rPr>
              <w:t>2023</w:t>
            </w:r>
          </w:p>
        </w:tc>
        <w:tc>
          <w:tcPr>
            <w:tcW w:w="660" w:type="dxa"/>
            <w:vAlign w:val="bottom"/>
          </w:tcPr>
          <w:p>
            <w:pPr>
              <w:jc w:val="right"/>
              <w:spacing w:after="0"/>
              <w:rPr>
                <w:sz w:val="20"/>
                <w:szCs w:val="20"/>
                <w:color w:val="auto"/>
              </w:rPr>
            </w:pPr>
            <w:r>
              <w:rPr>
                <w:rFonts w:ascii="Arial" w:cs="Arial" w:eastAsia="Arial" w:hAnsi="Arial"/>
                <w:sz w:val="13"/>
                <w:szCs w:val="13"/>
                <w:color w:val="auto"/>
              </w:rPr>
              <w:t>525,000</w:t>
            </w:r>
          </w:p>
        </w:tc>
        <w:tc>
          <w:tcPr>
            <w:tcW w:w="580" w:type="dxa"/>
            <w:vAlign w:val="bottom"/>
          </w:tcPr>
          <w:p>
            <w:pPr>
              <w:ind w:left="5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888,362</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555,251</w:t>
            </w:r>
          </w:p>
        </w:tc>
        <w:tc>
          <w:tcPr>
            <w:tcW w:w="1060" w:type="dxa"/>
            <w:vAlign w:val="bottom"/>
          </w:tcPr>
          <w:p>
            <w:pPr>
              <w:jc w:val="right"/>
              <w:spacing w:after="0"/>
              <w:rPr>
                <w:sz w:val="20"/>
                <w:szCs w:val="20"/>
                <w:color w:val="auto"/>
              </w:rPr>
            </w:pPr>
            <w:r>
              <w:rPr>
                <w:rFonts w:ascii="Arial" w:cs="Arial" w:eastAsia="Arial" w:hAnsi="Arial"/>
                <w:sz w:val="13"/>
                <w:szCs w:val="13"/>
                <w:color w:val="auto"/>
              </w:rPr>
              <w:t>77,903</w:t>
            </w:r>
          </w:p>
        </w:tc>
        <w:tc>
          <w:tcPr>
            <w:tcW w:w="1080" w:type="dxa"/>
            <w:vAlign w:val="bottom"/>
          </w:tcPr>
          <w:p>
            <w:pPr>
              <w:jc w:val="right"/>
              <w:spacing w:after="0"/>
              <w:rPr>
                <w:sz w:val="20"/>
                <w:szCs w:val="20"/>
                <w:color w:val="auto"/>
              </w:rPr>
            </w:pPr>
            <w:r>
              <w:rPr>
                <w:rFonts w:ascii="Arial" w:cs="Arial" w:eastAsia="Arial" w:hAnsi="Arial"/>
                <w:sz w:val="13"/>
                <w:szCs w:val="13"/>
                <w:color w:val="auto"/>
              </w:rPr>
              <w:t>19,863</w:t>
            </w:r>
          </w:p>
        </w:tc>
        <w:tc>
          <w:tcPr>
            <w:tcW w:w="700" w:type="dxa"/>
            <w:vAlign w:val="bottom"/>
          </w:tcPr>
          <w:p>
            <w:pPr>
              <w:jc w:val="right"/>
              <w:spacing w:after="0"/>
              <w:rPr>
                <w:sz w:val="20"/>
                <w:szCs w:val="20"/>
                <w:color w:val="auto"/>
              </w:rPr>
            </w:pPr>
            <w:r>
              <w:rPr>
                <w:rFonts w:ascii="Arial" w:cs="Arial" w:eastAsia="Arial" w:hAnsi="Arial"/>
                <w:sz w:val="13"/>
                <w:szCs w:val="13"/>
                <w:color w:val="auto"/>
              </w:rPr>
              <w:t>2,066,379</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2022</w:t>
            </w:r>
          </w:p>
        </w:tc>
        <w:tc>
          <w:tcPr>
            <w:tcW w:w="660" w:type="dxa"/>
            <w:vAlign w:val="bottom"/>
          </w:tcPr>
          <w:p>
            <w:pPr>
              <w:jc w:val="right"/>
              <w:spacing w:after="0"/>
              <w:rPr>
                <w:sz w:val="20"/>
                <w:szCs w:val="20"/>
                <w:color w:val="auto"/>
              </w:rPr>
            </w:pPr>
            <w:r>
              <w:rPr>
                <w:rFonts w:ascii="Arial" w:cs="Arial" w:eastAsia="Arial" w:hAnsi="Arial"/>
                <w:sz w:val="13"/>
                <w:szCs w:val="13"/>
                <w:color w:val="auto"/>
              </w:rPr>
              <w:t>500,000</w:t>
            </w:r>
          </w:p>
        </w:tc>
        <w:tc>
          <w:tcPr>
            <w:tcW w:w="580" w:type="dxa"/>
            <w:vAlign w:val="bottom"/>
          </w:tcPr>
          <w:p>
            <w:pPr>
              <w:ind w:left="5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380,922</w:t>
            </w:r>
          </w:p>
        </w:tc>
        <w:tc>
          <w:tcPr>
            <w:tcW w:w="640" w:type="dxa"/>
            <w:vAlign w:val="bottom"/>
          </w:tcPr>
          <w:p>
            <w:pPr>
              <w:jc w:val="right"/>
              <w:spacing w:after="0"/>
              <w:rPr>
                <w:sz w:val="20"/>
                <w:szCs w:val="20"/>
                <w:color w:val="auto"/>
              </w:rPr>
            </w:pPr>
            <w:r>
              <w:rPr>
                <w:rFonts w:ascii="Arial" w:cs="Arial" w:eastAsia="Arial" w:hAnsi="Arial"/>
                <w:sz w:val="13"/>
                <w:szCs w:val="13"/>
                <w:color w:val="auto"/>
              </w:rPr>
              <w:t>293,706</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587,440</w:t>
            </w:r>
          </w:p>
        </w:tc>
        <w:tc>
          <w:tcPr>
            <w:tcW w:w="1060" w:type="dxa"/>
            <w:vAlign w:val="bottom"/>
          </w:tcPr>
          <w:p>
            <w:pPr>
              <w:jc w:val="right"/>
              <w:spacing w:after="0"/>
              <w:rPr>
                <w:sz w:val="20"/>
                <w:szCs w:val="20"/>
                <w:color w:val="auto"/>
              </w:rPr>
            </w:pPr>
            <w:r>
              <w:rPr>
                <w:rFonts w:ascii="Arial" w:cs="Arial" w:eastAsia="Arial" w:hAnsi="Arial"/>
                <w:sz w:val="13"/>
                <w:szCs w:val="13"/>
                <w:color w:val="auto"/>
              </w:rPr>
              <w:t>34,433</w:t>
            </w:r>
          </w:p>
        </w:tc>
        <w:tc>
          <w:tcPr>
            <w:tcW w:w="1080" w:type="dxa"/>
            <w:vAlign w:val="bottom"/>
          </w:tcPr>
          <w:p>
            <w:pPr>
              <w:jc w:val="right"/>
              <w:spacing w:after="0"/>
              <w:rPr>
                <w:sz w:val="20"/>
                <w:szCs w:val="20"/>
                <w:color w:val="auto"/>
              </w:rPr>
            </w:pPr>
            <w:r>
              <w:rPr>
                <w:rFonts w:ascii="Arial" w:cs="Arial" w:eastAsia="Arial" w:hAnsi="Arial"/>
                <w:sz w:val="13"/>
                <w:szCs w:val="13"/>
                <w:color w:val="auto"/>
              </w:rPr>
              <w:t>18,053</w:t>
            </w:r>
          </w:p>
        </w:tc>
        <w:tc>
          <w:tcPr>
            <w:tcW w:w="700" w:type="dxa"/>
            <w:vAlign w:val="bottom"/>
          </w:tcPr>
          <w:p>
            <w:pPr>
              <w:jc w:val="right"/>
              <w:spacing w:after="0"/>
              <w:rPr>
                <w:sz w:val="20"/>
                <w:szCs w:val="20"/>
                <w:color w:val="auto"/>
              </w:rPr>
            </w:pPr>
            <w:r>
              <w:rPr>
                <w:rFonts w:ascii="Arial" w:cs="Arial" w:eastAsia="Arial" w:hAnsi="Arial"/>
                <w:sz w:val="13"/>
                <w:szCs w:val="13"/>
                <w:color w:val="auto"/>
              </w:rPr>
              <w:t>1,814,554</w:t>
            </w:r>
          </w:p>
        </w:tc>
        <w:tc>
          <w:tcPr>
            <w:tcW w:w="0" w:type="dxa"/>
            <w:vAlign w:val="bottom"/>
          </w:tcPr>
          <w:p>
            <w:pPr>
              <w:spacing w:after="0"/>
              <w:rPr>
                <w:sz w:val="1"/>
                <w:szCs w:val="1"/>
                <w:color w:val="auto"/>
              </w:rPr>
            </w:pPr>
          </w:p>
        </w:tc>
      </w:tr>
      <w:tr>
        <w:trPr>
          <w:trHeight w:val="176"/>
        </w:trPr>
        <w:tc>
          <w:tcPr>
            <w:tcW w:w="1920" w:type="dxa"/>
            <w:vAlign w:val="bottom"/>
            <w:shd w:val="clear" w:color="auto" w:fill="CBECD5"/>
          </w:tcPr>
          <w:p>
            <w:pPr>
              <w:ind w:left="40"/>
              <w:spacing w:after="0" w:line="177" w:lineRule="exact"/>
              <w:rPr>
                <w:sz w:val="20"/>
                <w:szCs w:val="20"/>
                <w:color w:val="auto"/>
              </w:rPr>
            </w:pPr>
            <w:r>
              <w:rPr>
                <w:rFonts w:ascii="Arial" w:cs="Arial" w:eastAsia="Arial" w:hAnsi="Arial"/>
                <w:sz w:val="13"/>
                <w:szCs w:val="13"/>
                <w:color w:val="auto"/>
              </w:rPr>
              <w:t>Max Chan</w:t>
            </w:r>
            <w:r>
              <w:rPr>
                <w:rFonts w:ascii="Arial" w:cs="Arial" w:eastAsia="Arial" w:hAnsi="Arial"/>
                <w:sz w:val="16"/>
                <w:szCs w:val="16"/>
                <w:color w:val="auto"/>
                <w:vertAlign w:val="superscript"/>
              </w:rPr>
              <w:t>(5)</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2024</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550,000</w:t>
            </w:r>
          </w:p>
        </w:tc>
        <w:tc>
          <w:tcPr>
            <w:tcW w:w="580" w:type="dxa"/>
            <w:vAlign w:val="bottom"/>
            <w:shd w:val="clear" w:color="auto" w:fill="CBECD5"/>
          </w:tcPr>
          <w:p>
            <w:pPr>
              <w:ind w:left="5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704,316</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rPr>
                <w:sz w:val="15"/>
                <w:szCs w:val="15"/>
                <w:color w:val="auto"/>
              </w:rPr>
            </w:pPr>
          </w:p>
        </w:tc>
        <w:tc>
          <w:tcPr>
            <w:tcW w:w="10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228,800</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47,332</w:t>
            </w:r>
          </w:p>
        </w:tc>
        <w:tc>
          <w:tcPr>
            <w:tcW w:w="10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22,230</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1,552,678</w:t>
            </w:r>
          </w:p>
        </w:tc>
        <w:tc>
          <w:tcPr>
            <w:tcW w:w="0" w:type="dxa"/>
            <w:vAlign w:val="bottom"/>
          </w:tcPr>
          <w:p>
            <w:pPr>
              <w:spacing w:after="0"/>
              <w:rPr>
                <w:sz w:val="1"/>
                <w:szCs w:val="1"/>
                <w:color w:val="auto"/>
              </w:rPr>
            </w:pPr>
          </w:p>
        </w:tc>
      </w:tr>
      <w:tr>
        <w:trPr>
          <w:trHeight w:val="189"/>
        </w:trPr>
        <w:tc>
          <w:tcPr>
            <w:tcW w:w="1920" w:type="dxa"/>
            <w:vAlign w:val="bottom"/>
            <w:shd w:val="clear" w:color="auto" w:fill="CBECD5"/>
          </w:tcPr>
          <w:p>
            <w:pPr>
              <w:ind w:left="40"/>
              <w:spacing w:after="0"/>
              <w:rPr>
                <w:sz w:val="20"/>
                <w:szCs w:val="20"/>
                <w:color w:val="auto"/>
              </w:rPr>
            </w:pPr>
            <w:r>
              <w:rPr>
                <w:rFonts w:ascii="Arial" w:cs="Arial" w:eastAsia="Arial" w:hAnsi="Arial"/>
                <w:sz w:val="13"/>
                <w:szCs w:val="13"/>
                <w:color w:val="auto"/>
              </w:rPr>
              <w:t>Chief Information Officer</w:t>
            </w: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2023</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500,000</w:t>
            </w:r>
          </w:p>
        </w:tc>
        <w:tc>
          <w:tcPr>
            <w:tcW w:w="580" w:type="dxa"/>
            <w:vAlign w:val="bottom"/>
            <w:shd w:val="clear" w:color="auto" w:fill="CBECD5"/>
          </w:tcPr>
          <w:p>
            <w:pPr>
              <w:ind w:left="5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467,489</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rPr>
                <w:sz w:val="16"/>
                <w:szCs w:val="16"/>
                <w:color w:val="auto"/>
              </w:rPr>
            </w:pPr>
          </w:p>
        </w:tc>
        <w:tc>
          <w:tcPr>
            <w:tcW w:w="10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458,302</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34,491</w:t>
            </w:r>
          </w:p>
        </w:tc>
        <w:tc>
          <w:tcPr>
            <w:tcW w:w="10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29,059</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1,489,341</w:t>
            </w:r>
          </w:p>
        </w:tc>
        <w:tc>
          <w:tcPr>
            <w:tcW w:w="0" w:type="dxa"/>
            <w:vAlign w:val="bottom"/>
          </w:tcPr>
          <w:p>
            <w:pPr>
              <w:spacing w:after="0"/>
              <w:rPr>
                <w:sz w:val="1"/>
                <w:szCs w:val="1"/>
                <w:color w:val="auto"/>
              </w:rPr>
            </w:pPr>
          </w:p>
        </w:tc>
      </w:tr>
      <w:tr>
        <w:trPr>
          <w:trHeight w:val="215"/>
        </w:trPr>
        <w:tc>
          <w:tcPr>
            <w:tcW w:w="1920" w:type="dxa"/>
            <w:vAlign w:val="bottom"/>
            <w:shd w:val="clear" w:color="auto" w:fill="CBECD5"/>
          </w:tcPr>
          <w:p>
            <w:pPr>
              <w:spacing w:after="0"/>
              <w:rPr>
                <w:sz w:val="18"/>
                <w:szCs w:val="18"/>
                <w:color w:val="auto"/>
              </w:rPr>
            </w:pPr>
          </w:p>
        </w:tc>
        <w:tc>
          <w:tcPr>
            <w:tcW w:w="3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2022</w:t>
            </w:r>
          </w:p>
        </w:tc>
        <w:tc>
          <w:tcPr>
            <w:tcW w:w="6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450,000</w:t>
            </w:r>
          </w:p>
        </w:tc>
        <w:tc>
          <w:tcPr>
            <w:tcW w:w="580" w:type="dxa"/>
            <w:vAlign w:val="bottom"/>
            <w:shd w:val="clear" w:color="auto" w:fill="CBECD5"/>
          </w:tcPr>
          <w:p>
            <w:pPr>
              <w:ind w:left="5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226,229</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174,371</w:t>
            </w:r>
          </w:p>
        </w:tc>
        <w:tc>
          <w:tcPr>
            <w:tcW w:w="80" w:type="dxa"/>
            <w:vAlign w:val="bottom"/>
            <w:shd w:val="clear" w:color="auto" w:fill="CBECD5"/>
          </w:tcPr>
          <w:p>
            <w:pPr>
              <w:spacing w:after="0"/>
              <w:rPr>
                <w:sz w:val="18"/>
                <w:szCs w:val="18"/>
                <w:color w:val="auto"/>
              </w:rPr>
            </w:pPr>
          </w:p>
        </w:tc>
        <w:tc>
          <w:tcPr>
            <w:tcW w:w="10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377,640</w:t>
            </w:r>
          </w:p>
        </w:tc>
        <w:tc>
          <w:tcPr>
            <w:tcW w:w="10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7,292</w:t>
            </w:r>
          </w:p>
        </w:tc>
        <w:tc>
          <w:tcPr>
            <w:tcW w:w="10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20,280</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1,255,812</w:t>
            </w:r>
          </w:p>
        </w:tc>
        <w:tc>
          <w:tcPr>
            <w:tcW w:w="0" w:type="dxa"/>
            <w:vAlign w:val="bottom"/>
          </w:tcPr>
          <w:p>
            <w:pPr>
              <w:spacing w:after="0"/>
              <w:rPr>
                <w:sz w:val="1"/>
                <w:szCs w:val="1"/>
                <w:color w:val="auto"/>
              </w:rPr>
            </w:pPr>
          </w:p>
        </w:tc>
      </w:tr>
      <w:tr>
        <w:trPr>
          <w:trHeight w:val="163"/>
        </w:trPr>
        <w:tc>
          <w:tcPr>
            <w:tcW w:w="1920" w:type="dxa"/>
            <w:vAlign w:val="bottom"/>
          </w:tcPr>
          <w:p>
            <w:pPr>
              <w:ind w:left="40"/>
              <w:spacing w:after="0"/>
              <w:rPr>
                <w:sz w:val="20"/>
                <w:szCs w:val="20"/>
                <w:color w:val="auto"/>
              </w:rPr>
            </w:pPr>
            <w:r>
              <w:rPr>
                <w:rFonts w:ascii="Arial" w:cs="Arial" w:eastAsia="Arial" w:hAnsi="Arial"/>
                <w:sz w:val="13"/>
                <w:szCs w:val="13"/>
                <w:color w:val="auto"/>
              </w:rPr>
              <w:t>Michael R. McCoy</w:t>
            </w:r>
          </w:p>
        </w:tc>
        <w:tc>
          <w:tcPr>
            <w:tcW w:w="380" w:type="dxa"/>
            <w:vAlign w:val="bottom"/>
          </w:tcPr>
          <w:p>
            <w:pPr>
              <w:jc w:val="right"/>
              <w:spacing w:after="0"/>
              <w:rPr>
                <w:sz w:val="20"/>
                <w:szCs w:val="20"/>
                <w:color w:val="auto"/>
              </w:rPr>
            </w:pPr>
            <w:r>
              <w:rPr>
                <w:rFonts w:ascii="Arial" w:cs="Arial" w:eastAsia="Arial" w:hAnsi="Arial"/>
                <w:sz w:val="13"/>
                <w:szCs w:val="13"/>
                <w:color w:val="auto"/>
              </w:rPr>
              <w:t>2024</w:t>
            </w:r>
          </w:p>
        </w:tc>
        <w:tc>
          <w:tcPr>
            <w:tcW w:w="660" w:type="dxa"/>
            <w:vAlign w:val="bottom"/>
          </w:tcPr>
          <w:p>
            <w:pPr>
              <w:jc w:val="right"/>
              <w:spacing w:after="0"/>
              <w:rPr>
                <w:sz w:val="20"/>
                <w:szCs w:val="20"/>
                <w:color w:val="auto"/>
              </w:rPr>
            </w:pPr>
            <w:r>
              <w:rPr>
                <w:rFonts w:ascii="Arial" w:cs="Arial" w:eastAsia="Arial" w:hAnsi="Arial"/>
                <w:sz w:val="13"/>
                <w:szCs w:val="13"/>
                <w:color w:val="auto"/>
              </w:rPr>
              <w:t>595,000</w:t>
            </w:r>
          </w:p>
        </w:tc>
        <w:tc>
          <w:tcPr>
            <w:tcW w:w="1200" w:type="dxa"/>
            <w:vAlign w:val="bottom"/>
            <w:gridSpan w:val="2"/>
          </w:tcPr>
          <w:p>
            <w:pPr>
              <w:jc w:val="right"/>
              <w:spacing w:after="0" w:line="163"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1,220,566</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247,520</w:t>
            </w:r>
          </w:p>
        </w:tc>
        <w:tc>
          <w:tcPr>
            <w:tcW w:w="1060" w:type="dxa"/>
            <w:vAlign w:val="bottom"/>
          </w:tcPr>
          <w:p>
            <w:pPr>
              <w:jc w:val="right"/>
              <w:spacing w:after="0"/>
              <w:rPr>
                <w:sz w:val="20"/>
                <w:szCs w:val="20"/>
                <w:color w:val="auto"/>
              </w:rPr>
            </w:pPr>
            <w:r>
              <w:rPr>
                <w:rFonts w:ascii="Arial" w:cs="Arial" w:eastAsia="Arial" w:hAnsi="Arial"/>
                <w:sz w:val="13"/>
                <w:szCs w:val="13"/>
                <w:color w:val="auto"/>
              </w:rPr>
              <w:t>49,273</w:t>
            </w:r>
          </w:p>
        </w:tc>
        <w:tc>
          <w:tcPr>
            <w:tcW w:w="1080" w:type="dxa"/>
            <w:vAlign w:val="bottom"/>
          </w:tcPr>
          <w:p>
            <w:pPr>
              <w:jc w:val="right"/>
              <w:spacing w:after="0"/>
              <w:rPr>
                <w:sz w:val="20"/>
                <w:szCs w:val="20"/>
                <w:color w:val="auto"/>
              </w:rPr>
            </w:pPr>
            <w:r>
              <w:rPr>
                <w:rFonts w:ascii="Arial" w:cs="Arial" w:eastAsia="Arial" w:hAnsi="Arial"/>
                <w:sz w:val="13"/>
                <w:szCs w:val="13"/>
                <w:color w:val="auto"/>
              </w:rPr>
              <w:t>92,479</w:t>
            </w:r>
          </w:p>
        </w:tc>
        <w:tc>
          <w:tcPr>
            <w:tcW w:w="700" w:type="dxa"/>
            <w:vAlign w:val="bottom"/>
          </w:tcPr>
          <w:p>
            <w:pPr>
              <w:jc w:val="right"/>
              <w:spacing w:after="0"/>
              <w:rPr>
                <w:sz w:val="20"/>
                <w:szCs w:val="20"/>
                <w:color w:val="auto"/>
              </w:rPr>
            </w:pPr>
            <w:r>
              <w:rPr>
                <w:rFonts w:ascii="Arial" w:cs="Arial" w:eastAsia="Arial" w:hAnsi="Arial"/>
                <w:sz w:val="13"/>
                <w:szCs w:val="13"/>
                <w:color w:val="auto"/>
              </w:rPr>
              <w:t>2,204,838</w:t>
            </w:r>
          </w:p>
        </w:tc>
        <w:tc>
          <w:tcPr>
            <w:tcW w:w="0" w:type="dxa"/>
            <w:vAlign w:val="bottom"/>
          </w:tcPr>
          <w:p>
            <w:pPr>
              <w:spacing w:after="0"/>
              <w:rPr>
                <w:sz w:val="1"/>
                <w:szCs w:val="1"/>
                <w:color w:val="auto"/>
              </w:rPr>
            </w:pPr>
          </w:p>
        </w:tc>
      </w:tr>
      <w:tr>
        <w:trPr>
          <w:trHeight w:val="203"/>
        </w:trPr>
        <w:tc>
          <w:tcPr>
            <w:tcW w:w="1920" w:type="dxa"/>
            <w:vAlign w:val="bottom"/>
          </w:tcPr>
          <w:p>
            <w:pPr>
              <w:ind w:left="40"/>
              <w:spacing w:after="0"/>
              <w:rPr>
                <w:sz w:val="20"/>
                <w:szCs w:val="20"/>
                <w:color w:val="auto"/>
              </w:rPr>
            </w:pPr>
            <w:r>
              <w:rPr>
                <w:rFonts w:ascii="Arial" w:cs="Arial" w:eastAsia="Arial" w:hAnsi="Arial"/>
                <w:sz w:val="13"/>
                <w:szCs w:val="13"/>
                <w:color w:val="auto"/>
              </w:rPr>
              <w:t>General Counsel and</w:t>
            </w:r>
          </w:p>
        </w:tc>
        <w:tc>
          <w:tcPr>
            <w:tcW w:w="380" w:type="dxa"/>
            <w:vAlign w:val="bottom"/>
          </w:tcPr>
          <w:p>
            <w:pPr>
              <w:jc w:val="right"/>
              <w:spacing w:after="0"/>
              <w:rPr>
                <w:sz w:val="20"/>
                <w:szCs w:val="20"/>
                <w:color w:val="auto"/>
              </w:rPr>
            </w:pPr>
            <w:r>
              <w:rPr>
                <w:rFonts w:ascii="Arial" w:cs="Arial" w:eastAsia="Arial" w:hAnsi="Arial"/>
                <w:sz w:val="13"/>
                <w:szCs w:val="13"/>
                <w:color w:val="auto"/>
              </w:rPr>
              <w:t>2023</w:t>
            </w:r>
          </w:p>
        </w:tc>
        <w:tc>
          <w:tcPr>
            <w:tcW w:w="660" w:type="dxa"/>
            <w:vAlign w:val="bottom"/>
          </w:tcPr>
          <w:p>
            <w:pPr>
              <w:jc w:val="right"/>
              <w:spacing w:after="0"/>
              <w:rPr>
                <w:sz w:val="20"/>
                <w:szCs w:val="20"/>
                <w:color w:val="auto"/>
              </w:rPr>
            </w:pPr>
            <w:r>
              <w:rPr>
                <w:rFonts w:ascii="Arial" w:cs="Arial" w:eastAsia="Arial" w:hAnsi="Arial"/>
                <w:sz w:val="13"/>
                <w:szCs w:val="13"/>
                <w:color w:val="auto"/>
              </w:rPr>
              <w:t>550,000</w:t>
            </w:r>
          </w:p>
        </w:tc>
        <w:tc>
          <w:tcPr>
            <w:tcW w:w="580" w:type="dxa"/>
            <w:vAlign w:val="bottom"/>
          </w:tcPr>
          <w:p>
            <w:pPr>
              <w:ind w:left="5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981,885</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581,691</w:t>
            </w:r>
          </w:p>
        </w:tc>
        <w:tc>
          <w:tcPr>
            <w:tcW w:w="1060" w:type="dxa"/>
            <w:vAlign w:val="bottom"/>
          </w:tcPr>
          <w:p>
            <w:pPr>
              <w:jc w:val="right"/>
              <w:spacing w:after="0"/>
              <w:rPr>
                <w:sz w:val="20"/>
                <w:szCs w:val="20"/>
                <w:color w:val="auto"/>
              </w:rPr>
            </w:pPr>
            <w:r>
              <w:rPr>
                <w:rFonts w:ascii="Arial" w:cs="Arial" w:eastAsia="Arial" w:hAnsi="Arial"/>
                <w:sz w:val="13"/>
                <w:szCs w:val="13"/>
                <w:color w:val="auto"/>
              </w:rPr>
              <w:t>31,956</w:t>
            </w:r>
          </w:p>
        </w:tc>
        <w:tc>
          <w:tcPr>
            <w:tcW w:w="1080" w:type="dxa"/>
            <w:vAlign w:val="bottom"/>
          </w:tcPr>
          <w:p>
            <w:pPr>
              <w:jc w:val="right"/>
              <w:spacing w:after="0"/>
              <w:rPr>
                <w:sz w:val="20"/>
                <w:szCs w:val="20"/>
                <w:color w:val="auto"/>
              </w:rPr>
            </w:pPr>
            <w:r>
              <w:rPr>
                <w:rFonts w:ascii="Arial" w:cs="Arial" w:eastAsia="Arial" w:hAnsi="Arial"/>
                <w:sz w:val="13"/>
                <w:szCs w:val="13"/>
                <w:color w:val="auto"/>
              </w:rPr>
              <w:t>187,613</w:t>
            </w:r>
          </w:p>
        </w:tc>
        <w:tc>
          <w:tcPr>
            <w:tcW w:w="700" w:type="dxa"/>
            <w:vAlign w:val="bottom"/>
          </w:tcPr>
          <w:p>
            <w:pPr>
              <w:jc w:val="right"/>
              <w:spacing w:after="0"/>
              <w:rPr>
                <w:sz w:val="20"/>
                <w:szCs w:val="20"/>
                <w:color w:val="auto"/>
              </w:rPr>
            </w:pPr>
            <w:r>
              <w:rPr>
                <w:rFonts w:ascii="Arial" w:cs="Arial" w:eastAsia="Arial" w:hAnsi="Arial"/>
                <w:sz w:val="13"/>
                <w:szCs w:val="13"/>
                <w:color w:val="auto"/>
              </w:rPr>
              <w:t>2,333,145</w:t>
            </w:r>
          </w:p>
        </w:tc>
        <w:tc>
          <w:tcPr>
            <w:tcW w:w="0" w:type="dxa"/>
            <w:vAlign w:val="bottom"/>
          </w:tcPr>
          <w:p>
            <w:pPr>
              <w:spacing w:after="0"/>
              <w:rPr>
                <w:sz w:val="1"/>
                <w:szCs w:val="1"/>
                <w:color w:val="auto"/>
              </w:rPr>
            </w:pPr>
          </w:p>
        </w:tc>
      </w:tr>
      <w:tr>
        <w:trPr>
          <w:trHeight w:val="217"/>
        </w:trPr>
        <w:tc>
          <w:tcPr>
            <w:tcW w:w="1920" w:type="dxa"/>
            <w:vAlign w:val="bottom"/>
          </w:tcPr>
          <w:p>
            <w:pPr>
              <w:ind w:left="40"/>
              <w:spacing w:after="0"/>
              <w:rPr>
                <w:sz w:val="20"/>
                <w:szCs w:val="20"/>
                <w:color w:val="auto"/>
              </w:rPr>
            </w:pPr>
            <w:r>
              <w:rPr>
                <w:rFonts w:ascii="Arial" w:cs="Arial" w:eastAsia="Arial" w:hAnsi="Arial"/>
                <w:sz w:val="13"/>
                <w:szCs w:val="13"/>
                <w:color w:val="auto"/>
              </w:rPr>
              <w:t>Chief Legal Officer</w:t>
            </w:r>
          </w:p>
        </w:tc>
        <w:tc>
          <w:tcPr>
            <w:tcW w:w="380" w:type="dxa"/>
            <w:vAlign w:val="bottom"/>
          </w:tcPr>
          <w:p>
            <w:pPr>
              <w:jc w:val="right"/>
              <w:spacing w:after="0"/>
              <w:rPr>
                <w:sz w:val="20"/>
                <w:szCs w:val="20"/>
                <w:color w:val="auto"/>
              </w:rPr>
            </w:pPr>
            <w:r>
              <w:rPr>
                <w:rFonts w:ascii="Arial" w:cs="Arial" w:eastAsia="Arial" w:hAnsi="Arial"/>
                <w:sz w:val="13"/>
                <w:szCs w:val="13"/>
                <w:color w:val="auto"/>
              </w:rPr>
              <w:t>2022</w:t>
            </w:r>
          </w:p>
        </w:tc>
        <w:tc>
          <w:tcPr>
            <w:tcW w:w="660" w:type="dxa"/>
            <w:vAlign w:val="bottom"/>
          </w:tcPr>
          <w:p>
            <w:pPr>
              <w:jc w:val="right"/>
              <w:spacing w:after="0"/>
              <w:rPr>
                <w:sz w:val="20"/>
                <w:szCs w:val="20"/>
                <w:color w:val="auto"/>
              </w:rPr>
            </w:pPr>
            <w:r>
              <w:rPr>
                <w:rFonts w:ascii="Arial" w:cs="Arial" w:eastAsia="Arial" w:hAnsi="Arial"/>
                <w:sz w:val="13"/>
                <w:szCs w:val="13"/>
                <w:color w:val="auto"/>
              </w:rPr>
              <w:t>500,000</w:t>
            </w:r>
          </w:p>
        </w:tc>
        <w:tc>
          <w:tcPr>
            <w:tcW w:w="580" w:type="dxa"/>
            <w:vAlign w:val="bottom"/>
          </w:tcPr>
          <w:p>
            <w:pPr>
              <w:ind w:left="5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392,845</w:t>
            </w:r>
          </w:p>
        </w:tc>
        <w:tc>
          <w:tcPr>
            <w:tcW w:w="640" w:type="dxa"/>
            <w:vAlign w:val="bottom"/>
          </w:tcPr>
          <w:p>
            <w:pPr>
              <w:jc w:val="right"/>
              <w:spacing w:after="0"/>
              <w:rPr>
                <w:sz w:val="20"/>
                <w:szCs w:val="20"/>
                <w:color w:val="auto"/>
              </w:rPr>
            </w:pPr>
            <w:r>
              <w:rPr>
                <w:rFonts w:ascii="Arial" w:cs="Arial" w:eastAsia="Arial" w:hAnsi="Arial"/>
                <w:sz w:val="13"/>
                <w:szCs w:val="13"/>
                <w:color w:val="auto"/>
              </w:rPr>
              <w:t>302,891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587,440</w:t>
            </w:r>
          </w:p>
        </w:tc>
        <w:tc>
          <w:tcPr>
            <w:tcW w:w="1060" w:type="dxa"/>
            <w:vAlign w:val="bottom"/>
          </w:tcPr>
          <w:p>
            <w:pPr>
              <w:jc w:val="right"/>
              <w:spacing w:after="0"/>
              <w:rPr>
                <w:sz w:val="20"/>
                <w:szCs w:val="20"/>
                <w:color w:val="auto"/>
              </w:rPr>
            </w:pPr>
            <w:r>
              <w:rPr>
                <w:rFonts w:ascii="Arial" w:cs="Arial" w:eastAsia="Arial" w:hAnsi="Arial"/>
                <w:sz w:val="13"/>
                <w:szCs w:val="13"/>
                <w:color w:val="auto"/>
              </w:rPr>
              <w:t>19,483</w:t>
            </w:r>
          </w:p>
        </w:tc>
        <w:tc>
          <w:tcPr>
            <w:tcW w:w="1080" w:type="dxa"/>
            <w:vAlign w:val="bottom"/>
          </w:tcPr>
          <w:p>
            <w:pPr>
              <w:jc w:val="right"/>
              <w:spacing w:after="0"/>
              <w:rPr>
                <w:sz w:val="20"/>
                <w:szCs w:val="20"/>
                <w:color w:val="auto"/>
              </w:rPr>
            </w:pPr>
            <w:r>
              <w:rPr>
                <w:rFonts w:ascii="Arial" w:cs="Arial" w:eastAsia="Arial" w:hAnsi="Arial"/>
                <w:sz w:val="13"/>
                <w:szCs w:val="13"/>
                <w:color w:val="auto"/>
              </w:rPr>
              <w:t>202,270</w:t>
            </w:r>
          </w:p>
        </w:tc>
        <w:tc>
          <w:tcPr>
            <w:tcW w:w="700" w:type="dxa"/>
            <w:vAlign w:val="bottom"/>
          </w:tcPr>
          <w:p>
            <w:pPr>
              <w:jc w:val="right"/>
              <w:spacing w:after="0"/>
              <w:rPr>
                <w:sz w:val="20"/>
                <w:szCs w:val="20"/>
                <w:color w:val="auto"/>
              </w:rPr>
            </w:pPr>
            <w:r>
              <w:rPr>
                <w:rFonts w:ascii="Arial" w:cs="Arial" w:eastAsia="Arial" w:hAnsi="Arial"/>
                <w:sz w:val="13"/>
                <w:szCs w:val="13"/>
                <w:color w:val="auto"/>
              </w:rPr>
              <w:t>2,004,929</w:t>
            </w:r>
          </w:p>
        </w:tc>
        <w:tc>
          <w:tcPr>
            <w:tcW w:w="0" w:type="dxa"/>
            <w:vAlign w:val="bottom"/>
          </w:tcPr>
          <w:p>
            <w:pPr>
              <w:spacing w:after="0"/>
              <w:rPr>
                <w:sz w:val="1"/>
                <w:szCs w:val="1"/>
                <w:color w:val="auto"/>
              </w:rPr>
            </w:pPr>
          </w:p>
        </w:tc>
      </w:tr>
      <w:tr>
        <w:trPr>
          <w:trHeight w:val="46"/>
        </w:trPr>
        <w:tc>
          <w:tcPr>
            <w:tcW w:w="1920" w:type="dxa"/>
            <w:vAlign w:val="bottom"/>
            <w:tcBorders>
              <w:bottom w:val="single" w:sz="8" w:color="53C072"/>
            </w:tcBorders>
          </w:tcPr>
          <w:p>
            <w:pPr>
              <w:spacing w:after="0"/>
              <w:rPr>
                <w:sz w:val="4"/>
                <w:szCs w:val="4"/>
                <w:color w:val="auto"/>
              </w:rPr>
            </w:pPr>
          </w:p>
        </w:tc>
        <w:tc>
          <w:tcPr>
            <w:tcW w:w="380" w:type="dxa"/>
            <w:vAlign w:val="bottom"/>
            <w:tcBorders>
              <w:bottom w:val="single" w:sz="8" w:color="53C072"/>
            </w:tcBorders>
          </w:tcPr>
          <w:p>
            <w:pPr>
              <w:spacing w:after="0"/>
              <w:rPr>
                <w:sz w:val="4"/>
                <w:szCs w:val="4"/>
                <w:color w:val="auto"/>
              </w:rPr>
            </w:pPr>
          </w:p>
        </w:tc>
        <w:tc>
          <w:tcPr>
            <w:tcW w:w="660" w:type="dxa"/>
            <w:vAlign w:val="bottom"/>
            <w:tcBorders>
              <w:bottom w:val="single" w:sz="8" w:color="53C072"/>
            </w:tcBorders>
          </w:tcPr>
          <w:p>
            <w:pPr>
              <w:spacing w:after="0"/>
              <w:rPr>
                <w:sz w:val="4"/>
                <w:szCs w:val="4"/>
                <w:color w:val="auto"/>
              </w:rPr>
            </w:pPr>
          </w:p>
        </w:tc>
        <w:tc>
          <w:tcPr>
            <w:tcW w:w="580" w:type="dxa"/>
            <w:vAlign w:val="bottom"/>
            <w:tcBorders>
              <w:bottom w:val="single" w:sz="8" w:color="53C072"/>
            </w:tcBorders>
          </w:tcPr>
          <w:p>
            <w:pPr>
              <w:spacing w:after="0"/>
              <w:rPr>
                <w:sz w:val="4"/>
                <w:szCs w:val="4"/>
                <w:color w:val="auto"/>
              </w:rPr>
            </w:pPr>
          </w:p>
        </w:tc>
        <w:tc>
          <w:tcPr>
            <w:tcW w:w="620" w:type="dxa"/>
            <w:vAlign w:val="bottom"/>
            <w:tcBorders>
              <w:bottom w:val="single" w:sz="8" w:color="53C072"/>
            </w:tcBorders>
          </w:tcPr>
          <w:p>
            <w:pPr>
              <w:spacing w:after="0"/>
              <w:rPr>
                <w:sz w:val="4"/>
                <w:szCs w:val="4"/>
                <w:color w:val="auto"/>
              </w:rPr>
            </w:pPr>
          </w:p>
        </w:tc>
        <w:tc>
          <w:tcPr>
            <w:tcW w:w="640" w:type="dxa"/>
            <w:vAlign w:val="bottom"/>
            <w:tcBorders>
              <w:bottom w:val="single" w:sz="8" w:color="53C072"/>
            </w:tcBorders>
          </w:tcPr>
          <w:p>
            <w:pPr>
              <w:spacing w:after="0"/>
              <w:rPr>
                <w:sz w:val="4"/>
                <w:szCs w:val="4"/>
                <w:color w:val="auto"/>
              </w:rPr>
            </w:pPr>
          </w:p>
        </w:tc>
        <w:tc>
          <w:tcPr>
            <w:tcW w:w="80" w:type="dxa"/>
            <w:vAlign w:val="bottom"/>
            <w:tcBorders>
              <w:bottom w:val="single" w:sz="8" w:color="53C072"/>
            </w:tcBorders>
          </w:tcPr>
          <w:p>
            <w:pPr>
              <w:spacing w:after="0"/>
              <w:rPr>
                <w:sz w:val="4"/>
                <w:szCs w:val="4"/>
                <w:color w:val="auto"/>
              </w:rPr>
            </w:pPr>
          </w:p>
        </w:tc>
        <w:tc>
          <w:tcPr>
            <w:tcW w:w="1040" w:type="dxa"/>
            <w:vAlign w:val="bottom"/>
            <w:tcBorders>
              <w:bottom w:val="single" w:sz="8" w:color="53C072"/>
            </w:tcBorders>
          </w:tcPr>
          <w:p>
            <w:pPr>
              <w:spacing w:after="0"/>
              <w:rPr>
                <w:sz w:val="4"/>
                <w:szCs w:val="4"/>
                <w:color w:val="auto"/>
              </w:rPr>
            </w:pPr>
          </w:p>
        </w:tc>
        <w:tc>
          <w:tcPr>
            <w:tcW w:w="1060" w:type="dxa"/>
            <w:vAlign w:val="bottom"/>
            <w:tcBorders>
              <w:bottom w:val="single" w:sz="8" w:color="53C072"/>
            </w:tcBorders>
          </w:tcPr>
          <w:p>
            <w:pPr>
              <w:spacing w:after="0"/>
              <w:rPr>
                <w:sz w:val="4"/>
                <w:szCs w:val="4"/>
                <w:color w:val="auto"/>
              </w:rPr>
            </w:pPr>
          </w:p>
        </w:tc>
        <w:tc>
          <w:tcPr>
            <w:tcW w:w="1080" w:type="dxa"/>
            <w:vAlign w:val="bottom"/>
            <w:tcBorders>
              <w:bottom w:val="single" w:sz="8" w:color="53C072"/>
            </w:tcBorders>
          </w:tcPr>
          <w:p>
            <w:pPr>
              <w:spacing w:after="0"/>
              <w:rPr>
                <w:sz w:val="4"/>
                <w:szCs w:val="4"/>
                <w:color w:val="auto"/>
              </w:rPr>
            </w:pPr>
          </w:p>
        </w:tc>
        <w:tc>
          <w:tcPr>
            <w:tcW w:w="700" w:type="dxa"/>
            <w:vAlign w:val="bottom"/>
            <w:tcBorders>
              <w:bottom w:val="single" w:sz="8" w:color="53C072"/>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80" w:right="159" w:hanging="718"/>
        <w:spacing w:after="0" w:line="270" w:lineRule="auto"/>
        <w:tabs>
          <w:tab w:leader="none" w:pos="1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Amounts reflect the grant date fair value of awards of RSUs and PSUs, computed in accordance with FASB ASC Topic 718, excluding the effect of estimated forfeitures and dividends expected to be paid during the vesting period. The grant date fair value of RSUs awarded to each NEO in fiscal 2024 is as follows: Mr. Gallagher — $3,328,996; Mr. Jacobson — $713,288; Mr. Arnold — $570,593; Mr. Chan —  $356,739; and Mr. McCoy — $618,158. With respect to PSUs, both the grant date fair value and the compensation cost were computed based upon the target outcome of the performance conditions as of the grant date. Assuming the target performance is achieved for PSUs awarded in fiscal 2024, the grant date fair value of the PSUs awarded to each NEO is as follows: Mr. Gallagher — $3,243,834; Mr. Jacobson — $695,107; Mr. Arnold — $556,104; Mr. Chan —  $347,577; and Mr. McCoy —  $602,408. Assuming the maximum payout of PSUs granted in fiscal 2024 is achieved, the grant date fair value for each NEO would be as follows: Mr. Gallagher —  $6,487,667; Mr. Jacobson —  $1,390,214; Mr. Arnold — $1,112,209; Mr. Chan — $695,154; and Mr. McCoy — $1,204,815.</w:t>
      </w:r>
    </w:p>
    <w:p>
      <w:pPr>
        <w:spacing w:after="0" w:line="74" w:lineRule="exact"/>
        <w:rPr>
          <w:rFonts w:ascii="Arial" w:cs="Arial" w:eastAsia="Arial" w:hAnsi="Arial"/>
          <w:sz w:val="17"/>
          <w:szCs w:val="17"/>
          <w:color w:val="auto"/>
        </w:rPr>
      </w:pPr>
    </w:p>
    <w:p>
      <w:pPr>
        <w:ind w:left="1780" w:right="179" w:hanging="718"/>
        <w:spacing w:after="0" w:line="259" w:lineRule="auto"/>
        <w:tabs>
          <w:tab w:leader="none" w:pos="1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were no stock options granted during fiscal years 2024 and 2023. For fiscal year 2022, the amounts reflect the grant date fair values for stock option awards calculated using the Black-Scholes option pricing model. The amounts included in these columns relate to awards made in the fiscal year and reflect the aggregate grant date fair value computed in accordance with FASB ASC Topic 718 and do not correspond to the actual amounts that will be realized by the NEOs.</w:t>
      </w:r>
    </w:p>
    <w:p>
      <w:pPr>
        <w:spacing w:after="0" w:line="84" w:lineRule="exact"/>
        <w:rPr>
          <w:rFonts w:ascii="Arial" w:cs="Arial" w:eastAsia="Arial" w:hAnsi="Arial"/>
          <w:sz w:val="18"/>
          <w:szCs w:val="18"/>
          <w:color w:val="auto"/>
        </w:rPr>
      </w:pPr>
    </w:p>
    <w:p>
      <w:pPr>
        <w:ind w:left="1780" w:right="199" w:hanging="718"/>
        <w:spacing w:after="0" w:line="259" w:lineRule="auto"/>
        <w:tabs>
          <w:tab w:leader="none" w:pos="1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include the net changes in the actuarial present value of accumulated benefits under the Company’s qualified and nonqualified retirement plans. For fiscal year 2024, the increase in the actuarial present value of accumulated benefits under the Company’s qualified plan was as follows: Mr. Gallagher — $34,126; Mr. Jacobson — $13,697; Mr. Arnold — $40,980; Mr. Chan — $17,515; and Mr. McCoy — $16,302. For fiscal year 2024, the increase in the actuarial present value</w:t>
      </w:r>
    </w:p>
    <w:p>
      <w:pPr>
        <w:spacing w:after="0" w:line="11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820" w:type="dxa"/>
            <w:vAlign w:val="bottom"/>
            <w:vMerge w:val="restart"/>
          </w:tcPr>
          <w:p>
            <w:pPr>
              <w:ind w:left="2580"/>
              <w:spacing w:after="0"/>
              <w:rPr>
                <w:sz w:val="20"/>
                <w:szCs w:val="20"/>
                <w:color w:val="auto"/>
              </w:rPr>
            </w:pPr>
            <w:r>
              <w:rPr>
                <w:rFonts w:ascii="Arial" w:cs="Arial" w:eastAsia="Arial" w:hAnsi="Arial"/>
                <w:sz w:val="14"/>
                <w:szCs w:val="14"/>
                <w:color w:val="auto"/>
                <w:w w:val="99"/>
              </w:rPr>
              <w:t>Compensation of Executive Officers</w:t>
            </w:r>
          </w:p>
        </w:tc>
        <w:tc>
          <w:tcPr>
            <w:tcW w:w="0" w:type="dxa"/>
            <w:vAlign w:val="bottom"/>
          </w:tcPr>
          <w:p>
            <w:pPr>
              <w:spacing w:after="0"/>
              <w:rPr>
                <w:sz w:val="1"/>
                <w:szCs w:val="1"/>
                <w:color w:val="auto"/>
              </w:rPr>
            </w:pPr>
          </w:p>
        </w:tc>
      </w:tr>
      <w:tr>
        <w:trPr>
          <w:trHeight w:val="88"/>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of accumulated benefits under the Company’s nonqualified retirement plans was as follows:</w:t>
      </w:r>
    </w:p>
    <w:p>
      <w:pPr>
        <w:spacing w:after="0" w:line="27" w:lineRule="exact"/>
        <w:rPr>
          <w:sz w:val="20"/>
          <w:szCs w:val="20"/>
          <w:color w:val="auto"/>
        </w:rPr>
      </w:pPr>
    </w:p>
    <w:p>
      <w:pPr>
        <w:ind w:left="1780" w:right="359"/>
        <w:spacing w:after="0" w:line="255" w:lineRule="auto"/>
        <w:rPr>
          <w:sz w:val="20"/>
          <w:szCs w:val="20"/>
          <w:color w:val="auto"/>
        </w:rPr>
      </w:pPr>
      <w:r>
        <w:rPr>
          <w:rFonts w:ascii="Arial" w:cs="Arial" w:eastAsia="Arial" w:hAnsi="Arial"/>
          <w:sz w:val="18"/>
          <w:szCs w:val="18"/>
          <w:color w:val="auto"/>
        </w:rPr>
        <w:t>Mr. Jacobson — $26,268; Mr. Arnold — $56,487; Mr. Chan — $29,817; and Mr. McCoy — $32,971. Because Mr. Gallagher was a participant in the SERP, he is not also a participant in the Company’s nonqualified retirement plan. Mr. Gallagher received his final benefit payment under the SERP in fiscal year 2023.</w:t>
      </w:r>
    </w:p>
    <w:p>
      <w:pPr>
        <w:spacing w:after="0" w:line="101" w:lineRule="exact"/>
        <w:rPr>
          <w:sz w:val="20"/>
          <w:szCs w:val="20"/>
          <w:color w:val="auto"/>
        </w:rPr>
      </w:pPr>
    </w:p>
    <w:p>
      <w:pPr>
        <w:ind w:left="1780" w:right="219" w:hanging="718"/>
        <w:spacing w:after="0" w:line="257" w:lineRule="auto"/>
        <w:tabs>
          <w:tab w:leader="none" w:pos="1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include (a) expenses associated with the Company’s automobile program for each of the NEOs, and (b) the cost of annual physical exams. For Mr. McCoy, the amount for fiscal year 2024 includes $68,685 for tax equalization relating to his 2020 and 2021 tax returns in connection with his temporary assignment in Belgium. For Mr. Gallagher, the amount for fiscal year 2024 includes $31,273 for auto related expenses. None of the perquisites and personal benefits for the other NEOs exceeded the greater of $25,000 or 10% of the total amount of their benefits.</w:t>
      </w:r>
    </w:p>
    <w:p>
      <w:pPr>
        <w:spacing w:after="0" w:line="87" w:lineRule="exact"/>
        <w:rPr>
          <w:rFonts w:ascii="Arial" w:cs="Arial" w:eastAsia="Arial" w:hAnsi="Arial"/>
          <w:sz w:val="18"/>
          <w:szCs w:val="18"/>
          <w:color w:val="auto"/>
        </w:rPr>
      </w:pPr>
    </w:p>
    <w:p>
      <w:pPr>
        <w:ind w:left="1780" w:right="259" w:hanging="718"/>
        <w:spacing w:after="0" w:line="287" w:lineRule="auto"/>
        <w:tabs>
          <w:tab w:leader="none" w:pos="1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included Mr. Chan’s compensation for all three fiscal years in the above table, even though he was not an NEO in fiscal year 2023.</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EQUITY COMPENSATION PLAN INFORMATION</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sets forth certain equity compensation plan information as of June 29, 2024:</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193"/>
        </w:trPr>
        <w:tc>
          <w:tcPr>
            <w:tcW w:w="4540" w:type="dxa"/>
            <w:vAlign w:val="bottom"/>
            <w:shd w:val="clear" w:color="auto" w:fill="53C072"/>
          </w:tcPr>
          <w:p>
            <w:pPr>
              <w:spacing w:after="0"/>
              <w:rPr>
                <w:sz w:val="16"/>
                <w:szCs w:val="16"/>
                <w:color w:val="auto"/>
              </w:rPr>
            </w:pPr>
          </w:p>
        </w:tc>
        <w:tc>
          <w:tcPr>
            <w:tcW w:w="156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Number of</w:t>
            </w:r>
          </w:p>
        </w:tc>
        <w:tc>
          <w:tcPr>
            <w:tcW w:w="1360" w:type="dxa"/>
            <w:vAlign w:val="bottom"/>
            <w:shd w:val="clear" w:color="auto" w:fill="53C072"/>
          </w:tcPr>
          <w:p>
            <w:pPr>
              <w:spacing w:after="0"/>
              <w:rPr>
                <w:sz w:val="16"/>
                <w:szCs w:val="16"/>
                <w:color w:val="auto"/>
              </w:rPr>
            </w:pPr>
          </w:p>
        </w:tc>
        <w:tc>
          <w:tcPr>
            <w:tcW w:w="1300" w:type="dxa"/>
            <w:vAlign w:val="bottom"/>
            <w:shd w:val="clear" w:color="auto" w:fill="53C072"/>
          </w:tcPr>
          <w:p>
            <w:pPr>
              <w:spacing w:after="0"/>
              <w:rPr>
                <w:sz w:val="16"/>
                <w:szCs w:val="16"/>
                <w:color w:val="auto"/>
              </w:rPr>
            </w:pPr>
          </w:p>
        </w:tc>
      </w:tr>
      <w:tr>
        <w:trPr>
          <w:trHeight w:val="162"/>
        </w:trPr>
        <w:tc>
          <w:tcPr>
            <w:tcW w:w="4540" w:type="dxa"/>
            <w:vAlign w:val="bottom"/>
            <w:shd w:val="clear" w:color="auto" w:fill="53C072"/>
          </w:tcPr>
          <w:p>
            <w:pPr>
              <w:spacing w:after="0"/>
              <w:rPr>
                <w:sz w:val="14"/>
                <w:szCs w:val="14"/>
                <w:color w:val="auto"/>
              </w:rPr>
            </w:pPr>
          </w:p>
        </w:tc>
        <w:tc>
          <w:tcPr>
            <w:tcW w:w="156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Securities</w:t>
            </w:r>
          </w:p>
        </w:tc>
        <w:tc>
          <w:tcPr>
            <w:tcW w:w="1360" w:type="dxa"/>
            <w:vAlign w:val="bottom"/>
            <w:shd w:val="clear" w:color="auto" w:fill="53C072"/>
          </w:tcPr>
          <w:p>
            <w:pPr>
              <w:spacing w:after="0"/>
              <w:rPr>
                <w:sz w:val="14"/>
                <w:szCs w:val="14"/>
                <w:color w:val="auto"/>
              </w:rPr>
            </w:pP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Number of</w:t>
            </w:r>
          </w:p>
        </w:tc>
      </w:tr>
      <w:tr>
        <w:trPr>
          <w:trHeight w:val="162"/>
        </w:trPr>
        <w:tc>
          <w:tcPr>
            <w:tcW w:w="4540" w:type="dxa"/>
            <w:vAlign w:val="bottom"/>
            <w:shd w:val="clear" w:color="auto" w:fill="53C072"/>
          </w:tcPr>
          <w:p>
            <w:pPr>
              <w:spacing w:after="0"/>
              <w:rPr>
                <w:sz w:val="14"/>
                <w:szCs w:val="14"/>
                <w:color w:val="auto"/>
              </w:rPr>
            </w:pPr>
          </w:p>
        </w:tc>
        <w:tc>
          <w:tcPr>
            <w:tcW w:w="156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to be Issued</w:t>
            </w:r>
          </w:p>
        </w:tc>
        <w:tc>
          <w:tcPr>
            <w:tcW w:w="1360" w:type="dxa"/>
            <w:vAlign w:val="bottom"/>
            <w:shd w:val="clear" w:color="auto" w:fill="53C072"/>
          </w:tcPr>
          <w:p>
            <w:pPr>
              <w:jc w:val="right"/>
              <w:ind w:right="126"/>
              <w:spacing w:after="0"/>
              <w:rPr>
                <w:sz w:val="20"/>
                <w:szCs w:val="20"/>
                <w:color w:val="auto"/>
              </w:rPr>
            </w:pPr>
            <w:r>
              <w:rPr>
                <w:rFonts w:ascii="Arial" w:cs="Arial" w:eastAsia="Arial" w:hAnsi="Arial"/>
                <w:sz w:val="14"/>
                <w:szCs w:val="14"/>
                <w:b w:val="1"/>
                <w:bCs w:val="1"/>
                <w:color w:val="FEFEFE"/>
              </w:rPr>
              <w:t>Weighted-</w:t>
            </w: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Securities</w:t>
            </w:r>
          </w:p>
        </w:tc>
      </w:tr>
      <w:tr>
        <w:trPr>
          <w:trHeight w:val="162"/>
        </w:trPr>
        <w:tc>
          <w:tcPr>
            <w:tcW w:w="4540" w:type="dxa"/>
            <w:vAlign w:val="bottom"/>
            <w:shd w:val="clear" w:color="auto" w:fill="53C072"/>
          </w:tcPr>
          <w:p>
            <w:pPr>
              <w:spacing w:after="0"/>
              <w:rPr>
                <w:sz w:val="14"/>
                <w:szCs w:val="14"/>
                <w:color w:val="auto"/>
              </w:rPr>
            </w:pPr>
          </w:p>
        </w:tc>
        <w:tc>
          <w:tcPr>
            <w:tcW w:w="156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Upon</w:t>
            </w:r>
          </w:p>
        </w:tc>
        <w:tc>
          <w:tcPr>
            <w:tcW w:w="1360" w:type="dxa"/>
            <w:vAlign w:val="bottom"/>
            <w:shd w:val="clear" w:color="auto" w:fill="53C072"/>
          </w:tcPr>
          <w:p>
            <w:pPr>
              <w:jc w:val="right"/>
              <w:ind w:right="126"/>
              <w:spacing w:after="0"/>
              <w:rPr>
                <w:sz w:val="20"/>
                <w:szCs w:val="20"/>
                <w:color w:val="auto"/>
              </w:rPr>
            </w:pPr>
            <w:r>
              <w:rPr>
                <w:rFonts w:ascii="Arial" w:cs="Arial" w:eastAsia="Arial" w:hAnsi="Arial"/>
                <w:sz w:val="14"/>
                <w:szCs w:val="14"/>
                <w:b w:val="1"/>
                <w:bCs w:val="1"/>
                <w:color w:val="FEFEFE"/>
              </w:rPr>
              <w:t>Average</w:t>
            </w: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Remaining</w:t>
            </w:r>
          </w:p>
        </w:tc>
      </w:tr>
      <w:tr>
        <w:trPr>
          <w:trHeight w:val="162"/>
        </w:trPr>
        <w:tc>
          <w:tcPr>
            <w:tcW w:w="4540" w:type="dxa"/>
            <w:vAlign w:val="bottom"/>
            <w:shd w:val="clear" w:color="auto" w:fill="53C072"/>
          </w:tcPr>
          <w:p>
            <w:pPr>
              <w:spacing w:after="0"/>
              <w:rPr>
                <w:sz w:val="14"/>
                <w:szCs w:val="14"/>
                <w:color w:val="auto"/>
              </w:rPr>
            </w:pPr>
          </w:p>
        </w:tc>
        <w:tc>
          <w:tcPr>
            <w:tcW w:w="156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Exercise of</w:t>
            </w:r>
          </w:p>
        </w:tc>
        <w:tc>
          <w:tcPr>
            <w:tcW w:w="1360" w:type="dxa"/>
            <w:vAlign w:val="bottom"/>
            <w:shd w:val="clear" w:color="auto" w:fill="53C072"/>
          </w:tcPr>
          <w:p>
            <w:pPr>
              <w:jc w:val="right"/>
              <w:ind w:right="126"/>
              <w:spacing w:after="0"/>
              <w:rPr>
                <w:sz w:val="20"/>
                <w:szCs w:val="20"/>
                <w:color w:val="auto"/>
              </w:rPr>
            </w:pPr>
            <w:r>
              <w:rPr>
                <w:rFonts w:ascii="Arial" w:cs="Arial" w:eastAsia="Arial" w:hAnsi="Arial"/>
                <w:sz w:val="14"/>
                <w:szCs w:val="14"/>
                <w:b w:val="1"/>
                <w:bCs w:val="1"/>
                <w:color w:val="FEFEFE"/>
              </w:rPr>
              <w:t>Exercise Price of</w:t>
            </w: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Available for</w:t>
            </w:r>
          </w:p>
        </w:tc>
      </w:tr>
      <w:tr>
        <w:trPr>
          <w:trHeight w:val="162"/>
        </w:trPr>
        <w:tc>
          <w:tcPr>
            <w:tcW w:w="4540" w:type="dxa"/>
            <w:vAlign w:val="bottom"/>
            <w:shd w:val="clear" w:color="auto" w:fill="53C072"/>
          </w:tcPr>
          <w:p>
            <w:pPr>
              <w:spacing w:after="0"/>
              <w:rPr>
                <w:sz w:val="14"/>
                <w:szCs w:val="14"/>
                <w:color w:val="auto"/>
              </w:rPr>
            </w:pPr>
          </w:p>
        </w:tc>
        <w:tc>
          <w:tcPr>
            <w:tcW w:w="156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Outstanding</w:t>
            </w:r>
          </w:p>
        </w:tc>
        <w:tc>
          <w:tcPr>
            <w:tcW w:w="1360" w:type="dxa"/>
            <w:vAlign w:val="bottom"/>
            <w:shd w:val="clear" w:color="auto" w:fill="53C072"/>
          </w:tcPr>
          <w:p>
            <w:pPr>
              <w:jc w:val="right"/>
              <w:ind w:right="126"/>
              <w:spacing w:after="0"/>
              <w:rPr>
                <w:sz w:val="20"/>
                <w:szCs w:val="20"/>
                <w:color w:val="auto"/>
              </w:rPr>
            </w:pPr>
            <w:r>
              <w:rPr>
                <w:rFonts w:ascii="Arial" w:cs="Arial" w:eastAsia="Arial" w:hAnsi="Arial"/>
                <w:sz w:val="14"/>
                <w:szCs w:val="14"/>
                <w:b w:val="1"/>
                <w:bCs w:val="1"/>
                <w:color w:val="FEFEFE"/>
              </w:rPr>
              <w:t>Outstanding</w:t>
            </w: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Future Issuance</w:t>
            </w:r>
          </w:p>
        </w:tc>
      </w:tr>
      <w:tr>
        <w:trPr>
          <w:trHeight w:val="162"/>
        </w:trPr>
        <w:tc>
          <w:tcPr>
            <w:tcW w:w="4540" w:type="dxa"/>
            <w:vAlign w:val="bottom"/>
            <w:shd w:val="clear" w:color="auto" w:fill="53C072"/>
          </w:tcPr>
          <w:p>
            <w:pPr>
              <w:spacing w:after="0"/>
              <w:rPr>
                <w:sz w:val="14"/>
                <w:szCs w:val="14"/>
                <w:color w:val="auto"/>
              </w:rPr>
            </w:pPr>
          </w:p>
        </w:tc>
        <w:tc>
          <w:tcPr>
            <w:tcW w:w="156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Options,</w:t>
            </w:r>
          </w:p>
        </w:tc>
        <w:tc>
          <w:tcPr>
            <w:tcW w:w="1360" w:type="dxa"/>
            <w:vAlign w:val="bottom"/>
            <w:shd w:val="clear" w:color="auto" w:fill="53C072"/>
          </w:tcPr>
          <w:p>
            <w:pPr>
              <w:jc w:val="right"/>
              <w:ind w:right="126"/>
              <w:spacing w:after="0"/>
              <w:rPr>
                <w:sz w:val="20"/>
                <w:szCs w:val="20"/>
                <w:color w:val="auto"/>
              </w:rPr>
            </w:pPr>
            <w:r>
              <w:rPr>
                <w:rFonts w:ascii="Arial" w:cs="Arial" w:eastAsia="Arial" w:hAnsi="Arial"/>
                <w:sz w:val="14"/>
                <w:szCs w:val="14"/>
                <w:b w:val="1"/>
                <w:bCs w:val="1"/>
                <w:color w:val="FEFEFE"/>
              </w:rPr>
              <w:t>Options,</w:t>
            </w: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Under Equity</w:t>
            </w:r>
          </w:p>
        </w:tc>
      </w:tr>
      <w:tr>
        <w:trPr>
          <w:trHeight w:val="162"/>
        </w:trPr>
        <w:tc>
          <w:tcPr>
            <w:tcW w:w="4540" w:type="dxa"/>
            <w:vAlign w:val="bottom"/>
            <w:shd w:val="clear" w:color="auto" w:fill="53C072"/>
          </w:tcPr>
          <w:p>
            <w:pPr>
              <w:spacing w:after="0"/>
              <w:rPr>
                <w:sz w:val="14"/>
                <w:szCs w:val="14"/>
                <w:color w:val="auto"/>
              </w:rPr>
            </w:pPr>
          </w:p>
        </w:tc>
        <w:tc>
          <w:tcPr>
            <w:tcW w:w="1560" w:type="dxa"/>
            <w:vAlign w:val="bottom"/>
            <w:shd w:val="clear" w:color="auto" w:fill="53C072"/>
          </w:tcPr>
          <w:p>
            <w:pPr>
              <w:jc w:val="right"/>
              <w:ind w:right="186"/>
              <w:spacing w:after="0"/>
              <w:rPr>
                <w:sz w:val="20"/>
                <w:szCs w:val="20"/>
                <w:color w:val="auto"/>
              </w:rPr>
            </w:pPr>
            <w:r>
              <w:rPr>
                <w:rFonts w:ascii="Arial" w:cs="Arial" w:eastAsia="Arial" w:hAnsi="Arial"/>
                <w:sz w:val="14"/>
                <w:szCs w:val="14"/>
                <w:b w:val="1"/>
                <w:bCs w:val="1"/>
                <w:color w:val="FEFEFE"/>
              </w:rPr>
              <w:t>Warrants and</w:t>
            </w:r>
          </w:p>
        </w:tc>
        <w:tc>
          <w:tcPr>
            <w:tcW w:w="1360" w:type="dxa"/>
            <w:vAlign w:val="bottom"/>
            <w:shd w:val="clear" w:color="auto" w:fill="53C072"/>
          </w:tcPr>
          <w:p>
            <w:pPr>
              <w:jc w:val="right"/>
              <w:ind w:right="126"/>
              <w:spacing w:after="0"/>
              <w:rPr>
                <w:sz w:val="20"/>
                <w:szCs w:val="20"/>
                <w:color w:val="auto"/>
              </w:rPr>
            </w:pPr>
            <w:r>
              <w:rPr>
                <w:rFonts w:ascii="Arial" w:cs="Arial" w:eastAsia="Arial" w:hAnsi="Arial"/>
                <w:sz w:val="14"/>
                <w:szCs w:val="14"/>
                <w:b w:val="1"/>
                <w:bCs w:val="1"/>
                <w:color w:val="FEFEFE"/>
              </w:rPr>
              <w:t>Warrants and</w:t>
            </w:r>
          </w:p>
        </w:tc>
        <w:tc>
          <w:tcPr>
            <w:tcW w:w="130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Compensation</w:t>
            </w:r>
          </w:p>
        </w:tc>
      </w:tr>
      <w:tr>
        <w:trPr>
          <w:trHeight w:val="185"/>
        </w:trPr>
        <w:tc>
          <w:tcPr>
            <w:tcW w:w="454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Plan Category</w:t>
            </w:r>
          </w:p>
        </w:tc>
        <w:tc>
          <w:tcPr>
            <w:tcW w:w="1560" w:type="dxa"/>
            <w:vAlign w:val="bottom"/>
            <w:shd w:val="clear" w:color="auto" w:fill="53C072"/>
          </w:tcPr>
          <w:p>
            <w:pPr>
              <w:jc w:val="right"/>
              <w:ind w:right="146"/>
              <w:spacing w:after="0"/>
              <w:rPr>
                <w:sz w:val="20"/>
                <w:szCs w:val="20"/>
                <w:color w:val="auto"/>
              </w:rPr>
            </w:pPr>
            <w:r>
              <w:rPr>
                <w:rFonts w:ascii="Arial" w:cs="Arial" w:eastAsia="Arial" w:hAnsi="Arial"/>
                <w:sz w:val="14"/>
                <w:szCs w:val="14"/>
                <w:b w:val="1"/>
                <w:bCs w:val="1"/>
                <w:color w:val="FEFEFE"/>
              </w:rPr>
              <w:t>Rights</w:t>
            </w:r>
          </w:p>
        </w:tc>
        <w:tc>
          <w:tcPr>
            <w:tcW w:w="1360" w:type="dxa"/>
            <w:vAlign w:val="bottom"/>
            <w:shd w:val="clear" w:color="auto" w:fill="53C072"/>
          </w:tcPr>
          <w:p>
            <w:pPr>
              <w:jc w:val="right"/>
              <w:ind w:right="86"/>
              <w:spacing w:after="0"/>
              <w:rPr>
                <w:sz w:val="20"/>
                <w:szCs w:val="20"/>
                <w:color w:val="auto"/>
              </w:rPr>
            </w:pPr>
            <w:r>
              <w:rPr>
                <w:rFonts w:ascii="Arial" w:cs="Arial" w:eastAsia="Arial" w:hAnsi="Arial"/>
                <w:sz w:val="14"/>
                <w:szCs w:val="14"/>
                <w:b w:val="1"/>
                <w:bCs w:val="1"/>
                <w:color w:val="FEFEFE"/>
              </w:rPr>
              <w:t>Rights</w:t>
            </w:r>
          </w:p>
        </w:tc>
        <w:tc>
          <w:tcPr>
            <w:tcW w:w="1300" w:type="dxa"/>
            <w:vAlign w:val="bottom"/>
            <w:shd w:val="clear" w:color="auto" w:fill="53C072"/>
          </w:tcPr>
          <w:p>
            <w:pPr>
              <w:jc w:val="right"/>
              <w:ind w:right="46"/>
              <w:spacing w:after="0"/>
              <w:rPr>
                <w:sz w:val="20"/>
                <w:szCs w:val="20"/>
                <w:color w:val="auto"/>
              </w:rPr>
            </w:pPr>
            <w:r>
              <w:rPr>
                <w:rFonts w:ascii="Arial" w:cs="Arial" w:eastAsia="Arial" w:hAnsi="Arial"/>
                <w:sz w:val="14"/>
                <w:szCs w:val="14"/>
                <w:b w:val="1"/>
                <w:bCs w:val="1"/>
                <w:color w:val="FEFEFE"/>
              </w:rPr>
              <w:t>Plans</w:t>
            </w:r>
          </w:p>
        </w:tc>
      </w:tr>
      <w:tr>
        <w:trPr>
          <w:trHeight w:val="304"/>
        </w:trPr>
        <w:tc>
          <w:tcPr>
            <w:tcW w:w="4540" w:type="dxa"/>
            <w:vAlign w:val="bottom"/>
            <w:tcBorders>
              <w:bottom w:val="single" w:sz="8" w:color="53C072"/>
            </w:tcBorders>
          </w:tcPr>
          <w:p>
            <w:pPr>
              <w:ind w:left="100"/>
              <w:spacing w:after="0"/>
              <w:rPr>
                <w:sz w:val="20"/>
                <w:szCs w:val="20"/>
                <w:color w:val="auto"/>
              </w:rPr>
            </w:pPr>
            <w:r>
              <w:rPr>
                <w:rFonts w:ascii="Arial" w:cs="Arial" w:eastAsia="Arial" w:hAnsi="Arial"/>
                <w:sz w:val="18"/>
                <w:szCs w:val="18"/>
                <w:color w:val="auto"/>
              </w:rPr>
              <w:t>Equity compensation plans approved by shareholders</w:t>
            </w:r>
          </w:p>
        </w:tc>
        <w:tc>
          <w:tcPr>
            <w:tcW w:w="1560" w:type="dxa"/>
            <w:vAlign w:val="bottom"/>
            <w:tcBorders>
              <w:bottom w:val="single" w:sz="8" w:color="53C072"/>
            </w:tcBorders>
          </w:tcPr>
          <w:p>
            <w:pPr>
              <w:jc w:val="right"/>
              <w:spacing w:after="0" w:line="297" w:lineRule="exact"/>
              <w:rPr>
                <w:sz w:val="20"/>
                <w:szCs w:val="20"/>
                <w:color w:val="auto"/>
              </w:rPr>
            </w:pPr>
            <w:r>
              <w:rPr>
                <w:rFonts w:ascii="Arial" w:cs="Arial" w:eastAsia="Arial" w:hAnsi="Arial"/>
                <w:sz w:val="34"/>
                <w:szCs w:val="34"/>
                <w:color w:val="auto"/>
                <w:vertAlign w:val="subscript"/>
              </w:rPr>
              <w:t>​ ​​</w:t>
            </w:r>
            <w:r>
              <w:rPr>
                <w:rFonts w:ascii="Arial" w:cs="Arial" w:eastAsia="Arial" w:hAnsi="Arial"/>
                <w:sz w:val="18"/>
                <w:szCs w:val="18"/>
                <w:color w:val="auto"/>
              </w:rPr>
              <w:t>2,329,040</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t>
            </w:r>
            <w:r>
              <w:rPr>
                <w:rFonts w:ascii="Arial" w:cs="Arial" w:eastAsia="Arial" w:hAnsi="Arial"/>
                <w:sz w:val="34"/>
                <w:szCs w:val="34"/>
                <w:color w:val="auto"/>
                <w:vertAlign w:val="subscript"/>
              </w:rPr>
              <w:t>​ ​</w:t>
            </w:r>
          </w:p>
        </w:tc>
        <w:tc>
          <w:tcPr>
            <w:tcW w:w="1360" w:type="dxa"/>
            <w:vAlign w:val="bottom"/>
            <w:tcBorders>
              <w:bottom w:val="single" w:sz="8" w:color="53C072"/>
            </w:tcBorders>
          </w:tcPr>
          <w:p>
            <w:pPr>
              <w:jc w:val="right"/>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$ 36.79</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w:t>
            </w:r>
            <w:r>
              <w:rPr>
                <w:rFonts w:ascii="Arial" w:cs="Arial" w:eastAsia="Arial" w:hAnsi="Arial"/>
                <w:sz w:val="34"/>
                <w:szCs w:val="34"/>
                <w:color w:val="auto"/>
                <w:vertAlign w:val="subscript"/>
              </w:rPr>
              <w:t>​​</w:t>
            </w:r>
          </w:p>
        </w:tc>
        <w:tc>
          <w:tcPr>
            <w:tcW w:w="1300" w:type="dxa"/>
            <w:vAlign w:val="bottom"/>
            <w:tcBorders>
              <w:bottom w:val="single" w:sz="8" w:color="53C072"/>
            </w:tcBorders>
          </w:tcPr>
          <w:p>
            <w:pPr>
              <w:jc w:val="right"/>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3,355,705</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w:t>
            </w:r>
            <w:r>
              <w:rPr>
                <w:rFonts w:ascii="Arial" w:cs="Arial" w:eastAsia="Arial" w:hAnsi="Arial"/>
                <w:sz w:val="34"/>
                <w:szCs w:val="34"/>
                <w:color w:val="auto"/>
                <w:vertAlign w:val="subscript"/>
              </w:rPr>
              <w:t>​</w:t>
            </w:r>
          </w:p>
        </w:tc>
      </w:tr>
    </w:tbl>
    <w:p>
      <w:pPr>
        <w:spacing w:after="0" w:line="35" w:lineRule="exact"/>
        <w:rPr>
          <w:sz w:val="20"/>
          <w:szCs w:val="20"/>
          <w:color w:val="auto"/>
        </w:rPr>
      </w:pPr>
    </w:p>
    <w:p>
      <w:pPr>
        <w:ind w:left="1780" w:right="519" w:hanging="718"/>
        <w:spacing w:after="0" w:line="287" w:lineRule="auto"/>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994,750 shares underlying outstanding options, 1,084,587 RSUs, and 249,703 PSUs awarded but not yet vested as of the end of the fiscal year.</w:t>
      </w:r>
    </w:p>
    <w:p>
      <w:pPr>
        <w:spacing w:after="0" w:line="58" w:lineRule="exact"/>
        <w:rPr>
          <w:rFonts w:ascii="Arial" w:cs="Arial" w:eastAsia="Arial" w:hAnsi="Arial"/>
          <w:sz w:val="18"/>
          <w:szCs w:val="18"/>
          <w:color w:val="auto"/>
        </w:rPr>
      </w:pPr>
    </w:p>
    <w:p>
      <w:pPr>
        <w:ind w:left="1780" w:right="139" w:hanging="718"/>
        <w:spacing w:after="0" w:line="287" w:lineRule="auto"/>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average exercise price is applicable only to the outstanding options referenced above. The RSUs and PSUs do not require consideration to be paid upon vesting.</w:t>
      </w:r>
    </w:p>
    <w:p>
      <w:pPr>
        <w:spacing w:after="0" w:line="71" w:lineRule="exact"/>
        <w:rPr>
          <w:rFonts w:ascii="Arial" w:cs="Arial" w:eastAsia="Arial" w:hAnsi="Arial"/>
          <w:sz w:val="18"/>
          <w:szCs w:val="18"/>
          <w:color w:val="auto"/>
        </w:rPr>
      </w:pPr>
    </w:p>
    <w:p>
      <w:pPr>
        <w:ind w:left="1780" w:right="699" w:hanging="718"/>
        <w:spacing w:after="0" w:line="287" w:lineRule="auto"/>
        <w:tabs>
          <w:tab w:leader="none" w:pos="1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291,643 shares available for future issuance under the Amended and Restated Avnet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58     </w:t>
      </w:r>
      <w:r>
        <w:rPr>
          <w:sz w:val="1"/>
          <w:szCs w:val="1"/>
          <w:color w:val="auto"/>
        </w:rPr>
        <w:drawing>
          <wp:inline distT="0" distB="0" distL="0" distR="0">
            <wp:extent cx="1242695" cy="24003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820" w:type="dxa"/>
            <w:vAlign w:val="bottom"/>
            <w:vMerge w:val="restart"/>
          </w:tcPr>
          <w:p>
            <w:pPr>
              <w:ind w:left="2580"/>
              <w:spacing w:after="0"/>
              <w:rPr>
                <w:sz w:val="20"/>
                <w:szCs w:val="20"/>
                <w:color w:val="auto"/>
              </w:rPr>
            </w:pPr>
            <w:r>
              <w:rPr>
                <w:rFonts w:ascii="Arial" w:cs="Arial" w:eastAsia="Arial" w:hAnsi="Arial"/>
                <w:sz w:val="14"/>
                <w:szCs w:val="14"/>
                <w:color w:val="auto"/>
                <w:w w:val="99"/>
              </w:rPr>
              <w:t>Compensation of Executive Officers</w:t>
            </w:r>
          </w:p>
        </w:tc>
        <w:tc>
          <w:tcPr>
            <w:tcW w:w="0" w:type="dxa"/>
            <w:vAlign w:val="bottom"/>
          </w:tcPr>
          <w:p>
            <w:pPr>
              <w:spacing w:after="0"/>
              <w:rPr>
                <w:sz w:val="1"/>
                <w:szCs w:val="1"/>
                <w:color w:val="auto"/>
              </w:rPr>
            </w:pPr>
          </w:p>
        </w:tc>
      </w:tr>
      <w:tr>
        <w:trPr>
          <w:trHeight w:val="88"/>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GRANTS OF PLAN-BASED AWARDS</w:t>
      </w:r>
    </w:p>
    <w:p>
      <w:pPr>
        <w:spacing w:after="0" w:line="162" w:lineRule="exact"/>
        <w:rPr>
          <w:sz w:val="20"/>
          <w:szCs w:val="20"/>
          <w:color w:val="auto"/>
        </w:rPr>
      </w:pPr>
    </w:p>
    <w:p>
      <w:pPr>
        <w:ind w:left="1000" w:right="600"/>
        <w:spacing w:after="0" w:line="256" w:lineRule="auto"/>
        <w:rPr>
          <w:sz w:val="20"/>
          <w:szCs w:val="20"/>
          <w:color w:val="auto"/>
        </w:rPr>
      </w:pPr>
      <w:r>
        <w:rPr>
          <w:rFonts w:ascii="Arial" w:cs="Arial" w:eastAsia="Arial" w:hAnsi="Arial"/>
          <w:sz w:val="18"/>
          <w:szCs w:val="18"/>
          <w:color w:val="auto"/>
        </w:rPr>
        <w:t>The following table provides information about equity and non-equity plan-based awards to the NEOs in fiscal 2024 relating to: (1) annual cash incentive awards, (2) RSUs, and (3) PSUs. The threshold column for non-equity incentives assumes payout of 32% of target and the threshold column for equity incentive assumes 34% of target PSUs. The maximum column is 200% of the target amount. Achievement below the threshold would yield a payout of $0. The actual payouts earned in fiscal 2024 under the Non-Equity Incentive Plan Awards are included in the Summary Compensation Table as are the grant date fair values associated with the awards under the Equity Incentive Plan and All Other Stock Awards in the table below.</w:t>
      </w:r>
    </w:p>
    <w:p>
      <w:pPr>
        <w:spacing w:after="0" w:line="19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1840" w:type="dxa"/>
            <w:vAlign w:val="bottom"/>
            <w:shd w:val="clear" w:color="auto" w:fill="53C072"/>
          </w:tcPr>
          <w:p>
            <w:pPr>
              <w:spacing w:after="0"/>
              <w:rPr>
                <w:sz w:val="13"/>
                <w:szCs w:val="13"/>
                <w:color w:val="auto"/>
              </w:rPr>
            </w:pPr>
          </w:p>
        </w:tc>
        <w:tc>
          <w:tcPr>
            <w:tcW w:w="200" w:type="dxa"/>
            <w:vAlign w:val="bottom"/>
            <w:shd w:val="clear" w:color="auto" w:fill="53C072"/>
          </w:tcPr>
          <w:p>
            <w:pPr>
              <w:spacing w:after="0"/>
              <w:rPr>
                <w:sz w:val="13"/>
                <w:szCs w:val="13"/>
                <w:color w:val="auto"/>
              </w:rPr>
            </w:pPr>
          </w:p>
        </w:tc>
        <w:tc>
          <w:tcPr>
            <w:tcW w:w="440" w:type="dxa"/>
            <w:vAlign w:val="bottom"/>
            <w:shd w:val="clear" w:color="auto" w:fill="53C072"/>
          </w:tcPr>
          <w:p>
            <w:pPr>
              <w:spacing w:after="0"/>
              <w:rPr>
                <w:sz w:val="13"/>
                <w:szCs w:val="13"/>
                <w:color w:val="auto"/>
              </w:rPr>
            </w:pPr>
          </w:p>
        </w:tc>
        <w:tc>
          <w:tcPr>
            <w:tcW w:w="140" w:type="dxa"/>
            <w:vAlign w:val="bottom"/>
            <w:tcBorders>
              <w:right w:val="single" w:sz="8" w:color="53C072"/>
            </w:tcBorders>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52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58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580" w:type="dxa"/>
            <w:vAlign w:val="bottom"/>
            <w:shd w:val="clear" w:color="auto" w:fill="53C072"/>
          </w:tcPr>
          <w:p>
            <w:pPr>
              <w:spacing w:after="0"/>
              <w:rPr>
                <w:sz w:val="13"/>
                <w:szCs w:val="13"/>
                <w:color w:val="auto"/>
              </w:rPr>
            </w:pPr>
          </w:p>
        </w:tc>
        <w:tc>
          <w:tcPr>
            <w:tcW w:w="200" w:type="dxa"/>
            <w:vAlign w:val="bottom"/>
            <w:shd w:val="clear" w:color="auto" w:fill="53C072"/>
          </w:tcPr>
          <w:p>
            <w:pPr>
              <w:spacing w:after="0"/>
              <w:rPr>
                <w:sz w:val="13"/>
                <w:szCs w:val="13"/>
                <w:color w:val="auto"/>
              </w:rPr>
            </w:pPr>
          </w:p>
        </w:tc>
        <w:tc>
          <w:tcPr>
            <w:tcW w:w="300" w:type="dxa"/>
            <w:vAlign w:val="bottom"/>
            <w:shd w:val="clear" w:color="auto" w:fill="53C072"/>
          </w:tcPr>
          <w:p>
            <w:pPr>
              <w:spacing w:after="0"/>
              <w:rPr>
                <w:sz w:val="13"/>
                <w:szCs w:val="13"/>
                <w:color w:val="auto"/>
              </w:rPr>
            </w:pPr>
          </w:p>
        </w:tc>
        <w:tc>
          <w:tcPr>
            <w:tcW w:w="160" w:type="dxa"/>
            <w:vAlign w:val="bottom"/>
            <w:shd w:val="clear" w:color="auto" w:fill="53C072"/>
          </w:tcPr>
          <w:p>
            <w:pPr>
              <w:spacing w:after="0"/>
              <w:rPr>
                <w:sz w:val="13"/>
                <w:szCs w:val="13"/>
                <w:color w:val="auto"/>
              </w:rPr>
            </w:pPr>
          </w:p>
        </w:tc>
        <w:tc>
          <w:tcPr>
            <w:tcW w:w="580" w:type="dxa"/>
            <w:vAlign w:val="bottom"/>
            <w:tcBorders>
              <w:right w:val="single" w:sz="8" w:color="53C072"/>
            </w:tcBorders>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All Other</w:t>
            </w:r>
          </w:p>
        </w:tc>
        <w:tc>
          <w:tcPr>
            <w:tcW w:w="120" w:type="dxa"/>
            <w:vAlign w:val="bottom"/>
            <w:shd w:val="clear" w:color="auto" w:fill="53C072"/>
          </w:tcPr>
          <w:p>
            <w:pPr>
              <w:spacing w:after="0"/>
              <w:rPr>
                <w:sz w:val="13"/>
                <w:szCs w:val="13"/>
                <w:color w:val="auto"/>
              </w:rPr>
            </w:pPr>
          </w:p>
        </w:tc>
        <w:tc>
          <w:tcPr>
            <w:tcW w:w="680" w:type="dxa"/>
            <w:vAlign w:val="bottom"/>
            <w:shd w:val="clear" w:color="auto" w:fill="53C072"/>
          </w:tcPr>
          <w:p>
            <w:pPr>
              <w:jc w:val="right"/>
              <w:ind w:right="1"/>
              <w:spacing w:after="0"/>
              <w:rPr>
                <w:sz w:val="20"/>
                <w:szCs w:val="20"/>
                <w:color w:val="auto"/>
              </w:rPr>
            </w:pPr>
            <w:r>
              <w:rPr>
                <w:rFonts w:ascii="Arial" w:cs="Arial" w:eastAsia="Arial" w:hAnsi="Arial"/>
                <w:sz w:val="13"/>
                <w:szCs w:val="13"/>
                <w:b w:val="1"/>
                <w:bCs w:val="1"/>
                <w:color w:val="FEFEFE"/>
              </w:rPr>
              <w:t>All Other</w:t>
            </w:r>
          </w:p>
        </w:tc>
        <w:tc>
          <w:tcPr>
            <w:tcW w:w="10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53C072"/>
          </w:tcPr>
          <w:p>
            <w:pPr>
              <w:spacing w:after="0"/>
              <w:rPr>
                <w:sz w:val="12"/>
                <w:szCs w:val="12"/>
                <w:color w:val="auto"/>
              </w:rPr>
            </w:pPr>
          </w:p>
        </w:tc>
        <w:tc>
          <w:tcPr>
            <w:tcW w:w="200" w:type="dxa"/>
            <w:vAlign w:val="bottom"/>
            <w:shd w:val="clear" w:color="auto" w:fill="53C072"/>
          </w:tcPr>
          <w:p>
            <w:pPr>
              <w:spacing w:after="0"/>
              <w:rPr>
                <w:sz w:val="12"/>
                <w:szCs w:val="12"/>
                <w:color w:val="auto"/>
              </w:rPr>
            </w:pPr>
          </w:p>
        </w:tc>
        <w:tc>
          <w:tcPr>
            <w:tcW w:w="440" w:type="dxa"/>
            <w:vAlign w:val="bottom"/>
            <w:shd w:val="clear" w:color="auto" w:fill="53C072"/>
          </w:tcPr>
          <w:p>
            <w:pPr>
              <w:spacing w:after="0"/>
              <w:rPr>
                <w:sz w:val="12"/>
                <w:szCs w:val="12"/>
                <w:color w:val="auto"/>
              </w:rPr>
            </w:pPr>
          </w:p>
        </w:tc>
        <w:tc>
          <w:tcPr>
            <w:tcW w:w="140" w:type="dxa"/>
            <w:vAlign w:val="bottom"/>
            <w:tcBorders>
              <w:right w:val="single" w:sz="8" w:color="53C072"/>
            </w:tcBorders>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580" w:type="dxa"/>
            <w:vAlign w:val="bottom"/>
            <w:shd w:val="clear" w:color="auto" w:fill="53C072"/>
          </w:tcPr>
          <w:p>
            <w:pPr>
              <w:spacing w:after="0"/>
              <w:rPr>
                <w:sz w:val="12"/>
                <w:szCs w:val="12"/>
                <w:color w:val="auto"/>
              </w:rPr>
            </w:pPr>
          </w:p>
        </w:tc>
        <w:tc>
          <w:tcPr>
            <w:tcW w:w="200" w:type="dxa"/>
            <w:vAlign w:val="bottom"/>
            <w:shd w:val="clear" w:color="auto" w:fill="53C072"/>
          </w:tcPr>
          <w:p>
            <w:pPr>
              <w:spacing w:after="0"/>
              <w:rPr>
                <w:sz w:val="12"/>
                <w:szCs w:val="12"/>
                <w:color w:val="auto"/>
              </w:rPr>
            </w:pPr>
          </w:p>
        </w:tc>
        <w:tc>
          <w:tcPr>
            <w:tcW w:w="300" w:type="dxa"/>
            <w:vAlign w:val="bottom"/>
            <w:shd w:val="clear" w:color="auto" w:fill="53C072"/>
          </w:tcPr>
          <w:p>
            <w:pPr>
              <w:spacing w:after="0"/>
              <w:rPr>
                <w:sz w:val="12"/>
                <w:szCs w:val="12"/>
                <w:color w:val="auto"/>
              </w:rPr>
            </w:pPr>
          </w:p>
        </w:tc>
        <w:tc>
          <w:tcPr>
            <w:tcW w:w="160" w:type="dxa"/>
            <w:vAlign w:val="bottom"/>
            <w:shd w:val="clear" w:color="auto" w:fill="53C072"/>
          </w:tcPr>
          <w:p>
            <w:pPr>
              <w:spacing w:after="0"/>
              <w:rPr>
                <w:sz w:val="12"/>
                <w:szCs w:val="12"/>
                <w:color w:val="auto"/>
              </w:rPr>
            </w:pPr>
          </w:p>
        </w:tc>
        <w:tc>
          <w:tcPr>
            <w:tcW w:w="580" w:type="dxa"/>
            <w:vAlign w:val="bottom"/>
            <w:tcBorders>
              <w:right w:val="single" w:sz="8" w:color="53C072"/>
            </w:tcBorders>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Stock</w:t>
            </w:r>
          </w:p>
        </w:tc>
        <w:tc>
          <w:tcPr>
            <w:tcW w:w="120" w:type="dxa"/>
            <w:vAlign w:val="bottom"/>
            <w:shd w:val="clear" w:color="auto" w:fill="53C072"/>
          </w:tcPr>
          <w:p>
            <w:pPr>
              <w:spacing w:after="0"/>
              <w:rPr>
                <w:sz w:val="12"/>
                <w:szCs w:val="12"/>
                <w:color w:val="auto"/>
              </w:rPr>
            </w:pPr>
          </w:p>
        </w:tc>
        <w:tc>
          <w:tcPr>
            <w:tcW w:w="680" w:type="dxa"/>
            <w:vAlign w:val="bottom"/>
            <w:shd w:val="clear" w:color="auto" w:fill="53C072"/>
          </w:tcPr>
          <w:p>
            <w:pPr>
              <w:jc w:val="right"/>
              <w:ind w:right="1"/>
              <w:spacing w:after="0"/>
              <w:rPr>
                <w:sz w:val="20"/>
                <w:szCs w:val="20"/>
                <w:color w:val="auto"/>
              </w:rPr>
            </w:pPr>
            <w:r>
              <w:rPr>
                <w:rFonts w:ascii="Arial" w:cs="Arial" w:eastAsia="Arial" w:hAnsi="Arial"/>
                <w:sz w:val="13"/>
                <w:szCs w:val="13"/>
                <w:b w:val="1"/>
                <w:bCs w:val="1"/>
                <w:color w:val="FEFEFE"/>
              </w:rPr>
              <w:t>Option</w:t>
            </w:r>
          </w:p>
        </w:tc>
        <w:tc>
          <w:tcPr>
            <w:tcW w:w="10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53C072"/>
          </w:tcPr>
          <w:p>
            <w:pPr>
              <w:spacing w:after="0"/>
              <w:rPr>
                <w:sz w:val="11"/>
                <w:szCs w:val="11"/>
                <w:color w:val="auto"/>
              </w:rPr>
            </w:pPr>
          </w:p>
        </w:tc>
        <w:tc>
          <w:tcPr>
            <w:tcW w:w="200" w:type="dxa"/>
            <w:vAlign w:val="bottom"/>
            <w:shd w:val="clear" w:color="auto" w:fill="53C072"/>
          </w:tcPr>
          <w:p>
            <w:pPr>
              <w:spacing w:after="0"/>
              <w:rPr>
                <w:sz w:val="11"/>
                <w:szCs w:val="11"/>
                <w:color w:val="auto"/>
              </w:rPr>
            </w:pPr>
          </w:p>
        </w:tc>
        <w:tc>
          <w:tcPr>
            <w:tcW w:w="440" w:type="dxa"/>
            <w:vAlign w:val="bottom"/>
            <w:shd w:val="clear" w:color="auto" w:fill="53C072"/>
          </w:tcPr>
          <w:p>
            <w:pPr>
              <w:spacing w:after="0"/>
              <w:rPr>
                <w:sz w:val="11"/>
                <w:szCs w:val="11"/>
                <w:color w:val="auto"/>
              </w:rPr>
            </w:pPr>
          </w:p>
        </w:tc>
        <w:tc>
          <w:tcPr>
            <w:tcW w:w="140" w:type="dxa"/>
            <w:vAlign w:val="bottom"/>
            <w:tcBorders>
              <w:right w:val="single" w:sz="8" w:color="53C072"/>
            </w:tcBorders>
            <w:shd w:val="clear" w:color="auto" w:fill="53C072"/>
          </w:tcPr>
          <w:p>
            <w:pPr>
              <w:spacing w:after="0"/>
              <w:rPr>
                <w:sz w:val="11"/>
                <w:szCs w:val="11"/>
                <w:color w:val="auto"/>
              </w:rPr>
            </w:pPr>
          </w:p>
        </w:tc>
        <w:tc>
          <w:tcPr>
            <w:tcW w:w="1980" w:type="dxa"/>
            <w:vAlign w:val="bottom"/>
            <w:gridSpan w:val="5"/>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Estimated Future Payouts</w:t>
            </w:r>
          </w:p>
        </w:tc>
        <w:tc>
          <w:tcPr>
            <w:tcW w:w="80" w:type="dxa"/>
            <w:vAlign w:val="bottom"/>
            <w:shd w:val="clear" w:color="auto" w:fill="53C072"/>
          </w:tcPr>
          <w:p>
            <w:pPr>
              <w:spacing w:after="0"/>
              <w:rPr>
                <w:sz w:val="11"/>
                <w:szCs w:val="11"/>
                <w:color w:val="auto"/>
              </w:rPr>
            </w:pPr>
          </w:p>
        </w:tc>
        <w:tc>
          <w:tcPr>
            <w:tcW w:w="100" w:type="dxa"/>
            <w:vAlign w:val="bottom"/>
            <w:shd w:val="clear" w:color="auto" w:fill="53C072"/>
          </w:tcPr>
          <w:p>
            <w:pPr>
              <w:spacing w:after="0"/>
              <w:rPr>
                <w:sz w:val="11"/>
                <w:szCs w:val="11"/>
                <w:color w:val="auto"/>
              </w:rPr>
            </w:pPr>
          </w:p>
        </w:tc>
        <w:tc>
          <w:tcPr>
            <w:tcW w:w="1820" w:type="dxa"/>
            <w:vAlign w:val="bottom"/>
            <w:tcBorders>
              <w:right w:val="single" w:sz="8" w:color="53C072"/>
            </w:tcBorders>
            <w:gridSpan w:val="5"/>
            <w:vMerge w:val="restart"/>
            <w:shd w:val="clear" w:color="auto" w:fill="53C072"/>
          </w:tcPr>
          <w:p>
            <w:pPr>
              <w:jc w:val="right"/>
              <w:ind w:right="17"/>
              <w:spacing w:after="0"/>
              <w:rPr>
                <w:sz w:val="20"/>
                <w:szCs w:val="20"/>
                <w:color w:val="auto"/>
              </w:rPr>
            </w:pPr>
            <w:r>
              <w:rPr>
                <w:rFonts w:ascii="Arial" w:cs="Arial" w:eastAsia="Arial" w:hAnsi="Arial"/>
                <w:sz w:val="13"/>
                <w:szCs w:val="13"/>
                <w:b w:val="1"/>
                <w:bCs w:val="1"/>
                <w:color w:val="FEFEFE"/>
              </w:rPr>
              <w:t>Estimated Future Payouts</w:t>
            </w:r>
          </w:p>
        </w:tc>
        <w:tc>
          <w:tcPr>
            <w:tcW w:w="80" w:type="dxa"/>
            <w:vAlign w:val="bottom"/>
            <w:shd w:val="clear" w:color="auto" w:fill="53C072"/>
          </w:tcPr>
          <w:p>
            <w:pPr>
              <w:spacing w:after="0"/>
              <w:rPr>
                <w:sz w:val="11"/>
                <w:szCs w:val="11"/>
                <w:color w:val="auto"/>
              </w:rPr>
            </w:pPr>
          </w:p>
        </w:tc>
        <w:tc>
          <w:tcPr>
            <w:tcW w:w="640" w:type="dxa"/>
            <w:vAlign w:val="bottom"/>
            <w:shd w:val="clear" w:color="auto" w:fill="53C072"/>
          </w:tcPr>
          <w:p>
            <w:pPr>
              <w:jc w:val="right"/>
              <w:spacing w:after="0" w:line="135" w:lineRule="exact"/>
              <w:rPr>
                <w:sz w:val="20"/>
                <w:szCs w:val="20"/>
                <w:color w:val="auto"/>
              </w:rPr>
            </w:pPr>
            <w:r>
              <w:rPr>
                <w:rFonts w:ascii="Arial" w:cs="Arial" w:eastAsia="Arial" w:hAnsi="Arial"/>
                <w:sz w:val="13"/>
                <w:szCs w:val="13"/>
                <w:b w:val="1"/>
                <w:bCs w:val="1"/>
                <w:color w:val="FEFEFE"/>
              </w:rPr>
              <w:t>Awards:</w:t>
            </w:r>
          </w:p>
        </w:tc>
        <w:tc>
          <w:tcPr>
            <w:tcW w:w="120" w:type="dxa"/>
            <w:vAlign w:val="bottom"/>
            <w:shd w:val="clear" w:color="auto" w:fill="53C072"/>
          </w:tcPr>
          <w:p>
            <w:pPr>
              <w:spacing w:after="0"/>
              <w:rPr>
                <w:sz w:val="11"/>
                <w:szCs w:val="11"/>
                <w:color w:val="auto"/>
              </w:rPr>
            </w:pPr>
          </w:p>
        </w:tc>
        <w:tc>
          <w:tcPr>
            <w:tcW w:w="680" w:type="dxa"/>
            <w:vAlign w:val="bottom"/>
            <w:shd w:val="clear" w:color="auto" w:fill="53C072"/>
          </w:tcPr>
          <w:p>
            <w:pPr>
              <w:jc w:val="right"/>
              <w:ind w:right="1"/>
              <w:spacing w:after="0" w:line="135" w:lineRule="exact"/>
              <w:rPr>
                <w:sz w:val="20"/>
                <w:szCs w:val="20"/>
                <w:color w:val="auto"/>
              </w:rPr>
            </w:pPr>
            <w:r>
              <w:rPr>
                <w:rFonts w:ascii="Arial" w:cs="Arial" w:eastAsia="Arial" w:hAnsi="Arial"/>
                <w:sz w:val="13"/>
                <w:szCs w:val="13"/>
                <w:b w:val="1"/>
                <w:bCs w:val="1"/>
                <w:color w:val="FEFEFE"/>
              </w:rPr>
              <w:t>Awards:</w:t>
            </w:r>
          </w:p>
        </w:tc>
        <w:tc>
          <w:tcPr>
            <w:tcW w:w="100" w:type="dxa"/>
            <w:vAlign w:val="bottom"/>
            <w:shd w:val="clear" w:color="auto" w:fill="53C072"/>
          </w:tcPr>
          <w:p>
            <w:pPr>
              <w:spacing w:after="0"/>
              <w:rPr>
                <w:sz w:val="11"/>
                <w:szCs w:val="11"/>
                <w:color w:val="auto"/>
              </w:rPr>
            </w:pPr>
          </w:p>
        </w:tc>
        <w:tc>
          <w:tcPr>
            <w:tcW w:w="700" w:type="dxa"/>
            <w:vAlign w:val="bottom"/>
            <w:shd w:val="clear" w:color="auto" w:fill="53C072"/>
          </w:tcPr>
          <w:p>
            <w:pPr>
              <w:spacing w:after="0"/>
              <w:rPr>
                <w:sz w:val="11"/>
                <w:szCs w:val="11"/>
                <w:color w:val="auto"/>
              </w:rPr>
            </w:pPr>
          </w:p>
        </w:tc>
        <w:tc>
          <w:tcPr>
            <w:tcW w:w="800" w:type="dxa"/>
            <w:vAlign w:val="bottom"/>
            <w:gridSpan w:val="2"/>
            <w:shd w:val="clear" w:color="auto" w:fill="53C072"/>
          </w:tcPr>
          <w:p>
            <w:pPr>
              <w:jc w:val="right"/>
              <w:ind w:right="18"/>
              <w:spacing w:after="0" w:line="135" w:lineRule="exact"/>
              <w:rPr>
                <w:sz w:val="20"/>
                <w:szCs w:val="20"/>
                <w:color w:val="auto"/>
              </w:rPr>
            </w:pPr>
            <w:r>
              <w:rPr>
                <w:rFonts w:ascii="Arial" w:cs="Arial" w:eastAsia="Arial" w:hAnsi="Arial"/>
                <w:sz w:val="13"/>
                <w:szCs w:val="13"/>
                <w:b w:val="1"/>
                <w:bCs w:val="1"/>
                <w:color w:val="FEFEFE"/>
              </w:rPr>
              <w:t>Grant Date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40" w:type="dxa"/>
            <w:vAlign w:val="bottom"/>
            <w:shd w:val="clear" w:color="auto" w:fill="53C072"/>
          </w:tcPr>
          <w:p>
            <w:pPr>
              <w:spacing w:after="0"/>
              <w:rPr>
                <w:sz w:val="5"/>
                <w:szCs w:val="5"/>
                <w:color w:val="auto"/>
              </w:rPr>
            </w:pPr>
          </w:p>
        </w:tc>
        <w:tc>
          <w:tcPr>
            <w:tcW w:w="200" w:type="dxa"/>
            <w:vAlign w:val="bottom"/>
            <w:shd w:val="clear" w:color="auto" w:fill="53C072"/>
          </w:tcPr>
          <w:p>
            <w:pPr>
              <w:spacing w:after="0"/>
              <w:rPr>
                <w:sz w:val="5"/>
                <w:szCs w:val="5"/>
                <w:color w:val="auto"/>
              </w:rPr>
            </w:pPr>
          </w:p>
        </w:tc>
        <w:tc>
          <w:tcPr>
            <w:tcW w:w="440" w:type="dxa"/>
            <w:vAlign w:val="bottom"/>
            <w:shd w:val="clear" w:color="auto" w:fill="53C072"/>
          </w:tcPr>
          <w:p>
            <w:pPr>
              <w:spacing w:after="0"/>
              <w:rPr>
                <w:sz w:val="5"/>
                <w:szCs w:val="5"/>
                <w:color w:val="auto"/>
              </w:rPr>
            </w:pPr>
          </w:p>
        </w:tc>
        <w:tc>
          <w:tcPr>
            <w:tcW w:w="140" w:type="dxa"/>
            <w:vAlign w:val="bottom"/>
            <w:tcBorders>
              <w:right w:val="single" w:sz="8" w:color="53C072"/>
            </w:tcBorders>
            <w:shd w:val="clear" w:color="auto" w:fill="53C072"/>
          </w:tcPr>
          <w:p>
            <w:pPr>
              <w:spacing w:after="0"/>
              <w:rPr>
                <w:sz w:val="5"/>
                <w:szCs w:val="5"/>
                <w:color w:val="auto"/>
              </w:rPr>
            </w:pPr>
          </w:p>
        </w:tc>
        <w:tc>
          <w:tcPr>
            <w:tcW w:w="1980" w:type="dxa"/>
            <w:vAlign w:val="bottom"/>
            <w:gridSpan w:val="5"/>
            <w:vMerge w:val="continue"/>
            <w:shd w:val="clear" w:color="auto" w:fill="53C072"/>
          </w:tcPr>
          <w:p>
            <w:pPr>
              <w:spacing w:after="0"/>
              <w:rPr>
                <w:sz w:val="5"/>
                <w:szCs w:val="5"/>
                <w:color w:val="auto"/>
              </w:rPr>
            </w:pPr>
          </w:p>
        </w:tc>
        <w:tc>
          <w:tcPr>
            <w:tcW w:w="80" w:type="dxa"/>
            <w:vAlign w:val="bottom"/>
            <w:shd w:val="clear" w:color="auto" w:fill="53C072"/>
          </w:tcPr>
          <w:p>
            <w:pPr>
              <w:spacing w:after="0"/>
              <w:rPr>
                <w:sz w:val="5"/>
                <w:szCs w:val="5"/>
                <w:color w:val="auto"/>
              </w:rPr>
            </w:pPr>
          </w:p>
        </w:tc>
        <w:tc>
          <w:tcPr>
            <w:tcW w:w="100" w:type="dxa"/>
            <w:vAlign w:val="bottom"/>
            <w:shd w:val="clear" w:color="auto" w:fill="53C072"/>
          </w:tcPr>
          <w:p>
            <w:pPr>
              <w:spacing w:after="0"/>
              <w:rPr>
                <w:sz w:val="5"/>
                <w:szCs w:val="5"/>
                <w:color w:val="auto"/>
              </w:rPr>
            </w:pPr>
          </w:p>
        </w:tc>
        <w:tc>
          <w:tcPr>
            <w:tcW w:w="1820" w:type="dxa"/>
            <w:vAlign w:val="bottom"/>
            <w:tcBorders>
              <w:right w:val="single" w:sz="8" w:color="53C072"/>
            </w:tcBorders>
            <w:gridSpan w:val="5"/>
            <w:vMerge w:val="continue"/>
            <w:shd w:val="clear" w:color="auto" w:fill="53C072"/>
          </w:tcPr>
          <w:p>
            <w:pPr>
              <w:spacing w:after="0"/>
              <w:rPr>
                <w:sz w:val="5"/>
                <w:szCs w:val="5"/>
                <w:color w:val="auto"/>
              </w:rPr>
            </w:pPr>
          </w:p>
        </w:tc>
        <w:tc>
          <w:tcPr>
            <w:tcW w:w="720" w:type="dxa"/>
            <w:vAlign w:val="bottom"/>
            <w:gridSpan w:val="2"/>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w w:val="98"/>
              </w:rPr>
              <w:t>Number of</w:t>
            </w:r>
          </w:p>
        </w:tc>
        <w:tc>
          <w:tcPr>
            <w:tcW w:w="1600" w:type="dxa"/>
            <w:vAlign w:val="bottom"/>
            <w:gridSpan w:val="4"/>
            <w:vMerge w:val="restart"/>
            <w:shd w:val="clear" w:color="auto" w:fill="53C072"/>
          </w:tcPr>
          <w:p>
            <w:pPr>
              <w:jc w:val="right"/>
              <w:ind w:right="2"/>
              <w:spacing w:after="0"/>
              <w:rPr>
                <w:sz w:val="20"/>
                <w:szCs w:val="20"/>
                <w:color w:val="auto"/>
              </w:rPr>
            </w:pPr>
            <w:r>
              <w:rPr>
                <w:rFonts w:ascii="Arial" w:cs="Arial" w:eastAsia="Arial" w:hAnsi="Arial"/>
                <w:sz w:val="13"/>
                <w:szCs w:val="13"/>
                <w:b w:val="1"/>
                <w:bCs w:val="1"/>
                <w:color w:val="FEFEFE"/>
              </w:rPr>
              <w:t>Number of  Exercise or</w:t>
            </w:r>
          </w:p>
        </w:tc>
        <w:tc>
          <w:tcPr>
            <w:tcW w:w="100" w:type="dxa"/>
            <w:vAlign w:val="bottom"/>
            <w:shd w:val="clear" w:color="auto" w:fill="53C072"/>
          </w:tcPr>
          <w:p>
            <w:pPr>
              <w:spacing w:after="0"/>
              <w:rPr>
                <w:sz w:val="5"/>
                <w:szCs w:val="5"/>
                <w:color w:val="auto"/>
              </w:rPr>
            </w:pPr>
          </w:p>
        </w:tc>
        <w:tc>
          <w:tcPr>
            <w:tcW w:w="700" w:type="dxa"/>
            <w:vAlign w:val="bottom"/>
            <w:vMerge w:val="restart"/>
            <w:shd w:val="clear" w:color="auto" w:fill="53C072"/>
          </w:tcPr>
          <w:p>
            <w:pPr>
              <w:jc w:val="right"/>
              <w:ind w:right="18"/>
              <w:spacing w:after="0"/>
              <w:rPr>
                <w:sz w:val="20"/>
                <w:szCs w:val="20"/>
                <w:color w:val="auto"/>
              </w:rPr>
            </w:pPr>
            <w:r>
              <w:rPr>
                <w:rFonts w:ascii="Arial" w:cs="Arial" w:eastAsia="Arial" w:hAnsi="Arial"/>
                <w:sz w:val="13"/>
                <w:szCs w:val="13"/>
                <w:b w:val="1"/>
                <w:bCs w:val="1"/>
                <w:color w:val="FEFEFE"/>
                <w:w w:val="96"/>
              </w:rPr>
              <w:t>Fair Value</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53C072"/>
          </w:tcPr>
          <w:p>
            <w:pPr>
              <w:spacing w:after="0"/>
              <w:rPr>
                <w:sz w:val="10"/>
                <w:szCs w:val="10"/>
                <w:color w:val="auto"/>
              </w:rPr>
            </w:pPr>
          </w:p>
        </w:tc>
        <w:tc>
          <w:tcPr>
            <w:tcW w:w="200" w:type="dxa"/>
            <w:vAlign w:val="bottom"/>
            <w:shd w:val="clear" w:color="auto" w:fill="53C072"/>
          </w:tcPr>
          <w:p>
            <w:pPr>
              <w:spacing w:after="0"/>
              <w:rPr>
                <w:sz w:val="10"/>
                <w:szCs w:val="10"/>
                <w:color w:val="auto"/>
              </w:rPr>
            </w:pPr>
          </w:p>
        </w:tc>
        <w:tc>
          <w:tcPr>
            <w:tcW w:w="440" w:type="dxa"/>
            <w:vAlign w:val="bottom"/>
            <w:shd w:val="clear" w:color="auto" w:fill="53C072"/>
          </w:tcPr>
          <w:p>
            <w:pPr>
              <w:spacing w:after="0"/>
              <w:rPr>
                <w:sz w:val="10"/>
                <w:szCs w:val="10"/>
                <w:color w:val="auto"/>
              </w:rPr>
            </w:pPr>
          </w:p>
        </w:tc>
        <w:tc>
          <w:tcPr>
            <w:tcW w:w="140" w:type="dxa"/>
            <w:vAlign w:val="bottom"/>
            <w:tcBorders>
              <w:right w:val="single" w:sz="8" w:color="53C072"/>
            </w:tcBorders>
            <w:shd w:val="clear" w:color="auto" w:fill="53C072"/>
          </w:tcPr>
          <w:p>
            <w:pPr>
              <w:spacing w:after="0"/>
              <w:rPr>
                <w:sz w:val="10"/>
                <w:szCs w:val="10"/>
                <w:color w:val="auto"/>
              </w:rPr>
            </w:pPr>
          </w:p>
        </w:tc>
        <w:tc>
          <w:tcPr>
            <w:tcW w:w="1980" w:type="dxa"/>
            <w:vAlign w:val="bottom"/>
            <w:gridSpan w:val="5"/>
            <w:shd w:val="clear" w:color="auto" w:fill="53C072"/>
          </w:tcPr>
          <w:p>
            <w:pPr>
              <w:jc w:val="right"/>
              <w:spacing w:after="0" w:line="126" w:lineRule="exact"/>
              <w:rPr>
                <w:sz w:val="20"/>
                <w:szCs w:val="20"/>
                <w:color w:val="auto"/>
              </w:rPr>
            </w:pPr>
            <w:r>
              <w:rPr>
                <w:rFonts w:ascii="Arial" w:cs="Arial" w:eastAsia="Arial" w:hAnsi="Arial"/>
                <w:sz w:val="13"/>
                <w:szCs w:val="13"/>
                <w:b w:val="1"/>
                <w:bCs w:val="1"/>
                <w:color w:val="FEFEFE"/>
                <w:w w:val="95"/>
              </w:rPr>
              <w:t>Under Non-Equity Incentive Plan</w:t>
            </w:r>
          </w:p>
        </w:tc>
        <w:tc>
          <w:tcPr>
            <w:tcW w:w="80" w:type="dxa"/>
            <w:vAlign w:val="bottom"/>
            <w:shd w:val="clear" w:color="auto" w:fill="53C072"/>
          </w:tcPr>
          <w:p>
            <w:pPr>
              <w:spacing w:after="0"/>
              <w:rPr>
                <w:sz w:val="10"/>
                <w:szCs w:val="10"/>
                <w:color w:val="auto"/>
              </w:rPr>
            </w:pPr>
          </w:p>
        </w:tc>
        <w:tc>
          <w:tcPr>
            <w:tcW w:w="100" w:type="dxa"/>
            <w:vAlign w:val="bottom"/>
            <w:shd w:val="clear" w:color="auto" w:fill="53C072"/>
          </w:tcPr>
          <w:p>
            <w:pPr>
              <w:spacing w:after="0"/>
              <w:rPr>
                <w:sz w:val="10"/>
                <w:szCs w:val="10"/>
                <w:color w:val="auto"/>
              </w:rPr>
            </w:pPr>
          </w:p>
        </w:tc>
        <w:tc>
          <w:tcPr>
            <w:tcW w:w="1820" w:type="dxa"/>
            <w:vAlign w:val="bottom"/>
            <w:tcBorders>
              <w:right w:val="single" w:sz="8" w:color="53C072"/>
            </w:tcBorders>
            <w:gridSpan w:val="5"/>
            <w:shd w:val="clear" w:color="auto" w:fill="53C072"/>
          </w:tcPr>
          <w:p>
            <w:pPr>
              <w:jc w:val="right"/>
              <w:ind w:right="17"/>
              <w:spacing w:after="0" w:line="126" w:lineRule="exact"/>
              <w:rPr>
                <w:sz w:val="20"/>
                <w:szCs w:val="20"/>
                <w:color w:val="auto"/>
              </w:rPr>
            </w:pPr>
            <w:r>
              <w:rPr>
                <w:rFonts w:ascii="Arial" w:cs="Arial" w:eastAsia="Arial" w:hAnsi="Arial"/>
                <w:sz w:val="13"/>
                <w:szCs w:val="13"/>
                <w:b w:val="1"/>
                <w:bCs w:val="1"/>
                <w:color w:val="FEFEFE"/>
              </w:rPr>
              <w:t>Under Equity Incentive Plan</w:t>
            </w:r>
          </w:p>
        </w:tc>
        <w:tc>
          <w:tcPr>
            <w:tcW w:w="720" w:type="dxa"/>
            <w:vAlign w:val="bottom"/>
            <w:gridSpan w:val="2"/>
            <w:vMerge w:val="continue"/>
            <w:shd w:val="clear" w:color="auto" w:fill="53C072"/>
          </w:tcPr>
          <w:p>
            <w:pPr>
              <w:spacing w:after="0"/>
              <w:rPr>
                <w:sz w:val="10"/>
                <w:szCs w:val="10"/>
                <w:color w:val="auto"/>
              </w:rPr>
            </w:pPr>
          </w:p>
        </w:tc>
        <w:tc>
          <w:tcPr>
            <w:tcW w:w="1600" w:type="dxa"/>
            <w:vAlign w:val="bottom"/>
            <w:gridSpan w:val="4"/>
            <w:vMerge w:val="continue"/>
            <w:shd w:val="clear" w:color="auto" w:fill="53C072"/>
          </w:tcPr>
          <w:p>
            <w:pPr>
              <w:spacing w:after="0"/>
              <w:rPr>
                <w:sz w:val="10"/>
                <w:szCs w:val="10"/>
                <w:color w:val="auto"/>
              </w:rPr>
            </w:pPr>
          </w:p>
        </w:tc>
        <w:tc>
          <w:tcPr>
            <w:tcW w:w="100" w:type="dxa"/>
            <w:vAlign w:val="bottom"/>
            <w:shd w:val="clear" w:color="auto" w:fill="53C072"/>
          </w:tcPr>
          <w:p>
            <w:pPr>
              <w:spacing w:after="0"/>
              <w:rPr>
                <w:sz w:val="10"/>
                <w:szCs w:val="10"/>
                <w:color w:val="auto"/>
              </w:rPr>
            </w:pPr>
          </w:p>
        </w:tc>
        <w:tc>
          <w:tcPr>
            <w:tcW w:w="700" w:type="dxa"/>
            <w:vAlign w:val="bottom"/>
            <w:vMerge w:val="continue"/>
            <w:shd w:val="clear" w:color="auto" w:fill="53C07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840" w:type="dxa"/>
            <w:vAlign w:val="bottom"/>
            <w:vMerge w:val="restart"/>
            <w:shd w:val="clear" w:color="auto" w:fill="53C072"/>
          </w:tcPr>
          <w:p>
            <w:pPr>
              <w:ind w:left="20"/>
              <w:spacing w:after="0"/>
              <w:rPr>
                <w:sz w:val="20"/>
                <w:szCs w:val="20"/>
                <w:color w:val="auto"/>
              </w:rPr>
            </w:pPr>
            <w:r>
              <w:rPr>
                <w:rFonts w:ascii="Arial" w:cs="Arial" w:eastAsia="Arial" w:hAnsi="Arial"/>
                <w:sz w:val="13"/>
                <w:szCs w:val="13"/>
                <w:b w:val="1"/>
                <w:bCs w:val="1"/>
                <w:color w:val="FEFEFE"/>
              </w:rPr>
              <w:t>​</w:t>
            </w:r>
          </w:p>
        </w:tc>
        <w:tc>
          <w:tcPr>
            <w:tcW w:w="200" w:type="dxa"/>
            <w:vAlign w:val="bottom"/>
            <w:vMerge w:val="restart"/>
            <w:shd w:val="clear" w:color="auto" w:fill="53C072"/>
          </w:tcPr>
          <w:p>
            <w:pPr>
              <w:ind w:left="40"/>
              <w:spacing w:after="0"/>
              <w:rPr>
                <w:sz w:val="20"/>
                <w:szCs w:val="20"/>
                <w:color w:val="auto"/>
              </w:rPr>
            </w:pPr>
            <w:r>
              <w:rPr>
                <w:rFonts w:ascii="Arial" w:cs="Arial" w:eastAsia="Arial" w:hAnsi="Arial"/>
                <w:sz w:val="13"/>
                <w:szCs w:val="13"/>
                <w:b w:val="1"/>
                <w:bCs w:val="1"/>
                <w:color w:val="FEFEFE"/>
              </w:rPr>
              <w:t>​​</w:t>
            </w:r>
          </w:p>
        </w:tc>
        <w:tc>
          <w:tcPr>
            <w:tcW w:w="440" w:type="dxa"/>
            <w:vAlign w:val="bottom"/>
            <w:shd w:val="clear" w:color="auto" w:fill="53C072"/>
          </w:tcPr>
          <w:p>
            <w:pPr>
              <w:spacing w:after="0"/>
              <w:rPr>
                <w:sz w:val="7"/>
                <w:szCs w:val="7"/>
                <w:color w:val="auto"/>
              </w:rPr>
            </w:pPr>
          </w:p>
        </w:tc>
        <w:tc>
          <w:tcPr>
            <w:tcW w:w="140" w:type="dxa"/>
            <w:vAlign w:val="bottom"/>
            <w:tcBorders>
              <w:right w:val="single" w:sz="8" w:color="53C072"/>
            </w:tcBorders>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53C072"/>
          </w:tcPr>
          <w:p>
            <w:pPr>
              <w:spacing w:after="0"/>
              <w:rPr>
                <w:sz w:val="7"/>
                <w:szCs w:val="7"/>
                <w:color w:val="auto"/>
              </w:rPr>
            </w:pPr>
          </w:p>
        </w:tc>
        <w:tc>
          <w:tcPr>
            <w:tcW w:w="120" w:type="dxa"/>
            <w:vAlign w:val="bottom"/>
            <w:shd w:val="clear" w:color="auto" w:fill="53C072"/>
          </w:tcPr>
          <w:p>
            <w:pPr>
              <w:spacing w:after="0"/>
              <w:rPr>
                <w:sz w:val="7"/>
                <w:szCs w:val="7"/>
                <w:color w:val="auto"/>
              </w:rPr>
            </w:pPr>
          </w:p>
        </w:tc>
        <w:tc>
          <w:tcPr>
            <w:tcW w:w="520" w:type="dxa"/>
            <w:vAlign w:val="bottom"/>
            <w:shd w:val="clear" w:color="auto" w:fill="53C072"/>
          </w:tcPr>
          <w:p>
            <w:pPr>
              <w:spacing w:after="0"/>
              <w:rPr>
                <w:sz w:val="7"/>
                <w:szCs w:val="7"/>
                <w:color w:val="auto"/>
              </w:rPr>
            </w:pPr>
          </w:p>
        </w:tc>
        <w:tc>
          <w:tcPr>
            <w:tcW w:w="120" w:type="dxa"/>
            <w:vAlign w:val="bottom"/>
            <w:shd w:val="clear" w:color="auto" w:fill="53C072"/>
          </w:tcPr>
          <w:p>
            <w:pPr>
              <w:spacing w:after="0"/>
              <w:rPr>
                <w:sz w:val="7"/>
                <w:szCs w:val="7"/>
                <w:color w:val="auto"/>
              </w:rPr>
            </w:pPr>
          </w:p>
        </w:tc>
        <w:tc>
          <w:tcPr>
            <w:tcW w:w="760" w:type="dxa"/>
            <w:vAlign w:val="bottom"/>
            <w:gridSpan w:val="3"/>
            <w:vMerge w:val="restart"/>
            <w:shd w:val="clear" w:color="auto" w:fill="53C072"/>
          </w:tcPr>
          <w:p>
            <w:pPr>
              <w:jc w:val="right"/>
              <w:ind w:right="60"/>
              <w:spacing w:after="0" w:line="183" w:lineRule="exact"/>
              <w:rPr>
                <w:sz w:val="20"/>
                <w:szCs w:val="20"/>
                <w:color w:val="auto"/>
              </w:rPr>
            </w:pPr>
            <w:r>
              <w:rPr>
                <w:rFonts w:ascii="Arial" w:cs="Arial" w:eastAsia="Arial" w:hAnsi="Arial"/>
                <w:sz w:val="11"/>
                <w:szCs w:val="11"/>
                <w:b w:val="1"/>
                <w:bCs w:val="1"/>
                <w:color w:val="FEFEFE"/>
              </w:rPr>
              <w:t xml:space="preserve">Awards </w:t>
            </w:r>
            <w:r>
              <w:rPr>
                <w:rFonts w:ascii="Arial" w:cs="Arial" w:eastAsia="Arial" w:hAnsi="Arial"/>
                <w:sz w:val="21"/>
                <w:szCs w:val="21"/>
                <w:b w:val="1"/>
                <w:bCs w:val="1"/>
                <w:color w:val="FEFEFE"/>
                <w:vertAlign w:val="subscript"/>
              </w:rPr>
              <w:t>​​</w:t>
            </w:r>
          </w:p>
        </w:tc>
        <w:tc>
          <w:tcPr>
            <w:tcW w:w="580" w:type="dxa"/>
            <w:vAlign w:val="bottom"/>
            <w:shd w:val="clear" w:color="auto" w:fill="53C072"/>
          </w:tcPr>
          <w:p>
            <w:pPr>
              <w:spacing w:after="0"/>
              <w:rPr>
                <w:sz w:val="7"/>
                <w:szCs w:val="7"/>
                <w:color w:val="auto"/>
              </w:rPr>
            </w:pPr>
          </w:p>
        </w:tc>
        <w:tc>
          <w:tcPr>
            <w:tcW w:w="200" w:type="dxa"/>
            <w:vAlign w:val="bottom"/>
            <w:shd w:val="clear" w:color="auto" w:fill="53C072"/>
          </w:tcPr>
          <w:p>
            <w:pPr>
              <w:spacing w:after="0"/>
              <w:rPr>
                <w:sz w:val="7"/>
                <w:szCs w:val="7"/>
                <w:color w:val="auto"/>
              </w:rPr>
            </w:pPr>
          </w:p>
        </w:tc>
        <w:tc>
          <w:tcPr>
            <w:tcW w:w="300" w:type="dxa"/>
            <w:vAlign w:val="bottom"/>
            <w:shd w:val="clear" w:color="auto" w:fill="53C072"/>
          </w:tcPr>
          <w:p>
            <w:pPr>
              <w:spacing w:after="0"/>
              <w:rPr>
                <w:sz w:val="7"/>
                <w:szCs w:val="7"/>
                <w:color w:val="auto"/>
              </w:rPr>
            </w:pPr>
          </w:p>
        </w:tc>
        <w:tc>
          <w:tcPr>
            <w:tcW w:w="740" w:type="dxa"/>
            <w:vAlign w:val="bottom"/>
            <w:tcBorders>
              <w:right w:val="single" w:sz="8" w:color="53C072"/>
            </w:tcBorders>
            <w:gridSpan w:val="2"/>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Awards(#)</w:t>
            </w:r>
          </w:p>
        </w:tc>
        <w:tc>
          <w:tcPr>
            <w:tcW w:w="80" w:type="dxa"/>
            <w:vAlign w:val="bottom"/>
            <w:vMerge w:val="restart"/>
            <w:shd w:val="clear" w:color="auto" w:fill="53C072"/>
          </w:tcPr>
          <w:p>
            <w:pPr>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53C072"/>
          </w:tcPr>
          <w:p>
            <w:pPr>
              <w:jc w:val="right"/>
              <w:spacing w:after="0" w:line="90" w:lineRule="exact"/>
              <w:rPr>
                <w:sz w:val="20"/>
                <w:szCs w:val="20"/>
                <w:color w:val="auto"/>
              </w:rPr>
            </w:pPr>
            <w:r>
              <w:rPr>
                <w:rFonts w:ascii="Arial" w:cs="Arial" w:eastAsia="Arial" w:hAnsi="Arial"/>
                <w:sz w:val="10"/>
                <w:szCs w:val="10"/>
                <w:b w:val="1"/>
                <w:bCs w:val="1"/>
                <w:color w:val="FEFEFE"/>
              </w:rPr>
              <w:t>Shares of</w:t>
            </w:r>
          </w:p>
        </w:tc>
        <w:tc>
          <w:tcPr>
            <w:tcW w:w="120" w:type="dxa"/>
            <w:vAlign w:val="bottom"/>
            <w:shd w:val="clear" w:color="auto" w:fill="53C072"/>
          </w:tcPr>
          <w:p>
            <w:pPr>
              <w:spacing w:after="0"/>
              <w:rPr>
                <w:sz w:val="7"/>
                <w:szCs w:val="7"/>
                <w:color w:val="auto"/>
              </w:rPr>
            </w:pPr>
          </w:p>
        </w:tc>
        <w:tc>
          <w:tcPr>
            <w:tcW w:w="680" w:type="dxa"/>
            <w:vAlign w:val="bottom"/>
            <w:shd w:val="clear" w:color="auto" w:fill="53C072"/>
          </w:tcPr>
          <w:p>
            <w:pPr>
              <w:jc w:val="right"/>
              <w:ind w:right="1"/>
              <w:spacing w:after="0" w:line="90" w:lineRule="exact"/>
              <w:rPr>
                <w:sz w:val="20"/>
                <w:szCs w:val="20"/>
                <w:color w:val="auto"/>
              </w:rPr>
            </w:pPr>
            <w:r>
              <w:rPr>
                <w:rFonts w:ascii="Arial" w:cs="Arial" w:eastAsia="Arial" w:hAnsi="Arial"/>
                <w:sz w:val="10"/>
                <w:szCs w:val="10"/>
                <w:b w:val="1"/>
                <w:bCs w:val="1"/>
                <w:color w:val="FEFEFE"/>
              </w:rPr>
              <w:t>Securities</w:t>
            </w:r>
          </w:p>
        </w:tc>
        <w:tc>
          <w:tcPr>
            <w:tcW w:w="100" w:type="dxa"/>
            <w:vAlign w:val="bottom"/>
            <w:shd w:val="clear" w:color="auto" w:fill="53C072"/>
          </w:tcPr>
          <w:p>
            <w:pPr>
              <w:spacing w:after="0"/>
              <w:rPr>
                <w:sz w:val="7"/>
                <w:szCs w:val="7"/>
                <w:color w:val="auto"/>
              </w:rPr>
            </w:pPr>
          </w:p>
        </w:tc>
        <w:tc>
          <w:tcPr>
            <w:tcW w:w="700" w:type="dxa"/>
            <w:vAlign w:val="bottom"/>
            <w:shd w:val="clear" w:color="auto" w:fill="53C072"/>
          </w:tcPr>
          <w:p>
            <w:pPr>
              <w:jc w:val="right"/>
              <w:ind w:right="2"/>
              <w:spacing w:after="0" w:line="90" w:lineRule="exact"/>
              <w:rPr>
                <w:sz w:val="20"/>
                <w:szCs w:val="20"/>
                <w:color w:val="auto"/>
              </w:rPr>
            </w:pPr>
            <w:r>
              <w:rPr>
                <w:rFonts w:ascii="Arial" w:cs="Arial" w:eastAsia="Arial" w:hAnsi="Arial"/>
                <w:sz w:val="10"/>
                <w:szCs w:val="10"/>
                <w:b w:val="1"/>
                <w:bCs w:val="1"/>
                <w:color w:val="FEFEFE"/>
              </w:rPr>
              <w:t>Base Price</w:t>
            </w:r>
          </w:p>
        </w:tc>
        <w:tc>
          <w:tcPr>
            <w:tcW w:w="100" w:type="dxa"/>
            <w:vAlign w:val="bottom"/>
            <w:shd w:val="clear" w:color="auto" w:fill="53C072"/>
          </w:tcPr>
          <w:p>
            <w:pPr>
              <w:spacing w:after="0"/>
              <w:rPr>
                <w:sz w:val="7"/>
                <w:szCs w:val="7"/>
                <w:color w:val="auto"/>
              </w:rPr>
            </w:pPr>
          </w:p>
        </w:tc>
        <w:tc>
          <w:tcPr>
            <w:tcW w:w="700" w:type="dxa"/>
            <w:vAlign w:val="bottom"/>
            <w:shd w:val="clear" w:color="auto" w:fill="53C072"/>
          </w:tcPr>
          <w:p>
            <w:pPr>
              <w:jc w:val="right"/>
              <w:ind w:right="18"/>
              <w:spacing w:after="0" w:line="90" w:lineRule="exact"/>
              <w:rPr>
                <w:sz w:val="20"/>
                <w:szCs w:val="20"/>
                <w:color w:val="auto"/>
              </w:rPr>
            </w:pPr>
            <w:r>
              <w:rPr>
                <w:rFonts w:ascii="Arial" w:cs="Arial" w:eastAsia="Arial" w:hAnsi="Arial"/>
                <w:sz w:val="10"/>
                <w:szCs w:val="10"/>
                <w:b w:val="1"/>
                <w:bCs w:val="1"/>
                <w:color w:val="FEFEFE"/>
              </w:rPr>
              <w:t>of Stock</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840" w:type="dxa"/>
            <w:vAlign w:val="bottom"/>
            <w:vMerge w:val="continue"/>
            <w:shd w:val="clear" w:color="auto" w:fill="53C072"/>
          </w:tcPr>
          <w:p>
            <w:pPr>
              <w:spacing w:after="0"/>
              <w:rPr>
                <w:sz w:val="9"/>
                <w:szCs w:val="9"/>
                <w:color w:val="auto"/>
              </w:rPr>
            </w:pPr>
          </w:p>
        </w:tc>
        <w:tc>
          <w:tcPr>
            <w:tcW w:w="200" w:type="dxa"/>
            <w:vAlign w:val="bottom"/>
            <w:vMerge w:val="continue"/>
            <w:shd w:val="clear" w:color="auto" w:fill="53C072"/>
          </w:tcPr>
          <w:p>
            <w:pPr>
              <w:spacing w:after="0"/>
              <w:rPr>
                <w:sz w:val="9"/>
                <w:szCs w:val="9"/>
                <w:color w:val="auto"/>
              </w:rPr>
            </w:pPr>
          </w:p>
        </w:tc>
        <w:tc>
          <w:tcPr>
            <w:tcW w:w="440" w:type="dxa"/>
            <w:vAlign w:val="bottom"/>
            <w:shd w:val="clear" w:color="auto" w:fill="53C072"/>
          </w:tcPr>
          <w:p>
            <w:pPr>
              <w:spacing w:after="0"/>
              <w:rPr>
                <w:sz w:val="9"/>
                <w:szCs w:val="9"/>
                <w:color w:val="auto"/>
              </w:rPr>
            </w:pPr>
          </w:p>
        </w:tc>
        <w:tc>
          <w:tcPr>
            <w:tcW w:w="140" w:type="dxa"/>
            <w:vAlign w:val="bottom"/>
            <w:tcBorders>
              <w:right w:val="single" w:sz="8" w:color="53C072"/>
            </w:tcBorders>
            <w:vMerge w:val="continue"/>
            <w:shd w:val="clear" w:color="auto" w:fill="53C072"/>
          </w:tcPr>
          <w:p>
            <w:pPr>
              <w:spacing w:after="0"/>
              <w:rPr>
                <w:sz w:val="9"/>
                <w:szCs w:val="9"/>
                <w:color w:val="auto"/>
              </w:rPr>
            </w:pPr>
          </w:p>
        </w:tc>
        <w:tc>
          <w:tcPr>
            <w:tcW w:w="640" w:type="dxa"/>
            <w:vAlign w:val="bottom"/>
            <w:shd w:val="clear" w:color="auto" w:fill="53C072"/>
          </w:tcPr>
          <w:p>
            <w:pPr>
              <w:spacing w:after="0"/>
              <w:rPr>
                <w:sz w:val="9"/>
                <w:szCs w:val="9"/>
                <w:color w:val="auto"/>
              </w:rPr>
            </w:pPr>
          </w:p>
        </w:tc>
        <w:tc>
          <w:tcPr>
            <w:tcW w:w="120" w:type="dxa"/>
            <w:vAlign w:val="bottom"/>
            <w:shd w:val="clear" w:color="auto" w:fill="53C072"/>
          </w:tcPr>
          <w:p>
            <w:pPr>
              <w:spacing w:after="0"/>
              <w:rPr>
                <w:sz w:val="9"/>
                <w:szCs w:val="9"/>
                <w:color w:val="auto"/>
              </w:rPr>
            </w:pPr>
          </w:p>
        </w:tc>
        <w:tc>
          <w:tcPr>
            <w:tcW w:w="520" w:type="dxa"/>
            <w:vAlign w:val="bottom"/>
            <w:shd w:val="clear" w:color="auto" w:fill="53C072"/>
          </w:tcPr>
          <w:p>
            <w:pPr>
              <w:spacing w:after="0"/>
              <w:rPr>
                <w:sz w:val="9"/>
                <w:szCs w:val="9"/>
                <w:color w:val="auto"/>
              </w:rPr>
            </w:pPr>
          </w:p>
        </w:tc>
        <w:tc>
          <w:tcPr>
            <w:tcW w:w="120" w:type="dxa"/>
            <w:vAlign w:val="bottom"/>
            <w:shd w:val="clear" w:color="auto" w:fill="53C072"/>
          </w:tcPr>
          <w:p>
            <w:pPr>
              <w:spacing w:after="0"/>
              <w:rPr>
                <w:sz w:val="9"/>
                <w:szCs w:val="9"/>
                <w:color w:val="auto"/>
              </w:rPr>
            </w:pPr>
          </w:p>
        </w:tc>
        <w:tc>
          <w:tcPr>
            <w:tcW w:w="760" w:type="dxa"/>
            <w:vAlign w:val="bottom"/>
            <w:gridSpan w:val="3"/>
            <w:vMerge w:val="continue"/>
            <w:shd w:val="clear" w:color="auto" w:fill="53C072"/>
          </w:tcPr>
          <w:p>
            <w:pPr>
              <w:spacing w:after="0"/>
              <w:rPr>
                <w:sz w:val="9"/>
                <w:szCs w:val="9"/>
                <w:color w:val="auto"/>
              </w:rPr>
            </w:pPr>
          </w:p>
        </w:tc>
        <w:tc>
          <w:tcPr>
            <w:tcW w:w="580" w:type="dxa"/>
            <w:vAlign w:val="bottom"/>
            <w:shd w:val="clear" w:color="auto" w:fill="53C072"/>
          </w:tcPr>
          <w:p>
            <w:pPr>
              <w:spacing w:after="0"/>
              <w:rPr>
                <w:sz w:val="9"/>
                <w:szCs w:val="9"/>
                <w:color w:val="auto"/>
              </w:rPr>
            </w:pPr>
          </w:p>
        </w:tc>
        <w:tc>
          <w:tcPr>
            <w:tcW w:w="200" w:type="dxa"/>
            <w:vAlign w:val="bottom"/>
            <w:shd w:val="clear" w:color="auto" w:fill="53C072"/>
          </w:tcPr>
          <w:p>
            <w:pPr>
              <w:spacing w:after="0"/>
              <w:rPr>
                <w:sz w:val="9"/>
                <w:szCs w:val="9"/>
                <w:color w:val="auto"/>
              </w:rPr>
            </w:pPr>
          </w:p>
        </w:tc>
        <w:tc>
          <w:tcPr>
            <w:tcW w:w="300" w:type="dxa"/>
            <w:vAlign w:val="bottom"/>
            <w:shd w:val="clear" w:color="auto" w:fill="53C072"/>
          </w:tcPr>
          <w:p>
            <w:pPr>
              <w:spacing w:after="0"/>
              <w:rPr>
                <w:sz w:val="9"/>
                <w:szCs w:val="9"/>
                <w:color w:val="auto"/>
              </w:rPr>
            </w:pPr>
          </w:p>
        </w:tc>
        <w:tc>
          <w:tcPr>
            <w:tcW w:w="740" w:type="dxa"/>
            <w:vAlign w:val="bottom"/>
            <w:tcBorders>
              <w:right w:val="single" w:sz="8" w:color="53C072"/>
            </w:tcBorders>
            <w:gridSpan w:val="2"/>
            <w:vMerge w:val="continue"/>
            <w:shd w:val="clear" w:color="auto" w:fill="53C072"/>
          </w:tcPr>
          <w:p>
            <w:pPr>
              <w:spacing w:after="0"/>
              <w:rPr>
                <w:sz w:val="9"/>
                <w:szCs w:val="9"/>
                <w:color w:val="auto"/>
              </w:rPr>
            </w:pPr>
          </w:p>
        </w:tc>
        <w:tc>
          <w:tcPr>
            <w:tcW w:w="80" w:type="dxa"/>
            <w:vAlign w:val="bottom"/>
            <w:vMerge w:val="continue"/>
            <w:shd w:val="clear" w:color="auto" w:fill="53C072"/>
          </w:tcPr>
          <w:p>
            <w:pPr>
              <w:spacing w:after="0"/>
              <w:rPr>
                <w:sz w:val="9"/>
                <w:szCs w:val="9"/>
                <w:color w:val="auto"/>
              </w:rPr>
            </w:pPr>
          </w:p>
        </w:tc>
        <w:tc>
          <w:tcPr>
            <w:tcW w:w="640" w:type="dxa"/>
            <w:vAlign w:val="bottom"/>
            <w:vMerge w:val="restart"/>
            <w:shd w:val="clear" w:color="auto" w:fill="53C072"/>
          </w:tcPr>
          <w:p>
            <w:pPr>
              <w:jc w:val="right"/>
              <w:spacing w:after="0" w:line="106" w:lineRule="exact"/>
              <w:rPr>
                <w:sz w:val="20"/>
                <w:szCs w:val="20"/>
                <w:color w:val="auto"/>
              </w:rPr>
            </w:pPr>
            <w:r>
              <w:rPr>
                <w:rFonts w:ascii="Arial" w:cs="Arial" w:eastAsia="Arial" w:hAnsi="Arial"/>
                <w:sz w:val="12"/>
                <w:szCs w:val="12"/>
                <w:b w:val="1"/>
                <w:bCs w:val="1"/>
                <w:color w:val="FEFEFE"/>
              </w:rPr>
              <w:t>Stock or</w:t>
            </w:r>
          </w:p>
        </w:tc>
        <w:tc>
          <w:tcPr>
            <w:tcW w:w="800" w:type="dxa"/>
            <w:vAlign w:val="bottom"/>
            <w:gridSpan w:val="2"/>
            <w:vMerge w:val="restart"/>
            <w:shd w:val="clear" w:color="auto" w:fill="53C072"/>
          </w:tcPr>
          <w:p>
            <w:pPr>
              <w:jc w:val="right"/>
              <w:ind w:right="1"/>
              <w:spacing w:after="0" w:line="106" w:lineRule="exact"/>
              <w:rPr>
                <w:sz w:val="20"/>
                <w:szCs w:val="20"/>
                <w:color w:val="auto"/>
              </w:rPr>
            </w:pPr>
            <w:r>
              <w:rPr>
                <w:rFonts w:ascii="Arial" w:cs="Arial" w:eastAsia="Arial" w:hAnsi="Arial"/>
                <w:sz w:val="12"/>
                <w:szCs w:val="12"/>
                <w:b w:val="1"/>
                <w:bCs w:val="1"/>
                <w:color w:val="FEFEFE"/>
              </w:rPr>
              <w:t>Underlying</w:t>
            </w:r>
          </w:p>
        </w:tc>
        <w:tc>
          <w:tcPr>
            <w:tcW w:w="100" w:type="dxa"/>
            <w:vAlign w:val="bottom"/>
            <w:shd w:val="clear" w:color="auto" w:fill="53C072"/>
          </w:tcPr>
          <w:p>
            <w:pPr>
              <w:spacing w:after="0"/>
              <w:rPr>
                <w:sz w:val="9"/>
                <w:szCs w:val="9"/>
                <w:color w:val="auto"/>
              </w:rPr>
            </w:pPr>
          </w:p>
        </w:tc>
        <w:tc>
          <w:tcPr>
            <w:tcW w:w="700" w:type="dxa"/>
            <w:vAlign w:val="bottom"/>
            <w:vMerge w:val="restart"/>
            <w:shd w:val="clear" w:color="auto" w:fill="53C072"/>
          </w:tcPr>
          <w:p>
            <w:pPr>
              <w:jc w:val="right"/>
              <w:ind w:right="2"/>
              <w:spacing w:after="0" w:line="106" w:lineRule="exact"/>
              <w:rPr>
                <w:sz w:val="20"/>
                <w:szCs w:val="20"/>
                <w:color w:val="auto"/>
              </w:rPr>
            </w:pPr>
            <w:r>
              <w:rPr>
                <w:rFonts w:ascii="Arial" w:cs="Arial" w:eastAsia="Arial" w:hAnsi="Arial"/>
                <w:sz w:val="12"/>
                <w:szCs w:val="12"/>
                <w:b w:val="1"/>
                <w:bCs w:val="1"/>
                <w:color w:val="FEFEFE"/>
              </w:rPr>
              <w:t>of Option</w:t>
            </w:r>
          </w:p>
        </w:tc>
        <w:tc>
          <w:tcPr>
            <w:tcW w:w="100" w:type="dxa"/>
            <w:vAlign w:val="bottom"/>
            <w:shd w:val="clear" w:color="auto" w:fill="53C072"/>
          </w:tcPr>
          <w:p>
            <w:pPr>
              <w:spacing w:after="0"/>
              <w:rPr>
                <w:sz w:val="9"/>
                <w:szCs w:val="9"/>
                <w:color w:val="auto"/>
              </w:rPr>
            </w:pPr>
          </w:p>
        </w:tc>
        <w:tc>
          <w:tcPr>
            <w:tcW w:w="700" w:type="dxa"/>
            <w:vAlign w:val="bottom"/>
            <w:vMerge w:val="restart"/>
            <w:shd w:val="clear" w:color="auto" w:fill="53C072"/>
          </w:tcPr>
          <w:p>
            <w:pPr>
              <w:jc w:val="right"/>
              <w:ind w:right="18"/>
              <w:spacing w:after="0" w:line="106" w:lineRule="exact"/>
              <w:rPr>
                <w:sz w:val="20"/>
                <w:szCs w:val="20"/>
                <w:color w:val="auto"/>
              </w:rPr>
            </w:pPr>
            <w:r>
              <w:rPr>
                <w:rFonts w:ascii="Arial" w:cs="Arial" w:eastAsia="Arial" w:hAnsi="Arial"/>
                <w:sz w:val="12"/>
                <w:szCs w:val="12"/>
                <w:b w:val="1"/>
                <w:bCs w:val="1"/>
                <w:color w:val="FEFEFE"/>
              </w:rPr>
              <w:t>and</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53C072"/>
          </w:tcPr>
          <w:p>
            <w:pPr>
              <w:spacing w:after="0" w:line="20" w:lineRule="exact"/>
              <w:rPr>
                <w:sz w:val="1"/>
                <w:szCs w:val="1"/>
                <w:color w:val="auto"/>
              </w:rPr>
            </w:pPr>
          </w:p>
        </w:tc>
        <w:tc>
          <w:tcPr>
            <w:tcW w:w="200" w:type="dxa"/>
            <w:vAlign w:val="bottom"/>
            <w:shd w:val="clear" w:color="auto" w:fill="53C072"/>
          </w:tcPr>
          <w:p>
            <w:pPr>
              <w:spacing w:after="0" w:line="20" w:lineRule="exact"/>
              <w:rPr>
                <w:sz w:val="1"/>
                <w:szCs w:val="1"/>
                <w:color w:val="auto"/>
              </w:rPr>
            </w:pPr>
          </w:p>
        </w:tc>
        <w:tc>
          <w:tcPr>
            <w:tcW w:w="440" w:type="dxa"/>
            <w:vAlign w:val="bottom"/>
            <w:shd w:val="clear" w:color="auto" w:fill="53C072"/>
          </w:tcPr>
          <w:p>
            <w:pPr>
              <w:spacing w:after="0" w:line="20" w:lineRule="exact"/>
              <w:rPr>
                <w:sz w:val="1"/>
                <w:szCs w:val="1"/>
                <w:color w:val="auto"/>
              </w:rPr>
            </w:pPr>
          </w:p>
        </w:tc>
        <w:tc>
          <w:tcPr>
            <w:tcW w:w="140" w:type="dxa"/>
            <w:vAlign w:val="bottom"/>
            <w:tcBorders>
              <w:right w:val="single" w:sz="8" w:color="auto"/>
            </w:tcBorders>
            <w:shd w:val="clear" w:color="auto" w:fill="53C07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53C07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right w:val="single" w:sz="8" w:color="53C072"/>
            </w:tcBorders>
            <w:shd w:val="clear" w:color="auto" w:fill="000000"/>
          </w:tcPr>
          <w:p>
            <w:pPr>
              <w:spacing w:after="0" w:line="20" w:lineRule="exact"/>
              <w:rPr>
                <w:sz w:val="1"/>
                <w:szCs w:val="1"/>
                <w:color w:val="auto"/>
              </w:rPr>
            </w:pPr>
          </w:p>
        </w:tc>
        <w:tc>
          <w:tcPr>
            <w:tcW w:w="80" w:type="dxa"/>
            <w:vAlign w:val="bottom"/>
            <w:vMerge w:val="continue"/>
            <w:shd w:val="clear" w:color="auto" w:fill="53C072"/>
          </w:tcPr>
          <w:p>
            <w:pPr>
              <w:spacing w:after="0" w:line="20" w:lineRule="exact"/>
              <w:rPr>
                <w:sz w:val="1"/>
                <w:szCs w:val="1"/>
                <w:color w:val="auto"/>
              </w:rPr>
            </w:pPr>
          </w:p>
        </w:tc>
        <w:tc>
          <w:tcPr>
            <w:tcW w:w="640" w:type="dxa"/>
            <w:vAlign w:val="bottom"/>
            <w:vMerge w:val="continue"/>
            <w:shd w:val="clear" w:color="auto" w:fill="53C072"/>
          </w:tcPr>
          <w:p>
            <w:pPr>
              <w:spacing w:after="0" w:line="20" w:lineRule="exact"/>
              <w:rPr>
                <w:sz w:val="1"/>
                <w:szCs w:val="1"/>
                <w:color w:val="auto"/>
              </w:rPr>
            </w:pPr>
          </w:p>
        </w:tc>
        <w:tc>
          <w:tcPr>
            <w:tcW w:w="800" w:type="dxa"/>
            <w:vAlign w:val="bottom"/>
            <w:gridSpan w:val="2"/>
            <w:vMerge w:val="continue"/>
            <w:shd w:val="clear" w:color="auto" w:fill="53C072"/>
          </w:tcPr>
          <w:p>
            <w:pPr>
              <w:spacing w:after="0" w:line="20" w:lineRule="exact"/>
              <w:rPr>
                <w:sz w:val="1"/>
                <w:szCs w:val="1"/>
                <w:color w:val="auto"/>
              </w:rPr>
            </w:pPr>
          </w:p>
        </w:tc>
        <w:tc>
          <w:tcPr>
            <w:tcW w:w="100" w:type="dxa"/>
            <w:vAlign w:val="bottom"/>
            <w:shd w:val="clear" w:color="auto" w:fill="53C072"/>
          </w:tcPr>
          <w:p>
            <w:pPr>
              <w:spacing w:after="0" w:line="20" w:lineRule="exact"/>
              <w:rPr>
                <w:sz w:val="1"/>
                <w:szCs w:val="1"/>
                <w:color w:val="auto"/>
              </w:rPr>
            </w:pPr>
          </w:p>
        </w:tc>
        <w:tc>
          <w:tcPr>
            <w:tcW w:w="700" w:type="dxa"/>
            <w:vAlign w:val="bottom"/>
            <w:vMerge w:val="continue"/>
            <w:shd w:val="clear" w:color="auto" w:fill="53C072"/>
          </w:tcPr>
          <w:p>
            <w:pPr>
              <w:spacing w:after="0" w:line="20" w:lineRule="exact"/>
              <w:rPr>
                <w:sz w:val="1"/>
                <w:szCs w:val="1"/>
                <w:color w:val="auto"/>
              </w:rPr>
            </w:pPr>
          </w:p>
        </w:tc>
        <w:tc>
          <w:tcPr>
            <w:tcW w:w="100" w:type="dxa"/>
            <w:vAlign w:val="bottom"/>
            <w:shd w:val="clear" w:color="auto" w:fill="53C072"/>
          </w:tcPr>
          <w:p>
            <w:pPr>
              <w:spacing w:after="0" w:line="20" w:lineRule="exact"/>
              <w:rPr>
                <w:sz w:val="1"/>
                <w:szCs w:val="1"/>
                <w:color w:val="auto"/>
              </w:rPr>
            </w:pPr>
          </w:p>
        </w:tc>
        <w:tc>
          <w:tcPr>
            <w:tcW w:w="700" w:type="dxa"/>
            <w:vAlign w:val="bottom"/>
            <w:vMerge w:val="continue"/>
            <w:shd w:val="clear" w:color="auto" w:fill="53C07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840" w:type="dxa"/>
            <w:vAlign w:val="bottom"/>
            <w:shd w:val="clear" w:color="auto" w:fill="53C072"/>
          </w:tcPr>
          <w:p>
            <w:pPr>
              <w:spacing w:after="0"/>
              <w:rPr>
                <w:sz w:val="13"/>
                <w:szCs w:val="13"/>
                <w:color w:val="auto"/>
              </w:rPr>
            </w:pPr>
          </w:p>
        </w:tc>
        <w:tc>
          <w:tcPr>
            <w:tcW w:w="200" w:type="dxa"/>
            <w:vAlign w:val="bottom"/>
            <w:shd w:val="clear" w:color="auto" w:fill="53C072"/>
          </w:tcPr>
          <w:p>
            <w:pPr>
              <w:spacing w:after="0"/>
              <w:rPr>
                <w:sz w:val="13"/>
                <w:szCs w:val="13"/>
                <w:color w:val="auto"/>
              </w:rPr>
            </w:pPr>
          </w:p>
        </w:tc>
        <w:tc>
          <w:tcPr>
            <w:tcW w:w="440" w:type="dxa"/>
            <w:vAlign w:val="bottom"/>
            <w:shd w:val="clear" w:color="auto" w:fill="53C072"/>
          </w:tcPr>
          <w:p>
            <w:pPr>
              <w:ind w:left="80"/>
              <w:spacing w:after="0"/>
              <w:rPr>
                <w:sz w:val="20"/>
                <w:szCs w:val="20"/>
                <w:color w:val="auto"/>
              </w:rPr>
            </w:pPr>
            <w:r>
              <w:rPr>
                <w:rFonts w:ascii="Arial" w:cs="Arial" w:eastAsia="Arial" w:hAnsi="Arial"/>
                <w:sz w:val="13"/>
                <w:szCs w:val="13"/>
                <w:b w:val="1"/>
                <w:bCs w:val="1"/>
                <w:color w:val="FEFEFE"/>
                <w:w w:val="97"/>
              </w:rPr>
              <w:t>Grant</w:t>
            </w:r>
          </w:p>
        </w:tc>
        <w:tc>
          <w:tcPr>
            <w:tcW w:w="140" w:type="dxa"/>
            <w:vAlign w:val="bottom"/>
            <w:tcBorders>
              <w:right w:val="single" w:sz="8" w:color="53C072"/>
            </w:tcBorders>
            <w:shd w:val="clear" w:color="auto" w:fill="53C072"/>
          </w:tcPr>
          <w:p>
            <w:pPr>
              <w:spacing w:after="0"/>
              <w:rPr>
                <w:sz w:val="13"/>
                <w:szCs w:val="13"/>
                <w:color w:val="auto"/>
              </w:rPr>
            </w:pPr>
          </w:p>
        </w:tc>
        <w:tc>
          <w:tcPr>
            <w:tcW w:w="640" w:type="dxa"/>
            <w:vAlign w:val="bottom"/>
            <w:shd w:val="clear" w:color="auto" w:fill="53C072"/>
          </w:tcPr>
          <w:p>
            <w:pPr>
              <w:jc w:val="right"/>
              <w:ind w:right="3"/>
              <w:spacing w:after="0"/>
              <w:rPr>
                <w:sz w:val="20"/>
                <w:szCs w:val="20"/>
                <w:color w:val="auto"/>
              </w:rPr>
            </w:pPr>
            <w:r>
              <w:rPr>
                <w:rFonts w:ascii="Arial" w:cs="Arial" w:eastAsia="Arial" w:hAnsi="Arial"/>
                <w:sz w:val="13"/>
                <w:szCs w:val="13"/>
                <w:b w:val="1"/>
                <w:bCs w:val="1"/>
                <w:color w:val="FEFEFE"/>
                <w:w w:val="89"/>
              </w:rPr>
              <w:t>Threshold</w:t>
            </w:r>
          </w:p>
        </w:tc>
        <w:tc>
          <w:tcPr>
            <w:tcW w:w="120" w:type="dxa"/>
            <w:vAlign w:val="bottom"/>
            <w:shd w:val="clear" w:color="auto" w:fill="53C072"/>
          </w:tcPr>
          <w:p>
            <w:pPr>
              <w:spacing w:after="0"/>
              <w:rPr>
                <w:sz w:val="13"/>
                <w:szCs w:val="13"/>
                <w:color w:val="auto"/>
              </w:rPr>
            </w:pPr>
          </w:p>
        </w:tc>
        <w:tc>
          <w:tcPr>
            <w:tcW w:w="1980" w:type="dxa"/>
            <w:vAlign w:val="bottom"/>
            <w:gridSpan w:val="6"/>
            <w:shd w:val="clear" w:color="auto" w:fill="53C072"/>
          </w:tcPr>
          <w:p>
            <w:pPr>
              <w:jc w:val="right"/>
              <w:spacing w:after="0"/>
              <w:rPr>
                <w:sz w:val="20"/>
                <w:szCs w:val="20"/>
                <w:color w:val="auto"/>
              </w:rPr>
            </w:pPr>
            <w:r>
              <w:rPr>
                <w:rFonts w:ascii="Arial" w:cs="Arial" w:eastAsia="Arial" w:hAnsi="Arial"/>
                <w:sz w:val="13"/>
                <w:szCs w:val="13"/>
                <w:b w:val="1"/>
                <w:bCs w:val="1"/>
                <w:color w:val="FEFEFE"/>
              </w:rPr>
              <w:t>Target  Maximum  Threshold</w:t>
            </w:r>
          </w:p>
        </w:tc>
        <w:tc>
          <w:tcPr>
            <w:tcW w:w="1240" w:type="dxa"/>
            <w:vAlign w:val="bottom"/>
            <w:tcBorders>
              <w:right w:val="single" w:sz="8" w:color="53C072"/>
            </w:tcBorders>
            <w:gridSpan w:val="4"/>
            <w:shd w:val="clear" w:color="auto" w:fill="53C072"/>
          </w:tcPr>
          <w:p>
            <w:pPr>
              <w:jc w:val="right"/>
              <w:ind w:right="17"/>
              <w:spacing w:after="0"/>
              <w:rPr>
                <w:sz w:val="20"/>
                <w:szCs w:val="20"/>
                <w:color w:val="auto"/>
              </w:rPr>
            </w:pPr>
            <w:r>
              <w:rPr>
                <w:rFonts w:ascii="Arial" w:cs="Arial" w:eastAsia="Arial" w:hAnsi="Arial"/>
                <w:sz w:val="13"/>
                <w:szCs w:val="13"/>
                <w:b w:val="1"/>
                <w:bCs w:val="1"/>
                <w:color w:val="FEFEFE"/>
              </w:rPr>
              <w:t>Target  Maximum</w:t>
            </w:r>
          </w:p>
        </w:tc>
        <w:tc>
          <w:tcPr>
            <w:tcW w:w="8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Units</w:t>
            </w:r>
          </w:p>
        </w:tc>
        <w:tc>
          <w:tcPr>
            <w:tcW w:w="120" w:type="dxa"/>
            <w:vAlign w:val="bottom"/>
            <w:shd w:val="clear" w:color="auto" w:fill="53C072"/>
          </w:tcPr>
          <w:p>
            <w:pPr>
              <w:spacing w:after="0"/>
              <w:rPr>
                <w:sz w:val="13"/>
                <w:szCs w:val="13"/>
                <w:color w:val="auto"/>
              </w:rPr>
            </w:pPr>
          </w:p>
        </w:tc>
        <w:tc>
          <w:tcPr>
            <w:tcW w:w="680" w:type="dxa"/>
            <w:vAlign w:val="bottom"/>
            <w:shd w:val="clear" w:color="auto" w:fill="53C072"/>
          </w:tcPr>
          <w:p>
            <w:pPr>
              <w:jc w:val="right"/>
              <w:ind w:right="1"/>
              <w:spacing w:after="0"/>
              <w:rPr>
                <w:sz w:val="20"/>
                <w:szCs w:val="20"/>
                <w:color w:val="auto"/>
              </w:rPr>
            </w:pPr>
            <w:r>
              <w:rPr>
                <w:rFonts w:ascii="Arial" w:cs="Arial" w:eastAsia="Arial" w:hAnsi="Arial"/>
                <w:sz w:val="13"/>
                <w:szCs w:val="13"/>
                <w:b w:val="1"/>
                <w:bCs w:val="1"/>
                <w:color w:val="FEFEFE"/>
              </w:rPr>
              <w:t>Options</w:t>
            </w:r>
          </w:p>
        </w:tc>
        <w:tc>
          <w:tcPr>
            <w:tcW w:w="100" w:type="dxa"/>
            <w:vAlign w:val="bottom"/>
            <w:shd w:val="clear" w:color="auto" w:fill="53C072"/>
          </w:tcPr>
          <w:p>
            <w:pPr>
              <w:spacing w:after="0"/>
              <w:rPr>
                <w:sz w:val="13"/>
                <w:szCs w:val="13"/>
                <w:color w:val="auto"/>
              </w:rPr>
            </w:pPr>
          </w:p>
        </w:tc>
        <w:tc>
          <w:tcPr>
            <w:tcW w:w="700" w:type="dxa"/>
            <w:vAlign w:val="bottom"/>
            <w:shd w:val="clear" w:color="auto" w:fill="53C072"/>
          </w:tcPr>
          <w:p>
            <w:pPr>
              <w:jc w:val="right"/>
              <w:ind w:right="2"/>
              <w:spacing w:after="0"/>
              <w:rPr>
                <w:sz w:val="20"/>
                <w:szCs w:val="20"/>
                <w:color w:val="auto"/>
              </w:rPr>
            </w:pPr>
            <w:r>
              <w:rPr>
                <w:rFonts w:ascii="Arial" w:cs="Arial" w:eastAsia="Arial" w:hAnsi="Arial"/>
                <w:sz w:val="13"/>
                <w:szCs w:val="13"/>
                <w:b w:val="1"/>
                <w:bCs w:val="1"/>
                <w:color w:val="FEFEFE"/>
              </w:rPr>
              <w:t>Awards</w:t>
            </w:r>
          </w:p>
        </w:tc>
        <w:tc>
          <w:tcPr>
            <w:tcW w:w="100" w:type="dxa"/>
            <w:vAlign w:val="bottom"/>
            <w:shd w:val="clear" w:color="auto" w:fill="53C072"/>
          </w:tcPr>
          <w:p>
            <w:pPr>
              <w:spacing w:after="0"/>
              <w:rPr>
                <w:sz w:val="13"/>
                <w:szCs w:val="13"/>
                <w:color w:val="auto"/>
              </w:rPr>
            </w:pPr>
          </w:p>
        </w:tc>
        <w:tc>
          <w:tcPr>
            <w:tcW w:w="700" w:type="dxa"/>
            <w:vAlign w:val="bottom"/>
            <w:shd w:val="clear" w:color="auto" w:fill="53C072"/>
          </w:tcPr>
          <w:p>
            <w:pPr>
              <w:jc w:val="right"/>
              <w:ind w:right="18"/>
              <w:spacing w:after="0"/>
              <w:rPr>
                <w:sz w:val="20"/>
                <w:szCs w:val="20"/>
                <w:color w:val="auto"/>
              </w:rPr>
            </w:pPr>
            <w:r>
              <w:rPr>
                <w:rFonts w:ascii="Arial" w:cs="Arial" w:eastAsia="Arial" w:hAnsi="Arial"/>
                <w:sz w:val="13"/>
                <w:szCs w:val="13"/>
                <w:b w:val="1"/>
                <w:bCs w:val="1"/>
                <w:color w:val="FEFEFE"/>
              </w:rPr>
              <w:t>Options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40" w:type="dxa"/>
            <w:vAlign w:val="bottom"/>
            <w:tcBorders>
              <w:bottom w:val="single" w:sz="8" w:color="53C072"/>
            </w:tcBorders>
            <w:shd w:val="clear" w:color="auto" w:fill="53C072"/>
          </w:tcPr>
          <w:p>
            <w:pPr>
              <w:ind w:left="20"/>
              <w:spacing w:after="0"/>
              <w:rPr>
                <w:sz w:val="20"/>
                <w:szCs w:val="20"/>
                <w:color w:val="auto"/>
              </w:rPr>
            </w:pPr>
            <w:r>
              <w:rPr>
                <w:rFonts w:ascii="Arial" w:cs="Arial" w:eastAsia="Arial" w:hAnsi="Arial"/>
                <w:sz w:val="13"/>
                <w:szCs w:val="13"/>
                <w:b w:val="1"/>
                <w:bCs w:val="1"/>
                <w:color w:val="FEFEFE"/>
              </w:rPr>
              <w:t>​Name</w:t>
            </w:r>
          </w:p>
        </w:tc>
        <w:tc>
          <w:tcPr>
            <w:tcW w:w="200" w:type="dxa"/>
            <w:vAlign w:val="bottom"/>
            <w:tcBorders>
              <w:bottom w:val="single" w:sz="8" w:color="53C072"/>
            </w:tcBorders>
            <w:shd w:val="clear" w:color="auto" w:fill="53C072"/>
          </w:tcPr>
          <w:p>
            <w:pPr>
              <w:ind w:left="40"/>
              <w:spacing w:after="0"/>
              <w:rPr>
                <w:sz w:val="20"/>
                <w:szCs w:val="20"/>
                <w:color w:val="auto"/>
              </w:rPr>
            </w:pPr>
            <w:r>
              <w:rPr>
                <w:rFonts w:ascii="Arial" w:cs="Arial" w:eastAsia="Arial" w:hAnsi="Arial"/>
                <w:sz w:val="13"/>
                <w:szCs w:val="13"/>
                <w:b w:val="1"/>
                <w:bCs w:val="1"/>
                <w:color w:val="FEFEFE"/>
              </w:rPr>
              <w:t>​​</w:t>
            </w:r>
          </w:p>
        </w:tc>
        <w:tc>
          <w:tcPr>
            <w:tcW w:w="580" w:type="dxa"/>
            <w:vAlign w:val="bottom"/>
            <w:tcBorders>
              <w:bottom w:val="single" w:sz="8" w:color="53C072"/>
              <w:right w:val="single" w:sz="8" w:color="53C072"/>
            </w:tcBorders>
            <w:gridSpan w:val="2"/>
            <w:shd w:val="clear" w:color="auto" w:fill="53C072"/>
          </w:tcPr>
          <w:p>
            <w:pPr>
              <w:jc w:val="right"/>
              <w:spacing w:after="0" w:line="153" w:lineRule="exact"/>
              <w:rPr>
                <w:sz w:val="20"/>
                <w:szCs w:val="20"/>
                <w:color w:val="auto"/>
              </w:rPr>
            </w:pPr>
            <w:r>
              <w:rPr>
                <w:rFonts w:ascii="Arial" w:cs="Arial" w:eastAsia="Arial" w:hAnsi="Arial"/>
                <w:sz w:val="10"/>
                <w:szCs w:val="10"/>
                <w:b w:val="1"/>
                <w:bCs w:val="1"/>
                <w:color w:val="FEFEFE"/>
              </w:rPr>
              <w:t xml:space="preserve">Date </w:t>
            </w:r>
            <w:r>
              <w:rPr>
                <w:rFonts w:ascii="Arial" w:cs="Arial" w:eastAsia="Arial" w:hAnsi="Arial"/>
                <w:sz w:val="17"/>
                <w:szCs w:val="17"/>
                <w:b w:val="1"/>
                <w:bCs w:val="1"/>
                <w:color w:val="FEFEFE"/>
                <w:vertAlign w:val="subscript"/>
              </w:rPr>
              <w:t>​​</w:t>
            </w:r>
          </w:p>
        </w:tc>
        <w:tc>
          <w:tcPr>
            <w:tcW w:w="760" w:type="dxa"/>
            <w:vAlign w:val="bottom"/>
            <w:tcBorders>
              <w:bottom w:val="single" w:sz="8" w:color="53C072"/>
            </w:tcBorders>
            <w:gridSpan w:val="2"/>
            <w:shd w:val="clear" w:color="auto" w:fill="53C072"/>
          </w:tcPr>
          <w:p>
            <w:pPr>
              <w:jc w:val="right"/>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640" w:type="dxa"/>
            <w:vAlign w:val="bottom"/>
            <w:tcBorders>
              <w:bottom w:val="single" w:sz="8" w:color="53C072"/>
            </w:tcBorders>
            <w:gridSpan w:val="2"/>
            <w:shd w:val="clear" w:color="auto" w:fill="53C072"/>
          </w:tcPr>
          <w:p>
            <w:pPr>
              <w:jc w:val="right"/>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760" w:type="dxa"/>
            <w:vAlign w:val="bottom"/>
            <w:tcBorders>
              <w:bottom w:val="single" w:sz="8" w:color="53C072"/>
            </w:tcBorders>
            <w:gridSpan w:val="3"/>
            <w:shd w:val="clear" w:color="auto" w:fill="53C072"/>
          </w:tcPr>
          <w:p>
            <w:pPr>
              <w:jc w:val="right"/>
              <w:ind w:right="60"/>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780" w:type="dxa"/>
            <w:vAlign w:val="bottom"/>
            <w:tcBorders>
              <w:bottom w:val="single" w:sz="8" w:color="53C072"/>
            </w:tcBorders>
            <w:gridSpan w:val="2"/>
            <w:shd w:val="clear" w:color="auto" w:fill="53C072"/>
          </w:tcPr>
          <w:p>
            <w:pPr>
              <w:jc w:val="right"/>
              <w:ind w:right="42"/>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460" w:type="dxa"/>
            <w:vAlign w:val="bottom"/>
            <w:tcBorders>
              <w:bottom w:val="single" w:sz="8" w:color="53C072"/>
            </w:tcBorders>
            <w:gridSpan w:val="2"/>
            <w:shd w:val="clear" w:color="auto" w:fill="53C072"/>
          </w:tcPr>
          <w:p>
            <w:pPr>
              <w:jc w:val="right"/>
              <w:ind w:right="6"/>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580" w:type="dxa"/>
            <w:vAlign w:val="bottom"/>
            <w:tcBorders>
              <w:bottom w:val="single" w:sz="8" w:color="53C072"/>
              <w:right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80" w:type="dxa"/>
            <w:vAlign w:val="bottom"/>
            <w:tcBorders>
              <w:bottom w:val="single" w:sz="8" w:color="53C072"/>
            </w:tcBorders>
            <w:shd w:val="clear" w:color="auto" w:fill="53C072"/>
          </w:tcPr>
          <w:p>
            <w:pPr>
              <w:spacing w:after="0"/>
              <w:rPr>
                <w:sz w:val="20"/>
                <w:szCs w:val="20"/>
                <w:color w:val="auto"/>
              </w:rPr>
            </w:pPr>
            <w:r>
              <w:rPr>
                <w:rFonts w:ascii="Arial" w:cs="Arial" w:eastAsia="Arial" w:hAnsi="Arial"/>
                <w:sz w:val="13"/>
                <w:szCs w:val="13"/>
                <w:b w:val="1"/>
                <w:bCs w:val="1"/>
                <w:color w:val="FEFEFE"/>
              </w:rPr>
              <w:t>​​</w:t>
            </w:r>
          </w:p>
        </w:tc>
        <w:tc>
          <w:tcPr>
            <w:tcW w:w="760" w:type="dxa"/>
            <w:vAlign w:val="bottom"/>
            <w:tcBorders>
              <w:bottom w:val="single" w:sz="8" w:color="53C072"/>
            </w:tcBorders>
            <w:gridSpan w:val="2"/>
            <w:shd w:val="clear" w:color="auto" w:fill="53C072"/>
          </w:tcPr>
          <w:p>
            <w:pPr>
              <w:jc w:val="right"/>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780" w:type="dxa"/>
            <w:vAlign w:val="bottom"/>
            <w:tcBorders>
              <w:bottom w:val="single" w:sz="8" w:color="53C072"/>
            </w:tcBorders>
            <w:gridSpan w:val="2"/>
            <w:shd w:val="clear" w:color="auto" w:fill="53C072"/>
          </w:tcPr>
          <w:p>
            <w:pPr>
              <w:jc w:val="right"/>
              <w:spacing w:after="0" w:line="153" w:lineRule="exact"/>
              <w:rPr>
                <w:sz w:val="20"/>
                <w:szCs w:val="20"/>
                <w:color w:val="auto"/>
              </w:rPr>
            </w:pPr>
            <w:r>
              <w:rPr>
                <w:rFonts w:ascii="Arial" w:cs="Arial" w:eastAsia="Arial" w:hAnsi="Arial"/>
                <w:sz w:val="10"/>
                <w:szCs w:val="10"/>
                <w:b w:val="1"/>
                <w:bCs w:val="1"/>
                <w:color w:val="FEFEFE"/>
              </w:rPr>
              <w:t xml:space="preserve">(#) </w:t>
            </w:r>
            <w:r>
              <w:rPr>
                <w:rFonts w:ascii="Arial" w:cs="Arial" w:eastAsia="Arial" w:hAnsi="Arial"/>
                <w:sz w:val="17"/>
                <w:szCs w:val="17"/>
                <w:b w:val="1"/>
                <w:bCs w:val="1"/>
                <w:color w:val="FEFEFE"/>
                <w:vertAlign w:val="subscript"/>
              </w:rPr>
              <w:t>​​</w:t>
            </w:r>
          </w:p>
        </w:tc>
        <w:tc>
          <w:tcPr>
            <w:tcW w:w="800" w:type="dxa"/>
            <w:vAlign w:val="bottom"/>
            <w:tcBorders>
              <w:bottom w:val="single" w:sz="8" w:color="53C072"/>
            </w:tcBorders>
            <w:gridSpan w:val="2"/>
            <w:shd w:val="clear" w:color="auto" w:fill="53C072"/>
          </w:tcPr>
          <w:p>
            <w:pPr>
              <w:jc w:val="right"/>
              <w:spacing w:after="0" w:line="153" w:lineRule="exact"/>
              <w:rPr>
                <w:sz w:val="20"/>
                <w:szCs w:val="20"/>
                <w:color w:val="auto"/>
              </w:rPr>
            </w:pPr>
            <w:r>
              <w:rPr>
                <w:rFonts w:ascii="Arial" w:cs="Arial" w:eastAsia="Arial" w:hAnsi="Arial"/>
                <w:sz w:val="10"/>
                <w:szCs w:val="10"/>
                <w:b w:val="1"/>
                <w:bCs w:val="1"/>
                <w:color w:val="FEFEFE"/>
              </w:rPr>
              <w:t xml:space="preserve">($/Sh) </w:t>
            </w:r>
            <w:r>
              <w:rPr>
                <w:rFonts w:ascii="Arial" w:cs="Arial" w:eastAsia="Arial" w:hAnsi="Arial"/>
                <w:sz w:val="17"/>
                <w:szCs w:val="17"/>
                <w:b w:val="1"/>
                <w:bCs w:val="1"/>
                <w:color w:val="FEFEFE"/>
                <w:vertAlign w:val="subscript"/>
              </w:rPr>
              <w:t>​​</w:t>
            </w:r>
          </w:p>
        </w:tc>
        <w:tc>
          <w:tcPr>
            <w:tcW w:w="70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Awards</w:t>
            </w:r>
          </w:p>
        </w:tc>
        <w:tc>
          <w:tcPr>
            <w:tcW w:w="40" w:type="dxa"/>
            <w:vAlign w:val="bottom"/>
          </w:tcPr>
          <w:p>
            <w:pPr>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94"/>
        </w:trPr>
        <w:tc>
          <w:tcPr>
            <w:tcW w:w="184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w w:val="96"/>
              </w:rPr>
              <w:t>3,600,000</w:t>
            </w:r>
          </w:p>
        </w:tc>
        <w:tc>
          <w:tcPr>
            <w:tcW w:w="180" w:type="dxa"/>
            <w:vAlign w:val="bottom"/>
            <w:gridSpan w:val="2"/>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42"/>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tcPr>
          <w:p>
            <w:pPr>
              <w:ind w:left="14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6"/>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tcPr>
          <w:p>
            <w:pPr>
              <w:ind w:left="560"/>
              <w:spacing w:after="0" w:line="144" w:lineRule="exact"/>
              <w:rPr>
                <w:sz w:val="20"/>
                <w:szCs w:val="20"/>
                <w:color w:val="auto"/>
              </w:rPr>
            </w:pPr>
            <w:r>
              <w:rPr>
                <w:rFonts w:ascii="Arial" w:cs="Arial" w:eastAsia="Arial" w:hAnsi="Arial"/>
                <w:sz w:val="13"/>
                <w:szCs w:val="13"/>
                <w:color w:val="auto"/>
                <w:w w:val="91"/>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0"/>
        </w:trPr>
        <w:tc>
          <w:tcPr>
            <w:tcW w:w="1840" w:type="dxa"/>
            <w:vAlign w:val="bottom"/>
          </w:tcPr>
          <w:p>
            <w:pPr>
              <w:ind w:left="20"/>
              <w:spacing w:after="0" w:line="50" w:lineRule="exact"/>
              <w:rPr>
                <w:sz w:val="20"/>
                <w:szCs w:val="20"/>
                <w:color w:val="auto"/>
              </w:rPr>
            </w:pPr>
            <w:r>
              <w:rPr>
                <w:rFonts w:ascii="Arial" w:cs="Arial" w:eastAsia="Arial" w:hAnsi="Arial"/>
                <w:sz w:val="5"/>
                <w:szCs w:val="5"/>
                <w:color w:val="auto"/>
              </w:rPr>
              <w:t>Philip R. Gallagher</w:t>
            </w:r>
          </w:p>
        </w:tc>
        <w:tc>
          <w:tcPr>
            <w:tcW w:w="640" w:type="dxa"/>
            <w:vAlign w:val="bottom"/>
            <w:gridSpan w:val="2"/>
          </w:tcPr>
          <w:p>
            <w:pPr>
              <w:ind w:left="100"/>
              <w:spacing w:after="0" w:line="50" w:lineRule="exact"/>
              <w:rPr>
                <w:sz w:val="20"/>
                <w:szCs w:val="20"/>
                <w:color w:val="auto"/>
              </w:rPr>
            </w:pPr>
            <w:r>
              <w:rPr>
                <w:rFonts w:ascii="Arial" w:cs="Arial" w:eastAsia="Arial" w:hAnsi="Arial"/>
                <w:sz w:val="5"/>
                <w:szCs w:val="5"/>
                <w:color w:val="auto"/>
              </w:rPr>
              <w:t>8/29/2023</w:t>
            </w:r>
          </w:p>
        </w:tc>
        <w:tc>
          <w:tcPr>
            <w:tcW w:w="140" w:type="dxa"/>
            <w:vAlign w:val="bottom"/>
          </w:tcPr>
          <w:p>
            <w:pPr>
              <w:spacing w:after="0"/>
              <w:rPr>
                <w:sz w:val="4"/>
                <w:szCs w:val="4"/>
                <w:color w:val="auto"/>
              </w:rPr>
            </w:pPr>
          </w:p>
        </w:tc>
        <w:tc>
          <w:tcPr>
            <w:tcW w:w="1280" w:type="dxa"/>
            <w:vAlign w:val="bottom"/>
            <w:gridSpan w:val="3"/>
          </w:tcPr>
          <w:p>
            <w:pPr>
              <w:jc w:val="right"/>
              <w:spacing w:after="0" w:line="50" w:lineRule="exact"/>
              <w:rPr>
                <w:sz w:val="20"/>
                <w:szCs w:val="20"/>
                <w:color w:val="auto"/>
              </w:rPr>
            </w:pPr>
            <w:r>
              <w:rPr>
                <w:rFonts w:ascii="Arial" w:cs="Arial" w:eastAsia="Arial" w:hAnsi="Arial"/>
                <w:sz w:val="5"/>
                <w:szCs w:val="5"/>
                <w:color w:val="auto"/>
              </w:rPr>
              <w:t>576,000  1,800,000</w:t>
            </w: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3"/>
          </w:tcPr>
          <w:p>
            <w:pPr>
              <w:ind w:left="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8/29/2023 </w:t>
            </w:r>
            <w:r>
              <w:rPr>
                <w:rFonts w:ascii="Arial" w:cs="Arial" w:eastAsia="Arial" w:hAnsi="Arial"/>
                <w:sz w:val="20"/>
                <w:szCs w:val="20"/>
                <w:color w:val="auto"/>
                <w:vertAlign w:val="superscript"/>
              </w:rPr>
              <w:t>​​</w:t>
            </w:r>
          </w:p>
        </w:tc>
        <w:tc>
          <w:tcPr>
            <w:tcW w:w="76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60" w:type="dxa"/>
            <w:vAlign w:val="bottom"/>
            <w:gridSpan w:val="3"/>
          </w:tcPr>
          <w:p>
            <w:pPr>
              <w:jc w:val="right"/>
              <w:ind w:right="6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42"/>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69,988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80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3,328,996</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3"/>
          </w:tcPr>
          <w:p>
            <w:pPr>
              <w:ind w:left="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8/29/2023 </w:t>
            </w:r>
            <w:r>
              <w:rPr>
                <w:rFonts w:ascii="Arial" w:cs="Arial" w:eastAsia="Arial" w:hAnsi="Arial"/>
                <w:sz w:val="20"/>
                <w:szCs w:val="20"/>
                <w:color w:val="auto"/>
                <w:vertAlign w:val="superscript"/>
              </w:rPr>
              <w:t>​​</w:t>
            </w:r>
          </w:p>
        </w:tc>
        <w:tc>
          <w:tcPr>
            <w:tcW w:w="76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60" w:type="dxa"/>
            <w:vAlign w:val="bottom"/>
            <w:gridSpan w:val="3"/>
          </w:tcPr>
          <w:p>
            <w:pPr>
              <w:jc w:val="right"/>
              <w:ind w:right="6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23,620</w:t>
            </w:r>
          </w:p>
        </w:tc>
        <w:tc>
          <w:tcPr>
            <w:tcW w:w="660" w:type="dxa"/>
            <w:vAlign w:val="bottom"/>
            <w:gridSpan w:val="3"/>
          </w:tcPr>
          <w:p>
            <w:pPr>
              <w:jc w:val="right"/>
              <w:ind w:right="6"/>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69,986 </w:t>
            </w:r>
            <w:r>
              <w:rPr>
                <w:rFonts w:ascii="Arial" w:cs="Arial" w:eastAsia="Arial" w:hAnsi="Arial"/>
                <w:sz w:val="20"/>
                <w:szCs w:val="20"/>
                <w:color w:val="auto"/>
                <w:vertAlign w:val="superscript"/>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139,972</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8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80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3,243,834</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
        </w:trPr>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vMerge w:val="restart"/>
          </w:tcPr>
          <w:p>
            <w:pPr>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94"/>
        </w:trPr>
        <w:tc>
          <w:tcPr>
            <w:tcW w:w="1840" w:type="dxa"/>
            <w:vAlign w:val="bottom"/>
            <w:shd w:val="clear" w:color="auto" w:fill="CBECD5"/>
          </w:tcPr>
          <w:p>
            <w:pPr>
              <w:ind w:left="20"/>
              <w:spacing w:after="0" w:line="95" w:lineRule="exact"/>
              <w:rPr>
                <w:sz w:val="20"/>
                <w:szCs w:val="20"/>
                <w:color w:val="auto"/>
              </w:rPr>
            </w:pPr>
            <w:r>
              <w:rPr>
                <w:rFonts w:ascii="Arial" w:cs="Arial" w:eastAsia="Arial" w:hAnsi="Arial"/>
                <w:sz w:val="10"/>
                <w:szCs w:val="10"/>
                <w:color w:val="auto"/>
              </w:rPr>
              <w:t>​</w:t>
            </w:r>
          </w:p>
        </w:tc>
        <w:tc>
          <w:tcPr>
            <w:tcW w:w="200" w:type="dxa"/>
            <w:vAlign w:val="bottom"/>
            <w:shd w:val="clear" w:color="auto" w:fill="CBECD5"/>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shd w:val="clear" w:color="auto" w:fill="CBECD5"/>
          </w:tcPr>
          <w:p>
            <w:pPr>
              <w:spacing w:after="0"/>
              <w:rPr>
                <w:sz w:val="8"/>
                <w:szCs w:val="8"/>
                <w:color w:val="auto"/>
              </w:rPr>
            </w:pPr>
          </w:p>
        </w:tc>
        <w:tc>
          <w:tcPr>
            <w:tcW w:w="140" w:type="dxa"/>
            <w:vAlign w:val="bottom"/>
            <w:tcBorders>
              <w:right w:val="single" w:sz="8" w:color="CBECD5"/>
            </w:tcBorders>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192,000</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600,000</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w w:val="96"/>
              </w:rPr>
              <w:t>1,200,000</w:t>
            </w:r>
          </w:p>
        </w:tc>
        <w:tc>
          <w:tcPr>
            <w:tcW w:w="180" w:type="dxa"/>
            <w:vAlign w:val="bottom"/>
            <w:gridSpan w:val="2"/>
            <w:shd w:val="clear" w:color="auto" w:fill="CBECD5"/>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BECD5"/>
          </w:tcPr>
          <w:p>
            <w:pPr>
              <w:jc w:val="right"/>
              <w:ind w:right="42"/>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shd w:val="clear" w:color="auto" w:fill="CBECD5"/>
          </w:tcPr>
          <w:p>
            <w:pPr>
              <w:ind w:lef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BECD5"/>
          </w:tcPr>
          <w:p>
            <w:pPr>
              <w:jc w:val="right"/>
              <w:ind w:right="6"/>
              <w:spacing w:after="0" w:line="9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BECD5"/>
            </w:tcBorders>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shd w:val="clear" w:color="auto" w:fill="CBECD5"/>
          </w:tcPr>
          <w:p>
            <w:pPr>
              <w:ind w:left="56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840" w:type="dxa"/>
            <w:vAlign w:val="bottom"/>
            <w:shd w:val="clear" w:color="auto" w:fill="CBECD5"/>
          </w:tcPr>
          <w:p>
            <w:pPr>
              <w:ind w:left="20"/>
              <w:spacing w:after="0" w:line="63" w:lineRule="exact"/>
              <w:rPr>
                <w:sz w:val="20"/>
                <w:szCs w:val="20"/>
                <w:color w:val="auto"/>
              </w:rPr>
            </w:pPr>
            <w:r>
              <w:rPr>
                <w:rFonts w:ascii="Arial" w:cs="Arial" w:eastAsia="Arial" w:hAnsi="Arial"/>
                <w:sz w:val="7"/>
                <w:szCs w:val="7"/>
                <w:color w:val="auto"/>
              </w:rPr>
              <w:t>Kenneth Jacobson</w:t>
            </w:r>
          </w:p>
        </w:tc>
        <w:tc>
          <w:tcPr>
            <w:tcW w:w="640" w:type="dxa"/>
            <w:vAlign w:val="bottom"/>
            <w:gridSpan w:val="2"/>
            <w:shd w:val="clear" w:color="auto" w:fill="CBECD5"/>
          </w:tcPr>
          <w:p>
            <w:pPr>
              <w:ind w:left="100"/>
              <w:spacing w:after="0" w:line="63" w:lineRule="exact"/>
              <w:rPr>
                <w:sz w:val="20"/>
                <w:szCs w:val="20"/>
                <w:color w:val="auto"/>
              </w:rPr>
            </w:pPr>
            <w:r>
              <w:rPr>
                <w:rFonts w:ascii="Arial" w:cs="Arial" w:eastAsia="Arial" w:hAnsi="Arial"/>
                <w:sz w:val="7"/>
                <w:szCs w:val="7"/>
                <w:color w:val="auto"/>
              </w:rPr>
              <w:t>8/29/2023</w:t>
            </w:r>
          </w:p>
        </w:tc>
        <w:tc>
          <w:tcPr>
            <w:tcW w:w="140" w:type="dxa"/>
            <w:vAlign w:val="bottom"/>
            <w:tcBorders>
              <w:right w:val="single" w:sz="8" w:color="CBECD5"/>
            </w:tcBorders>
            <w:shd w:val="clear" w:color="auto" w:fill="CBECD5"/>
          </w:tcPr>
          <w:p>
            <w:pPr>
              <w:spacing w:after="0"/>
              <w:rPr>
                <w:sz w:val="5"/>
                <w:szCs w:val="5"/>
                <w:color w:val="auto"/>
              </w:rPr>
            </w:pPr>
          </w:p>
        </w:tc>
        <w:tc>
          <w:tcPr>
            <w:tcW w:w="64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52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580" w:type="dxa"/>
            <w:vAlign w:val="bottom"/>
            <w:vMerge w:val="continue"/>
            <w:shd w:val="clear" w:color="auto" w:fill="CBECD5"/>
          </w:tcPr>
          <w:p>
            <w:pPr>
              <w:spacing w:after="0"/>
              <w:rPr>
                <w:sz w:val="5"/>
                <w:szCs w:val="5"/>
                <w:color w:val="auto"/>
              </w:rPr>
            </w:pPr>
          </w:p>
        </w:tc>
        <w:tc>
          <w:tcPr>
            <w:tcW w:w="80" w:type="dxa"/>
            <w:vAlign w:val="bottom"/>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580" w:type="dxa"/>
            <w:vAlign w:val="bottom"/>
            <w:vMerge w:val="continue"/>
            <w:shd w:val="clear" w:color="auto" w:fill="CBECD5"/>
          </w:tcPr>
          <w:p>
            <w:pPr>
              <w:spacing w:after="0"/>
              <w:rPr>
                <w:sz w:val="5"/>
                <w:szCs w:val="5"/>
                <w:color w:val="auto"/>
              </w:rPr>
            </w:pPr>
          </w:p>
        </w:tc>
        <w:tc>
          <w:tcPr>
            <w:tcW w:w="200" w:type="dxa"/>
            <w:vAlign w:val="bottom"/>
            <w:shd w:val="clear" w:color="auto" w:fill="CBECD5"/>
          </w:tcPr>
          <w:p>
            <w:pPr>
              <w:spacing w:after="0"/>
              <w:rPr>
                <w:sz w:val="5"/>
                <w:szCs w:val="5"/>
                <w:color w:val="auto"/>
              </w:rPr>
            </w:pPr>
          </w:p>
        </w:tc>
        <w:tc>
          <w:tcPr>
            <w:tcW w:w="300" w:type="dxa"/>
            <w:vAlign w:val="bottom"/>
            <w:vMerge w:val="continue"/>
            <w:shd w:val="clear" w:color="auto" w:fill="CBECD5"/>
          </w:tcPr>
          <w:p>
            <w:pPr>
              <w:spacing w:after="0"/>
              <w:rPr>
                <w:sz w:val="5"/>
                <w:szCs w:val="5"/>
                <w:color w:val="auto"/>
              </w:rPr>
            </w:pPr>
          </w:p>
        </w:tc>
        <w:tc>
          <w:tcPr>
            <w:tcW w:w="160" w:type="dxa"/>
            <w:vAlign w:val="bottom"/>
            <w:shd w:val="clear" w:color="auto" w:fill="CBECD5"/>
          </w:tcPr>
          <w:p>
            <w:pPr>
              <w:spacing w:after="0"/>
              <w:rPr>
                <w:sz w:val="5"/>
                <w:szCs w:val="5"/>
                <w:color w:val="auto"/>
              </w:rPr>
            </w:pPr>
          </w:p>
        </w:tc>
        <w:tc>
          <w:tcPr>
            <w:tcW w:w="580" w:type="dxa"/>
            <w:vAlign w:val="bottom"/>
            <w:tcBorders>
              <w:right w:val="single" w:sz="8" w:color="CBECD5"/>
            </w:tcBorders>
            <w:vMerge w:val="continue"/>
            <w:shd w:val="clear" w:color="auto" w:fill="CBECD5"/>
          </w:tcPr>
          <w:p>
            <w:pPr>
              <w:spacing w:after="0"/>
              <w:rPr>
                <w:sz w:val="5"/>
                <w:szCs w:val="5"/>
                <w:color w:val="auto"/>
              </w:rPr>
            </w:pPr>
          </w:p>
        </w:tc>
        <w:tc>
          <w:tcPr>
            <w:tcW w:w="80" w:type="dxa"/>
            <w:vAlign w:val="bottom"/>
            <w:shd w:val="clear" w:color="auto" w:fill="CBECD5"/>
          </w:tcPr>
          <w:p>
            <w:pPr>
              <w:spacing w:after="0"/>
              <w:rPr>
                <w:sz w:val="5"/>
                <w:szCs w:val="5"/>
                <w:color w:val="auto"/>
              </w:rPr>
            </w:pPr>
          </w:p>
        </w:tc>
        <w:tc>
          <w:tcPr>
            <w:tcW w:w="64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68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70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700" w:type="dxa"/>
            <w:vAlign w:val="bottom"/>
            <w:vMerge w:val="continue"/>
            <w:shd w:val="clear" w:color="auto" w:fill="CBECD5"/>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BECD5"/>
            </w:tcBorders>
            <w:gridSpan w:val="3"/>
            <w:shd w:val="clear" w:color="auto" w:fill="CBECD5"/>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8/29/2023 </w:t>
            </w:r>
            <w:r>
              <w:rPr>
                <w:rFonts w:ascii="Arial" w:cs="Arial" w:eastAsia="Arial" w:hAnsi="Arial"/>
                <w:sz w:val="21"/>
                <w:szCs w:val="21"/>
                <w:color w:val="auto"/>
                <w:vertAlign w:val="superscript"/>
              </w:rPr>
              <w:t>​​</w:t>
            </w:r>
          </w:p>
        </w:tc>
        <w:tc>
          <w:tcPr>
            <w:tcW w:w="76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60" w:type="dxa"/>
            <w:vAlign w:val="bottom"/>
            <w:gridSpan w:val="3"/>
            <w:shd w:val="clear" w:color="auto" w:fill="CBECD5"/>
          </w:tcPr>
          <w:p>
            <w:pPr>
              <w:jc w:val="right"/>
              <w:ind w:right="6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BECD5"/>
          </w:tcPr>
          <w:p>
            <w:pPr>
              <w:jc w:val="right"/>
              <w:ind w:right="42"/>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BECD5"/>
          </w:tcPr>
          <w:p>
            <w:pPr>
              <w:jc w:val="right"/>
              <w:ind w:right="6"/>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14,996</w:t>
            </w:r>
          </w:p>
        </w:tc>
        <w:tc>
          <w:tcPr>
            <w:tcW w:w="1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0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713,288</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184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BECD5"/>
              <w:right w:val="single" w:sz="8" w:color="CBECD5"/>
            </w:tcBorders>
            <w:gridSpan w:val="3"/>
            <w:shd w:val="clear" w:color="auto" w:fill="CBECD5"/>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8/29/2023 </w:t>
            </w:r>
            <w:r>
              <w:rPr>
                <w:rFonts w:ascii="Arial" w:cs="Arial" w:eastAsia="Arial" w:hAnsi="Arial"/>
                <w:sz w:val="21"/>
                <w:szCs w:val="21"/>
                <w:color w:val="auto"/>
                <w:vertAlign w:val="superscript"/>
              </w:rPr>
              <w:t>​​</w:t>
            </w:r>
          </w:p>
        </w:tc>
        <w:tc>
          <w:tcPr>
            <w:tcW w:w="76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60" w:type="dxa"/>
            <w:vAlign w:val="bottom"/>
            <w:tcBorders>
              <w:bottom w:val="single" w:sz="8" w:color="CBECD5"/>
            </w:tcBorders>
            <w:gridSpan w:val="3"/>
            <w:shd w:val="clear" w:color="auto" w:fill="CBECD5"/>
          </w:tcPr>
          <w:p>
            <w:pPr>
              <w:jc w:val="right"/>
              <w:ind w:right="6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5,061</w:t>
            </w:r>
          </w:p>
        </w:tc>
        <w:tc>
          <w:tcPr>
            <w:tcW w:w="660" w:type="dxa"/>
            <w:vAlign w:val="bottom"/>
            <w:tcBorders>
              <w:bottom w:val="single" w:sz="8" w:color="CBECD5"/>
            </w:tcBorders>
            <w:gridSpan w:val="3"/>
            <w:shd w:val="clear" w:color="auto" w:fill="CBECD5"/>
          </w:tcPr>
          <w:p>
            <w:pPr>
              <w:jc w:val="right"/>
              <w:ind w:right="6"/>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14,997 </w:t>
            </w:r>
            <w:r>
              <w:rPr>
                <w:rFonts w:ascii="Arial" w:cs="Arial" w:eastAsia="Arial" w:hAnsi="Arial"/>
                <w:sz w:val="21"/>
                <w:szCs w:val="21"/>
                <w:color w:val="auto"/>
                <w:vertAlign w:val="superscript"/>
              </w:rPr>
              <w:t>​​</w:t>
            </w:r>
          </w:p>
        </w:tc>
        <w:tc>
          <w:tcPr>
            <w:tcW w:w="580" w:type="dxa"/>
            <w:vAlign w:val="bottom"/>
            <w:tcBorders>
              <w:bottom w:val="single" w:sz="8" w:color="CBECD5"/>
              <w:right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29,994</w:t>
            </w:r>
          </w:p>
        </w:tc>
        <w:tc>
          <w:tcPr>
            <w:tcW w:w="8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8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00" w:type="dxa"/>
            <w:vAlign w:val="bottom"/>
            <w:tcBorders>
              <w:bottom w:val="single" w:sz="8" w:color="CBECD5"/>
            </w:tcBorders>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695,107</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184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134,400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420,000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840,000</w:t>
            </w:r>
          </w:p>
        </w:tc>
        <w:tc>
          <w:tcPr>
            <w:tcW w:w="180" w:type="dxa"/>
            <w:vAlign w:val="bottom"/>
            <w:gridSpan w:val="2"/>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42"/>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tcPr>
          <w:p>
            <w:pPr>
              <w:ind w:left="140"/>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6"/>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tcPr>
          <w:p>
            <w:pPr>
              <w:ind w:left="560"/>
              <w:spacing w:after="0" w:line="144" w:lineRule="exact"/>
              <w:rPr>
                <w:sz w:val="20"/>
                <w:szCs w:val="20"/>
                <w:color w:val="auto"/>
              </w:rPr>
            </w:pPr>
            <w:r>
              <w:rPr>
                <w:rFonts w:ascii="Arial" w:cs="Arial" w:eastAsia="Arial" w:hAnsi="Arial"/>
                <w:sz w:val="13"/>
                <w:szCs w:val="13"/>
                <w:color w:val="auto"/>
                <w:w w:val="91"/>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0"/>
        </w:trPr>
        <w:tc>
          <w:tcPr>
            <w:tcW w:w="1840" w:type="dxa"/>
            <w:vAlign w:val="bottom"/>
          </w:tcPr>
          <w:p>
            <w:pPr>
              <w:ind w:left="20"/>
              <w:spacing w:after="0" w:line="50" w:lineRule="exact"/>
              <w:rPr>
                <w:sz w:val="20"/>
                <w:szCs w:val="20"/>
                <w:color w:val="auto"/>
              </w:rPr>
            </w:pPr>
            <w:r>
              <w:rPr>
                <w:rFonts w:ascii="Arial" w:cs="Arial" w:eastAsia="Arial" w:hAnsi="Arial"/>
                <w:sz w:val="5"/>
                <w:szCs w:val="5"/>
                <w:color w:val="auto"/>
              </w:rPr>
              <w:t>Ken E. Arnold</w:t>
            </w:r>
          </w:p>
        </w:tc>
        <w:tc>
          <w:tcPr>
            <w:tcW w:w="640" w:type="dxa"/>
            <w:vAlign w:val="bottom"/>
            <w:gridSpan w:val="2"/>
          </w:tcPr>
          <w:p>
            <w:pPr>
              <w:ind w:left="100"/>
              <w:spacing w:after="0" w:line="50" w:lineRule="exact"/>
              <w:rPr>
                <w:sz w:val="20"/>
                <w:szCs w:val="20"/>
                <w:color w:val="auto"/>
              </w:rPr>
            </w:pPr>
            <w:r>
              <w:rPr>
                <w:rFonts w:ascii="Arial" w:cs="Arial" w:eastAsia="Arial" w:hAnsi="Arial"/>
                <w:sz w:val="5"/>
                <w:szCs w:val="5"/>
                <w:color w:val="auto"/>
              </w:rPr>
              <w:t>8/29/2023</w:t>
            </w:r>
          </w:p>
        </w:tc>
        <w:tc>
          <w:tcPr>
            <w:tcW w:w="1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3"/>
          </w:tcPr>
          <w:p>
            <w:pPr>
              <w:ind w:left="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8/29/2023 </w:t>
            </w:r>
            <w:r>
              <w:rPr>
                <w:rFonts w:ascii="Arial" w:cs="Arial" w:eastAsia="Arial" w:hAnsi="Arial"/>
                <w:sz w:val="20"/>
                <w:szCs w:val="20"/>
                <w:color w:val="auto"/>
                <w:vertAlign w:val="superscript"/>
              </w:rPr>
              <w:t>​​</w:t>
            </w:r>
          </w:p>
        </w:tc>
        <w:tc>
          <w:tcPr>
            <w:tcW w:w="76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60" w:type="dxa"/>
            <w:vAlign w:val="bottom"/>
            <w:gridSpan w:val="3"/>
          </w:tcPr>
          <w:p>
            <w:pPr>
              <w:jc w:val="right"/>
              <w:ind w:right="6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42"/>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6"/>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11,996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80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570,593</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3"/>
          </w:tcPr>
          <w:p>
            <w:pPr>
              <w:ind w:left="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8/29/2023 </w:t>
            </w:r>
            <w:r>
              <w:rPr>
                <w:rFonts w:ascii="Arial" w:cs="Arial" w:eastAsia="Arial" w:hAnsi="Arial"/>
                <w:sz w:val="20"/>
                <w:szCs w:val="20"/>
                <w:color w:val="auto"/>
                <w:vertAlign w:val="superscript"/>
              </w:rPr>
              <w:t>​​</w:t>
            </w:r>
          </w:p>
        </w:tc>
        <w:tc>
          <w:tcPr>
            <w:tcW w:w="76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60" w:type="dxa"/>
            <w:vAlign w:val="bottom"/>
            <w:gridSpan w:val="3"/>
          </w:tcPr>
          <w:p>
            <w:pPr>
              <w:jc w:val="right"/>
              <w:ind w:right="6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4,049</w:t>
            </w:r>
          </w:p>
        </w:tc>
        <w:tc>
          <w:tcPr>
            <w:tcW w:w="660" w:type="dxa"/>
            <w:vAlign w:val="bottom"/>
            <w:gridSpan w:val="3"/>
          </w:tcPr>
          <w:p>
            <w:pPr>
              <w:jc w:val="right"/>
              <w:ind w:right="6"/>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 xml:space="preserve">11,998 </w:t>
            </w:r>
            <w:r>
              <w:rPr>
                <w:rFonts w:ascii="Arial" w:cs="Arial" w:eastAsia="Arial" w:hAnsi="Arial"/>
                <w:sz w:val="20"/>
                <w:szCs w:val="20"/>
                <w:color w:val="auto"/>
                <w:vertAlign w:val="superscript"/>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23,996</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8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800" w:type="dxa"/>
            <w:vAlign w:val="bottom"/>
            <w:gridSpan w:val="2"/>
          </w:tcPr>
          <w:p>
            <w:pPr>
              <w:jc w:val="right"/>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1"/>
                <w:szCs w:val="11"/>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556,104</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
        </w:trPr>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vMerge w:val="restart"/>
          </w:tcPr>
          <w:p>
            <w:pPr>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94"/>
        </w:trPr>
        <w:tc>
          <w:tcPr>
            <w:tcW w:w="1840" w:type="dxa"/>
            <w:vAlign w:val="bottom"/>
            <w:shd w:val="clear" w:color="auto" w:fill="CBECD5"/>
          </w:tcPr>
          <w:p>
            <w:pPr>
              <w:ind w:left="20"/>
              <w:spacing w:after="0" w:line="95" w:lineRule="exact"/>
              <w:rPr>
                <w:sz w:val="20"/>
                <w:szCs w:val="20"/>
                <w:color w:val="auto"/>
              </w:rPr>
            </w:pPr>
            <w:r>
              <w:rPr>
                <w:rFonts w:ascii="Arial" w:cs="Arial" w:eastAsia="Arial" w:hAnsi="Arial"/>
                <w:sz w:val="10"/>
                <w:szCs w:val="10"/>
                <w:color w:val="auto"/>
              </w:rPr>
              <w:t>​</w:t>
            </w:r>
          </w:p>
        </w:tc>
        <w:tc>
          <w:tcPr>
            <w:tcW w:w="200" w:type="dxa"/>
            <w:vAlign w:val="bottom"/>
            <w:shd w:val="clear" w:color="auto" w:fill="CBECD5"/>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shd w:val="clear" w:color="auto" w:fill="CBECD5"/>
          </w:tcPr>
          <w:p>
            <w:pPr>
              <w:spacing w:after="0"/>
              <w:rPr>
                <w:sz w:val="8"/>
                <w:szCs w:val="8"/>
                <w:color w:val="auto"/>
              </w:rPr>
            </w:pPr>
          </w:p>
        </w:tc>
        <w:tc>
          <w:tcPr>
            <w:tcW w:w="140" w:type="dxa"/>
            <w:vAlign w:val="bottom"/>
            <w:tcBorders>
              <w:right w:val="single" w:sz="8" w:color="CBECD5"/>
            </w:tcBorders>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140,800</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440,000</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880,000</w:t>
            </w:r>
          </w:p>
        </w:tc>
        <w:tc>
          <w:tcPr>
            <w:tcW w:w="180" w:type="dxa"/>
            <w:vAlign w:val="bottom"/>
            <w:gridSpan w:val="2"/>
            <w:shd w:val="clear" w:color="auto" w:fill="CBECD5"/>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BECD5"/>
          </w:tcPr>
          <w:p>
            <w:pPr>
              <w:jc w:val="right"/>
              <w:ind w:right="42"/>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shd w:val="clear" w:color="auto" w:fill="CBECD5"/>
          </w:tcPr>
          <w:p>
            <w:pPr>
              <w:ind w:lef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BECD5"/>
          </w:tcPr>
          <w:p>
            <w:pPr>
              <w:jc w:val="right"/>
              <w:ind w:right="6"/>
              <w:spacing w:after="0" w:line="95"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BECD5"/>
            </w:tcBorders>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shd w:val="clear" w:color="auto" w:fill="CBECD5"/>
          </w:tcPr>
          <w:p>
            <w:pPr>
              <w:ind w:left="56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BECD5"/>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840" w:type="dxa"/>
            <w:vAlign w:val="bottom"/>
            <w:shd w:val="clear" w:color="auto" w:fill="CBECD5"/>
          </w:tcPr>
          <w:p>
            <w:pPr>
              <w:ind w:left="20"/>
              <w:spacing w:after="0" w:line="63" w:lineRule="exact"/>
              <w:rPr>
                <w:sz w:val="20"/>
                <w:szCs w:val="20"/>
                <w:color w:val="auto"/>
              </w:rPr>
            </w:pPr>
            <w:r>
              <w:rPr>
                <w:rFonts w:ascii="Arial" w:cs="Arial" w:eastAsia="Arial" w:hAnsi="Arial"/>
                <w:sz w:val="7"/>
                <w:szCs w:val="7"/>
                <w:color w:val="auto"/>
              </w:rPr>
              <w:t>Max Chan</w:t>
            </w:r>
          </w:p>
        </w:tc>
        <w:tc>
          <w:tcPr>
            <w:tcW w:w="640" w:type="dxa"/>
            <w:vAlign w:val="bottom"/>
            <w:gridSpan w:val="2"/>
            <w:shd w:val="clear" w:color="auto" w:fill="CBECD5"/>
          </w:tcPr>
          <w:p>
            <w:pPr>
              <w:ind w:left="100"/>
              <w:spacing w:after="0" w:line="63" w:lineRule="exact"/>
              <w:rPr>
                <w:sz w:val="20"/>
                <w:szCs w:val="20"/>
                <w:color w:val="auto"/>
              </w:rPr>
            </w:pPr>
            <w:r>
              <w:rPr>
                <w:rFonts w:ascii="Arial" w:cs="Arial" w:eastAsia="Arial" w:hAnsi="Arial"/>
                <w:sz w:val="7"/>
                <w:szCs w:val="7"/>
                <w:color w:val="auto"/>
              </w:rPr>
              <w:t>8/29/2023</w:t>
            </w:r>
          </w:p>
        </w:tc>
        <w:tc>
          <w:tcPr>
            <w:tcW w:w="140" w:type="dxa"/>
            <w:vAlign w:val="bottom"/>
            <w:tcBorders>
              <w:right w:val="single" w:sz="8" w:color="CBECD5"/>
            </w:tcBorders>
            <w:shd w:val="clear" w:color="auto" w:fill="CBECD5"/>
          </w:tcPr>
          <w:p>
            <w:pPr>
              <w:spacing w:after="0"/>
              <w:rPr>
                <w:sz w:val="5"/>
                <w:szCs w:val="5"/>
                <w:color w:val="auto"/>
              </w:rPr>
            </w:pPr>
          </w:p>
        </w:tc>
        <w:tc>
          <w:tcPr>
            <w:tcW w:w="64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52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580" w:type="dxa"/>
            <w:vAlign w:val="bottom"/>
            <w:vMerge w:val="continue"/>
            <w:shd w:val="clear" w:color="auto" w:fill="CBECD5"/>
          </w:tcPr>
          <w:p>
            <w:pPr>
              <w:spacing w:after="0"/>
              <w:rPr>
                <w:sz w:val="5"/>
                <w:szCs w:val="5"/>
                <w:color w:val="auto"/>
              </w:rPr>
            </w:pPr>
          </w:p>
        </w:tc>
        <w:tc>
          <w:tcPr>
            <w:tcW w:w="80" w:type="dxa"/>
            <w:vAlign w:val="bottom"/>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580" w:type="dxa"/>
            <w:vAlign w:val="bottom"/>
            <w:vMerge w:val="continue"/>
            <w:shd w:val="clear" w:color="auto" w:fill="CBECD5"/>
          </w:tcPr>
          <w:p>
            <w:pPr>
              <w:spacing w:after="0"/>
              <w:rPr>
                <w:sz w:val="5"/>
                <w:szCs w:val="5"/>
                <w:color w:val="auto"/>
              </w:rPr>
            </w:pPr>
          </w:p>
        </w:tc>
        <w:tc>
          <w:tcPr>
            <w:tcW w:w="200" w:type="dxa"/>
            <w:vAlign w:val="bottom"/>
            <w:shd w:val="clear" w:color="auto" w:fill="CBECD5"/>
          </w:tcPr>
          <w:p>
            <w:pPr>
              <w:spacing w:after="0"/>
              <w:rPr>
                <w:sz w:val="5"/>
                <w:szCs w:val="5"/>
                <w:color w:val="auto"/>
              </w:rPr>
            </w:pPr>
          </w:p>
        </w:tc>
        <w:tc>
          <w:tcPr>
            <w:tcW w:w="300" w:type="dxa"/>
            <w:vAlign w:val="bottom"/>
            <w:vMerge w:val="continue"/>
            <w:shd w:val="clear" w:color="auto" w:fill="CBECD5"/>
          </w:tcPr>
          <w:p>
            <w:pPr>
              <w:spacing w:after="0"/>
              <w:rPr>
                <w:sz w:val="5"/>
                <w:szCs w:val="5"/>
                <w:color w:val="auto"/>
              </w:rPr>
            </w:pPr>
          </w:p>
        </w:tc>
        <w:tc>
          <w:tcPr>
            <w:tcW w:w="160" w:type="dxa"/>
            <w:vAlign w:val="bottom"/>
            <w:shd w:val="clear" w:color="auto" w:fill="CBECD5"/>
          </w:tcPr>
          <w:p>
            <w:pPr>
              <w:spacing w:after="0"/>
              <w:rPr>
                <w:sz w:val="5"/>
                <w:szCs w:val="5"/>
                <w:color w:val="auto"/>
              </w:rPr>
            </w:pPr>
          </w:p>
        </w:tc>
        <w:tc>
          <w:tcPr>
            <w:tcW w:w="580" w:type="dxa"/>
            <w:vAlign w:val="bottom"/>
            <w:tcBorders>
              <w:right w:val="single" w:sz="8" w:color="CBECD5"/>
            </w:tcBorders>
            <w:vMerge w:val="continue"/>
            <w:shd w:val="clear" w:color="auto" w:fill="CBECD5"/>
          </w:tcPr>
          <w:p>
            <w:pPr>
              <w:spacing w:after="0"/>
              <w:rPr>
                <w:sz w:val="5"/>
                <w:szCs w:val="5"/>
                <w:color w:val="auto"/>
              </w:rPr>
            </w:pPr>
          </w:p>
        </w:tc>
        <w:tc>
          <w:tcPr>
            <w:tcW w:w="80" w:type="dxa"/>
            <w:vAlign w:val="bottom"/>
            <w:shd w:val="clear" w:color="auto" w:fill="CBECD5"/>
          </w:tcPr>
          <w:p>
            <w:pPr>
              <w:spacing w:after="0"/>
              <w:rPr>
                <w:sz w:val="5"/>
                <w:szCs w:val="5"/>
                <w:color w:val="auto"/>
              </w:rPr>
            </w:pPr>
          </w:p>
        </w:tc>
        <w:tc>
          <w:tcPr>
            <w:tcW w:w="640" w:type="dxa"/>
            <w:vAlign w:val="bottom"/>
            <w:vMerge w:val="continue"/>
            <w:shd w:val="clear" w:color="auto" w:fill="CBECD5"/>
          </w:tcPr>
          <w:p>
            <w:pPr>
              <w:spacing w:after="0"/>
              <w:rPr>
                <w:sz w:val="5"/>
                <w:szCs w:val="5"/>
                <w:color w:val="auto"/>
              </w:rPr>
            </w:pPr>
          </w:p>
        </w:tc>
        <w:tc>
          <w:tcPr>
            <w:tcW w:w="120" w:type="dxa"/>
            <w:vAlign w:val="bottom"/>
            <w:shd w:val="clear" w:color="auto" w:fill="CBECD5"/>
          </w:tcPr>
          <w:p>
            <w:pPr>
              <w:spacing w:after="0"/>
              <w:rPr>
                <w:sz w:val="5"/>
                <w:szCs w:val="5"/>
                <w:color w:val="auto"/>
              </w:rPr>
            </w:pPr>
          </w:p>
        </w:tc>
        <w:tc>
          <w:tcPr>
            <w:tcW w:w="68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700" w:type="dxa"/>
            <w:vAlign w:val="bottom"/>
            <w:vMerge w:val="continue"/>
            <w:shd w:val="clear" w:color="auto" w:fill="CBECD5"/>
          </w:tcPr>
          <w:p>
            <w:pPr>
              <w:spacing w:after="0"/>
              <w:rPr>
                <w:sz w:val="5"/>
                <w:szCs w:val="5"/>
                <w:color w:val="auto"/>
              </w:rPr>
            </w:pPr>
          </w:p>
        </w:tc>
        <w:tc>
          <w:tcPr>
            <w:tcW w:w="100" w:type="dxa"/>
            <w:vAlign w:val="bottom"/>
            <w:shd w:val="clear" w:color="auto" w:fill="CBECD5"/>
          </w:tcPr>
          <w:p>
            <w:pPr>
              <w:spacing w:after="0"/>
              <w:rPr>
                <w:sz w:val="5"/>
                <w:szCs w:val="5"/>
                <w:color w:val="auto"/>
              </w:rPr>
            </w:pPr>
          </w:p>
        </w:tc>
        <w:tc>
          <w:tcPr>
            <w:tcW w:w="700" w:type="dxa"/>
            <w:vAlign w:val="bottom"/>
            <w:vMerge w:val="continue"/>
            <w:shd w:val="clear" w:color="auto" w:fill="CBECD5"/>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BECD5"/>
            </w:tcBorders>
            <w:gridSpan w:val="3"/>
            <w:shd w:val="clear" w:color="auto" w:fill="CBECD5"/>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8/29/2023 </w:t>
            </w:r>
            <w:r>
              <w:rPr>
                <w:rFonts w:ascii="Arial" w:cs="Arial" w:eastAsia="Arial" w:hAnsi="Arial"/>
                <w:sz w:val="21"/>
                <w:szCs w:val="21"/>
                <w:color w:val="auto"/>
                <w:vertAlign w:val="superscript"/>
              </w:rPr>
              <w:t>​​</w:t>
            </w:r>
          </w:p>
        </w:tc>
        <w:tc>
          <w:tcPr>
            <w:tcW w:w="76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60" w:type="dxa"/>
            <w:vAlign w:val="bottom"/>
            <w:gridSpan w:val="3"/>
            <w:shd w:val="clear" w:color="auto" w:fill="CBECD5"/>
          </w:tcPr>
          <w:p>
            <w:pPr>
              <w:jc w:val="right"/>
              <w:ind w:right="6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BECD5"/>
          </w:tcPr>
          <w:p>
            <w:pPr>
              <w:jc w:val="right"/>
              <w:ind w:right="42"/>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BECD5"/>
          </w:tcPr>
          <w:p>
            <w:pPr>
              <w:jc w:val="right"/>
              <w:ind w:right="6"/>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7,500</w:t>
            </w:r>
          </w:p>
        </w:tc>
        <w:tc>
          <w:tcPr>
            <w:tcW w:w="12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00" w:type="dxa"/>
            <w:vAlign w:val="bottom"/>
            <w:gridSpan w:val="2"/>
            <w:shd w:val="clear" w:color="auto" w:fill="CBECD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356,739</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4"/>
        </w:trPr>
        <w:tc>
          <w:tcPr>
            <w:tcW w:w="184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BECD5"/>
              <w:right w:val="single" w:sz="8" w:color="CBECD5"/>
            </w:tcBorders>
            <w:gridSpan w:val="3"/>
            <w:shd w:val="clear" w:color="auto" w:fill="CBECD5"/>
          </w:tcPr>
          <w:p>
            <w:pPr>
              <w:ind w:left="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8/29/2023 </w:t>
            </w:r>
            <w:r>
              <w:rPr>
                <w:rFonts w:ascii="Arial" w:cs="Arial" w:eastAsia="Arial" w:hAnsi="Arial"/>
                <w:sz w:val="23"/>
                <w:szCs w:val="23"/>
                <w:color w:val="auto"/>
                <w:vertAlign w:val="superscript"/>
              </w:rPr>
              <w:t>​​</w:t>
            </w:r>
          </w:p>
        </w:tc>
        <w:tc>
          <w:tcPr>
            <w:tcW w:w="76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64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60" w:type="dxa"/>
            <w:vAlign w:val="bottom"/>
            <w:tcBorders>
              <w:bottom w:val="single" w:sz="8" w:color="CBECD5"/>
            </w:tcBorders>
            <w:gridSpan w:val="3"/>
            <w:shd w:val="clear" w:color="auto" w:fill="CBECD5"/>
          </w:tcPr>
          <w:p>
            <w:pPr>
              <w:jc w:val="right"/>
              <w:ind w:right="6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5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2,531</w:t>
            </w:r>
          </w:p>
        </w:tc>
        <w:tc>
          <w:tcPr>
            <w:tcW w:w="660" w:type="dxa"/>
            <w:vAlign w:val="bottom"/>
            <w:tcBorders>
              <w:bottom w:val="single" w:sz="8" w:color="CBECD5"/>
            </w:tcBorders>
            <w:gridSpan w:val="3"/>
            <w:shd w:val="clear" w:color="auto" w:fill="CBECD5"/>
          </w:tcPr>
          <w:p>
            <w:pPr>
              <w:jc w:val="right"/>
              <w:ind w:right="6"/>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7,499 </w:t>
            </w:r>
            <w:r>
              <w:rPr>
                <w:rFonts w:ascii="Arial" w:cs="Arial" w:eastAsia="Arial" w:hAnsi="Arial"/>
                <w:sz w:val="23"/>
                <w:szCs w:val="23"/>
                <w:color w:val="auto"/>
                <w:vertAlign w:val="superscript"/>
              </w:rPr>
              <w:t>​​</w:t>
            </w:r>
          </w:p>
        </w:tc>
        <w:tc>
          <w:tcPr>
            <w:tcW w:w="580" w:type="dxa"/>
            <w:vAlign w:val="bottom"/>
            <w:tcBorders>
              <w:bottom w:val="single" w:sz="8" w:color="CBECD5"/>
              <w:right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14,998</w:t>
            </w:r>
          </w:p>
        </w:tc>
        <w:tc>
          <w:tcPr>
            <w:tcW w:w="8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8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800" w:type="dxa"/>
            <w:vAlign w:val="bottom"/>
            <w:tcBorders>
              <w:bottom w:val="single" w:sz="8" w:color="CBECD5"/>
            </w:tcBorders>
            <w:gridSpan w:val="2"/>
            <w:shd w:val="clear" w:color="auto" w:fill="CBECD5"/>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7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347,577</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184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152,320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476,000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952,000</w:t>
            </w:r>
          </w:p>
        </w:tc>
        <w:tc>
          <w:tcPr>
            <w:tcW w:w="180" w:type="dxa"/>
            <w:vAlign w:val="bottom"/>
            <w:gridSpan w:val="2"/>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42"/>
              <w:spacing w:after="0" w:line="95" w:lineRule="exact"/>
              <w:rPr>
                <w:sz w:val="20"/>
                <w:szCs w:val="20"/>
                <w:color w:val="auto"/>
              </w:rPr>
            </w:pPr>
            <w:r>
              <w:rPr>
                <w:rFonts w:ascii="Arial" w:cs="Arial" w:eastAsia="Arial" w:hAnsi="Arial"/>
                <w:sz w:val="10"/>
                <w:szCs w:val="10"/>
                <w:color w:val="auto"/>
              </w:rPr>
              <w:t>​​</w:t>
            </w:r>
          </w:p>
        </w:tc>
        <w:tc>
          <w:tcPr>
            <w:tcW w:w="30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6"/>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tcPr>
          <w:p>
            <w:pPr>
              <w:ind w:left="560"/>
              <w:spacing w:after="0"/>
              <w:rPr>
                <w:sz w:val="20"/>
                <w:szCs w:val="20"/>
                <w:color w:val="auto"/>
              </w:rPr>
            </w:pPr>
            <w:r>
              <w:rPr>
                <w:rFonts w:ascii="Arial" w:cs="Arial" w:eastAsia="Arial" w:hAnsi="Arial"/>
                <w:sz w:val="13"/>
                <w:szCs w:val="13"/>
                <w:color w:val="auto"/>
                <w:w w:val="91"/>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63"/>
        </w:trPr>
        <w:tc>
          <w:tcPr>
            <w:tcW w:w="1840" w:type="dxa"/>
            <w:vAlign w:val="bottom"/>
          </w:tcPr>
          <w:p>
            <w:pPr>
              <w:ind w:left="20"/>
              <w:spacing w:after="0" w:line="63" w:lineRule="exact"/>
              <w:rPr>
                <w:sz w:val="20"/>
                <w:szCs w:val="20"/>
                <w:color w:val="auto"/>
              </w:rPr>
            </w:pPr>
            <w:r>
              <w:rPr>
                <w:rFonts w:ascii="Arial" w:cs="Arial" w:eastAsia="Arial" w:hAnsi="Arial"/>
                <w:sz w:val="7"/>
                <w:szCs w:val="7"/>
                <w:color w:val="auto"/>
              </w:rPr>
              <w:t>Michael R. McCoy</w:t>
            </w:r>
          </w:p>
        </w:tc>
        <w:tc>
          <w:tcPr>
            <w:tcW w:w="640" w:type="dxa"/>
            <w:vAlign w:val="bottom"/>
            <w:gridSpan w:val="2"/>
          </w:tcPr>
          <w:p>
            <w:pPr>
              <w:ind w:left="100"/>
              <w:spacing w:after="0" w:line="63" w:lineRule="exact"/>
              <w:rPr>
                <w:sz w:val="20"/>
                <w:szCs w:val="20"/>
                <w:color w:val="auto"/>
              </w:rPr>
            </w:pPr>
            <w:r>
              <w:rPr>
                <w:rFonts w:ascii="Arial" w:cs="Arial" w:eastAsia="Arial" w:hAnsi="Arial"/>
                <w:sz w:val="7"/>
                <w:szCs w:val="7"/>
                <w:color w:val="auto"/>
              </w:rPr>
              <w:t>8/29/2023</w:t>
            </w: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3"/>
          </w:tcPr>
          <w:p>
            <w:pPr>
              <w:ind w:left="4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color w:val="auto"/>
              </w:rPr>
              <w:t xml:space="preserve">8/29/2023 </w:t>
            </w:r>
            <w:r>
              <w:rPr>
                <w:rFonts w:ascii="Arial" w:cs="Arial" w:eastAsia="Arial" w:hAnsi="Arial"/>
                <w:sz w:val="21"/>
                <w:szCs w:val="21"/>
                <w:color w:val="auto"/>
                <w:vertAlign w:val="superscript"/>
              </w:rPr>
              <w:t>​​</w:t>
            </w:r>
          </w:p>
        </w:tc>
        <w:tc>
          <w:tcPr>
            <w:tcW w:w="76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6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60" w:type="dxa"/>
            <w:vAlign w:val="bottom"/>
            <w:gridSpan w:val="3"/>
          </w:tcPr>
          <w:p>
            <w:pPr>
              <w:jc w:val="right"/>
              <w:ind w:right="60"/>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42"/>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6"/>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12,996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80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618,158</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8"/>
        </w:trPr>
        <w:tc>
          <w:tcPr>
            <w:tcW w:w="1840" w:type="dxa"/>
            <w:vAlign w:val="bottom"/>
            <w:tcBorders>
              <w:bottom w:val="single" w:sz="8" w:color="53C072"/>
            </w:tcBorders>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3C072"/>
            </w:tcBorders>
            <w:gridSpan w:val="3"/>
          </w:tcPr>
          <w:p>
            <w:pPr>
              <w:ind w:left="40"/>
              <w:spacing w:after="0" w:line="26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8/29/2023 </w:t>
            </w:r>
            <w:r>
              <w:rPr>
                <w:rFonts w:ascii="Arial" w:cs="Arial" w:eastAsia="Arial" w:hAnsi="Arial"/>
                <w:sz w:val="25"/>
                <w:szCs w:val="25"/>
                <w:color w:val="auto"/>
                <w:vertAlign w:val="superscript"/>
              </w:rPr>
              <w:t>​​</w:t>
            </w:r>
          </w:p>
        </w:tc>
        <w:tc>
          <w:tcPr>
            <w:tcW w:w="760" w:type="dxa"/>
            <w:vAlign w:val="bottom"/>
            <w:tcBorders>
              <w:bottom w:val="single" w:sz="8" w:color="53C072"/>
            </w:tcBorders>
            <w:gridSpan w:val="2"/>
          </w:tcPr>
          <w:p>
            <w:pPr>
              <w:jc w:val="right"/>
              <w:spacing w:after="0" w:line="26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640" w:type="dxa"/>
            <w:vAlign w:val="bottom"/>
            <w:tcBorders>
              <w:bottom w:val="single" w:sz="8" w:color="53C072"/>
            </w:tcBorders>
            <w:gridSpan w:val="2"/>
          </w:tcPr>
          <w:p>
            <w:pPr>
              <w:jc w:val="right"/>
              <w:spacing w:after="0" w:line="26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60" w:type="dxa"/>
            <w:vAlign w:val="bottom"/>
            <w:tcBorders>
              <w:bottom w:val="single" w:sz="8" w:color="53C072"/>
            </w:tcBorders>
            <w:gridSpan w:val="3"/>
          </w:tcPr>
          <w:p>
            <w:pPr>
              <w:jc w:val="right"/>
              <w:ind w:right="60"/>
              <w:spacing w:after="0" w:line="26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580" w:type="dxa"/>
            <w:vAlign w:val="bottom"/>
            <w:tcBorders>
              <w:bottom w:val="single" w:sz="8" w:color="53C072"/>
            </w:tcBorders>
          </w:tcPr>
          <w:p>
            <w:pPr>
              <w:jc w:val="right"/>
              <w:spacing w:after="0"/>
              <w:rPr>
                <w:sz w:val="20"/>
                <w:szCs w:val="20"/>
                <w:color w:val="auto"/>
              </w:rPr>
            </w:pPr>
            <w:r>
              <w:rPr>
                <w:rFonts w:ascii="Arial" w:cs="Arial" w:eastAsia="Arial" w:hAnsi="Arial"/>
                <w:sz w:val="13"/>
                <w:szCs w:val="13"/>
                <w:color w:val="auto"/>
              </w:rPr>
              <w:t>4,386</w:t>
            </w:r>
          </w:p>
        </w:tc>
        <w:tc>
          <w:tcPr>
            <w:tcW w:w="660" w:type="dxa"/>
            <w:vAlign w:val="bottom"/>
            <w:tcBorders>
              <w:bottom w:val="single" w:sz="8" w:color="53C072"/>
            </w:tcBorders>
            <w:gridSpan w:val="3"/>
          </w:tcPr>
          <w:p>
            <w:pPr>
              <w:jc w:val="right"/>
              <w:ind w:right="6"/>
              <w:spacing w:after="0" w:line="26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12,997 </w:t>
            </w:r>
            <w:r>
              <w:rPr>
                <w:rFonts w:ascii="Arial" w:cs="Arial" w:eastAsia="Arial" w:hAnsi="Arial"/>
                <w:sz w:val="25"/>
                <w:szCs w:val="25"/>
                <w:color w:val="auto"/>
                <w:vertAlign w:val="superscript"/>
              </w:rPr>
              <w:t>​​</w:t>
            </w:r>
          </w:p>
        </w:tc>
        <w:tc>
          <w:tcPr>
            <w:tcW w:w="580" w:type="dxa"/>
            <w:vAlign w:val="bottom"/>
            <w:tcBorders>
              <w:bottom w:val="single" w:sz="8" w:color="53C072"/>
            </w:tcBorders>
          </w:tcPr>
          <w:p>
            <w:pPr>
              <w:jc w:val="right"/>
              <w:spacing w:after="0"/>
              <w:rPr>
                <w:sz w:val="20"/>
                <w:szCs w:val="20"/>
                <w:color w:val="auto"/>
              </w:rPr>
            </w:pPr>
            <w:r>
              <w:rPr>
                <w:rFonts w:ascii="Arial" w:cs="Arial" w:eastAsia="Arial" w:hAnsi="Arial"/>
                <w:sz w:val="13"/>
                <w:szCs w:val="13"/>
                <w:color w:val="auto"/>
              </w:rPr>
              <w:t>25,994</w:t>
            </w:r>
          </w:p>
        </w:tc>
        <w:tc>
          <w:tcPr>
            <w:tcW w:w="80" w:type="dxa"/>
            <w:vAlign w:val="bottom"/>
            <w:tcBorders>
              <w:bottom w:val="single" w:sz="8" w:color="53C072"/>
            </w:tcBorders>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53C072"/>
            </w:tcBorders>
            <w:gridSpan w:val="2"/>
          </w:tcPr>
          <w:p>
            <w:pPr>
              <w:jc w:val="right"/>
              <w:spacing w:after="0" w:line="26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80" w:type="dxa"/>
            <w:vAlign w:val="bottom"/>
            <w:tcBorders>
              <w:bottom w:val="single" w:sz="8" w:color="53C072"/>
            </w:tcBorders>
            <w:gridSpan w:val="2"/>
          </w:tcPr>
          <w:p>
            <w:pPr>
              <w:jc w:val="right"/>
              <w:spacing w:after="0" w:line="26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800" w:type="dxa"/>
            <w:vAlign w:val="bottom"/>
            <w:tcBorders>
              <w:bottom w:val="single" w:sz="8" w:color="53C072"/>
            </w:tcBorders>
            <w:gridSpan w:val="2"/>
          </w:tcPr>
          <w:p>
            <w:pPr>
              <w:jc w:val="right"/>
              <w:spacing w:after="0" w:line="26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00" w:type="dxa"/>
            <w:vAlign w:val="bottom"/>
            <w:tcBorders>
              <w:bottom w:val="single" w:sz="8" w:color="53C072"/>
            </w:tcBorders>
          </w:tcPr>
          <w:p>
            <w:pPr>
              <w:jc w:val="right"/>
              <w:spacing w:after="0"/>
              <w:rPr>
                <w:sz w:val="20"/>
                <w:szCs w:val="20"/>
                <w:color w:val="auto"/>
              </w:rPr>
            </w:pPr>
            <w:r>
              <w:rPr>
                <w:rFonts w:ascii="Arial" w:cs="Arial" w:eastAsia="Arial" w:hAnsi="Arial"/>
                <w:sz w:val="13"/>
                <w:szCs w:val="13"/>
                <w:color w:val="auto"/>
              </w:rPr>
              <w:t>602,408</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-2022475</wp:posOffset>
            </wp:positionV>
            <wp:extent cx="254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vesting schedules for the RSU and PSU grants made in fiscal 2024 are as follows:</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326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FFFFF"/>
              </w:rPr>
              <w:t>Type of Awards Made in Fiscal 2024</w:t>
            </w:r>
          </w:p>
        </w:tc>
        <w:tc>
          <w:tcPr>
            <w:tcW w:w="5500" w:type="dxa"/>
            <w:vAlign w:val="bottom"/>
            <w:shd w:val="clear" w:color="auto" w:fill="53C072"/>
          </w:tcPr>
          <w:p>
            <w:pPr>
              <w:ind w:left="540"/>
              <w:spacing w:after="0"/>
              <w:rPr>
                <w:sz w:val="20"/>
                <w:szCs w:val="20"/>
                <w:color w:val="auto"/>
              </w:rPr>
            </w:pPr>
            <w:r>
              <w:rPr>
                <w:rFonts w:ascii="Arial" w:cs="Arial" w:eastAsia="Arial" w:hAnsi="Arial"/>
                <w:sz w:val="14"/>
                <w:szCs w:val="14"/>
                <w:b w:val="1"/>
                <w:bCs w:val="1"/>
                <w:color w:val="FFFFFF"/>
              </w:rPr>
              <w:t>Vesting Schedule</w:t>
            </w:r>
          </w:p>
        </w:tc>
      </w:tr>
      <w:tr>
        <w:trPr>
          <w:trHeight w:val="247"/>
        </w:trPr>
        <w:tc>
          <w:tcPr>
            <w:tcW w:w="3260" w:type="dxa"/>
            <w:vAlign w:val="bottom"/>
          </w:tcPr>
          <w:p>
            <w:pPr>
              <w:ind w:left="120"/>
              <w:spacing w:after="0"/>
              <w:rPr>
                <w:sz w:val="20"/>
                <w:szCs w:val="20"/>
                <w:color w:val="auto"/>
              </w:rPr>
            </w:pPr>
            <w:r>
              <w:rPr>
                <w:rFonts w:ascii="Arial" w:cs="Arial" w:eastAsia="Arial" w:hAnsi="Arial"/>
                <w:sz w:val="18"/>
                <w:szCs w:val="18"/>
                <w:color w:val="auto"/>
              </w:rPr>
              <w:t>Restricted Stock Units (RSUs)</w:t>
            </w:r>
          </w:p>
        </w:tc>
        <w:tc>
          <w:tcPr>
            <w:tcW w:w="5500" w:type="dxa"/>
            <w:vAlign w:val="bottom"/>
          </w:tcPr>
          <w:p>
            <w:pPr>
              <w:ind w:left="540"/>
              <w:spacing w:after="0"/>
              <w:rPr>
                <w:sz w:val="20"/>
                <w:szCs w:val="20"/>
                <w:color w:val="auto"/>
              </w:rPr>
            </w:pPr>
            <w:r>
              <w:rPr>
                <w:rFonts w:ascii="Arial" w:cs="Arial" w:eastAsia="Arial" w:hAnsi="Arial"/>
                <w:sz w:val="18"/>
                <w:szCs w:val="18"/>
                <w:color w:val="auto"/>
              </w:rPr>
              <w:t>25% each on the first business day in January of 2024</w:t>
            </w:r>
          </w:p>
        </w:tc>
      </w:tr>
      <w:tr>
        <w:trPr>
          <w:trHeight w:val="270"/>
        </w:trPr>
        <w:tc>
          <w:tcPr>
            <w:tcW w:w="3260" w:type="dxa"/>
            <w:vAlign w:val="bottom"/>
          </w:tcPr>
          <w:p>
            <w:pPr>
              <w:spacing w:after="0"/>
              <w:rPr>
                <w:sz w:val="23"/>
                <w:szCs w:val="23"/>
                <w:color w:val="auto"/>
              </w:rPr>
            </w:pPr>
          </w:p>
        </w:tc>
        <w:tc>
          <w:tcPr>
            <w:tcW w:w="5500" w:type="dxa"/>
            <w:vAlign w:val="bottom"/>
          </w:tcPr>
          <w:p>
            <w:pPr>
              <w:ind w:left="540"/>
              <w:spacing w:after="0"/>
              <w:rPr>
                <w:sz w:val="20"/>
                <w:szCs w:val="20"/>
                <w:color w:val="auto"/>
              </w:rPr>
            </w:pPr>
            <w:r>
              <w:rPr>
                <w:rFonts w:ascii="Arial" w:cs="Arial" w:eastAsia="Arial" w:hAnsi="Arial"/>
                <w:sz w:val="18"/>
                <w:szCs w:val="18"/>
                <w:color w:val="auto"/>
              </w:rPr>
              <w:t>through 2027.</w:t>
            </w:r>
          </w:p>
        </w:tc>
      </w:tr>
      <w:tr>
        <w:trPr>
          <w:trHeight w:val="37"/>
        </w:trPr>
        <w:tc>
          <w:tcPr>
            <w:tcW w:w="3260" w:type="dxa"/>
            <w:vAlign w:val="bottom"/>
          </w:tcPr>
          <w:p>
            <w:pPr>
              <w:spacing w:after="0"/>
              <w:rPr>
                <w:sz w:val="3"/>
                <w:szCs w:val="3"/>
                <w:color w:val="auto"/>
              </w:rPr>
            </w:pPr>
          </w:p>
        </w:tc>
        <w:tc>
          <w:tcPr>
            <w:tcW w:w="5500" w:type="dxa"/>
            <w:vAlign w:val="bottom"/>
          </w:tcPr>
          <w:p>
            <w:pPr>
              <w:spacing w:after="0"/>
              <w:rPr>
                <w:sz w:val="3"/>
                <w:szCs w:val="3"/>
                <w:color w:val="auto"/>
              </w:rPr>
            </w:pPr>
          </w:p>
        </w:tc>
      </w:tr>
      <w:tr>
        <w:trPr>
          <w:trHeight w:val="224"/>
        </w:trPr>
        <w:tc>
          <w:tcPr>
            <w:tcW w:w="32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Performance Share Units (PSUs)</w:t>
            </w:r>
          </w:p>
        </w:tc>
        <w:tc>
          <w:tcPr>
            <w:tcW w:w="5500" w:type="dxa"/>
            <w:vAlign w:val="bottom"/>
            <w:shd w:val="clear" w:color="auto" w:fill="CBECD5"/>
          </w:tcPr>
          <w:p>
            <w:pPr>
              <w:ind w:left="540"/>
              <w:spacing w:after="0"/>
              <w:rPr>
                <w:sz w:val="20"/>
                <w:szCs w:val="20"/>
                <w:color w:val="auto"/>
              </w:rPr>
            </w:pPr>
            <w:r>
              <w:rPr>
                <w:rFonts w:ascii="Arial" w:cs="Arial" w:eastAsia="Arial" w:hAnsi="Arial"/>
                <w:sz w:val="18"/>
                <w:szCs w:val="18"/>
                <w:color w:val="auto"/>
              </w:rPr>
              <w:t>Vests, to the extent earned under all three tranches if at all, at</w:t>
            </w:r>
          </w:p>
        </w:tc>
      </w:tr>
      <w:tr>
        <w:trPr>
          <w:trHeight w:val="216"/>
        </w:trPr>
        <w:tc>
          <w:tcPr>
            <w:tcW w:w="3260" w:type="dxa"/>
            <w:vAlign w:val="bottom"/>
            <w:shd w:val="clear" w:color="auto" w:fill="CBECD5"/>
          </w:tcPr>
          <w:p>
            <w:pPr>
              <w:spacing w:after="0"/>
              <w:rPr>
                <w:sz w:val="18"/>
                <w:szCs w:val="18"/>
                <w:color w:val="auto"/>
              </w:rPr>
            </w:pPr>
          </w:p>
        </w:tc>
        <w:tc>
          <w:tcPr>
            <w:tcW w:w="5500" w:type="dxa"/>
            <w:vAlign w:val="bottom"/>
            <w:shd w:val="clear" w:color="auto" w:fill="CBECD5"/>
          </w:tcPr>
          <w:p>
            <w:pPr>
              <w:ind w:left="540"/>
              <w:spacing w:after="0"/>
              <w:rPr>
                <w:sz w:val="20"/>
                <w:szCs w:val="20"/>
                <w:color w:val="auto"/>
              </w:rPr>
            </w:pPr>
            <w:r>
              <w:rPr>
                <w:rFonts w:ascii="Arial" w:cs="Arial" w:eastAsia="Arial" w:hAnsi="Arial"/>
                <w:sz w:val="18"/>
                <w:szCs w:val="18"/>
                <w:color w:val="auto"/>
              </w:rPr>
              <w:t>the end of fiscal 2026, June 27, 2026. The one-fiscal-year</w:t>
            </w:r>
          </w:p>
        </w:tc>
      </w:tr>
      <w:tr>
        <w:trPr>
          <w:trHeight w:val="216"/>
        </w:trPr>
        <w:tc>
          <w:tcPr>
            <w:tcW w:w="3260" w:type="dxa"/>
            <w:vAlign w:val="bottom"/>
            <w:shd w:val="clear" w:color="auto" w:fill="CBECD5"/>
          </w:tcPr>
          <w:p>
            <w:pPr>
              <w:spacing w:after="0"/>
              <w:rPr>
                <w:sz w:val="18"/>
                <w:szCs w:val="18"/>
                <w:color w:val="auto"/>
              </w:rPr>
            </w:pPr>
          </w:p>
        </w:tc>
        <w:tc>
          <w:tcPr>
            <w:tcW w:w="5500" w:type="dxa"/>
            <w:vAlign w:val="bottom"/>
            <w:shd w:val="clear" w:color="auto" w:fill="CBECD5"/>
          </w:tcPr>
          <w:p>
            <w:pPr>
              <w:ind w:left="540"/>
              <w:spacing w:after="0"/>
              <w:rPr>
                <w:sz w:val="20"/>
                <w:szCs w:val="20"/>
                <w:color w:val="auto"/>
              </w:rPr>
            </w:pPr>
            <w:r>
              <w:rPr>
                <w:rFonts w:ascii="Arial" w:cs="Arial" w:eastAsia="Arial" w:hAnsi="Arial"/>
                <w:sz w:val="18"/>
                <w:szCs w:val="18"/>
                <w:color w:val="auto"/>
              </w:rPr>
              <w:t>performance period for each tranche over the three-year</w:t>
            </w:r>
          </w:p>
        </w:tc>
      </w:tr>
      <w:tr>
        <w:trPr>
          <w:trHeight w:val="216"/>
        </w:trPr>
        <w:tc>
          <w:tcPr>
            <w:tcW w:w="3260" w:type="dxa"/>
            <w:vAlign w:val="bottom"/>
            <w:shd w:val="clear" w:color="auto" w:fill="CBECD5"/>
          </w:tcPr>
          <w:p>
            <w:pPr>
              <w:spacing w:after="0"/>
              <w:rPr>
                <w:sz w:val="18"/>
                <w:szCs w:val="18"/>
                <w:color w:val="auto"/>
              </w:rPr>
            </w:pPr>
          </w:p>
        </w:tc>
        <w:tc>
          <w:tcPr>
            <w:tcW w:w="5500" w:type="dxa"/>
            <w:vAlign w:val="bottom"/>
            <w:shd w:val="clear" w:color="auto" w:fill="CBECD5"/>
          </w:tcPr>
          <w:p>
            <w:pPr>
              <w:ind w:left="540"/>
              <w:spacing w:after="0"/>
              <w:rPr>
                <w:sz w:val="20"/>
                <w:szCs w:val="20"/>
                <w:color w:val="auto"/>
              </w:rPr>
            </w:pPr>
            <w:r>
              <w:rPr>
                <w:rFonts w:ascii="Arial" w:cs="Arial" w:eastAsia="Arial" w:hAnsi="Arial"/>
                <w:sz w:val="18"/>
                <w:szCs w:val="18"/>
                <w:color w:val="auto"/>
              </w:rPr>
              <w:t>period is measured on a discrete basis as further explained in</w:t>
            </w:r>
          </w:p>
        </w:tc>
      </w:tr>
      <w:tr>
        <w:trPr>
          <w:trHeight w:val="269"/>
        </w:trPr>
        <w:tc>
          <w:tcPr>
            <w:tcW w:w="3260" w:type="dxa"/>
            <w:vAlign w:val="bottom"/>
            <w:tcBorders>
              <w:bottom w:val="single" w:sz="8" w:color="CBECD5"/>
            </w:tcBorders>
            <w:shd w:val="clear" w:color="auto" w:fill="CBECD5"/>
          </w:tcPr>
          <w:p>
            <w:pPr>
              <w:spacing w:after="0"/>
              <w:rPr>
                <w:sz w:val="23"/>
                <w:szCs w:val="23"/>
                <w:color w:val="auto"/>
              </w:rPr>
            </w:pPr>
          </w:p>
        </w:tc>
        <w:tc>
          <w:tcPr>
            <w:tcW w:w="5500" w:type="dxa"/>
            <w:vAlign w:val="bottom"/>
            <w:tcBorders>
              <w:bottom w:val="single" w:sz="8" w:color="CBECD5"/>
            </w:tcBorders>
            <w:shd w:val="clear" w:color="auto" w:fill="CBECD5"/>
          </w:tcPr>
          <w:p>
            <w:pPr>
              <w:ind w:left="540"/>
              <w:spacing w:after="0"/>
              <w:rPr>
                <w:sz w:val="20"/>
                <w:szCs w:val="20"/>
                <w:color w:val="auto"/>
              </w:rPr>
            </w:pPr>
            <w:r>
              <w:rPr>
                <w:rFonts w:ascii="Arial" w:cs="Arial" w:eastAsia="Arial" w:hAnsi="Arial"/>
                <w:sz w:val="18"/>
                <w:szCs w:val="18"/>
                <w:color w:val="auto"/>
              </w:rPr>
              <w:t>the CD&amp;A.</w:t>
            </w:r>
          </w:p>
        </w:tc>
      </w:tr>
      <w:tr>
        <w:trPr>
          <w:trHeight w:val="27"/>
        </w:trPr>
        <w:tc>
          <w:tcPr>
            <w:tcW w:w="3260" w:type="dxa"/>
            <w:vAlign w:val="bottom"/>
            <w:shd w:val="clear" w:color="auto" w:fill="53C072"/>
          </w:tcPr>
          <w:p>
            <w:pPr>
              <w:spacing w:after="0"/>
              <w:rPr>
                <w:sz w:val="2"/>
                <w:szCs w:val="2"/>
                <w:color w:val="auto"/>
              </w:rPr>
            </w:pPr>
          </w:p>
        </w:tc>
        <w:tc>
          <w:tcPr>
            <w:tcW w:w="5500" w:type="dxa"/>
            <w:vAlign w:val="bottom"/>
            <w:shd w:val="clear" w:color="auto" w:fill="53C072"/>
          </w:tcPr>
          <w:p>
            <w:pPr>
              <w:spacing w:after="0"/>
              <w:rPr>
                <w:sz w:val="2"/>
                <w:szCs w:val="2"/>
                <w:color w:val="auto"/>
              </w:rPr>
            </w:pPr>
          </w:p>
        </w:tc>
      </w:tr>
    </w:tbl>
    <w:p>
      <w:pPr>
        <w:spacing w:after="0" w:line="89" w:lineRule="exact"/>
        <w:rPr>
          <w:sz w:val="20"/>
          <w:szCs w:val="20"/>
          <w:color w:val="auto"/>
        </w:rPr>
      </w:pPr>
    </w:p>
    <w:p>
      <w:pPr>
        <w:ind w:left="1000" w:right="540"/>
        <w:spacing w:after="0" w:line="268" w:lineRule="auto"/>
        <w:rPr>
          <w:sz w:val="20"/>
          <w:szCs w:val="20"/>
          <w:color w:val="auto"/>
        </w:rPr>
      </w:pPr>
      <w:r>
        <w:rPr>
          <w:rFonts w:ascii="Arial" w:cs="Arial" w:eastAsia="Arial" w:hAnsi="Arial"/>
          <w:sz w:val="18"/>
          <w:szCs w:val="18"/>
          <w:color w:val="auto"/>
        </w:rPr>
        <w:t>For additional description of the terms and awards of RSUs and PSUs made in fiscal 2024, see the description of long-term incentives in the CD&amp;A and Note 12 to the Company’s Consolidated Financial Statements included in its Form 10-K for the fiscal year ended June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820" w:type="dxa"/>
            <w:vAlign w:val="bottom"/>
            <w:vMerge w:val="restart"/>
          </w:tcPr>
          <w:p>
            <w:pPr>
              <w:ind w:left="2580"/>
              <w:spacing w:after="0"/>
              <w:rPr>
                <w:sz w:val="20"/>
                <w:szCs w:val="20"/>
                <w:color w:val="auto"/>
              </w:rPr>
            </w:pPr>
            <w:r>
              <w:rPr>
                <w:rFonts w:ascii="Arial" w:cs="Arial" w:eastAsia="Arial" w:hAnsi="Arial"/>
                <w:sz w:val="14"/>
                <w:szCs w:val="14"/>
                <w:color w:val="auto"/>
                <w:w w:val="99"/>
              </w:rPr>
              <w:t>Compensation of Executive Officers</w:t>
            </w:r>
          </w:p>
        </w:tc>
        <w:tc>
          <w:tcPr>
            <w:tcW w:w="0" w:type="dxa"/>
            <w:vAlign w:val="bottom"/>
          </w:tcPr>
          <w:p>
            <w:pPr>
              <w:spacing w:after="0"/>
              <w:rPr>
                <w:sz w:val="1"/>
                <w:szCs w:val="1"/>
                <w:color w:val="auto"/>
              </w:rPr>
            </w:pPr>
          </w:p>
        </w:tc>
      </w:tr>
      <w:tr>
        <w:trPr>
          <w:trHeight w:val="88"/>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OUTSTANDING EQUITY AWARDS AT FISCAL YEAR-END</w:t>
      </w:r>
    </w:p>
    <w:p>
      <w:pPr>
        <w:spacing w:after="0" w:line="162" w:lineRule="exact"/>
        <w:rPr>
          <w:sz w:val="20"/>
          <w:szCs w:val="20"/>
          <w:color w:val="auto"/>
        </w:rPr>
      </w:pPr>
    </w:p>
    <w:p>
      <w:pPr>
        <w:ind w:left="1000" w:right="540"/>
        <w:spacing w:after="0" w:line="254" w:lineRule="auto"/>
        <w:rPr>
          <w:sz w:val="20"/>
          <w:szCs w:val="20"/>
          <w:color w:val="auto"/>
        </w:rPr>
      </w:pPr>
      <w:r>
        <w:rPr>
          <w:rFonts w:ascii="Arial" w:cs="Arial" w:eastAsia="Arial" w:hAnsi="Arial"/>
          <w:sz w:val="18"/>
          <w:szCs w:val="18"/>
          <w:color w:val="auto"/>
        </w:rPr>
        <w:t>The following table provides information on NEOs’ current stock options and stock awards as of June 29, 2024. It includes unexercised and unearned option grants, as well as unvested RSUs. The PSUs in the table below include the unvested PSUs earned under the first and second tranches of the fiscal 2023 grant and the first tranche of the fiscal 2024 grant, based on the achievement of performance goals for those fiscal years, and assumes achievement of performance goals at target for the remaining tranches.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June 29, 2024, which was $51.49. For additional information about the option grants and stock awards, see the description of long-term incentives in the CD&amp;A and Note 12 to the Company’s Consolidated Financial Statements included in its Form 10-K for the fiscal year ended June 29, 2024.</w:t>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280" w:type="dxa"/>
            <w:vAlign w:val="bottom"/>
            <w:shd w:val="clear" w:color="auto" w:fill="53C072"/>
          </w:tcPr>
          <w:p>
            <w:pPr>
              <w:ind w:left="20"/>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53C072"/>
          </w:tcPr>
          <w:p>
            <w:pPr>
              <w:spacing w:after="0"/>
              <w:rPr>
                <w:sz w:val="16"/>
                <w:szCs w:val="16"/>
                <w:color w:val="auto"/>
              </w:rPr>
            </w:pPr>
          </w:p>
        </w:tc>
        <w:tc>
          <w:tcPr>
            <w:tcW w:w="140" w:type="dxa"/>
            <w:vAlign w:val="bottom"/>
            <w:shd w:val="clear" w:color="auto" w:fill="53C072"/>
          </w:tcPr>
          <w:p>
            <w:pPr>
              <w:spacing w:after="0"/>
              <w:rPr>
                <w:sz w:val="16"/>
                <w:szCs w:val="16"/>
                <w:color w:val="auto"/>
              </w:rPr>
            </w:pPr>
          </w:p>
        </w:tc>
        <w:tc>
          <w:tcPr>
            <w:tcW w:w="40" w:type="dxa"/>
            <w:vAlign w:val="bottom"/>
            <w:shd w:val="clear" w:color="auto" w:fill="53C072"/>
          </w:tcPr>
          <w:p>
            <w:pPr>
              <w:spacing w:after="0"/>
              <w:rPr>
                <w:sz w:val="16"/>
                <w:szCs w:val="16"/>
                <w:color w:val="auto"/>
              </w:rPr>
            </w:pPr>
          </w:p>
        </w:tc>
        <w:tc>
          <w:tcPr>
            <w:tcW w:w="890" w:type="dxa"/>
            <w:vAlign w:val="bottom"/>
            <w:shd w:val="clear" w:color="auto" w:fill="53C072"/>
          </w:tcPr>
          <w:p>
            <w:pPr>
              <w:spacing w:after="0"/>
              <w:rPr>
                <w:sz w:val="16"/>
                <w:szCs w:val="16"/>
                <w:color w:val="auto"/>
              </w:rPr>
            </w:pPr>
          </w:p>
        </w:tc>
        <w:tc>
          <w:tcPr>
            <w:tcW w:w="170" w:type="dxa"/>
            <w:vAlign w:val="bottom"/>
            <w:shd w:val="clear" w:color="auto" w:fill="53C072"/>
          </w:tcPr>
          <w:p>
            <w:pPr>
              <w:ind w:left="30"/>
              <w:spacing w:after="0"/>
              <w:rPr>
                <w:sz w:val="20"/>
                <w:szCs w:val="20"/>
                <w:color w:val="auto"/>
              </w:rPr>
            </w:pPr>
            <w:r>
              <w:rPr>
                <w:rFonts w:ascii="Arial" w:cs="Arial" w:eastAsia="Arial" w:hAnsi="Arial"/>
                <w:sz w:val="13"/>
                <w:szCs w:val="13"/>
                <w:b w:val="1"/>
                <w:bCs w:val="1"/>
                <w:color w:val="FEFEFE"/>
              </w:rPr>
              <w:t>​​</w:t>
            </w:r>
          </w:p>
        </w:tc>
        <w:tc>
          <w:tcPr>
            <w:tcW w:w="56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78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88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1440" w:type="dxa"/>
            <w:vAlign w:val="bottom"/>
            <w:gridSpan w:val="4"/>
            <w:shd w:val="clear" w:color="auto" w:fill="53C072"/>
          </w:tcPr>
          <w:p>
            <w:pPr>
              <w:ind w:left="340"/>
              <w:spacing w:after="0"/>
              <w:rPr>
                <w:sz w:val="20"/>
                <w:szCs w:val="20"/>
                <w:color w:val="auto"/>
              </w:rPr>
            </w:pPr>
            <w:r>
              <w:rPr>
                <w:rFonts w:ascii="Arial" w:cs="Arial" w:eastAsia="Arial" w:hAnsi="Arial"/>
                <w:sz w:val="13"/>
                <w:szCs w:val="13"/>
                <w:b w:val="1"/>
                <w:bCs w:val="1"/>
                <w:color w:val="FEFEFE"/>
              </w:rPr>
              <w:t>Option Awards ​​</w:t>
            </w:r>
          </w:p>
        </w:tc>
        <w:tc>
          <w:tcPr>
            <w:tcW w:w="620" w:type="dxa"/>
            <w:vAlign w:val="bottom"/>
            <w:shd w:val="clear" w:color="auto" w:fill="53C072"/>
          </w:tcPr>
          <w:p>
            <w:pPr>
              <w:spacing w:after="0"/>
              <w:rPr>
                <w:sz w:val="16"/>
                <w:szCs w:val="16"/>
                <w:color w:val="auto"/>
              </w:rPr>
            </w:pPr>
          </w:p>
        </w:tc>
        <w:tc>
          <w:tcPr>
            <w:tcW w:w="700" w:type="dxa"/>
            <w:vAlign w:val="bottom"/>
            <w:shd w:val="clear" w:color="auto" w:fill="53C072"/>
          </w:tcPr>
          <w:p>
            <w:pPr>
              <w:spacing w:after="0"/>
              <w:rPr>
                <w:sz w:val="16"/>
                <w:szCs w:val="16"/>
                <w:color w:val="auto"/>
              </w:rPr>
            </w:pPr>
          </w:p>
        </w:tc>
        <w:tc>
          <w:tcPr>
            <w:tcW w:w="80" w:type="dxa"/>
            <w:vAlign w:val="bottom"/>
            <w:shd w:val="clear" w:color="auto" w:fill="53C072"/>
          </w:tcPr>
          <w:p>
            <w:pPr>
              <w:spacing w:after="0"/>
              <w:rPr>
                <w:sz w:val="16"/>
                <w:szCs w:val="16"/>
                <w:color w:val="auto"/>
              </w:rPr>
            </w:pPr>
          </w:p>
        </w:tc>
        <w:tc>
          <w:tcPr>
            <w:tcW w:w="640" w:type="dxa"/>
            <w:vAlign w:val="bottom"/>
            <w:shd w:val="clear" w:color="auto" w:fill="53C072"/>
          </w:tcPr>
          <w:p>
            <w:pPr>
              <w:spacing w:after="0"/>
              <w:rPr>
                <w:sz w:val="16"/>
                <w:szCs w:val="16"/>
                <w:color w:val="auto"/>
              </w:rPr>
            </w:pPr>
          </w:p>
        </w:tc>
        <w:tc>
          <w:tcPr>
            <w:tcW w:w="180" w:type="dxa"/>
            <w:vAlign w:val="bottom"/>
            <w:shd w:val="clear" w:color="auto" w:fill="53C072"/>
          </w:tcPr>
          <w:p>
            <w:pPr>
              <w:spacing w:after="0"/>
              <w:rPr>
                <w:sz w:val="16"/>
                <w:szCs w:val="16"/>
                <w:color w:val="auto"/>
              </w:rPr>
            </w:pPr>
          </w:p>
        </w:tc>
        <w:tc>
          <w:tcPr>
            <w:tcW w:w="840" w:type="dxa"/>
            <w:vAlign w:val="bottom"/>
            <w:shd w:val="clear" w:color="auto" w:fill="53C072"/>
          </w:tcPr>
          <w:p>
            <w:pPr>
              <w:spacing w:after="0"/>
              <w:rPr>
                <w:sz w:val="16"/>
                <w:szCs w:val="16"/>
                <w:color w:val="auto"/>
              </w:rPr>
            </w:pPr>
          </w:p>
        </w:tc>
        <w:tc>
          <w:tcPr>
            <w:tcW w:w="80" w:type="dxa"/>
            <w:vAlign w:val="bottom"/>
            <w:shd w:val="clear" w:color="auto" w:fill="53C072"/>
          </w:tcPr>
          <w:p>
            <w:pPr>
              <w:spacing w:after="0"/>
              <w:rPr>
                <w:sz w:val="16"/>
                <w:szCs w:val="16"/>
                <w:color w:val="auto"/>
              </w:rPr>
            </w:pPr>
          </w:p>
        </w:tc>
        <w:tc>
          <w:tcPr>
            <w:tcW w:w="9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Stock Awards</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7"/>
        </w:trPr>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90" w:type="dxa"/>
            <w:vAlign w:val="bottom"/>
            <w:shd w:val="clear" w:color="auto" w:fill="53C072"/>
          </w:tcPr>
          <w:p>
            <w:pPr>
              <w:spacing w:after="0"/>
              <w:rPr>
                <w:sz w:val="12"/>
                <w:szCs w:val="12"/>
                <w:color w:val="auto"/>
              </w:rPr>
            </w:pPr>
          </w:p>
        </w:tc>
        <w:tc>
          <w:tcPr>
            <w:tcW w:w="170" w:type="dxa"/>
            <w:vAlign w:val="bottom"/>
            <w:shd w:val="clear" w:color="auto" w:fill="53C072"/>
          </w:tcPr>
          <w:p>
            <w:pPr>
              <w:spacing w:after="0"/>
              <w:rPr>
                <w:sz w:val="12"/>
                <w:szCs w:val="12"/>
                <w:color w:val="auto"/>
              </w:rPr>
            </w:pPr>
          </w:p>
        </w:tc>
        <w:tc>
          <w:tcPr>
            <w:tcW w:w="56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4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line="148" w:lineRule="exact"/>
              <w:rPr>
                <w:sz w:val="20"/>
                <w:szCs w:val="20"/>
                <w:color w:val="auto"/>
              </w:rPr>
            </w:pPr>
            <w:r>
              <w:rPr>
                <w:rFonts w:ascii="Arial" w:cs="Arial" w:eastAsia="Arial" w:hAnsi="Arial"/>
                <w:sz w:val="13"/>
                <w:szCs w:val="13"/>
                <w:b w:val="1"/>
                <w:bCs w:val="1"/>
                <w:color w:val="FEFEFE"/>
              </w:rPr>
              <w:t>Equity</w:t>
            </w:r>
          </w:p>
        </w:tc>
        <w:tc>
          <w:tcPr>
            <w:tcW w:w="8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33"/>
              <w:spacing w:after="0" w:line="148" w:lineRule="exact"/>
              <w:rPr>
                <w:sz w:val="20"/>
                <w:szCs w:val="20"/>
                <w:color w:val="auto"/>
              </w:rPr>
            </w:pPr>
            <w:r>
              <w:rPr>
                <w:rFonts w:ascii="Arial" w:cs="Arial" w:eastAsia="Arial" w:hAnsi="Arial"/>
                <w:sz w:val="13"/>
                <w:szCs w:val="13"/>
                <w:b w:val="1"/>
                <w:bCs w:val="1"/>
                <w:color w:val="FEFEFE"/>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90" w:type="dxa"/>
            <w:vAlign w:val="bottom"/>
            <w:shd w:val="clear" w:color="auto" w:fill="53C072"/>
          </w:tcPr>
          <w:p>
            <w:pPr>
              <w:spacing w:after="0"/>
              <w:rPr>
                <w:sz w:val="12"/>
                <w:szCs w:val="12"/>
                <w:color w:val="auto"/>
              </w:rPr>
            </w:pPr>
          </w:p>
        </w:tc>
        <w:tc>
          <w:tcPr>
            <w:tcW w:w="170" w:type="dxa"/>
            <w:vAlign w:val="bottom"/>
            <w:shd w:val="clear" w:color="auto" w:fill="53C072"/>
          </w:tcPr>
          <w:p>
            <w:pPr>
              <w:spacing w:after="0"/>
              <w:rPr>
                <w:sz w:val="12"/>
                <w:szCs w:val="12"/>
                <w:color w:val="auto"/>
              </w:rPr>
            </w:pPr>
          </w:p>
        </w:tc>
        <w:tc>
          <w:tcPr>
            <w:tcW w:w="56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4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Incentive</w:t>
            </w:r>
          </w:p>
        </w:tc>
        <w:tc>
          <w:tcPr>
            <w:tcW w:w="8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 w:type="dxa"/>
            <w:vAlign w:val="bottom"/>
            <w:shd w:val="clear" w:color="auto" w:fill="53C072"/>
          </w:tcPr>
          <w:p>
            <w:pPr>
              <w:spacing w:after="0"/>
              <w:rPr>
                <w:sz w:val="14"/>
                <w:szCs w:val="14"/>
                <w:color w:val="auto"/>
              </w:rPr>
            </w:pPr>
          </w:p>
        </w:tc>
        <w:tc>
          <w:tcPr>
            <w:tcW w:w="8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40" w:type="dxa"/>
            <w:vAlign w:val="bottom"/>
            <w:shd w:val="clear" w:color="auto" w:fill="53C072"/>
          </w:tcPr>
          <w:p>
            <w:pPr>
              <w:spacing w:after="0"/>
              <w:rPr>
                <w:sz w:val="14"/>
                <w:szCs w:val="14"/>
                <w:color w:val="auto"/>
              </w:rPr>
            </w:pPr>
          </w:p>
        </w:tc>
        <w:tc>
          <w:tcPr>
            <w:tcW w:w="890" w:type="dxa"/>
            <w:vAlign w:val="bottom"/>
            <w:shd w:val="clear" w:color="auto" w:fill="53C072"/>
          </w:tcPr>
          <w:p>
            <w:pPr>
              <w:spacing w:after="0"/>
              <w:rPr>
                <w:sz w:val="14"/>
                <w:szCs w:val="14"/>
                <w:color w:val="auto"/>
              </w:rPr>
            </w:pPr>
          </w:p>
        </w:tc>
        <w:tc>
          <w:tcPr>
            <w:tcW w:w="170" w:type="dxa"/>
            <w:vAlign w:val="bottom"/>
            <w:shd w:val="clear" w:color="auto" w:fill="53C072"/>
          </w:tcPr>
          <w:p>
            <w:pPr>
              <w:spacing w:after="0"/>
              <w:rPr>
                <w:sz w:val="14"/>
                <w:szCs w:val="14"/>
                <w:color w:val="auto"/>
              </w:rPr>
            </w:pPr>
          </w:p>
        </w:tc>
        <w:tc>
          <w:tcPr>
            <w:tcW w:w="56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78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88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54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640" w:type="dxa"/>
            <w:vAlign w:val="bottom"/>
            <w:shd w:val="clear" w:color="auto" w:fill="53C072"/>
          </w:tcPr>
          <w:p>
            <w:pPr>
              <w:spacing w:after="0"/>
              <w:rPr>
                <w:sz w:val="14"/>
                <w:szCs w:val="14"/>
                <w:color w:val="auto"/>
              </w:rPr>
            </w:pPr>
          </w:p>
        </w:tc>
        <w:tc>
          <w:tcPr>
            <w:tcW w:w="140" w:type="dxa"/>
            <w:vAlign w:val="bottom"/>
            <w:shd w:val="clear" w:color="auto" w:fill="53C072"/>
          </w:tcPr>
          <w:p>
            <w:pPr>
              <w:spacing w:after="0"/>
              <w:rPr>
                <w:sz w:val="14"/>
                <w:szCs w:val="14"/>
                <w:color w:val="auto"/>
              </w:rPr>
            </w:pPr>
          </w:p>
        </w:tc>
        <w:tc>
          <w:tcPr>
            <w:tcW w:w="62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80" w:type="dxa"/>
            <w:vAlign w:val="bottom"/>
            <w:shd w:val="clear" w:color="auto" w:fill="53C072"/>
          </w:tcPr>
          <w:p>
            <w:pPr>
              <w:spacing w:after="0"/>
              <w:rPr>
                <w:sz w:val="14"/>
                <w:szCs w:val="14"/>
                <w:color w:val="auto"/>
              </w:rPr>
            </w:pPr>
          </w:p>
        </w:tc>
        <w:tc>
          <w:tcPr>
            <w:tcW w:w="640" w:type="dxa"/>
            <w:vAlign w:val="bottom"/>
            <w:shd w:val="clear" w:color="auto" w:fill="53C072"/>
          </w:tcPr>
          <w:p>
            <w:pPr>
              <w:spacing w:after="0"/>
              <w:rPr>
                <w:sz w:val="14"/>
                <w:szCs w:val="14"/>
                <w:color w:val="auto"/>
              </w:rPr>
            </w:pPr>
          </w:p>
        </w:tc>
        <w:tc>
          <w:tcPr>
            <w:tcW w:w="180" w:type="dxa"/>
            <w:vAlign w:val="bottom"/>
            <w:shd w:val="clear" w:color="auto" w:fill="53C072"/>
          </w:tcPr>
          <w:p>
            <w:pPr>
              <w:spacing w:after="0"/>
              <w:rPr>
                <w:sz w:val="14"/>
                <w:szCs w:val="14"/>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Plan</w:t>
            </w:r>
          </w:p>
        </w:tc>
        <w:tc>
          <w:tcPr>
            <w:tcW w:w="80" w:type="dxa"/>
            <w:vAlign w:val="bottom"/>
            <w:shd w:val="clear" w:color="auto" w:fill="53C072"/>
          </w:tcPr>
          <w:p>
            <w:pPr>
              <w:spacing w:after="0"/>
              <w:rPr>
                <w:sz w:val="14"/>
                <w:szCs w:val="14"/>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90" w:type="dxa"/>
            <w:vAlign w:val="bottom"/>
            <w:shd w:val="clear" w:color="auto" w:fill="53C072"/>
          </w:tcPr>
          <w:p>
            <w:pPr>
              <w:spacing w:after="0"/>
              <w:rPr>
                <w:sz w:val="12"/>
                <w:szCs w:val="12"/>
                <w:color w:val="auto"/>
              </w:rPr>
            </w:pPr>
          </w:p>
        </w:tc>
        <w:tc>
          <w:tcPr>
            <w:tcW w:w="170" w:type="dxa"/>
            <w:vAlign w:val="bottom"/>
            <w:shd w:val="clear" w:color="auto" w:fill="53C072"/>
          </w:tcPr>
          <w:p>
            <w:pPr>
              <w:spacing w:after="0"/>
              <w:rPr>
                <w:sz w:val="12"/>
                <w:szCs w:val="12"/>
                <w:color w:val="auto"/>
              </w:rPr>
            </w:pPr>
          </w:p>
        </w:tc>
        <w:tc>
          <w:tcPr>
            <w:tcW w:w="56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4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Awards:</w:t>
            </w:r>
          </w:p>
        </w:tc>
        <w:tc>
          <w:tcPr>
            <w:tcW w:w="8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90" w:type="dxa"/>
            <w:vAlign w:val="bottom"/>
            <w:shd w:val="clear" w:color="auto" w:fill="53C072"/>
          </w:tcPr>
          <w:p>
            <w:pPr>
              <w:spacing w:after="0"/>
              <w:rPr>
                <w:sz w:val="12"/>
                <w:szCs w:val="12"/>
                <w:color w:val="auto"/>
              </w:rPr>
            </w:pPr>
          </w:p>
        </w:tc>
        <w:tc>
          <w:tcPr>
            <w:tcW w:w="170" w:type="dxa"/>
            <w:vAlign w:val="bottom"/>
            <w:shd w:val="clear" w:color="auto" w:fill="53C072"/>
          </w:tcPr>
          <w:p>
            <w:pPr>
              <w:spacing w:after="0"/>
              <w:rPr>
                <w:sz w:val="12"/>
                <w:szCs w:val="12"/>
                <w:color w:val="auto"/>
              </w:rPr>
            </w:pPr>
          </w:p>
        </w:tc>
        <w:tc>
          <w:tcPr>
            <w:tcW w:w="56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4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Number of</w:t>
            </w:r>
          </w:p>
        </w:tc>
        <w:tc>
          <w:tcPr>
            <w:tcW w:w="8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Market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8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890" w:type="dxa"/>
            <w:vAlign w:val="bottom"/>
            <w:shd w:val="clear" w:color="auto" w:fill="53C072"/>
          </w:tcPr>
          <w:p>
            <w:pPr>
              <w:spacing w:after="0"/>
              <w:rPr>
                <w:sz w:val="13"/>
                <w:szCs w:val="13"/>
                <w:color w:val="auto"/>
              </w:rPr>
            </w:pPr>
          </w:p>
        </w:tc>
        <w:tc>
          <w:tcPr>
            <w:tcW w:w="170" w:type="dxa"/>
            <w:vAlign w:val="bottom"/>
            <w:shd w:val="clear" w:color="auto" w:fill="53C072"/>
          </w:tcPr>
          <w:p>
            <w:pPr>
              <w:spacing w:after="0"/>
              <w:rPr>
                <w:sz w:val="13"/>
                <w:szCs w:val="13"/>
                <w:color w:val="auto"/>
              </w:rPr>
            </w:pPr>
          </w:p>
        </w:tc>
        <w:tc>
          <w:tcPr>
            <w:tcW w:w="56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78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88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54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132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Number of</w:t>
            </w:r>
          </w:p>
        </w:tc>
        <w:tc>
          <w:tcPr>
            <w:tcW w:w="8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Market</w:t>
            </w:r>
          </w:p>
        </w:tc>
        <w:tc>
          <w:tcPr>
            <w:tcW w:w="180" w:type="dxa"/>
            <w:vAlign w:val="bottom"/>
            <w:shd w:val="clear" w:color="auto" w:fill="53C072"/>
          </w:tcPr>
          <w:p>
            <w:pPr>
              <w:spacing w:after="0"/>
              <w:rPr>
                <w:sz w:val="13"/>
                <w:szCs w:val="13"/>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Unearned</w:t>
            </w:r>
          </w:p>
        </w:tc>
        <w:tc>
          <w:tcPr>
            <w:tcW w:w="80" w:type="dxa"/>
            <w:vAlign w:val="bottom"/>
            <w:shd w:val="clear" w:color="auto" w:fill="53C072"/>
          </w:tcPr>
          <w:p>
            <w:pPr>
              <w:spacing w:after="0"/>
              <w:rPr>
                <w:sz w:val="13"/>
                <w:szCs w:val="13"/>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Payout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890" w:type="dxa"/>
            <w:vAlign w:val="bottom"/>
            <w:shd w:val="clear" w:color="auto" w:fill="53C072"/>
          </w:tcPr>
          <w:p>
            <w:pPr>
              <w:spacing w:after="0"/>
              <w:rPr>
                <w:sz w:val="13"/>
                <w:szCs w:val="13"/>
                <w:color w:val="auto"/>
              </w:rPr>
            </w:pPr>
          </w:p>
        </w:tc>
        <w:tc>
          <w:tcPr>
            <w:tcW w:w="170" w:type="dxa"/>
            <w:vAlign w:val="bottom"/>
            <w:shd w:val="clear" w:color="auto" w:fill="53C072"/>
          </w:tcPr>
          <w:p>
            <w:pPr>
              <w:spacing w:after="0"/>
              <w:rPr>
                <w:sz w:val="13"/>
                <w:szCs w:val="13"/>
                <w:color w:val="auto"/>
              </w:rPr>
            </w:pPr>
          </w:p>
        </w:tc>
        <w:tc>
          <w:tcPr>
            <w:tcW w:w="56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78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Number of</w:t>
            </w:r>
          </w:p>
        </w:tc>
        <w:tc>
          <w:tcPr>
            <w:tcW w:w="120" w:type="dxa"/>
            <w:vAlign w:val="bottom"/>
            <w:shd w:val="clear" w:color="auto" w:fill="53C072"/>
          </w:tcPr>
          <w:p>
            <w:pPr>
              <w:spacing w:after="0"/>
              <w:rPr>
                <w:sz w:val="13"/>
                <w:szCs w:val="13"/>
                <w:color w:val="auto"/>
              </w:rPr>
            </w:pPr>
          </w:p>
        </w:tc>
        <w:tc>
          <w:tcPr>
            <w:tcW w:w="88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Number of</w:t>
            </w:r>
          </w:p>
        </w:tc>
        <w:tc>
          <w:tcPr>
            <w:tcW w:w="120" w:type="dxa"/>
            <w:vAlign w:val="bottom"/>
            <w:shd w:val="clear" w:color="auto" w:fill="53C072"/>
          </w:tcPr>
          <w:p>
            <w:pPr>
              <w:spacing w:after="0"/>
              <w:rPr>
                <w:sz w:val="13"/>
                <w:szCs w:val="13"/>
                <w:color w:val="auto"/>
              </w:rPr>
            </w:pPr>
          </w:p>
        </w:tc>
        <w:tc>
          <w:tcPr>
            <w:tcW w:w="54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620" w:type="dxa"/>
            <w:vAlign w:val="bottom"/>
            <w:shd w:val="clear" w:color="auto" w:fill="53C072"/>
          </w:tcPr>
          <w:p>
            <w:pPr>
              <w:spacing w:after="0"/>
              <w:rPr>
                <w:sz w:val="13"/>
                <w:szCs w:val="13"/>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Shares or</w:t>
            </w:r>
          </w:p>
        </w:tc>
        <w:tc>
          <w:tcPr>
            <w:tcW w:w="8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Value of</w:t>
            </w:r>
          </w:p>
        </w:tc>
        <w:tc>
          <w:tcPr>
            <w:tcW w:w="180" w:type="dxa"/>
            <w:vAlign w:val="bottom"/>
            <w:shd w:val="clear" w:color="auto" w:fill="53C072"/>
          </w:tcPr>
          <w:p>
            <w:pPr>
              <w:spacing w:after="0"/>
              <w:rPr>
                <w:sz w:val="13"/>
                <w:szCs w:val="13"/>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Shares,</w:t>
            </w:r>
          </w:p>
        </w:tc>
        <w:tc>
          <w:tcPr>
            <w:tcW w:w="80" w:type="dxa"/>
            <w:vAlign w:val="bottom"/>
            <w:shd w:val="clear" w:color="auto" w:fill="53C072"/>
          </w:tcPr>
          <w:p>
            <w:pPr>
              <w:spacing w:after="0"/>
              <w:rPr>
                <w:sz w:val="13"/>
                <w:szCs w:val="13"/>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Value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90" w:type="dxa"/>
            <w:vAlign w:val="bottom"/>
            <w:shd w:val="clear" w:color="auto" w:fill="53C072"/>
          </w:tcPr>
          <w:p>
            <w:pPr>
              <w:spacing w:after="0"/>
              <w:rPr>
                <w:sz w:val="12"/>
                <w:szCs w:val="12"/>
                <w:color w:val="auto"/>
              </w:rPr>
            </w:pPr>
          </w:p>
        </w:tc>
        <w:tc>
          <w:tcPr>
            <w:tcW w:w="170" w:type="dxa"/>
            <w:vAlign w:val="bottom"/>
            <w:shd w:val="clear" w:color="auto" w:fill="53C072"/>
          </w:tcPr>
          <w:p>
            <w:pPr>
              <w:spacing w:after="0"/>
              <w:rPr>
                <w:sz w:val="12"/>
                <w:szCs w:val="12"/>
                <w:color w:val="auto"/>
              </w:rPr>
            </w:pPr>
          </w:p>
        </w:tc>
        <w:tc>
          <w:tcPr>
            <w:tcW w:w="56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vMerge w:val="continue"/>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880" w:type="dxa"/>
            <w:vAlign w:val="bottom"/>
            <w:vMerge w:val="continue"/>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54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shd w:val="clear" w:color="auto" w:fill="53C072"/>
          </w:tcPr>
          <w:p>
            <w:pPr>
              <w:spacing w:after="0"/>
              <w:rPr>
                <w:sz w:val="12"/>
                <w:szCs w:val="12"/>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Units of</w:t>
            </w:r>
          </w:p>
        </w:tc>
        <w:tc>
          <w:tcPr>
            <w:tcW w:w="72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Shares or</w:t>
            </w: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Units or</w:t>
            </w:r>
          </w:p>
        </w:tc>
        <w:tc>
          <w:tcPr>
            <w:tcW w:w="8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8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890" w:type="dxa"/>
            <w:vAlign w:val="bottom"/>
            <w:shd w:val="clear" w:color="auto" w:fill="53C072"/>
          </w:tcPr>
          <w:p>
            <w:pPr>
              <w:spacing w:after="0"/>
              <w:rPr>
                <w:sz w:val="13"/>
                <w:szCs w:val="13"/>
                <w:color w:val="auto"/>
              </w:rPr>
            </w:pPr>
          </w:p>
        </w:tc>
        <w:tc>
          <w:tcPr>
            <w:tcW w:w="170" w:type="dxa"/>
            <w:vAlign w:val="bottom"/>
            <w:shd w:val="clear" w:color="auto" w:fill="53C072"/>
          </w:tcPr>
          <w:p>
            <w:pPr>
              <w:spacing w:after="0"/>
              <w:rPr>
                <w:sz w:val="13"/>
                <w:szCs w:val="13"/>
                <w:color w:val="auto"/>
              </w:rPr>
            </w:pPr>
          </w:p>
        </w:tc>
        <w:tc>
          <w:tcPr>
            <w:tcW w:w="56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Securities</w:t>
            </w:r>
          </w:p>
        </w:tc>
        <w:tc>
          <w:tcPr>
            <w:tcW w:w="120" w:type="dxa"/>
            <w:vAlign w:val="bottom"/>
            <w:shd w:val="clear" w:color="auto" w:fill="53C072"/>
          </w:tcPr>
          <w:p>
            <w:pPr>
              <w:spacing w:after="0"/>
              <w:rPr>
                <w:sz w:val="13"/>
                <w:szCs w:val="13"/>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Securities</w:t>
            </w:r>
          </w:p>
        </w:tc>
        <w:tc>
          <w:tcPr>
            <w:tcW w:w="120" w:type="dxa"/>
            <w:vAlign w:val="bottom"/>
            <w:shd w:val="clear" w:color="auto" w:fill="53C072"/>
          </w:tcPr>
          <w:p>
            <w:pPr>
              <w:spacing w:after="0"/>
              <w:rPr>
                <w:sz w:val="13"/>
                <w:szCs w:val="13"/>
                <w:color w:val="auto"/>
              </w:rPr>
            </w:pPr>
          </w:p>
        </w:tc>
        <w:tc>
          <w:tcPr>
            <w:tcW w:w="540" w:type="dxa"/>
            <w:vAlign w:val="bottom"/>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620" w:type="dxa"/>
            <w:vAlign w:val="bottom"/>
            <w:shd w:val="clear" w:color="auto" w:fill="53C072"/>
          </w:tcPr>
          <w:p>
            <w:pPr>
              <w:spacing w:after="0"/>
              <w:rPr>
                <w:sz w:val="13"/>
                <w:szCs w:val="13"/>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Stock</w:t>
            </w:r>
          </w:p>
        </w:tc>
        <w:tc>
          <w:tcPr>
            <w:tcW w:w="8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Units of</w:t>
            </w:r>
          </w:p>
        </w:tc>
        <w:tc>
          <w:tcPr>
            <w:tcW w:w="180" w:type="dxa"/>
            <w:vAlign w:val="bottom"/>
            <w:shd w:val="clear" w:color="auto" w:fill="53C072"/>
          </w:tcPr>
          <w:p>
            <w:pPr>
              <w:spacing w:after="0"/>
              <w:rPr>
                <w:sz w:val="13"/>
                <w:szCs w:val="13"/>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Other</w:t>
            </w:r>
          </w:p>
        </w:tc>
        <w:tc>
          <w:tcPr>
            <w:tcW w:w="80" w:type="dxa"/>
            <w:vAlign w:val="bottom"/>
            <w:shd w:val="clear" w:color="auto" w:fill="53C072"/>
          </w:tcPr>
          <w:p>
            <w:pPr>
              <w:spacing w:after="0"/>
              <w:rPr>
                <w:sz w:val="13"/>
                <w:szCs w:val="13"/>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Shares,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90" w:type="dxa"/>
            <w:vAlign w:val="bottom"/>
            <w:shd w:val="clear" w:color="auto" w:fill="53C072"/>
          </w:tcPr>
          <w:p>
            <w:pPr>
              <w:spacing w:after="0"/>
              <w:rPr>
                <w:sz w:val="12"/>
                <w:szCs w:val="12"/>
                <w:color w:val="auto"/>
              </w:rPr>
            </w:pPr>
          </w:p>
        </w:tc>
        <w:tc>
          <w:tcPr>
            <w:tcW w:w="170" w:type="dxa"/>
            <w:vAlign w:val="bottom"/>
            <w:shd w:val="clear" w:color="auto" w:fill="53C072"/>
          </w:tcPr>
          <w:p>
            <w:pPr>
              <w:spacing w:after="0"/>
              <w:rPr>
                <w:sz w:val="12"/>
                <w:szCs w:val="12"/>
                <w:color w:val="auto"/>
              </w:rPr>
            </w:pPr>
          </w:p>
        </w:tc>
        <w:tc>
          <w:tcPr>
            <w:tcW w:w="560" w:type="dxa"/>
            <w:vAlign w:val="bottom"/>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Underlying</w:t>
            </w: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Underlying</w:t>
            </w:r>
          </w:p>
        </w:tc>
        <w:tc>
          <w:tcPr>
            <w:tcW w:w="120" w:type="dxa"/>
            <w:vAlign w:val="bottom"/>
            <w:shd w:val="clear" w:color="auto" w:fill="53C072"/>
          </w:tcPr>
          <w:p>
            <w:pPr>
              <w:spacing w:after="0"/>
              <w:rPr>
                <w:sz w:val="12"/>
                <w:szCs w:val="12"/>
                <w:color w:val="auto"/>
              </w:rPr>
            </w:pPr>
          </w:p>
        </w:tc>
        <w:tc>
          <w:tcPr>
            <w:tcW w:w="54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Option</w:t>
            </w:r>
          </w:p>
        </w:tc>
        <w:tc>
          <w:tcPr>
            <w:tcW w:w="12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vMerge w:val="restart"/>
            <w:shd w:val="clear" w:color="auto" w:fill="53C072"/>
          </w:tcPr>
          <w:p>
            <w:pPr>
              <w:jc w:val="right"/>
              <w:ind w:right="73"/>
              <w:spacing w:after="0"/>
              <w:rPr>
                <w:sz w:val="20"/>
                <w:szCs w:val="20"/>
                <w:color w:val="auto"/>
              </w:rPr>
            </w:pPr>
            <w:r>
              <w:rPr>
                <w:rFonts w:ascii="Arial" w:cs="Arial" w:eastAsia="Arial" w:hAnsi="Arial"/>
                <w:sz w:val="13"/>
                <w:szCs w:val="13"/>
                <w:b w:val="1"/>
                <w:bCs w:val="1"/>
                <w:color w:val="FEFEFE"/>
              </w:rPr>
              <w:t>Stock</w:t>
            </w: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That</w:t>
            </w: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Stock</w:t>
            </w: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Rights</w:t>
            </w:r>
          </w:p>
        </w:tc>
        <w:tc>
          <w:tcPr>
            <w:tcW w:w="8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Units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40" w:type="dxa"/>
            <w:vAlign w:val="bottom"/>
            <w:shd w:val="clear" w:color="auto" w:fill="53C072"/>
          </w:tcPr>
          <w:p>
            <w:pPr>
              <w:spacing w:after="0"/>
              <w:rPr>
                <w:sz w:val="13"/>
                <w:szCs w:val="13"/>
                <w:color w:val="auto"/>
              </w:rPr>
            </w:pPr>
          </w:p>
        </w:tc>
        <w:tc>
          <w:tcPr>
            <w:tcW w:w="890" w:type="dxa"/>
            <w:vAlign w:val="bottom"/>
            <w:shd w:val="clear" w:color="auto" w:fill="53C072"/>
          </w:tcPr>
          <w:p>
            <w:pPr>
              <w:spacing w:after="0"/>
              <w:rPr>
                <w:sz w:val="13"/>
                <w:szCs w:val="13"/>
                <w:color w:val="auto"/>
              </w:rPr>
            </w:pPr>
          </w:p>
        </w:tc>
        <w:tc>
          <w:tcPr>
            <w:tcW w:w="170" w:type="dxa"/>
            <w:vAlign w:val="bottom"/>
            <w:shd w:val="clear" w:color="auto" w:fill="53C072"/>
          </w:tcPr>
          <w:p>
            <w:pPr>
              <w:spacing w:after="0"/>
              <w:rPr>
                <w:sz w:val="13"/>
                <w:szCs w:val="13"/>
                <w:color w:val="auto"/>
              </w:rPr>
            </w:pPr>
          </w:p>
        </w:tc>
        <w:tc>
          <w:tcPr>
            <w:tcW w:w="56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Option</w:t>
            </w:r>
          </w:p>
        </w:tc>
        <w:tc>
          <w:tcPr>
            <w:tcW w:w="90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Unexercised</w:t>
            </w:r>
          </w:p>
        </w:tc>
        <w:tc>
          <w:tcPr>
            <w:tcW w:w="120" w:type="dxa"/>
            <w:vAlign w:val="bottom"/>
            <w:shd w:val="clear" w:color="auto" w:fill="53C072"/>
          </w:tcPr>
          <w:p>
            <w:pPr>
              <w:spacing w:after="0"/>
              <w:rPr>
                <w:sz w:val="13"/>
                <w:szCs w:val="13"/>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Unexercised</w:t>
            </w:r>
          </w:p>
        </w:tc>
        <w:tc>
          <w:tcPr>
            <w:tcW w:w="120" w:type="dxa"/>
            <w:vAlign w:val="bottom"/>
            <w:shd w:val="clear" w:color="auto" w:fill="53C072"/>
          </w:tcPr>
          <w:p>
            <w:pPr>
              <w:spacing w:after="0"/>
              <w:rPr>
                <w:sz w:val="13"/>
                <w:szCs w:val="13"/>
                <w:color w:val="auto"/>
              </w:rPr>
            </w:pPr>
          </w:p>
        </w:tc>
        <w:tc>
          <w:tcPr>
            <w:tcW w:w="540" w:type="dxa"/>
            <w:vAlign w:val="bottom"/>
            <w:vMerge w:val="continue"/>
            <w:shd w:val="clear" w:color="auto" w:fill="53C072"/>
          </w:tcPr>
          <w:p>
            <w:pPr>
              <w:spacing w:after="0"/>
              <w:rPr>
                <w:sz w:val="13"/>
                <w:szCs w:val="13"/>
                <w:color w:val="auto"/>
              </w:rPr>
            </w:pPr>
          </w:p>
        </w:tc>
        <w:tc>
          <w:tcPr>
            <w:tcW w:w="120" w:type="dxa"/>
            <w:vAlign w:val="bottom"/>
            <w:shd w:val="clear" w:color="auto" w:fill="53C072"/>
          </w:tcPr>
          <w:p>
            <w:pPr>
              <w:spacing w:after="0"/>
              <w:rPr>
                <w:sz w:val="13"/>
                <w:szCs w:val="13"/>
                <w:color w:val="auto"/>
              </w:rPr>
            </w:pPr>
          </w:p>
        </w:tc>
        <w:tc>
          <w:tcPr>
            <w:tcW w:w="64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EFEFE"/>
              </w:rPr>
              <w:t>Option</w:t>
            </w:r>
          </w:p>
        </w:tc>
        <w:tc>
          <w:tcPr>
            <w:tcW w:w="140" w:type="dxa"/>
            <w:vAlign w:val="bottom"/>
            <w:shd w:val="clear" w:color="auto" w:fill="53C072"/>
          </w:tcPr>
          <w:p>
            <w:pPr>
              <w:spacing w:after="0"/>
              <w:rPr>
                <w:sz w:val="13"/>
                <w:szCs w:val="13"/>
                <w:color w:val="auto"/>
              </w:rPr>
            </w:pPr>
          </w:p>
        </w:tc>
        <w:tc>
          <w:tcPr>
            <w:tcW w:w="620" w:type="dxa"/>
            <w:vAlign w:val="bottom"/>
            <w:vMerge w:val="continue"/>
            <w:shd w:val="clear" w:color="auto" w:fill="53C072"/>
          </w:tcPr>
          <w:p>
            <w:pPr>
              <w:spacing w:after="0"/>
              <w:rPr>
                <w:sz w:val="13"/>
                <w:szCs w:val="13"/>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Have Not</w:t>
            </w:r>
          </w:p>
        </w:tc>
        <w:tc>
          <w:tcPr>
            <w:tcW w:w="80" w:type="dxa"/>
            <w:vAlign w:val="bottom"/>
            <w:shd w:val="clear" w:color="auto" w:fill="53C072"/>
          </w:tcPr>
          <w:p>
            <w:pPr>
              <w:spacing w:after="0"/>
              <w:rPr>
                <w:sz w:val="13"/>
                <w:szCs w:val="13"/>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That</w:t>
            </w:r>
          </w:p>
        </w:tc>
        <w:tc>
          <w:tcPr>
            <w:tcW w:w="102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That Have Not</w:t>
            </w:r>
          </w:p>
        </w:tc>
        <w:tc>
          <w:tcPr>
            <w:tcW w:w="80" w:type="dxa"/>
            <w:vAlign w:val="bottom"/>
            <w:shd w:val="clear" w:color="auto" w:fill="53C072"/>
          </w:tcPr>
          <w:p>
            <w:pPr>
              <w:spacing w:after="0"/>
              <w:rPr>
                <w:sz w:val="13"/>
                <w:szCs w:val="13"/>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Other Rights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40" w:type="dxa"/>
            <w:vAlign w:val="bottom"/>
            <w:shd w:val="clear" w:color="auto" w:fill="53C072"/>
          </w:tcPr>
          <w:p>
            <w:pPr>
              <w:spacing w:after="0"/>
              <w:rPr>
                <w:sz w:val="12"/>
                <w:szCs w:val="12"/>
                <w:color w:val="auto"/>
              </w:rPr>
            </w:pPr>
          </w:p>
        </w:tc>
        <w:tc>
          <w:tcPr>
            <w:tcW w:w="890" w:type="dxa"/>
            <w:vAlign w:val="bottom"/>
            <w:shd w:val="clear" w:color="auto" w:fill="53C072"/>
          </w:tcPr>
          <w:p>
            <w:pPr>
              <w:spacing w:after="0"/>
              <w:rPr>
                <w:sz w:val="12"/>
                <w:szCs w:val="12"/>
                <w:color w:val="auto"/>
              </w:rPr>
            </w:pPr>
          </w:p>
        </w:tc>
        <w:tc>
          <w:tcPr>
            <w:tcW w:w="170" w:type="dxa"/>
            <w:vAlign w:val="bottom"/>
            <w:shd w:val="clear" w:color="auto" w:fill="53C072"/>
          </w:tcPr>
          <w:p>
            <w:pPr>
              <w:spacing w:after="0"/>
              <w:rPr>
                <w:sz w:val="12"/>
                <w:szCs w:val="12"/>
                <w:color w:val="auto"/>
              </w:rPr>
            </w:pPr>
          </w:p>
        </w:tc>
        <w:tc>
          <w:tcPr>
            <w:tcW w:w="560" w:type="dxa"/>
            <w:vAlign w:val="bottom"/>
            <w:vMerge w:val="continue"/>
            <w:shd w:val="clear" w:color="auto" w:fill="53C072"/>
          </w:tcPr>
          <w:p>
            <w:pPr>
              <w:spacing w:after="0"/>
              <w:rPr>
                <w:sz w:val="12"/>
                <w:szCs w:val="12"/>
                <w:color w:val="auto"/>
              </w:rPr>
            </w:pPr>
          </w:p>
        </w:tc>
        <w:tc>
          <w:tcPr>
            <w:tcW w:w="120" w:type="dxa"/>
            <w:vAlign w:val="bottom"/>
            <w:shd w:val="clear" w:color="auto" w:fill="53C072"/>
          </w:tcPr>
          <w:p>
            <w:pPr>
              <w:spacing w:after="0"/>
              <w:rPr>
                <w:sz w:val="12"/>
                <w:szCs w:val="12"/>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Options</w:t>
            </w:r>
          </w:p>
        </w:tc>
        <w:tc>
          <w:tcPr>
            <w:tcW w:w="120" w:type="dxa"/>
            <w:vAlign w:val="bottom"/>
            <w:shd w:val="clear" w:color="auto" w:fill="53C072"/>
          </w:tcPr>
          <w:p>
            <w:pPr>
              <w:spacing w:after="0"/>
              <w:rPr>
                <w:sz w:val="12"/>
                <w:szCs w:val="12"/>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Options</w:t>
            </w:r>
          </w:p>
        </w:tc>
        <w:tc>
          <w:tcPr>
            <w:tcW w:w="66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Exercise</w:t>
            </w:r>
          </w:p>
        </w:tc>
        <w:tc>
          <w:tcPr>
            <w:tcW w:w="120" w:type="dxa"/>
            <w:vAlign w:val="bottom"/>
            <w:shd w:val="clear" w:color="auto" w:fill="53C072"/>
          </w:tcPr>
          <w:p>
            <w:pPr>
              <w:spacing w:after="0"/>
              <w:rPr>
                <w:sz w:val="12"/>
                <w:szCs w:val="12"/>
                <w:color w:val="auto"/>
              </w:rPr>
            </w:pPr>
          </w:p>
        </w:tc>
        <w:tc>
          <w:tcPr>
            <w:tcW w:w="640" w:type="dxa"/>
            <w:vAlign w:val="bottom"/>
            <w:vMerge w:val="continue"/>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620" w:type="dxa"/>
            <w:vAlign w:val="bottom"/>
            <w:shd w:val="clear" w:color="auto" w:fill="53C072"/>
          </w:tcPr>
          <w:p>
            <w:pPr>
              <w:jc w:val="right"/>
              <w:ind w:right="73"/>
              <w:spacing w:after="0"/>
              <w:rPr>
                <w:sz w:val="20"/>
                <w:szCs w:val="20"/>
                <w:color w:val="auto"/>
              </w:rPr>
            </w:pPr>
            <w:r>
              <w:rPr>
                <w:rFonts w:ascii="Arial" w:cs="Arial" w:eastAsia="Arial" w:hAnsi="Arial"/>
                <w:sz w:val="13"/>
                <w:szCs w:val="13"/>
                <w:b w:val="1"/>
                <w:bCs w:val="1"/>
                <w:color w:val="FEFEFE"/>
              </w:rPr>
              <w:t>Award</w:t>
            </w: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Vested</w:t>
            </w:r>
          </w:p>
        </w:tc>
        <w:tc>
          <w:tcPr>
            <w:tcW w:w="80" w:type="dxa"/>
            <w:vAlign w:val="bottom"/>
            <w:shd w:val="clear" w:color="auto" w:fill="53C072"/>
          </w:tcPr>
          <w:p>
            <w:pPr>
              <w:spacing w:after="0"/>
              <w:rPr>
                <w:sz w:val="12"/>
                <w:szCs w:val="12"/>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w w:val="99"/>
              </w:rPr>
              <w:t>Have Not</w:t>
            </w:r>
          </w:p>
        </w:tc>
        <w:tc>
          <w:tcPr>
            <w:tcW w:w="180" w:type="dxa"/>
            <w:vAlign w:val="bottom"/>
            <w:shd w:val="clear" w:color="auto" w:fill="53C072"/>
          </w:tcPr>
          <w:p>
            <w:pPr>
              <w:spacing w:after="0"/>
              <w:rPr>
                <w:sz w:val="12"/>
                <w:szCs w:val="12"/>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Vested</w:t>
            </w:r>
          </w:p>
        </w:tc>
        <w:tc>
          <w:tcPr>
            <w:tcW w:w="1040" w:type="dxa"/>
            <w:vAlign w:val="bottom"/>
            <w:gridSpan w:val="2"/>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That 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00" w:type="dxa"/>
            <w:vAlign w:val="bottom"/>
            <w:gridSpan w:val="3"/>
            <w:vMerge w:val="restart"/>
            <w:shd w:val="clear" w:color="auto" w:fill="53C072"/>
          </w:tcPr>
          <w:p>
            <w:pPr>
              <w:ind w:left="20"/>
              <w:spacing w:after="0"/>
              <w:rPr>
                <w:sz w:val="20"/>
                <w:szCs w:val="20"/>
                <w:color w:val="auto"/>
              </w:rPr>
            </w:pPr>
            <w:r>
              <w:rPr>
                <w:rFonts w:ascii="Arial" w:cs="Arial" w:eastAsia="Arial" w:hAnsi="Arial"/>
                <w:sz w:val="13"/>
                <w:szCs w:val="13"/>
                <w:b w:val="1"/>
                <w:bCs w:val="1"/>
                <w:color w:val="FEFEFE"/>
              </w:rPr>
              <w:t>Name​</w:t>
            </w:r>
          </w:p>
        </w:tc>
        <w:tc>
          <w:tcPr>
            <w:tcW w:w="40" w:type="dxa"/>
            <w:vAlign w:val="bottom"/>
            <w:shd w:val="clear" w:color="auto" w:fill="53C072"/>
          </w:tcPr>
          <w:p>
            <w:pPr>
              <w:spacing w:after="0"/>
              <w:rPr>
                <w:sz w:val="13"/>
                <w:szCs w:val="13"/>
                <w:color w:val="auto"/>
              </w:rPr>
            </w:pPr>
          </w:p>
        </w:tc>
        <w:tc>
          <w:tcPr>
            <w:tcW w:w="890" w:type="dxa"/>
            <w:vAlign w:val="bottom"/>
            <w:shd w:val="clear" w:color="auto" w:fill="53C072"/>
          </w:tcPr>
          <w:p>
            <w:pPr>
              <w:spacing w:after="0"/>
              <w:rPr>
                <w:sz w:val="13"/>
                <w:szCs w:val="13"/>
                <w:color w:val="auto"/>
              </w:rPr>
            </w:pPr>
          </w:p>
        </w:tc>
        <w:tc>
          <w:tcPr>
            <w:tcW w:w="170" w:type="dxa"/>
            <w:vAlign w:val="bottom"/>
            <w:vMerge w:val="restart"/>
            <w:shd w:val="clear" w:color="auto" w:fill="53C072"/>
          </w:tcPr>
          <w:p>
            <w:pPr>
              <w:ind w:left="30"/>
              <w:spacing w:after="0"/>
              <w:rPr>
                <w:sz w:val="20"/>
                <w:szCs w:val="20"/>
                <w:color w:val="auto"/>
              </w:rPr>
            </w:pPr>
            <w:r>
              <w:rPr>
                <w:rFonts w:ascii="Arial" w:cs="Arial" w:eastAsia="Arial" w:hAnsi="Arial"/>
                <w:sz w:val="13"/>
                <w:szCs w:val="13"/>
                <w:b w:val="1"/>
                <w:bCs w:val="1"/>
                <w:color w:val="FEFEFE"/>
              </w:rPr>
              <w:t>​​</w:t>
            </w:r>
          </w:p>
        </w:tc>
        <w:tc>
          <w:tcPr>
            <w:tcW w:w="5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Grant</w:t>
            </w:r>
          </w:p>
        </w:tc>
        <w:tc>
          <w:tcPr>
            <w:tcW w:w="120" w:type="dxa"/>
            <w:vAlign w:val="bottom"/>
            <w:shd w:val="clear" w:color="auto" w:fill="53C072"/>
          </w:tcPr>
          <w:p>
            <w:pPr>
              <w:spacing w:after="0"/>
              <w:rPr>
                <w:sz w:val="13"/>
                <w:szCs w:val="13"/>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3C072"/>
          </w:tcPr>
          <w:p>
            <w:pPr>
              <w:spacing w:after="0"/>
              <w:rPr>
                <w:sz w:val="13"/>
                <w:szCs w:val="13"/>
                <w:color w:val="auto"/>
              </w:rPr>
            </w:pPr>
          </w:p>
        </w:tc>
        <w:tc>
          <w:tcPr>
            <w:tcW w:w="8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3C072"/>
          </w:tcPr>
          <w:p>
            <w:pPr>
              <w:spacing w:after="0"/>
              <w:rPr>
                <w:sz w:val="13"/>
                <w:szCs w:val="13"/>
                <w:color w:val="auto"/>
              </w:rPr>
            </w:pPr>
          </w:p>
        </w:tc>
        <w:tc>
          <w:tcPr>
            <w:tcW w:w="5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Price</w:t>
            </w:r>
          </w:p>
        </w:tc>
        <w:tc>
          <w:tcPr>
            <w:tcW w:w="760" w:type="dxa"/>
            <w:vAlign w:val="bottom"/>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Expiration</w:t>
            </w:r>
          </w:p>
        </w:tc>
        <w:tc>
          <w:tcPr>
            <w:tcW w:w="140" w:type="dxa"/>
            <w:vAlign w:val="bottom"/>
            <w:vMerge w:val="restart"/>
            <w:shd w:val="clear" w:color="auto" w:fill="53C072"/>
          </w:tcPr>
          <w:p>
            <w:pPr>
              <w:ind w:left="2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53C072"/>
          </w:tcPr>
          <w:p>
            <w:pPr>
              <w:jc w:val="right"/>
              <w:ind w:right="73"/>
              <w:spacing w:after="0"/>
              <w:rPr>
                <w:sz w:val="20"/>
                <w:szCs w:val="20"/>
                <w:color w:val="auto"/>
              </w:rPr>
            </w:pPr>
            <w:r>
              <w:rPr>
                <w:rFonts w:ascii="Arial" w:cs="Arial" w:eastAsia="Arial" w:hAnsi="Arial"/>
                <w:sz w:val="13"/>
                <w:szCs w:val="13"/>
                <w:b w:val="1"/>
                <w:bCs w:val="1"/>
                <w:color w:val="FEFEFE"/>
              </w:rPr>
              <w:t>Grant</w:t>
            </w: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(RSUs)</w:t>
            </w:r>
          </w:p>
        </w:tc>
        <w:tc>
          <w:tcPr>
            <w:tcW w:w="80" w:type="dxa"/>
            <w:vAlign w:val="bottom"/>
            <w:vMerge w:val="restart"/>
            <w:shd w:val="clear" w:color="auto" w:fill="53C072"/>
          </w:tcPr>
          <w:p>
            <w:pPr>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Vested</w:t>
            </w:r>
          </w:p>
        </w:tc>
        <w:tc>
          <w:tcPr>
            <w:tcW w:w="180" w:type="dxa"/>
            <w:vAlign w:val="bottom"/>
            <w:shd w:val="clear" w:color="auto" w:fill="53C072"/>
          </w:tcPr>
          <w:p>
            <w:pPr>
              <w:spacing w:after="0"/>
              <w:rPr>
                <w:sz w:val="13"/>
                <w:szCs w:val="13"/>
                <w:color w:val="auto"/>
              </w:rPr>
            </w:pP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EFEFE"/>
              </w:rPr>
              <w:t>(PSUs)</w:t>
            </w:r>
          </w:p>
        </w:tc>
        <w:tc>
          <w:tcPr>
            <w:tcW w:w="80" w:type="dxa"/>
            <w:vAlign w:val="bottom"/>
            <w:shd w:val="clear" w:color="auto" w:fill="53C072"/>
          </w:tcPr>
          <w:p>
            <w:pPr>
              <w:spacing w:after="0"/>
              <w:rPr>
                <w:sz w:val="13"/>
                <w:szCs w:val="13"/>
                <w:color w:val="auto"/>
              </w:rPr>
            </w:pPr>
          </w:p>
        </w:tc>
        <w:tc>
          <w:tcPr>
            <w:tcW w:w="960" w:type="dxa"/>
            <w:vAlign w:val="bottom"/>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Vested</w:t>
            </w:r>
          </w:p>
        </w:tc>
        <w:tc>
          <w:tcPr>
            <w:tcW w:w="4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55"/>
        </w:trPr>
        <w:tc>
          <w:tcPr>
            <w:tcW w:w="500" w:type="dxa"/>
            <w:vAlign w:val="bottom"/>
            <w:tcBorders>
              <w:bottom w:val="single" w:sz="8" w:color="53C072"/>
            </w:tcBorders>
            <w:gridSpan w:val="3"/>
            <w:vMerge w:val="continue"/>
            <w:shd w:val="clear" w:color="auto" w:fill="53C072"/>
          </w:tcPr>
          <w:p>
            <w:pPr>
              <w:spacing w:after="0"/>
              <w:rPr>
                <w:sz w:val="13"/>
                <w:szCs w:val="13"/>
                <w:color w:val="auto"/>
              </w:rPr>
            </w:pPr>
          </w:p>
        </w:tc>
        <w:tc>
          <w:tcPr>
            <w:tcW w:w="40" w:type="dxa"/>
            <w:vAlign w:val="bottom"/>
            <w:tcBorders>
              <w:bottom w:val="single" w:sz="8" w:color="53C072"/>
            </w:tcBorders>
            <w:shd w:val="clear" w:color="auto" w:fill="53C072"/>
          </w:tcPr>
          <w:p>
            <w:pPr>
              <w:spacing w:after="0"/>
              <w:rPr>
                <w:sz w:val="13"/>
                <w:szCs w:val="13"/>
                <w:color w:val="auto"/>
              </w:rPr>
            </w:pPr>
          </w:p>
        </w:tc>
        <w:tc>
          <w:tcPr>
            <w:tcW w:w="890" w:type="dxa"/>
            <w:vAlign w:val="bottom"/>
            <w:tcBorders>
              <w:bottom w:val="single" w:sz="8" w:color="53C072"/>
            </w:tcBorders>
            <w:shd w:val="clear" w:color="auto" w:fill="53C072"/>
          </w:tcPr>
          <w:p>
            <w:pPr>
              <w:spacing w:after="0"/>
              <w:rPr>
                <w:sz w:val="13"/>
                <w:szCs w:val="13"/>
                <w:color w:val="auto"/>
              </w:rPr>
            </w:pPr>
          </w:p>
        </w:tc>
        <w:tc>
          <w:tcPr>
            <w:tcW w:w="170" w:type="dxa"/>
            <w:vAlign w:val="bottom"/>
            <w:tcBorders>
              <w:bottom w:val="single" w:sz="8" w:color="53C072"/>
            </w:tcBorders>
            <w:vMerge w:val="continue"/>
            <w:shd w:val="clear" w:color="auto" w:fill="53C072"/>
          </w:tcPr>
          <w:p>
            <w:pPr>
              <w:spacing w:after="0"/>
              <w:rPr>
                <w:sz w:val="13"/>
                <w:szCs w:val="13"/>
                <w:color w:val="auto"/>
              </w:rPr>
            </w:pPr>
          </w:p>
        </w:tc>
        <w:tc>
          <w:tcPr>
            <w:tcW w:w="56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Date</w:t>
            </w:r>
          </w:p>
        </w:tc>
        <w:tc>
          <w:tcPr>
            <w:tcW w:w="900" w:type="dxa"/>
            <w:vAlign w:val="bottom"/>
            <w:tcBorders>
              <w:bottom w:val="single" w:sz="8" w:color="53C072"/>
            </w:tcBorders>
            <w:gridSpan w:val="2"/>
            <w:shd w:val="clear" w:color="auto" w:fill="53C072"/>
          </w:tcPr>
          <w:p>
            <w:pPr>
              <w:ind w:left="20"/>
              <w:spacing w:after="0"/>
              <w:rPr>
                <w:sz w:val="20"/>
                <w:szCs w:val="20"/>
                <w:color w:val="auto"/>
              </w:rPr>
            </w:pPr>
            <w:r>
              <w:rPr>
                <w:rFonts w:ascii="Arial" w:cs="Arial" w:eastAsia="Arial" w:hAnsi="Arial"/>
                <w:sz w:val="13"/>
                <w:szCs w:val="13"/>
                <w:b w:val="1"/>
                <w:bCs w:val="1"/>
                <w:color w:val="FEFEFE"/>
              </w:rPr>
              <w:t>​​ Exercisable</w:t>
            </w:r>
          </w:p>
        </w:tc>
        <w:tc>
          <w:tcPr>
            <w:tcW w:w="1120" w:type="dxa"/>
            <w:vAlign w:val="bottom"/>
            <w:tcBorders>
              <w:bottom w:val="single" w:sz="8" w:color="53C072"/>
            </w:tcBorders>
            <w:gridSpan w:val="3"/>
            <w:shd w:val="clear" w:color="auto" w:fill="53C072"/>
          </w:tcPr>
          <w:p>
            <w:pPr>
              <w:ind w:left="20"/>
              <w:spacing w:after="0"/>
              <w:rPr>
                <w:sz w:val="20"/>
                <w:szCs w:val="20"/>
                <w:color w:val="auto"/>
              </w:rPr>
            </w:pPr>
            <w:r>
              <w:rPr>
                <w:rFonts w:ascii="Arial" w:cs="Arial" w:eastAsia="Arial" w:hAnsi="Arial"/>
                <w:sz w:val="13"/>
                <w:szCs w:val="13"/>
                <w:b w:val="1"/>
                <w:bCs w:val="1"/>
                <w:color w:val="FEFEFE"/>
              </w:rPr>
              <w:t>​​Unexercisable ​​</w:t>
            </w:r>
          </w:p>
        </w:tc>
        <w:tc>
          <w:tcPr>
            <w:tcW w:w="54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tcBorders>
              <w:bottom w:val="single" w:sz="8" w:color="53C072"/>
            </w:tcBorders>
            <w:shd w:val="clear" w:color="auto" w:fill="53C072"/>
          </w:tcPr>
          <w:p>
            <w:pPr>
              <w:ind w:left="20"/>
              <w:spacing w:after="0"/>
              <w:rPr>
                <w:sz w:val="20"/>
                <w:szCs w:val="20"/>
                <w:color w:val="auto"/>
              </w:rPr>
            </w:pPr>
            <w:r>
              <w:rPr>
                <w:rFonts w:ascii="Arial" w:cs="Arial" w:eastAsia="Arial" w:hAnsi="Arial"/>
                <w:sz w:val="13"/>
                <w:szCs w:val="13"/>
                <w:b w:val="1"/>
                <w:bCs w:val="1"/>
                <w:color w:val="FEFEFE"/>
              </w:rPr>
              <w:t>​​</w:t>
            </w:r>
          </w:p>
        </w:tc>
        <w:tc>
          <w:tcPr>
            <w:tcW w:w="64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Date</w:t>
            </w:r>
          </w:p>
        </w:tc>
        <w:tc>
          <w:tcPr>
            <w:tcW w:w="140" w:type="dxa"/>
            <w:vAlign w:val="bottom"/>
            <w:tcBorders>
              <w:bottom w:val="single" w:sz="8" w:color="53C072"/>
            </w:tcBorders>
            <w:vMerge w:val="continue"/>
            <w:shd w:val="clear" w:color="auto" w:fill="53C072"/>
          </w:tcPr>
          <w:p>
            <w:pPr>
              <w:spacing w:after="0"/>
              <w:rPr>
                <w:sz w:val="13"/>
                <w:szCs w:val="13"/>
                <w:color w:val="auto"/>
              </w:rPr>
            </w:pPr>
          </w:p>
        </w:tc>
        <w:tc>
          <w:tcPr>
            <w:tcW w:w="62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Date ​​</w:t>
            </w:r>
          </w:p>
        </w:tc>
        <w:tc>
          <w:tcPr>
            <w:tcW w:w="70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80" w:type="dxa"/>
            <w:vAlign w:val="bottom"/>
            <w:tcBorders>
              <w:bottom w:val="single" w:sz="8" w:color="53C072"/>
            </w:tcBorders>
            <w:vMerge w:val="continue"/>
            <w:shd w:val="clear" w:color="auto" w:fill="53C072"/>
          </w:tcPr>
          <w:p>
            <w:pPr>
              <w:spacing w:after="0"/>
              <w:rPr>
                <w:sz w:val="13"/>
                <w:szCs w:val="13"/>
                <w:color w:val="auto"/>
              </w:rPr>
            </w:pPr>
          </w:p>
        </w:tc>
        <w:tc>
          <w:tcPr>
            <w:tcW w:w="820" w:type="dxa"/>
            <w:vAlign w:val="bottom"/>
            <w:tcBorders>
              <w:bottom w:val="single" w:sz="8" w:color="53C072"/>
            </w:tcBorders>
            <w:gridSpan w:val="2"/>
            <w:shd w:val="clear" w:color="auto" w:fill="53C072"/>
          </w:tcPr>
          <w:p>
            <w:pPr>
              <w:jc w:val="right"/>
              <w:ind w:right="33"/>
              <w:spacing w:after="0"/>
              <w:rPr>
                <w:sz w:val="20"/>
                <w:szCs w:val="20"/>
                <w:color w:val="auto"/>
              </w:rPr>
            </w:pPr>
            <w:r>
              <w:rPr>
                <w:rFonts w:ascii="Arial" w:cs="Arial" w:eastAsia="Arial" w:hAnsi="Arial"/>
                <w:sz w:val="13"/>
                <w:szCs w:val="13"/>
                <w:b w:val="1"/>
                <w:bCs w:val="1"/>
                <w:color w:val="FEFEFE"/>
              </w:rPr>
              <w:t>($) ​​</w:t>
            </w:r>
          </w:p>
        </w:tc>
        <w:tc>
          <w:tcPr>
            <w:tcW w:w="920" w:type="dxa"/>
            <w:vAlign w:val="bottom"/>
            <w:tcBorders>
              <w:bottom w:val="single" w:sz="8" w:color="53C072"/>
            </w:tcBorders>
            <w:gridSpan w:val="2"/>
            <w:shd w:val="clear" w:color="auto" w:fill="53C072"/>
          </w:tcPr>
          <w:p>
            <w:pPr>
              <w:jc w:val="right"/>
              <w:spacing w:after="0"/>
              <w:rPr>
                <w:sz w:val="20"/>
                <w:szCs w:val="20"/>
                <w:color w:val="auto"/>
              </w:rPr>
            </w:pPr>
            <w:r>
              <w:rPr>
                <w:rFonts w:ascii="Arial" w:cs="Arial" w:eastAsia="Arial" w:hAnsi="Arial"/>
                <w:sz w:val="13"/>
                <w:szCs w:val="13"/>
                <w:b w:val="1"/>
                <w:bCs w:val="1"/>
                <w:color w:val="FEFEFE"/>
              </w:rPr>
              <w:t>(#) ​​</w:t>
            </w:r>
          </w:p>
        </w:tc>
        <w:tc>
          <w:tcPr>
            <w:tcW w:w="96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3"/>
                <w:szCs w:val="13"/>
                <w:b w:val="1"/>
                <w:bCs w:val="1"/>
                <w:color w:val="FEFEFE"/>
              </w:rPr>
              <w:t>($)</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60" w:type="dxa"/>
            <w:vAlign w:val="bottom"/>
            <w:gridSpan w:val="2"/>
          </w:tcPr>
          <w:p>
            <w:pPr>
              <w:ind w:left="20"/>
              <w:spacing w:after="0" w:line="123" w:lineRule="exact"/>
              <w:rPr>
                <w:sz w:val="20"/>
                <w:szCs w:val="20"/>
                <w:color w:val="auto"/>
              </w:rPr>
            </w:pPr>
            <w:r>
              <w:rPr>
                <w:rFonts w:ascii="Arial" w:cs="Arial" w:eastAsia="Arial" w:hAnsi="Arial"/>
                <w:sz w:val="13"/>
                <w:szCs w:val="13"/>
                <w:color w:val="auto"/>
              </w:rPr>
              <w:t>Philip​</w:t>
            </w:r>
          </w:p>
        </w:tc>
        <w:tc>
          <w:tcPr>
            <w:tcW w:w="1070" w:type="dxa"/>
            <w:vAlign w:val="bottom"/>
            <w:gridSpan w:val="3"/>
          </w:tcPr>
          <w:p>
            <w:pPr>
              <w:jc w:val="right"/>
              <w:ind w:right="243"/>
              <w:spacing w:after="0" w:line="123" w:lineRule="exact"/>
              <w:rPr>
                <w:sz w:val="20"/>
                <w:szCs w:val="20"/>
                <w:color w:val="auto"/>
              </w:rPr>
            </w:pPr>
            <w:r>
              <w:rPr>
                <w:rFonts w:ascii="Arial" w:cs="Arial" w:eastAsia="Arial" w:hAnsi="Arial"/>
                <w:sz w:val="13"/>
                <w:szCs w:val="13"/>
                <w:color w:val="auto"/>
              </w:rPr>
              <w:t>R. Gallagher</w:t>
            </w:r>
          </w:p>
        </w:tc>
        <w:tc>
          <w:tcPr>
            <w:tcW w:w="730" w:type="dxa"/>
            <w:vAlign w:val="bottom"/>
            <w:gridSpan w:val="2"/>
          </w:tcPr>
          <w:p>
            <w:pPr>
              <w:ind w:left="30"/>
              <w:spacing w:after="0" w:line="123" w:lineRule="exact"/>
              <w:rPr>
                <w:sz w:val="20"/>
                <w:szCs w:val="20"/>
                <w:color w:val="auto"/>
              </w:rPr>
            </w:pPr>
            <w:r>
              <w:rPr>
                <w:rFonts w:ascii="Arial" w:cs="Arial" w:eastAsia="Arial" w:hAnsi="Arial"/>
                <w:sz w:val="13"/>
                <w:szCs w:val="13"/>
                <w:color w:val="auto"/>
              </w:rPr>
              <w:t>​​ 8/10/2017</w:t>
            </w:r>
          </w:p>
        </w:tc>
        <w:tc>
          <w:tcPr>
            <w:tcW w:w="120" w:type="dxa"/>
            <w:vAlign w:val="bottom"/>
          </w:tcPr>
          <w:p>
            <w:pPr>
              <w:ind w:left="20"/>
              <w:spacing w:after="0" w:line="123"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23" w:lineRule="exact"/>
              <w:rPr>
                <w:sz w:val="20"/>
                <w:szCs w:val="20"/>
                <w:color w:val="auto"/>
              </w:rPr>
            </w:pPr>
            <w:r>
              <w:rPr>
                <w:rFonts w:ascii="Arial" w:cs="Arial" w:eastAsia="Arial" w:hAnsi="Arial"/>
                <w:sz w:val="13"/>
                <w:szCs w:val="13"/>
                <w:color w:val="auto"/>
              </w:rPr>
              <w:t>25,068</w:t>
            </w:r>
          </w:p>
        </w:tc>
        <w:tc>
          <w:tcPr>
            <w:tcW w:w="120" w:type="dxa"/>
            <w:vAlign w:val="bottom"/>
          </w:tcPr>
          <w:p>
            <w:pPr>
              <w:ind w:left="20"/>
              <w:spacing w:after="0" w:line="123"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 ​​</w:t>
            </w:r>
          </w:p>
        </w:tc>
        <w:tc>
          <w:tcPr>
            <w:tcW w:w="540" w:type="dxa"/>
            <w:vAlign w:val="bottom"/>
          </w:tcPr>
          <w:p>
            <w:pPr>
              <w:jc w:val="right"/>
              <w:spacing w:after="0" w:line="123" w:lineRule="exact"/>
              <w:rPr>
                <w:sz w:val="20"/>
                <w:szCs w:val="20"/>
                <w:color w:val="auto"/>
              </w:rPr>
            </w:pPr>
            <w:r>
              <w:rPr>
                <w:rFonts w:ascii="Arial" w:cs="Arial" w:eastAsia="Arial" w:hAnsi="Arial"/>
                <w:sz w:val="13"/>
                <w:szCs w:val="13"/>
                <w:color w:val="auto"/>
              </w:rPr>
              <w:t>36.80</w:t>
            </w:r>
          </w:p>
        </w:tc>
        <w:tc>
          <w:tcPr>
            <w:tcW w:w="120" w:type="dxa"/>
            <w:vAlign w:val="bottom"/>
          </w:tcPr>
          <w:p>
            <w:pPr>
              <w:ind w:left="20"/>
              <w:spacing w:after="0" w:line="123"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3" w:lineRule="exact"/>
              <w:rPr>
                <w:sz w:val="20"/>
                <w:szCs w:val="20"/>
                <w:color w:val="auto"/>
              </w:rPr>
            </w:pPr>
            <w:r>
              <w:rPr>
                <w:rFonts w:ascii="Arial" w:cs="Arial" w:eastAsia="Arial" w:hAnsi="Arial"/>
                <w:sz w:val="13"/>
                <w:szCs w:val="13"/>
                <w:color w:val="auto"/>
              </w:rPr>
              <w:t>8/09/2027</w:t>
            </w:r>
          </w:p>
        </w:tc>
        <w:tc>
          <w:tcPr>
            <w:tcW w:w="140" w:type="dxa"/>
            <w:vAlign w:val="bottom"/>
          </w:tcPr>
          <w:p>
            <w:pPr>
              <w:ind w:left="20"/>
              <w:spacing w:after="0" w:line="123"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3" w:lineRule="exact"/>
              <w:rPr>
                <w:sz w:val="20"/>
                <w:szCs w:val="20"/>
                <w:color w:val="auto"/>
              </w:rPr>
            </w:pPr>
            <w:r>
              <w:rPr>
                <w:rFonts w:ascii="Arial" w:cs="Arial" w:eastAsia="Arial" w:hAnsi="Arial"/>
                <w:sz w:val="13"/>
                <w:szCs w:val="13"/>
                <w:color w:val="auto"/>
              </w:rPr>
              <w:t>— ​​</w:t>
            </w:r>
          </w:p>
        </w:tc>
        <w:tc>
          <w:tcPr>
            <w:tcW w:w="70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2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3"/>
              <w:spacing w:after="0" w:line="123" w:lineRule="exact"/>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 ​​</w:t>
            </w:r>
          </w:p>
        </w:tc>
        <w:tc>
          <w:tcPr>
            <w:tcW w:w="96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90" w:type="dxa"/>
            <w:vAlign w:val="bottom"/>
          </w:tcPr>
          <w:p>
            <w:pPr>
              <w:spacing w:after="0"/>
              <w:rPr>
                <w:sz w:val="12"/>
                <w:szCs w:val="12"/>
                <w:color w:val="auto"/>
              </w:rPr>
            </w:pPr>
          </w:p>
        </w:tc>
        <w:tc>
          <w:tcPr>
            <w:tcW w:w="730" w:type="dxa"/>
            <w:vAlign w:val="bottom"/>
            <w:gridSpan w:val="2"/>
          </w:tcPr>
          <w:p>
            <w:pPr>
              <w:ind w:left="30"/>
              <w:spacing w:after="0"/>
              <w:rPr>
                <w:sz w:val="20"/>
                <w:szCs w:val="20"/>
                <w:color w:val="auto"/>
              </w:rPr>
            </w:pPr>
            <w:r>
              <w:rPr>
                <w:rFonts w:ascii="Arial" w:cs="Arial" w:eastAsia="Arial" w:hAnsi="Arial"/>
                <w:sz w:val="13"/>
                <w:szCs w:val="13"/>
                <w:color w:val="auto"/>
              </w:rPr>
              <w:t>​​ 8/28/2018</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23,920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540" w:type="dxa"/>
            <w:vAlign w:val="bottom"/>
          </w:tcPr>
          <w:p>
            <w:pPr>
              <w:jc w:val="right"/>
              <w:spacing w:after="0"/>
              <w:rPr>
                <w:sz w:val="20"/>
                <w:szCs w:val="20"/>
                <w:color w:val="auto"/>
              </w:rPr>
            </w:pPr>
            <w:r>
              <w:rPr>
                <w:rFonts w:ascii="Arial" w:cs="Arial" w:eastAsia="Arial" w:hAnsi="Arial"/>
                <w:sz w:val="13"/>
                <w:szCs w:val="13"/>
                <w:color w:val="auto"/>
              </w:rPr>
              <w:t>48.62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8/27/2028</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 ​​</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3"/>
              <w:spacing w:after="0"/>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8"/>
        </w:trPr>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90" w:type="dxa"/>
            <w:vAlign w:val="bottom"/>
          </w:tcPr>
          <w:p>
            <w:pPr>
              <w:spacing w:after="0"/>
              <w:rPr>
                <w:sz w:val="12"/>
                <w:szCs w:val="12"/>
                <w:color w:val="auto"/>
              </w:rPr>
            </w:pPr>
          </w:p>
        </w:tc>
        <w:tc>
          <w:tcPr>
            <w:tcW w:w="730" w:type="dxa"/>
            <w:vAlign w:val="bottom"/>
            <w:gridSpan w:val="2"/>
          </w:tcPr>
          <w:p>
            <w:pPr>
              <w:ind w:left="30"/>
              <w:spacing w:after="0"/>
              <w:rPr>
                <w:sz w:val="20"/>
                <w:szCs w:val="20"/>
                <w:color w:val="auto"/>
              </w:rPr>
            </w:pPr>
            <w:r>
              <w:rPr>
                <w:rFonts w:ascii="Arial" w:cs="Arial" w:eastAsia="Arial" w:hAnsi="Arial"/>
                <w:sz w:val="13"/>
                <w:szCs w:val="13"/>
                <w:color w:val="auto"/>
              </w:rPr>
              <w:t>​​ 8/14/2019</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31,900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540" w:type="dxa"/>
            <w:vAlign w:val="bottom"/>
          </w:tcPr>
          <w:p>
            <w:pPr>
              <w:jc w:val="right"/>
              <w:spacing w:after="0"/>
              <w:rPr>
                <w:sz w:val="20"/>
                <w:szCs w:val="20"/>
                <w:color w:val="auto"/>
              </w:rPr>
            </w:pPr>
            <w:r>
              <w:rPr>
                <w:rFonts w:ascii="Arial" w:cs="Arial" w:eastAsia="Arial" w:hAnsi="Arial"/>
                <w:sz w:val="13"/>
                <w:szCs w:val="13"/>
                <w:color w:val="auto"/>
              </w:rPr>
              <w:t>39.72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8/13/2029</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​​8/23/2021 ​​</w:t>
            </w:r>
          </w:p>
        </w:tc>
        <w:tc>
          <w:tcPr>
            <w:tcW w:w="700" w:type="dxa"/>
            <w:vAlign w:val="bottom"/>
          </w:tcPr>
          <w:p>
            <w:pPr>
              <w:jc w:val="right"/>
              <w:spacing w:after="0"/>
              <w:rPr>
                <w:sz w:val="20"/>
                <w:szCs w:val="20"/>
                <w:color w:val="auto"/>
              </w:rPr>
            </w:pPr>
            <w:r>
              <w:rPr>
                <w:rFonts w:ascii="Arial" w:cs="Arial" w:eastAsia="Arial" w:hAnsi="Arial"/>
                <w:sz w:val="13"/>
                <w:szCs w:val="13"/>
                <w:color w:val="auto"/>
              </w:rPr>
              <w:t>15,775</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812,255</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9"/>
        </w:trPr>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90" w:type="dxa"/>
            <w:vAlign w:val="bottom"/>
          </w:tcPr>
          <w:p>
            <w:pPr>
              <w:spacing w:after="0"/>
              <w:rPr>
                <w:sz w:val="12"/>
                <w:szCs w:val="12"/>
                <w:color w:val="auto"/>
              </w:rPr>
            </w:pPr>
          </w:p>
        </w:tc>
        <w:tc>
          <w:tcPr>
            <w:tcW w:w="730" w:type="dxa"/>
            <w:vAlign w:val="bottom"/>
            <w:gridSpan w:val="2"/>
          </w:tcPr>
          <w:p>
            <w:pPr>
              <w:ind w:left="30"/>
              <w:spacing w:after="0"/>
              <w:rPr>
                <w:sz w:val="20"/>
                <w:szCs w:val="20"/>
                <w:color w:val="auto"/>
              </w:rPr>
            </w:pPr>
            <w:r>
              <w:rPr>
                <w:rFonts w:ascii="Arial" w:cs="Arial" w:eastAsia="Arial" w:hAnsi="Arial"/>
                <w:sz w:val="13"/>
                <w:szCs w:val="13"/>
                <w:color w:val="auto"/>
              </w:rPr>
              <w:t>​​11/17/2020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143,286</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47,762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29.38</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​​11/16/2030</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​​8/30/2022 ​​</w:t>
            </w:r>
          </w:p>
        </w:tc>
        <w:tc>
          <w:tcPr>
            <w:tcW w:w="700" w:type="dxa"/>
            <w:vAlign w:val="bottom"/>
          </w:tcPr>
          <w:p>
            <w:pPr>
              <w:jc w:val="right"/>
              <w:spacing w:after="0"/>
              <w:rPr>
                <w:sz w:val="20"/>
                <w:szCs w:val="20"/>
                <w:color w:val="auto"/>
              </w:rPr>
            </w:pPr>
            <w:r>
              <w:rPr>
                <w:rFonts w:ascii="Arial" w:cs="Arial" w:eastAsia="Arial" w:hAnsi="Arial"/>
                <w:sz w:val="13"/>
                <w:szCs w:val="13"/>
                <w:color w:val="auto"/>
              </w:rPr>
              <w:t>36,932</w:t>
            </w:r>
          </w:p>
        </w:tc>
        <w:tc>
          <w:tcPr>
            <w:tcW w:w="900" w:type="dxa"/>
            <w:vAlign w:val="bottom"/>
            <w:gridSpan w:val="3"/>
          </w:tcPr>
          <w:p>
            <w:pPr>
              <w:jc w:val="right"/>
              <w:ind w:right="33"/>
              <w:spacing w:after="0"/>
              <w:rPr>
                <w:sz w:val="20"/>
                <w:szCs w:val="20"/>
                <w:color w:val="auto"/>
              </w:rPr>
            </w:pPr>
            <w:r>
              <w:rPr>
                <w:rFonts w:ascii="Arial" w:cs="Arial" w:eastAsia="Arial" w:hAnsi="Arial"/>
                <w:sz w:val="13"/>
                <w:szCs w:val="13"/>
                <w:color w:val="auto"/>
              </w:rPr>
              <w:t>​​ 1,901,629 ​​</w:t>
            </w:r>
          </w:p>
        </w:tc>
        <w:tc>
          <w:tcPr>
            <w:tcW w:w="840" w:type="dxa"/>
            <w:vAlign w:val="bottom"/>
          </w:tcPr>
          <w:p>
            <w:pPr>
              <w:jc w:val="right"/>
              <w:spacing w:after="0"/>
              <w:rPr>
                <w:sz w:val="20"/>
                <w:szCs w:val="20"/>
                <w:color w:val="auto"/>
              </w:rPr>
            </w:pPr>
            <w:r>
              <w:rPr>
                <w:rFonts w:ascii="Arial" w:cs="Arial" w:eastAsia="Arial" w:hAnsi="Arial"/>
                <w:sz w:val="13"/>
                <w:szCs w:val="13"/>
                <w:color w:val="auto"/>
              </w:rPr>
              <w:t>70,498</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3,629,942</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90" w:type="dxa"/>
            <w:vAlign w:val="bottom"/>
          </w:tcPr>
          <w:p>
            <w:pPr>
              <w:spacing w:after="0"/>
              <w:rPr>
                <w:sz w:val="12"/>
                <w:szCs w:val="12"/>
                <w:color w:val="auto"/>
              </w:rPr>
            </w:pPr>
          </w:p>
        </w:tc>
        <w:tc>
          <w:tcPr>
            <w:tcW w:w="730" w:type="dxa"/>
            <w:vAlign w:val="bottom"/>
            <w:gridSpan w:val="2"/>
          </w:tcPr>
          <w:p>
            <w:pPr>
              <w:ind w:left="30"/>
              <w:spacing w:after="0"/>
              <w:rPr>
                <w:sz w:val="20"/>
                <w:szCs w:val="20"/>
                <w:color w:val="auto"/>
              </w:rPr>
            </w:pPr>
            <w:r>
              <w:rPr>
                <w:rFonts w:ascii="Arial" w:cs="Arial" w:eastAsia="Arial" w:hAnsi="Arial"/>
                <w:sz w:val="13"/>
                <w:szCs w:val="13"/>
                <w:color w:val="auto"/>
              </w:rPr>
              <w:t>​​ 8/23/2021</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97,126</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97,126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8/22/2031</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​​8/29/2023 ​​</w:t>
            </w:r>
          </w:p>
        </w:tc>
        <w:tc>
          <w:tcPr>
            <w:tcW w:w="700" w:type="dxa"/>
            <w:vAlign w:val="bottom"/>
          </w:tcPr>
          <w:p>
            <w:pPr>
              <w:jc w:val="right"/>
              <w:spacing w:after="0"/>
              <w:rPr>
                <w:sz w:val="20"/>
                <w:szCs w:val="20"/>
                <w:color w:val="auto"/>
              </w:rPr>
            </w:pPr>
            <w:r>
              <w:rPr>
                <w:rFonts w:ascii="Arial" w:cs="Arial" w:eastAsia="Arial" w:hAnsi="Arial"/>
                <w:sz w:val="13"/>
                <w:szCs w:val="13"/>
                <w:color w:val="auto"/>
              </w:rPr>
              <w:t>52,491</w:t>
            </w:r>
          </w:p>
        </w:tc>
        <w:tc>
          <w:tcPr>
            <w:tcW w:w="900" w:type="dxa"/>
            <w:vAlign w:val="bottom"/>
            <w:gridSpan w:val="3"/>
          </w:tcPr>
          <w:p>
            <w:pPr>
              <w:jc w:val="right"/>
              <w:ind w:right="33"/>
              <w:spacing w:after="0"/>
              <w:rPr>
                <w:sz w:val="20"/>
                <w:szCs w:val="20"/>
                <w:color w:val="auto"/>
              </w:rPr>
            </w:pPr>
            <w:r>
              <w:rPr>
                <w:rFonts w:ascii="Arial" w:cs="Arial" w:eastAsia="Arial" w:hAnsi="Arial"/>
                <w:sz w:val="13"/>
                <w:szCs w:val="13"/>
                <w:color w:val="auto"/>
              </w:rPr>
              <w:t>​​ 2,702,762 ​​</w:t>
            </w:r>
          </w:p>
        </w:tc>
        <w:tc>
          <w:tcPr>
            <w:tcW w:w="840" w:type="dxa"/>
            <w:vAlign w:val="bottom"/>
          </w:tcPr>
          <w:p>
            <w:pPr>
              <w:jc w:val="right"/>
              <w:spacing w:after="0"/>
              <w:rPr>
                <w:sz w:val="20"/>
                <w:szCs w:val="20"/>
                <w:color w:val="auto"/>
              </w:rPr>
            </w:pPr>
            <w:r>
              <w:rPr>
                <w:rFonts w:ascii="Arial" w:cs="Arial" w:eastAsia="Arial" w:hAnsi="Arial"/>
                <w:sz w:val="13"/>
                <w:szCs w:val="13"/>
                <w:color w:val="auto"/>
              </w:rPr>
              <w:t>56,399</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2,903,985</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540" w:type="dxa"/>
            <w:vAlign w:val="bottom"/>
            <w:gridSpan w:val="4"/>
          </w:tcPr>
          <w:p>
            <w:pPr>
              <w:spacing w:after="0"/>
              <w:rPr>
                <w:sz w:val="2"/>
                <w:szCs w:val="2"/>
                <w:color w:val="auto"/>
              </w:rPr>
            </w:pPr>
          </w:p>
        </w:tc>
        <w:tc>
          <w:tcPr>
            <w:tcW w:w="890" w:type="dxa"/>
            <w:vAlign w:val="bottom"/>
          </w:tcPr>
          <w:p>
            <w:pPr>
              <w:spacing w:after="0"/>
              <w:rPr>
                <w:sz w:val="2"/>
                <w:szCs w:val="2"/>
                <w:color w:val="auto"/>
              </w:rPr>
            </w:pPr>
          </w:p>
        </w:tc>
        <w:tc>
          <w:tcPr>
            <w:tcW w:w="17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22"/>
        </w:trPr>
        <w:tc>
          <w:tcPr>
            <w:tcW w:w="540" w:type="dxa"/>
            <w:vAlign w:val="bottom"/>
            <w:gridSpan w:val="4"/>
            <w:shd w:val="clear" w:color="auto" w:fill="CBECD5"/>
          </w:tcPr>
          <w:p>
            <w:pPr>
              <w:ind w:left="20"/>
              <w:spacing w:after="0" w:line="123" w:lineRule="exact"/>
              <w:rPr>
                <w:sz w:val="20"/>
                <w:szCs w:val="20"/>
                <w:color w:val="auto"/>
              </w:rPr>
            </w:pPr>
            <w:r>
              <w:rPr>
                <w:rFonts w:ascii="Arial" w:cs="Arial" w:eastAsia="Arial" w:hAnsi="Arial"/>
                <w:sz w:val="13"/>
                <w:szCs w:val="13"/>
                <w:color w:val="auto"/>
              </w:rPr>
              <w:t>Kenneth​</w:t>
            </w:r>
          </w:p>
        </w:tc>
        <w:tc>
          <w:tcPr>
            <w:tcW w:w="890" w:type="dxa"/>
            <w:vAlign w:val="bottom"/>
            <w:shd w:val="clear" w:color="auto" w:fill="CBECD5"/>
          </w:tcPr>
          <w:p>
            <w:pPr>
              <w:jc w:val="right"/>
              <w:ind w:right="243"/>
              <w:spacing w:after="0" w:line="123" w:lineRule="exact"/>
              <w:rPr>
                <w:sz w:val="20"/>
                <w:szCs w:val="20"/>
                <w:color w:val="auto"/>
              </w:rPr>
            </w:pPr>
            <w:r>
              <w:rPr>
                <w:rFonts w:ascii="Arial" w:cs="Arial" w:eastAsia="Arial" w:hAnsi="Arial"/>
                <w:sz w:val="13"/>
                <w:szCs w:val="13"/>
                <w:color w:val="auto"/>
              </w:rPr>
              <w:t>Jacobson</w:t>
            </w:r>
          </w:p>
        </w:tc>
        <w:tc>
          <w:tcPr>
            <w:tcW w:w="170" w:type="dxa"/>
            <w:vAlign w:val="bottom"/>
            <w:shd w:val="clear" w:color="auto" w:fill="CBECD5"/>
          </w:tcPr>
          <w:p>
            <w:pPr>
              <w:ind w:left="30"/>
              <w:spacing w:after="0" w:line="123" w:lineRule="exact"/>
              <w:rPr>
                <w:sz w:val="20"/>
                <w:szCs w:val="20"/>
                <w:color w:val="auto"/>
              </w:rPr>
            </w:pPr>
            <w:r>
              <w:rPr>
                <w:rFonts w:ascii="Arial" w:cs="Arial" w:eastAsia="Arial" w:hAnsi="Arial"/>
                <w:sz w:val="13"/>
                <w:szCs w:val="13"/>
                <w:color w:val="auto"/>
              </w:rPr>
              <w:t>​​</w:t>
            </w:r>
          </w:p>
        </w:tc>
        <w:tc>
          <w:tcPr>
            <w:tcW w:w="56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line="123" w:lineRule="exact"/>
              <w:rPr>
                <w:sz w:val="20"/>
                <w:szCs w:val="20"/>
                <w:color w:val="auto"/>
              </w:rPr>
            </w:pPr>
            <w:r>
              <w:rPr>
                <w:rFonts w:ascii="Arial" w:cs="Arial" w:eastAsia="Arial" w:hAnsi="Arial"/>
                <w:sz w:val="13"/>
                <w:szCs w:val="13"/>
                <w:color w:val="auto"/>
              </w:rPr>
              <w:t>​​</w:t>
            </w:r>
          </w:p>
        </w:tc>
        <w:tc>
          <w:tcPr>
            <w:tcW w:w="78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line="123"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BECD5"/>
          </w:tcPr>
          <w:p>
            <w:pPr>
              <w:jc w:val="right"/>
              <w:spacing w:after="0" w:line="123" w:lineRule="exact"/>
              <w:rPr>
                <w:sz w:val="20"/>
                <w:szCs w:val="20"/>
                <w:color w:val="auto"/>
              </w:rPr>
            </w:pPr>
            <w:r>
              <w:rPr>
                <w:rFonts w:ascii="Arial" w:cs="Arial" w:eastAsia="Arial" w:hAnsi="Arial"/>
                <w:sz w:val="13"/>
                <w:szCs w:val="13"/>
                <w:color w:val="auto"/>
              </w:rPr>
              <w:t>— ​​</w:t>
            </w:r>
          </w:p>
        </w:tc>
        <w:tc>
          <w:tcPr>
            <w:tcW w:w="54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line="123" w:lineRule="exact"/>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BECD5"/>
          </w:tcPr>
          <w:p>
            <w:pPr>
              <w:ind w:left="20"/>
              <w:spacing w:after="0" w:line="123" w:lineRule="exact"/>
              <w:rPr>
                <w:sz w:val="20"/>
                <w:szCs w:val="20"/>
                <w:color w:val="auto"/>
              </w:rPr>
            </w:pPr>
            <w:r>
              <w:rPr>
                <w:rFonts w:ascii="Arial" w:cs="Arial" w:eastAsia="Arial" w:hAnsi="Arial"/>
                <w:sz w:val="13"/>
                <w:szCs w:val="13"/>
                <w:color w:val="auto"/>
              </w:rPr>
              <w:t>​​8/23/2021 ​​</w:t>
            </w:r>
          </w:p>
        </w:tc>
        <w:tc>
          <w:tcPr>
            <w:tcW w:w="70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3,029</w:t>
            </w:r>
          </w:p>
        </w:tc>
        <w:tc>
          <w:tcPr>
            <w:tcW w:w="80" w:type="dxa"/>
            <w:vAlign w:val="bottom"/>
            <w:shd w:val="clear" w:color="auto" w:fill="CBECD5"/>
          </w:tcPr>
          <w:p>
            <w:pPr>
              <w:spacing w:after="0" w:line="123" w:lineRule="exact"/>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155,963</w:t>
            </w:r>
          </w:p>
        </w:tc>
        <w:tc>
          <w:tcPr>
            <w:tcW w:w="180" w:type="dxa"/>
            <w:vAlign w:val="bottom"/>
            <w:shd w:val="clear" w:color="auto" w:fill="CBECD5"/>
          </w:tcPr>
          <w:p>
            <w:pPr>
              <w:jc w:val="right"/>
              <w:ind w:right="33"/>
              <w:spacing w:after="0" w:line="12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BECD5"/>
          </w:tcPr>
          <w:p>
            <w:pPr>
              <w:jc w:val="right"/>
              <w:spacing w:after="0" w:line="123" w:lineRule="exact"/>
              <w:rPr>
                <w:sz w:val="20"/>
                <w:szCs w:val="20"/>
                <w:color w:val="auto"/>
              </w:rPr>
            </w:pPr>
            <w:r>
              <w:rPr>
                <w:rFonts w:ascii="Arial" w:cs="Arial" w:eastAsia="Arial" w:hAnsi="Arial"/>
                <w:sz w:val="13"/>
                <w:szCs w:val="13"/>
                <w:color w:val="auto"/>
              </w:rPr>
              <w:t>— ​​</w:t>
            </w:r>
          </w:p>
        </w:tc>
        <w:tc>
          <w:tcPr>
            <w:tcW w:w="960" w:type="dxa"/>
            <w:vAlign w:val="bottom"/>
            <w:shd w:val="clear" w:color="auto" w:fill="CBECD5"/>
          </w:tcPr>
          <w:p>
            <w:pPr>
              <w:jc w:val="right"/>
              <w:spacing w:after="0" w:line="123" w:lineRule="exact"/>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rPr>
                <w:sz w:val="14"/>
                <w:szCs w:val="14"/>
                <w:color w:val="auto"/>
              </w:rPr>
            </w:pPr>
          </w:p>
        </w:tc>
        <w:tc>
          <w:tcPr>
            <w:tcW w:w="140" w:type="dxa"/>
            <w:vAlign w:val="bottom"/>
            <w:shd w:val="clear" w:color="auto" w:fill="CBECD5"/>
          </w:tcPr>
          <w:p>
            <w:pPr>
              <w:spacing w:after="0"/>
              <w:rPr>
                <w:sz w:val="14"/>
                <w:szCs w:val="14"/>
                <w:color w:val="auto"/>
              </w:rPr>
            </w:pPr>
          </w:p>
        </w:tc>
        <w:tc>
          <w:tcPr>
            <w:tcW w:w="40" w:type="dxa"/>
            <w:vAlign w:val="bottom"/>
            <w:shd w:val="clear" w:color="auto" w:fill="CBECD5"/>
          </w:tcPr>
          <w:p>
            <w:pPr>
              <w:spacing w:after="0"/>
              <w:rPr>
                <w:sz w:val="14"/>
                <w:szCs w:val="14"/>
                <w:color w:val="auto"/>
              </w:rPr>
            </w:pPr>
          </w:p>
        </w:tc>
        <w:tc>
          <w:tcPr>
            <w:tcW w:w="890" w:type="dxa"/>
            <w:vAlign w:val="bottom"/>
            <w:shd w:val="clear" w:color="auto" w:fill="CBECD5"/>
          </w:tcPr>
          <w:p>
            <w:pPr>
              <w:spacing w:after="0"/>
              <w:rPr>
                <w:sz w:val="14"/>
                <w:szCs w:val="14"/>
                <w:color w:val="auto"/>
              </w:rPr>
            </w:pPr>
          </w:p>
        </w:tc>
        <w:tc>
          <w:tcPr>
            <w:tcW w:w="170" w:type="dxa"/>
            <w:vAlign w:val="bottom"/>
            <w:shd w:val="clear" w:color="auto" w:fill="CBECD5"/>
          </w:tcPr>
          <w:p>
            <w:pPr>
              <w:ind w:left="30"/>
              <w:spacing w:after="0"/>
              <w:rPr>
                <w:sz w:val="20"/>
                <w:szCs w:val="20"/>
                <w:color w:val="auto"/>
              </w:rPr>
            </w:pPr>
            <w:r>
              <w:rPr>
                <w:rFonts w:ascii="Arial" w:cs="Arial" w:eastAsia="Arial" w:hAnsi="Arial"/>
                <w:sz w:val="13"/>
                <w:szCs w:val="13"/>
                <w:color w:val="auto"/>
              </w:rPr>
              <w:t>​​</w:t>
            </w:r>
          </w:p>
        </w:tc>
        <w:tc>
          <w:tcPr>
            <w:tcW w:w="5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BECD5"/>
          </w:tcPr>
          <w:p>
            <w:pPr>
              <w:jc w:val="right"/>
              <w:spacing w:after="0"/>
              <w:rPr>
                <w:sz w:val="20"/>
                <w:szCs w:val="20"/>
                <w:color w:val="auto"/>
              </w:rPr>
            </w:pPr>
            <w:r>
              <w:rPr>
                <w:rFonts w:ascii="Arial" w:cs="Arial" w:eastAsia="Arial" w:hAnsi="Arial"/>
                <w:sz w:val="13"/>
                <w:szCs w:val="13"/>
                <w:color w:val="auto"/>
              </w:rPr>
              <w:t>— ​​</w:t>
            </w:r>
          </w:p>
        </w:tc>
        <w:tc>
          <w:tcPr>
            <w:tcW w:w="5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BECD5"/>
          </w:tcPr>
          <w:p>
            <w:pPr>
              <w:ind w:left="20"/>
              <w:spacing w:after="0"/>
              <w:rPr>
                <w:sz w:val="20"/>
                <w:szCs w:val="20"/>
                <w:color w:val="auto"/>
              </w:rPr>
            </w:pPr>
            <w:r>
              <w:rPr>
                <w:rFonts w:ascii="Arial" w:cs="Arial" w:eastAsia="Arial" w:hAnsi="Arial"/>
                <w:sz w:val="13"/>
                <w:szCs w:val="13"/>
                <w:color w:val="auto"/>
              </w:rPr>
              <w:t>​​8/30/2022 ​​</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7,102</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365,682</w:t>
            </w:r>
          </w:p>
        </w:tc>
        <w:tc>
          <w:tcPr>
            <w:tcW w:w="180" w:type="dxa"/>
            <w:vAlign w:val="bottom"/>
            <w:shd w:val="clear" w:color="auto" w:fill="CBECD5"/>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13,558</w:t>
            </w:r>
          </w:p>
        </w:tc>
        <w:tc>
          <w:tcPr>
            <w:tcW w:w="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698,101</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BECD5"/>
            </w:tcBorders>
            <w:shd w:val="clear" w:color="auto" w:fill="CBECD5"/>
          </w:tcPr>
          <w:p>
            <w:pPr>
              <w:spacing w:after="0"/>
              <w:rPr>
                <w:sz w:val="14"/>
                <w:szCs w:val="14"/>
                <w:color w:val="auto"/>
              </w:rPr>
            </w:pPr>
          </w:p>
        </w:tc>
        <w:tc>
          <w:tcPr>
            <w:tcW w:w="140" w:type="dxa"/>
            <w:vAlign w:val="bottom"/>
            <w:tcBorders>
              <w:bottom w:val="single" w:sz="8" w:color="CBECD5"/>
            </w:tcBorders>
            <w:shd w:val="clear" w:color="auto" w:fill="CBECD5"/>
          </w:tcPr>
          <w:p>
            <w:pPr>
              <w:spacing w:after="0"/>
              <w:rPr>
                <w:sz w:val="14"/>
                <w:szCs w:val="14"/>
                <w:color w:val="auto"/>
              </w:rPr>
            </w:pPr>
          </w:p>
        </w:tc>
        <w:tc>
          <w:tcPr>
            <w:tcW w:w="40" w:type="dxa"/>
            <w:vAlign w:val="bottom"/>
            <w:tcBorders>
              <w:bottom w:val="single" w:sz="8" w:color="CBECD5"/>
            </w:tcBorders>
            <w:shd w:val="clear" w:color="auto" w:fill="CBECD5"/>
          </w:tcPr>
          <w:p>
            <w:pPr>
              <w:spacing w:after="0"/>
              <w:rPr>
                <w:sz w:val="14"/>
                <w:szCs w:val="14"/>
                <w:color w:val="auto"/>
              </w:rPr>
            </w:pPr>
          </w:p>
        </w:tc>
        <w:tc>
          <w:tcPr>
            <w:tcW w:w="890" w:type="dxa"/>
            <w:vAlign w:val="bottom"/>
            <w:tcBorders>
              <w:bottom w:val="single" w:sz="8" w:color="CBECD5"/>
            </w:tcBorders>
            <w:shd w:val="clear" w:color="auto" w:fill="CBECD5"/>
          </w:tcPr>
          <w:p>
            <w:pPr>
              <w:spacing w:after="0"/>
              <w:rPr>
                <w:sz w:val="14"/>
                <w:szCs w:val="14"/>
                <w:color w:val="auto"/>
              </w:rPr>
            </w:pPr>
          </w:p>
        </w:tc>
        <w:tc>
          <w:tcPr>
            <w:tcW w:w="170" w:type="dxa"/>
            <w:vAlign w:val="bottom"/>
            <w:tcBorders>
              <w:bottom w:val="single" w:sz="8" w:color="CBECD5"/>
            </w:tcBorders>
            <w:shd w:val="clear" w:color="auto" w:fill="CBECD5"/>
          </w:tcPr>
          <w:p>
            <w:pPr>
              <w:ind w:left="3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BECD5"/>
            </w:tcBorders>
            <w:gridSpan w:val="2"/>
            <w:shd w:val="clear" w:color="auto" w:fill="CBECD5"/>
          </w:tcPr>
          <w:p>
            <w:pPr>
              <w:jc w:val="right"/>
              <w:spacing w:after="0"/>
              <w:rPr>
                <w:sz w:val="20"/>
                <w:szCs w:val="20"/>
                <w:color w:val="auto"/>
              </w:rPr>
            </w:pPr>
            <w:r>
              <w:rPr>
                <w:rFonts w:ascii="Arial" w:cs="Arial" w:eastAsia="Arial" w:hAnsi="Arial"/>
                <w:sz w:val="13"/>
                <w:szCs w:val="13"/>
                <w:color w:val="auto"/>
              </w:rPr>
              <w:t>— ​​</w:t>
            </w:r>
          </w:p>
        </w:tc>
        <w:tc>
          <w:tcPr>
            <w:tcW w:w="5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BECD5"/>
            </w:tcBorders>
            <w:gridSpan w:val="2"/>
            <w:shd w:val="clear" w:color="auto" w:fill="CBECD5"/>
          </w:tcPr>
          <w:p>
            <w:pPr>
              <w:ind w:left="20"/>
              <w:spacing w:after="0"/>
              <w:rPr>
                <w:sz w:val="20"/>
                <w:szCs w:val="20"/>
                <w:color w:val="auto"/>
              </w:rPr>
            </w:pPr>
            <w:r>
              <w:rPr>
                <w:rFonts w:ascii="Arial" w:cs="Arial" w:eastAsia="Arial" w:hAnsi="Arial"/>
                <w:sz w:val="13"/>
                <w:szCs w:val="13"/>
                <w:color w:val="auto"/>
              </w:rPr>
              <w:t>​​8/29/2023 ​​</w:t>
            </w:r>
          </w:p>
        </w:tc>
        <w:tc>
          <w:tcPr>
            <w:tcW w:w="7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11,247</w:t>
            </w:r>
          </w:p>
        </w:tc>
        <w:tc>
          <w:tcPr>
            <w:tcW w:w="8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579,108</w:t>
            </w:r>
          </w:p>
        </w:tc>
        <w:tc>
          <w:tcPr>
            <w:tcW w:w="180" w:type="dxa"/>
            <w:vAlign w:val="bottom"/>
            <w:tcBorders>
              <w:bottom w:val="single" w:sz="8" w:color="CBECD5"/>
            </w:tcBorders>
            <w:shd w:val="clear" w:color="auto" w:fill="CBECD5"/>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12,085</w:t>
            </w:r>
          </w:p>
        </w:tc>
        <w:tc>
          <w:tcPr>
            <w:tcW w:w="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622,257</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80" w:type="dxa"/>
            <w:vAlign w:val="bottom"/>
          </w:tcPr>
          <w:p>
            <w:pPr>
              <w:ind w:left="20"/>
              <w:spacing w:after="0" w:line="136" w:lineRule="exact"/>
              <w:rPr>
                <w:sz w:val="20"/>
                <w:szCs w:val="20"/>
                <w:color w:val="auto"/>
              </w:rPr>
            </w:pPr>
            <w:r>
              <w:rPr>
                <w:rFonts w:ascii="Arial" w:cs="Arial" w:eastAsia="Arial" w:hAnsi="Arial"/>
                <w:sz w:val="13"/>
                <w:szCs w:val="13"/>
                <w:color w:val="auto"/>
              </w:rPr>
              <w:t>Ken​</w:t>
            </w:r>
          </w:p>
        </w:tc>
        <w:tc>
          <w:tcPr>
            <w:tcW w:w="1150" w:type="dxa"/>
            <w:vAlign w:val="bottom"/>
            <w:gridSpan w:val="4"/>
          </w:tcPr>
          <w:p>
            <w:pPr>
              <w:jc w:val="right"/>
              <w:ind w:right="523"/>
              <w:spacing w:after="0" w:line="136" w:lineRule="exact"/>
              <w:rPr>
                <w:sz w:val="20"/>
                <w:szCs w:val="20"/>
                <w:color w:val="auto"/>
              </w:rPr>
            </w:pPr>
            <w:r>
              <w:rPr>
                <w:rFonts w:ascii="Arial" w:cs="Arial" w:eastAsia="Arial" w:hAnsi="Arial"/>
                <w:sz w:val="13"/>
                <w:szCs w:val="13"/>
                <w:color w:val="auto"/>
              </w:rPr>
              <w:t>E. Arnold</w:t>
            </w:r>
          </w:p>
        </w:tc>
        <w:tc>
          <w:tcPr>
            <w:tcW w:w="730" w:type="dxa"/>
            <w:vAlign w:val="bottom"/>
            <w:gridSpan w:val="2"/>
          </w:tcPr>
          <w:p>
            <w:pPr>
              <w:ind w:left="30"/>
              <w:spacing w:after="0" w:line="136" w:lineRule="exact"/>
              <w:rPr>
                <w:sz w:val="20"/>
                <w:szCs w:val="20"/>
                <w:color w:val="auto"/>
              </w:rPr>
            </w:pPr>
            <w:r>
              <w:rPr>
                <w:rFonts w:ascii="Arial" w:cs="Arial" w:eastAsia="Arial" w:hAnsi="Arial"/>
                <w:sz w:val="13"/>
                <w:szCs w:val="13"/>
                <w:color w:val="auto"/>
              </w:rPr>
              <w:t>​​ 2/18/2019</w:t>
            </w:r>
          </w:p>
        </w:tc>
        <w:tc>
          <w:tcPr>
            <w:tcW w:w="12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7,908</w:t>
            </w:r>
          </w:p>
        </w:tc>
        <w:tc>
          <w:tcPr>
            <w:tcW w:w="12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 ​​</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44.12</w:t>
            </w:r>
          </w:p>
        </w:tc>
        <w:tc>
          <w:tcPr>
            <w:tcW w:w="12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2/17/2029</w:t>
            </w:r>
          </w:p>
        </w:tc>
        <w:tc>
          <w:tcPr>
            <w:tcW w:w="14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6" w:lineRule="exact"/>
              <w:rPr>
                <w:sz w:val="20"/>
                <w:szCs w:val="20"/>
                <w:color w:val="auto"/>
              </w:rPr>
            </w:pPr>
            <w:r>
              <w:rPr>
                <w:rFonts w:ascii="Arial" w:cs="Arial" w:eastAsia="Arial" w:hAnsi="Arial"/>
                <w:sz w:val="13"/>
                <w:szCs w:val="13"/>
                <w:color w:val="auto"/>
              </w:rPr>
              <w:t>— ​​</w:t>
            </w:r>
          </w:p>
        </w:tc>
        <w:tc>
          <w:tcPr>
            <w:tcW w:w="70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6"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3"/>
              <w:spacing w:after="0" w:line="136" w:lineRule="exact"/>
              <w:rPr>
                <w:sz w:val="20"/>
                <w:szCs w:val="20"/>
                <w:color w:val="auto"/>
              </w:rPr>
            </w:pPr>
            <w:r>
              <w:rPr>
                <w:rFonts w:ascii="Arial" w:cs="Arial" w:eastAsia="Arial" w:hAnsi="Arial"/>
                <w:sz w:val="13"/>
                <w:szCs w:val="13"/>
                <w:color w:val="auto"/>
              </w:rPr>
              <w:t>— ​​</w:t>
            </w:r>
          </w:p>
        </w:tc>
        <w:tc>
          <w:tcPr>
            <w:tcW w:w="9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 ​​</w:t>
            </w:r>
          </w:p>
        </w:tc>
        <w:tc>
          <w:tcPr>
            <w:tcW w:w="9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90" w:type="dxa"/>
            <w:vAlign w:val="bottom"/>
          </w:tcPr>
          <w:p>
            <w:pPr>
              <w:spacing w:after="0"/>
              <w:rPr>
                <w:sz w:val="14"/>
                <w:szCs w:val="14"/>
                <w:color w:val="auto"/>
              </w:rPr>
            </w:pPr>
          </w:p>
        </w:tc>
        <w:tc>
          <w:tcPr>
            <w:tcW w:w="730" w:type="dxa"/>
            <w:vAlign w:val="bottom"/>
            <w:gridSpan w:val="2"/>
          </w:tcPr>
          <w:p>
            <w:pPr>
              <w:ind w:left="30"/>
              <w:spacing w:after="0"/>
              <w:rPr>
                <w:sz w:val="20"/>
                <w:szCs w:val="20"/>
                <w:color w:val="auto"/>
              </w:rPr>
            </w:pPr>
            <w:r>
              <w:rPr>
                <w:rFonts w:ascii="Arial" w:cs="Arial" w:eastAsia="Arial" w:hAnsi="Arial"/>
                <w:sz w:val="13"/>
                <w:szCs w:val="13"/>
                <w:color w:val="auto"/>
              </w:rPr>
              <w:t>​​ 8/14/2019</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12,404</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540" w:type="dxa"/>
            <w:vAlign w:val="bottom"/>
          </w:tcPr>
          <w:p>
            <w:pPr>
              <w:jc w:val="right"/>
              <w:spacing w:after="0"/>
              <w:rPr>
                <w:sz w:val="20"/>
                <w:szCs w:val="20"/>
                <w:color w:val="auto"/>
              </w:rPr>
            </w:pPr>
            <w:r>
              <w:rPr>
                <w:rFonts w:ascii="Arial" w:cs="Arial" w:eastAsia="Arial" w:hAnsi="Arial"/>
                <w:sz w:val="13"/>
                <w:szCs w:val="13"/>
                <w:color w:val="auto"/>
              </w:rPr>
              <w:t>39.72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8/13/2029</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​​8/23/2021 ​​</w:t>
            </w:r>
          </w:p>
        </w:tc>
        <w:tc>
          <w:tcPr>
            <w:tcW w:w="700" w:type="dxa"/>
            <w:vAlign w:val="bottom"/>
          </w:tcPr>
          <w:p>
            <w:pPr>
              <w:jc w:val="right"/>
              <w:spacing w:after="0"/>
              <w:rPr>
                <w:sz w:val="20"/>
                <w:szCs w:val="20"/>
                <w:color w:val="auto"/>
              </w:rPr>
            </w:pPr>
            <w:r>
              <w:rPr>
                <w:rFonts w:ascii="Arial" w:cs="Arial" w:eastAsia="Arial" w:hAnsi="Arial"/>
                <w:sz w:val="13"/>
                <w:szCs w:val="13"/>
                <w:color w:val="auto"/>
              </w:rPr>
              <w:t>2,524</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129,961</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2"/>
        </w:trPr>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90" w:type="dxa"/>
            <w:vAlign w:val="bottom"/>
          </w:tcPr>
          <w:p>
            <w:pPr>
              <w:spacing w:after="0"/>
              <w:rPr>
                <w:sz w:val="14"/>
                <w:szCs w:val="14"/>
                <w:color w:val="auto"/>
              </w:rPr>
            </w:pPr>
          </w:p>
        </w:tc>
        <w:tc>
          <w:tcPr>
            <w:tcW w:w="730" w:type="dxa"/>
            <w:vAlign w:val="bottom"/>
            <w:gridSpan w:val="2"/>
          </w:tcPr>
          <w:p>
            <w:pPr>
              <w:ind w:left="30"/>
              <w:spacing w:after="0"/>
              <w:rPr>
                <w:sz w:val="20"/>
                <w:szCs w:val="20"/>
                <w:color w:val="auto"/>
              </w:rPr>
            </w:pPr>
            <w:r>
              <w:rPr>
                <w:rFonts w:ascii="Arial" w:cs="Arial" w:eastAsia="Arial" w:hAnsi="Arial"/>
                <w:sz w:val="13"/>
                <w:szCs w:val="13"/>
                <w:color w:val="auto"/>
              </w:rPr>
              <w:t>​​11/16/2020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25,203</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8,401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29.85</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​​11/15/2030</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​​8/30/2022 ​​</w:t>
            </w:r>
          </w:p>
        </w:tc>
        <w:tc>
          <w:tcPr>
            <w:tcW w:w="700" w:type="dxa"/>
            <w:vAlign w:val="bottom"/>
          </w:tcPr>
          <w:p>
            <w:pPr>
              <w:jc w:val="right"/>
              <w:spacing w:after="0"/>
              <w:rPr>
                <w:sz w:val="20"/>
                <w:szCs w:val="20"/>
                <w:color w:val="auto"/>
              </w:rPr>
            </w:pPr>
            <w:r>
              <w:rPr>
                <w:rFonts w:ascii="Arial" w:cs="Arial" w:eastAsia="Arial" w:hAnsi="Arial"/>
                <w:sz w:val="13"/>
                <w:szCs w:val="13"/>
                <w:color w:val="auto"/>
              </w:rPr>
              <w:t>5,398</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277,943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10,302</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530,450</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90" w:type="dxa"/>
            <w:vAlign w:val="bottom"/>
          </w:tcPr>
          <w:p>
            <w:pPr>
              <w:spacing w:after="0"/>
              <w:rPr>
                <w:sz w:val="14"/>
                <w:szCs w:val="14"/>
                <w:color w:val="auto"/>
              </w:rPr>
            </w:pPr>
          </w:p>
        </w:tc>
        <w:tc>
          <w:tcPr>
            <w:tcW w:w="730" w:type="dxa"/>
            <w:vAlign w:val="bottom"/>
            <w:gridSpan w:val="2"/>
          </w:tcPr>
          <w:p>
            <w:pPr>
              <w:ind w:left="30"/>
              <w:spacing w:after="0"/>
              <w:rPr>
                <w:sz w:val="20"/>
                <w:szCs w:val="20"/>
                <w:color w:val="auto"/>
              </w:rPr>
            </w:pPr>
            <w:r>
              <w:rPr>
                <w:rFonts w:ascii="Arial" w:cs="Arial" w:eastAsia="Arial" w:hAnsi="Arial"/>
                <w:sz w:val="13"/>
                <w:szCs w:val="13"/>
                <w:color w:val="auto"/>
              </w:rPr>
              <w:t>​​ 8/23/2021</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15,540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15,540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8/22/2031</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​​8/29/2023 ​​</w:t>
            </w:r>
          </w:p>
        </w:tc>
        <w:tc>
          <w:tcPr>
            <w:tcW w:w="700" w:type="dxa"/>
            <w:vAlign w:val="bottom"/>
          </w:tcPr>
          <w:p>
            <w:pPr>
              <w:jc w:val="right"/>
              <w:spacing w:after="0"/>
              <w:rPr>
                <w:sz w:val="20"/>
                <w:szCs w:val="20"/>
                <w:color w:val="auto"/>
              </w:rPr>
            </w:pPr>
            <w:r>
              <w:rPr>
                <w:rFonts w:ascii="Arial" w:cs="Arial" w:eastAsia="Arial" w:hAnsi="Arial"/>
                <w:sz w:val="13"/>
                <w:szCs w:val="13"/>
                <w:color w:val="auto"/>
              </w:rPr>
              <w:t>8,997</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463,256</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9,669</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497,857</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1150" w:type="dxa"/>
            <w:vAlign w:val="bottom"/>
            <w:gridSpan w:val="4"/>
          </w:tcPr>
          <w:p>
            <w:pPr>
              <w:spacing w:after="0"/>
              <w:rPr>
                <w:sz w:val="2"/>
                <w:szCs w:val="2"/>
                <w:color w:val="auto"/>
              </w:rPr>
            </w:pPr>
          </w:p>
        </w:tc>
        <w:tc>
          <w:tcPr>
            <w:tcW w:w="17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36"/>
        </w:trPr>
        <w:tc>
          <w:tcPr>
            <w:tcW w:w="280" w:type="dxa"/>
            <w:vAlign w:val="bottom"/>
            <w:shd w:val="clear" w:color="auto" w:fill="CBECD5"/>
          </w:tcPr>
          <w:p>
            <w:pPr>
              <w:ind w:left="20"/>
              <w:spacing w:after="0" w:line="136" w:lineRule="exact"/>
              <w:rPr>
                <w:sz w:val="20"/>
                <w:szCs w:val="20"/>
                <w:color w:val="auto"/>
              </w:rPr>
            </w:pPr>
            <w:r>
              <w:rPr>
                <w:rFonts w:ascii="Arial" w:cs="Arial" w:eastAsia="Arial" w:hAnsi="Arial"/>
                <w:sz w:val="13"/>
                <w:szCs w:val="13"/>
                <w:color w:val="auto"/>
                <w:w w:val="97"/>
              </w:rPr>
              <w:t>Max​</w:t>
            </w:r>
          </w:p>
        </w:tc>
        <w:tc>
          <w:tcPr>
            <w:tcW w:w="1150" w:type="dxa"/>
            <w:vAlign w:val="bottom"/>
            <w:gridSpan w:val="4"/>
            <w:shd w:val="clear" w:color="auto" w:fill="CBECD5"/>
          </w:tcPr>
          <w:p>
            <w:pPr>
              <w:jc w:val="right"/>
              <w:ind w:right="723"/>
              <w:spacing w:after="0" w:line="136" w:lineRule="exact"/>
              <w:rPr>
                <w:sz w:val="20"/>
                <w:szCs w:val="20"/>
                <w:color w:val="auto"/>
              </w:rPr>
            </w:pPr>
            <w:r>
              <w:rPr>
                <w:rFonts w:ascii="Arial" w:cs="Arial" w:eastAsia="Arial" w:hAnsi="Arial"/>
                <w:sz w:val="13"/>
                <w:szCs w:val="13"/>
                <w:color w:val="auto"/>
              </w:rPr>
              <w:t>Chan</w:t>
            </w:r>
          </w:p>
        </w:tc>
        <w:tc>
          <w:tcPr>
            <w:tcW w:w="170" w:type="dxa"/>
            <w:vAlign w:val="bottom"/>
            <w:shd w:val="clear" w:color="auto" w:fill="CBECD5"/>
          </w:tcPr>
          <w:p>
            <w:pPr>
              <w:ind w:left="3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line="136" w:lineRule="exact"/>
              <w:rPr>
                <w:sz w:val="20"/>
                <w:szCs w:val="20"/>
                <w:color w:val="auto"/>
              </w:rPr>
            </w:pPr>
            <w:r>
              <w:rPr>
                <w:rFonts w:ascii="Arial" w:cs="Arial" w:eastAsia="Arial" w:hAnsi="Arial"/>
                <w:sz w:val="13"/>
                <w:szCs w:val="13"/>
                <w:color w:val="auto"/>
              </w:rPr>
              <w:t>​​</w:t>
            </w:r>
          </w:p>
        </w:tc>
        <w:tc>
          <w:tcPr>
            <w:tcW w:w="78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line="136"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BECD5"/>
          </w:tcPr>
          <w:p>
            <w:pPr>
              <w:jc w:val="right"/>
              <w:spacing w:after="0" w:line="136" w:lineRule="exact"/>
              <w:rPr>
                <w:sz w:val="20"/>
                <w:szCs w:val="20"/>
                <w:color w:val="auto"/>
              </w:rPr>
            </w:pPr>
            <w:r>
              <w:rPr>
                <w:rFonts w:ascii="Arial" w:cs="Arial" w:eastAsia="Arial" w:hAnsi="Arial"/>
                <w:sz w:val="13"/>
                <w:szCs w:val="13"/>
                <w:color w:val="auto"/>
              </w:rPr>
              <w:t>— ​​</w:t>
            </w:r>
          </w:p>
        </w:tc>
        <w:tc>
          <w:tcPr>
            <w:tcW w:w="54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BECD5"/>
          </w:tcPr>
          <w:p>
            <w:pPr>
              <w:ind w:left="20"/>
              <w:spacing w:after="0" w:line="136" w:lineRule="exact"/>
              <w:rPr>
                <w:sz w:val="20"/>
                <w:szCs w:val="20"/>
                <w:color w:val="auto"/>
              </w:rPr>
            </w:pPr>
            <w:r>
              <w:rPr>
                <w:rFonts w:ascii="Arial" w:cs="Arial" w:eastAsia="Arial" w:hAnsi="Arial"/>
                <w:sz w:val="13"/>
                <w:szCs w:val="13"/>
                <w:color w:val="auto"/>
              </w:rPr>
              <w:t>​​1/25/2021 ​​</w:t>
            </w:r>
          </w:p>
        </w:tc>
        <w:tc>
          <w:tcPr>
            <w:tcW w:w="70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478</w:t>
            </w:r>
          </w:p>
        </w:tc>
        <w:tc>
          <w:tcPr>
            <w:tcW w:w="80" w:type="dxa"/>
            <w:vAlign w:val="bottom"/>
            <w:shd w:val="clear" w:color="auto" w:fill="CBECD5"/>
          </w:tcPr>
          <w:p>
            <w:pPr>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24,612</w:t>
            </w:r>
          </w:p>
        </w:tc>
        <w:tc>
          <w:tcPr>
            <w:tcW w:w="180" w:type="dxa"/>
            <w:vAlign w:val="bottom"/>
            <w:shd w:val="clear" w:color="auto" w:fill="CBECD5"/>
          </w:tcPr>
          <w:p>
            <w:pPr>
              <w:jc w:val="right"/>
              <w:ind w:right="33"/>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BECD5"/>
          </w:tcPr>
          <w:p>
            <w:pPr>
              <w:jc w:val="right"/>
              <w:spacing w:after="0" w:line="136" w:lineRule="exact"/>
              <w:rPr>
                <w:sz w:val="20"/>
                <w:szCs w:val="20"/>
                <w:color w:val="auto"/>
              </w:rPr>
            </w:pPr>
            <w:r>
              <w:rPr>
                <w:rFonts w:ascii="Arial" w:cs="Arial" w:eastAsia="Arial" w:hAnsi="Arial"/>
                <w:sz w:val="13"/>
                <w:szCs w:val="13"/>
                <w:color w:val="auto"/>
              </w:rPr>
              <w:t>— ​​</w:t>
            </w:r>
          </w:p>
        </w:tc>
        <w:tc>
          <w:tcPr>
            <w:tcW w:w="960" w:type="dxa"/>
            <w:vAlign w:val="bottom"/>
            <w:shd w:val="clear" w:color="auto" w:fill="CBECD5"/>
          </w:tcPr>
          <w:p>
            <w:pPr>
              <w:jc w:val="right"/>
              <w:spacing w:after="0" w:line="136" w:lineRule="exact"/>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rPr>
                <w:sz w:val="14"/>
                <w:szCs w:val="14"/>
                <w:color w:val="auto"/>
              </w:rPr>
            </w:pPr>
          </w:p>
        </w:tc>
        <w:tc>
          <w:tcPr>
            <w:tcW w:w="140" w:type="dxa"/>
            <w:vAlign w:val="bottom"/>
            <w:shd w:val="clear" w:color="auto" w:fill="CBECD5"/>
          </w:tcPr>
          <w:p>
            <w:pPr>
              <w:spacing w:after="0"/>
              <w:rPr>
                <w:sz w:val="14"/>
                <w:szCs w:val="14"/>
                <w:color w:val="auto"/>
              </w:rPr>
            </w:pPr>
          </w:p>
        </w:tc>
        <w:tc>
          <w:tcPr>
            <w:tcW w:w="40" w:type="dxa"/>
            <w:vAlign w:val="bottom"/>
            <w:shd w:val="clear" w:color="auto" w:fill="CBECD5"/>
          </w:tcPr>
          <w:p>
            <w:pPr>
              <w:spacing w:after="0"/>
              <w:rPr>
                <w:sz w:val="14"/>
                <w:szCs w:val="14"/>
                <w:color w:val="auto"/>
              </w:rPr>
            </w:pPr>
          </w:p>
        </w:tc>
        <w:tc>
          <w:tcPr>
            <w:tcW w:w="890" w:type="dxa"/>
            <w:vAlign w:val="bottom"/>
            <w:shd w:val="clear" w:color="auto" w:fill="CBECD5"/>
          </w:tcPr>
          <w:p>
            <w:pPr>
              <w:spacing w:after="0"/>
              <w:rPr>
                <w:sz w:val="14"/>
                <w:szCs w:val="14"/>
                <w:color w:val="auto"/>
              </w:rPr>
            </w:pPr>
          </w:p>
        </w:tc>
        <w:tc>
          <w:tcPr>
            <w:tcW w:w="170" w:type="dxa"/>
            <w:vAlign w:val="bottom"/>
            <w:shd w:val="clear" w:color="auto" w:fill="CBECD5"/>
          </w:tcPr>
          <w:p>
            <w:pPr>
              <w:ind w:left="30"/>
              <w:spacing w:after="0"/>
              <w:rPr>
                <w:sz w:val="20"/>
                <w:szCs w:val="20"/>
                <w:color w:val="auto"/>
              </w:rPr>
            </w:pPr>
            <w:r>
              <w:rPr>
                <w:rFonts w:ascii="Arial" w:cs="Arial" w:eastAsia="Arial" w:hAnsi="Arial"/>
                <w:sz w:val="13"/>
                <w:szCs w:val="13"/>
                <w:color w:val="auto"/>
              </w:rPr>
              <w:t>​​</w:t>
            </w:r>
          </w:p>
        </w:tc>
        <w:tc>
          <w:tcPr>
            <w:tcW w:w="5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BECD5"/>
          </w:tcPr>
          <w:p>
            <w:pPr>
              <w:jc w:val="right"/>
              <w:spacing w:after="0"/>
              <w:rPr>
                <w:sz w:val="20"/>
                <w:szCs w:val="20"/>
                <w:color w:val="auto"/>
              </w:rPr>
            </w:pPr>
            <w:r>
              <w:rPr>
                <w:rFonts w:ascii="Arial" w:cs="Arial" w:eastAsia="Arial" w:hAnsi="Arial"/>
                <w:sz w:val="13"/>
                <w:szCs w:val="13"/>
                <w:color w:val="auto"/>
              </w:rPr>
              <w:t>— ​​</w:t>
            </w:r>
          </w:p>
        </w:tc>
        <w:tc>
          <w:tcPr>
            <w:tcW w:w="5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BECD5"/>
          </w:tcPr>
          <w:p>
            <w:pPr>
              <w:ind w:left="20"/>
              <w:spacing w:after="0"/>
              <w:rPr>
                <w:sz w:val="20"/>
                <w:szCs w:val="20"/>
                <w:color w:val="auto"/>
              </w:rPr>
            </w:pPr>
            <w:r>
              <w:rPr>
                <w:rFonts w:ascii="Arial" w:cs="Arial" w:eastAsia="Arial" w:hAnsi="Arial"/>
                <w:sz w:val="13"/>
                <w:szCs w:val="13"/>
                <w:color w:val="auto"/>
              </w:rPr>
              <w:t>​​8/23/2021 ​​</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1,499</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77,184</w:t>
            </w:r>
          </w:p>
        </w:tc>
        <w:tc>
          <w:tcPr>
            <w:tcW w:w="180" w:type="dxa"/>
            <w:vAlign w:val="bottom"/>
            <w:shd w:val="clear" w:color="auto" w:fill="CBECD5"/>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BECD5"/>
          </w:tcPr>
          <w:p>
            <w:pPr>
              <w:jc w:val="right"/>
              <w:spacing w:after="0"/>
              <w:rPr>
                <w:sz w:val="20"/>
                <w:szCs w:val="20"/>
                <w:color w:val="auto"/>
              </w:rPr>
            </w:pPr>
            <w:r>
              <w:rPr>
                <w:rFonts w:ascii="Arial" w:cs="Arial" w:eastAsia="Arial" w:hAnsi="Arial"/>
                <w:sz w:val="13"/>
                <w:szCs w:val="13"/>
                <w:color w:val="auto"/>
              </w:rPr>
              <w:t>— ​​</w:t>
            </w:r>
          </w:p>
        </w:tc>
        <w:tc>
          <w:tcPr>
            <w:tcW w:w="9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BECD5"/>
          </w:tcPr>
          <w:p>
            <w:pPr>
              <w:spacing w:after="0"/>
              <w:rPr>
                <w:sz w:val="14"/>
                <w:szCs w:val="14"/>
                <w:color w:val="auto"/>
              </w:rPr>
            </w:pPr>
          </w:p>
        </w:tc>
        <w:tc>
          <w:tcPr>
            <w:tcW w:w="140" w:type="dxa"/>
            <w:vAlign w:val="bottom"/>
            <w:shd w:val="clear" w:color="auto" w:fill="CBECD5"/>
          </w:tcPr>
          <w:p>
            <w:pPr>
              <w:spacing w:after="0"/>
              <w:rPr>
                <w:sz w:val="14"/>
                <w:szCs w:val="14"/>
                <w:color w:val="auto"/>
              </w:rPr>
            </w:pPr>
          </w:p>
        </w:tc>
        <w:tc>
          <w:tcPr>
            <w:tcW w:w="40" w:type="dxa"/>
            <w:vAlign w:val="bottom"/>
            <w:shd w:val="clear" w:color="auto" w:fill="CBECD5"/>
          </w:tcPr>
          <w:p>
            <w:pPr>
              <w:spacing w:after="0"/>
              <w:rPr>
                <w:sz w:val="14"/>
                <w:szCs w:val="14"/>
                <w:color w:val="auto"/>
              </w:rPr>
            </w:pPr>
          </w:p>
        </w:tc>
        <w:tc>
          <w:tcPr>
            <w:tcW w:w="890" w:type="dxa"/>
            <w:vAlign w:val="bottom"/>
            <w:shd w:val="clear" w:color="auto" w:fill="CBECD5"/>
          </w:tcPr>
          <w:p>
            <w:pPr>
              <w:spacing w:after="0"/>
              <w:rPr>
                <w:sz w:val="14"/>
                <w:szCs w:val="14"/>
                <w:color w:val="auto"/>
              </w:rPr>
            </w:pPr>
          </w:p>
        </w:tc>
        <w:tc>
          <w:tcPr>
            <w:tcW w:w="170" w:type="dxa"/>
            <w:vAlign w:val="bottom"/>
            <w:shd w:val="clear" w:color="auto" w:fill="CBECD5"/>
          </w:tcPr>
          <w:p>
            <w:pPr>
              <w:ind w:left="30"/>
              <w:spacing w:after="0"/>
              <w:rPr>
                <w:sz w:val="20"/>
                <w:szCs w:val="20"/>
                <w:color w:val="auto"/>
              </w:rPr>
            </w:pPr>
            <w:r>
              <w:rPr>
                <w:rFonts w:ascii="Arial" w:cs="Arial" w:eastAsia="Arial" w:hAnsi="Arial"/>
                <w:sz w:val="13"/>
                <w:szCs w:val="13"/>
                <w:color w:val="auto"/>
              </w:rPr>
              <w:t>​​</w:t>
            </w:r>
          </w:p>
        </w:tc>
        <w:tc>
          <w:tcPr>
            <w:tcW w:w="5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BECD5"/>
          </w:tcPr>
          <w:p>
            <w:pPr>
              <w:jc w:val="right"/>
              <w:spacing w:after="0"/>
              <w:rPr>
                <w:sz w:val="20"/>
                <w:szCs w:val="20"/>
                <w:color w:val="auto"/>
              </w:rPr>
            </w:pPr>
            <w:r>
              <w:rPr>
                <w:rFonts w:ascii="Arial" w:cs="Arial" w:eastAsia="Arial" w:hAnsi="Arial"/>
                <w:sz w:val="13"/>
                <w:szCs w:val="13"/>
                <w:color w:val="auto"/>
              </w:rPr>
              <w:t>— ​​</w:t>
            </w:r>
          </w:p>
        </w:tc>
        <w:tc>
          <w:tcPr>
            <w:tcW w:w="5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BECD5"/>
          </w:tcPr>
          <w:p>
            <w:pPr>
              <w:ind w:left="20"/>
              <w:spacing w:after="0"/>
              <w:rPr>
                <w:sz w:val="20"/>
                <w:szCs w:val="20"/>
                <w:color w:val="auto"/>
              </w:rPr>
            </w:pPr>
            <w:r>
              <w:rPr>
                <w:rFonts w:ascii="Arial" w:cs="Arial" w:eastAsia="Arial" w:hAnsi="Arial"/>
                <w:sz w:val="13"/>
                <w:szCs w:val="13"/>
                <w:color w:val="auto"/>
              </w:rPr>
              <w:t>​​8/30/2022 ​​</w:t>
            </w:r>
          </w:p>
        </w:tc>
        <w:tc>
          <w:tcPr>
            <w:tcW w:w="70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2,840</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rPr>
              <w:t>146,232</w:t>
            </w:r>
          </w:p>
        </w:tc>
        <w:tc>
          <w:tcPr>
            <w:tcW w:w="180" w:type="dxa"/>
            <w:vAlign w:val="bottom"/>
            <w:shd w:val="clear" w:color="auto" w:fill="CBECD5"/>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BECD5"/>
          </w:tcPr>
          <w:p>
            <w:pPr>
              <w:jc w:val="right"/>
              <w:spacing w:after="0"/>
              <w:rPr>
                <w:sz w:val="20"/>
                <w:szCs w:val="20"/>
                <w:color w:val="auto"/>
              </w:rPr>
            </w:pPr>
            <w:r>
              <w:rPr>
                <w:rFonts w:ascii="Arial" w:cs="Arial" w:eastAsia="Arial" w:hAnsi="Arial"/>
                <w:sz w:val="13"/>
                <w:szCs w:val="13"/>
                <w:color w:val="auto"/>
              </w:rPr>
              <w:t>5,423 ​​</w:t>
            </w:r>
          </w:p>
        </w:tc>
        <w:tc>
          <w:tcPr>
            <w:tcW w:w="960" w:type="dxa"/>
            <w:vAlign w:val="bottom"/>
            <w:shd w:val="clear" w:color="auto" w:fill="CBECD5"/>
          </w:tcPr>
          <w:p>
            <w:pPr>
              <w:jc w:val="right"/>
              <w:spacing w:after="0"/>
              <w:rPr>
                <w:sz w:val="20"/>
                <w:szCs w:val="20"/>
                <w:color w:val="auto"/>
              </w:rPr>
            </w:pPr>
            <w:r>
              <w:rPr>
                <w:rFonts w:ascii="Arial" w:cs="Arial" w:eastAsia="Arial" w:hAnsi="Arial"/>
                <w:sz w:val="13"/>
                <w:szCs w:val="13"/>
                <w:color w:val="auto"/>
              </w:rPr>
              <w:t>279,230</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BECD5"/>
            </w:tcBorders>
            <w:shd w:val="clear" w:color="auto" w:fill="CBECD5"/>
          </w:tcPr>
          <w:p>
            <w:pPr>
              <w:spacing w:after="0"/>
              <w:rPr>
                <w:sz w:val="14"/>
                <w:szCs w:val="14"/>
                <w:color w:val="auto"/>
              </w:rPr>
            </w:pPr>
          </w:p>
        </w:tc>
        <w:tc>
          <w:tcPr>
            <w:tcW w:w="140" w:type="dxa"/>
            <w:vAlign w:val="bottom"/>
            <w:tcBorders>
              <w:bottom w:val="single" w:sz="8" w:color="CBECD5"/>
            </w:tcBorders>
            <w:shd w:val="clear" w:color="auto" w:fill="CBECD5"/>
          </w:tcPr>
          <w:p>
            <w:pPr>
              <w:spacing w:after="0"/>
              <w:rPr>
                <w:sz w:val="14"/>
                <w:szCs w:val="14"/>
                <w:color w:val="auto"/>
              </w:rPr>
            </w:pPr>
          </w:p>
        </w:tc>
        <w:tc>
          <w:tcPr>
            <w:tcW w:w="40" w:type="dxa"/>
            <w:vAlign w:val="bottom"/>
            <w:tcBorders>
              <w:bottom w:val="single" w:sz="8" w:color="CBECD5"/>
            </w:tcBorders>
            <w:shd w:val="clear" w:color="auto" w:fill="CBECD5"/>
          </w:tcPr>
          <w:p>
            <w:pPr>
              <w:spacing w:after="0"/>
              <w:rPr>
                <w:sz w:val="14"/>
                <w:szCs w:val="14"/>
                <w:color w:val="auto"/>
              </w:rPr>
            </w:pPr>
          </w:p>
        </w:tc>
        <w:tc>
          <w:tcPr>
            <w:tcW w:w="890" w:type="dxa"/>
            <w:vAlign w:val="bottom"/>
            <w:tcBorders>
              <w:bottom w:val="single" w:sz="8" w:color="CBECD5"/>
            </w:tcBorders>
            <w:shd w:val="clear" w:color="auto" w:fill="CBECD5"/>
          </w:tcPr>
          <w:p>
            <w:pPr>
              <w:spacing w:after="0"/>
              <w:rPr>
                <w:sz w:val="14"/>
                <w:szCs w:val="14"/>
                <w:color w:val="auto"/>
              </w:rPr>
            </w:pPr>
          </w:p>
        </w:tc>
        <w:tc>
          <w:tcPr>
            <w:tcW w:w="730" w:type="dxa"/>
            <w:vAlign w:val="bottom"/>
            <w:tcBorders>
              <w:bottom w:val="single" w:sz="8" w:color="CBECD5"/>
            </w:tcBorders>
            <w:gridSpan w:val="2"/>
            <w:shd w:val="clear" w:color="auto" w:fill="CBECD5"/>
          </w:tcPr>
          <w:p>
            <w:pPr>
              <w:ind w:left="30"/>
              <w:spacing w:after="0"/>
              <w:rPr>
                <w:sz w:val="20"/>
                <w:szCs w:val="20"/>
                <w:color w:val="auto"/>
              </w:rPr>
            </w:pPr>
            <w:r>
              <w:rPr>
                <w:rFonts w:ascii="Arial" w:cs="Arial" w:eastAsia="Arial" w:hAnsi="Arial"/>
                <w:sz w:val="13"/>
                <w:szCs w:val="13"/>
                <w:color w:val="auto"/>
              </w:rPr>
              <w:t>​​ 8/23/2021</w:t>
            </w:r>
          </w:p>
        </w:tc>
        <w:tc>
          <w:tcPr>
            <w:tcW w:w="12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9,226</w:t>
            </w:r>
          </w:p>
        </w:tc>
        <w:tc>
          <w:tcPr>
            <w:tcW w:w="12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9,226</w:t>
            </w:r>
          </w:p>
        </w:tc>
        <w:tc>
          <w:tcPr>
            <w:tcW w:w="12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Borders>
              <w:bottom w:val="single" w:sz="8" w:color="CBECD5"/>
            </w:tcBorders>
            <w:shd w:val="clear" w:color="auto" w:fill="CBECD5"/>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8/22/2031</w:t>
            </w:r>
          </w:p>
        </w:tc>
        <w:tc>
          <w:tcPr>
            <w:tcW w:w="760" w:type="dxa"/>
            <w:vAlign w:val="bottom"/>
            <w:tcBorders>
              <w:bottom w:val="single" w:sz="8" w:color="CBECD5"/>
            </w:tcBorders>
            <w:gridSpan w:val="2"/>
            <w:shd w:val="clear" w:color="auto" w:fill="CBECD5"/>
          </w:tcPr>
          <w:p>
            <w:pPr>
              <w:ind w:left="20"/>
              <w:spacing w:after="0"/>
              <w:rPr>
                <w:sz w:val="20"/>
                <w:szCs w:val="20"/>
                <w:color w:val="auto"/>
              </w:rPr>
            </w:pPr>
            <w:r>
              <w:rPr>
                <w:rFonts w:ascii="Arial" w:cs="Arial" w:eastAsia="Arial" w:hAnsi="Arial"/>
                <w:sz w:val="13"/>
                <w:szCs w:val="13"/>
                <w:color w:val="auto"/>
              </w:rPr>
              <w:t>​​8/29/2023 ​​</w:t>
            </w:r>
          </w:p>
        </w:tc>
        <w:tc>
          <w:tcPr>
            <w:tcW w:w="70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5,625</w:t>
            </w:r>
          </w:p>
        </w:tc>
        <w:tc>
          <w:tcPr>
            <w:tcW w:w="80" w:type="dxa"/>
            <w:vAlign w:val="bottom"/>
            <w:tcBorders>
              <w:bottom w:val="single" w:sz="8" w:color="CBECD5"/>
            </w:tcBorders>
            <w:shd w:val="clear" w:color="auto" w:fill="CBECD5"/>
          </w:tcPr>
          <w:p>
            <w:pPr>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289,631</w:t>
            </w:r>
          </w:p>
        </w:tc>
        <w:tc>
          <w:tcPr>
            <w:tcW w:w="180" w:type="dxa"/>
            <w:vAlign w:val="bottom"/>
            <w:tcBorders>
              <w:bottom w:val="single" w:sz="8" w:color="CBECD5"/>
            </w:tcBorders>
            <w:shd w:val="clear" w:color="auto" w:fill="CBECD5"/>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BECD5"/>
            </w:tcBorders>
            <w:gridSpan w:val="2"/>
            <w:shd w:val="clear" w:color="auto" w:fill="CBECD5"/>
          </w:tcPr>
          <w:p>
            <w:pPr>
              <w:jc w:val="right"/>
              <w:spacing w:after="0"/>
              <w:rPr>
                <w:sz w:val="20"/>
                <w:szCs w:val="20"/>
                <w:color w:val="auto"/>
              </w:rPr>
            </w:pPr>
            <w:r>
              <w:rPr>
                <w:rFonts w:ascii="Arial" w:cs="Arial" w:eastAsia="Arial" w:hAnsi="Arial"/>
                <w:sz w:val="13"/>
                <w:szCs w:val="13"/>
                <w:color w:val="auto"/>
              </w:rPr>
              <w:t>6,043 ​​</w:t>
            </w:r>
          </w:p>
        </w:tc>
        <w:tc>
          <w:tcPr>
            <w:tcW w:w="960" w:type="dxa"/>
            <w:vAlign w:val="bottom"/>
            <w:tcBorders>
              <w:bottom w:val="single" w:sz="8" w:color="CBECD5"/>
            </w:tcBorders>
            <w:shd w:val="clear" w:color="auto" w:fill="CBECD5"/>
          </w:tcPr>
          <w:p>
            <w:pPr>
              <w:jc w:val="right"/>
              <w:spacing w:after="0"/>
              <w:rPr>
                <w:sz w:val="20"/>
                <w:szCs w:val="20"/>
                <w:color w:val="auto"/>
              </w:rPr>
            </w:pPr>
            <w:r>
              <w:rPr>
                <w:rFonts w:ascii="Arial" w:cs="Arial" w:eastAsia="Arial" w:hAnsi="Arial"/>
                <w:sz w:val="13"/>
                <w:szCs w:val="13"/>
                <w:color w:val="auto"/>
              </w:rPr>
              <w:t>311,154</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500" w:type="dxa"/>
            <w:vAlign w:val="bottom"/>
            <w:gridSpan w:val="3"/>
          </w:tcPr>
          <w:p>
            <w:pPr>
              <w:ind w:left="20"/>
              <w:spacing w:after="0" w:line="136" w:lineRule="exact"/>
              <w:rPr>
                <w:sz w:val="20"/>
                <w:szCs w:val="20"/>
                <w:color w:val="auto"/>
              </w:rPr>
            </w:pPr>
            <w:r>
              <w:rPr>
                <w:rFonts w:ascii="Arial" w:cs="Arial" w:eastAsia="Arial" w:hAnsi="Arial"/>
                <w:sz w:val="13"/>
                <w:szCs w:val="13"/>
                <w:color w:val="auto"/>
              </w:rPr>
              <w:t>Michael​</w:t>
            </w:r>
          </w:p>
        </w:tc>
        <w:tc>
          <w:tcPr>
            <w:tcW w:w="930" w:type="dxa"/>
            <w:vAlign w:val="bottom"/>
            <w:gridSpan w:val="2"/>
          </w:tcPr>
          <w:p>
            <w:pPr>
              <w:jc w:val="right"/>
              <w:ind w:right="263"/>
              <w:spacing w:after="0" w:line="136" w:lineRule="exact"/>
              <w:rPr>
                <w:sz w:val="20"/>
                <w:szCs w:val="20"/>
                <w:color w:val="auto"/>
              </w:rPr>
            </w:pPr>
            <w:r>
              <w:rPr>
                <w:rFonts w:ascii="Arial" w:cs="Arial" w:eastAsia="Arial" w:hAnsi="Arial"/>
                <w:sz w:val="13"/>
                <w:szCs w:val="13"/>
                <w:color w:val="auto"/>
              </w:rPr>
              <w:t>R. McCoy</w:t>
            </w:r>
          </w:p>
        </w:tc>
        <w:tc>
          <w:tcPr>
            <w:tcW w:w="170" w:type="dxa"/>
            <w:vAlign w:val="bottom"/>
          </w:tcPr>
          <w:p>
            <w:pPr>
              <w:ind w:left="3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 ​​</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tcPr>
          <w:p>
            <w:pPr>
              <w:ind w:left="20"/>
              <w:spacing w:after="0" w:line="13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7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​​8/23/2021 ​​</w:t>
            </w:r>
          </w:p>
        </w:tc>
        <w:tc>
          <w:tcPr>
            <w:tcW w:w="700" w:type="dxa"/>
            <w:vAlign w:val="bottom"/>
          </w:tcPr>
          <w:p>
            <w:pPr>
              <w:jc w:val="right"/>
              <w:spacing w:after="0" w:line="136" w:lineRule="exact"/>
              <w:rPr>
                <w:sz w:val="20"/>
                <w:szCs w:val="20"/>
                <w:color w:val="auto"/>
              </w:rPr>
            </w:pPr>
            <w:r>
              <w:rPr>
                <w:rFonts w:ascii="Arial" w:cs="Arial" w:eastAsia="Arial" w:hAnsi="Arial"/>
                <w:sz w:val="13"/>
                <w:szCs w:val="13"/>
                <w:color w:val="auto"/>
              </w:rPr>
              <w:t>2,603</w:t>
            </w:r>
          </w:p>
        </w:tc>
        <w:tc>
          <w:tcPr>
            <w:tcW w:w="80" w:type="dxa"/>
            <w:vAlign w:val="bottom"/>
          </w:tcPr>
          <w:p>
            <w:pPr>
              <w:spacing w:after="0" w:line="13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134,028</w:t>
            </w:r>
          </w:p>
        </w:tc>
        <w:tc>
          <w:tcPr>
            <w:tcW w:w="1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 ​​</w:t>
            </w:r>
          </w:p>
        </w:tc>
        <w:tc>
          <w:tcPr>
            <w:tcW w:w="9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90" w:type="dxa"/>
            <w:vAlign w:val="bottom"/>
          </w:tcPr>
          <w:p>
            <w:pPr>
              <w:spacing w:after="0"/>
              <w:rPr>
                <w:sz w:val="14"/>
                <w:szCs w:val="14"/>
                <w:color w:val="auto"/>
              </w:rPr>
            </w:pPr>
          </w:p>
        </w:tc>
        <w:tc>
          <w:tcPr>
            <w:tcW w:w="730" w:type="dxa"/>
            <w:vAlign w:val="bottom"/>
            <w:gridSpan w:val="2"/>
          </w:tcPr>
          <w:p>
            <w:pPr>
              <w:ind w:left="30"/>
              <w:spacing w:after="0"/>
              <w:rPr>
                <w:sz w:val="20"/>
                <w:szCs w:val="20"/>
                <w:color w:val="auto"/>
              </w:rPr>
            </w:pPr>
            <w:r>
              <w:rPr>
                <w:rFonts w:ascii="Arial" w:cs="Arial" w:eastAsia="Arial" w:hAnsi="Arial"/>
                <w:sz w:val="13"/>
                <w:szCs w:val="13"/>
                <w:color w:val="auto"/>
              </w:rPr>
              <w:t>​​11/16/2020</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27,219</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9,073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29.85</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​​11/15/2030</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​​8/30/2022 ​​</w:t>
            </w:r>
          </w:p>
        </w:tc>
        <w:tc>
          <w:tcPr>
            <w:tcW w:w="700" w:type="dxa"/>
            <w:vAlign w:val="bottom"/>
          </w:tcPr>
          <w:p>
            <w:pPr>
              <w:jc w:val="right"/>
              <w:spacing w:after="0"/>
              <w:rPr>
                <w:sz w:val="20"/>
                <w:szCs w:val="20"/>
                <w:color w:val="auto"/>
              </w:rPr>
            </w:pPr>
            <w:r>
              <w:rPr>
                <w:rFonts w:ascii="Arial" w:cs="Arial" w:eastAsia="Arial" w:hAnsi="Arial"/>
                <w:sz w:val="13"/>
                <w:szCs w:val="13"/>
                <w:color w:val="auto"/>
              </w:rPr>
              <w:t>5,966</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307,189</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11,389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586,420 ​</w:t>
            </w:r>
          </w:p>
        </w:tc>
        <w:tc>
          <w:tcPr>
            <w:tcW w:w="0" w:type="dxa"/>
            <w:vAlign w:val="bottom"/>
          </w:tcPr>
          <w:p>
            <w:pPr>
              <w:spacing w:after="0"/>
              <w:rPr>
                <w:sz w:val="1"/>
                <w:szCs w:val="1"/>
                <w:color w:val="auto"/>
              </w:rPr>
            </w:pPr>
          </w:p>
        </w:tc>
      </w:tr>
      <w:tr>
        <w:trPr>
          <w:trHeight w:val="176"/>
        </w:trPr>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90" w:type="dxa"/>
            <w:vAlign w:val="bottom"/>
          </w:tcPr>
          <w:p>
            <w:pPr>
              <w:spacing w:after="0"/>
              <w:rPr>
                <w:sz w:val="15"/>
                <w:szCs w:val="15"/>
                <w:color w:val="auto"/>
              </w:rPr>
            </w:pPr>
          </w:p>
        </w:tc>
        <w:tc>
          <w:tcPr>
            <w:tcW w:w="730" w:type="dxa"/>
            <w:vAlign w:val="bottom"/>
            <w:gridSpan w:val="2"/>
          </w:tcPr>
          <w:p>
            <w:pPr>
              <w:ind w:left="30"/>
              <w:spacing w:after="0"/>
              <w:rPr>
                <w:sz w:val="20"/>
                <w:szCs w:val="20"/>
                <w:color w:val="auto"/>
              </w:rPr>
            </w:pPr>
            <w:r>
              <w:rPr>
                <w:rFonts w:ascii="Arial" w:cs="Arial" w:eastAsia="Arial" w:hAnsi="Arial"/>
                <w:sz w:val="13"/>
                <w:szCs w:val="13"/>
                <w:color w:val="auto"/>
              </w:rPr>
              <w:t>​​ 8/23/2021</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16,026</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16,026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8/22/2031</w:t>
            </w: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​​8/29/2023 ​​</w:t>
            </w:r>
          </w:p>
        </w:tc>
        <w:tc>
          <w:tcPr>
            <w:tcW w:w="700" w:type="dxa"/>
            <w:vAlign w:val="bottom"/>
          </w:tcPr>
          <w:p>
            <w:pPr>
              <w:jc w:val="right"/>
              <w:spacing w:after="0"/>
              <w:rPr>
                <w:sz w:val="20"/>
                <w:szCs w:val="20"/>
                <w:color w:val="auto"/>
              </w:rPr>
            </w:pPr>
            <w:r>
              <w:rPr>
                <w:rFonts w:ascii="Arial" w:cs="Arial" w:eastAsia="Arial" w:hAnsi="Arial"/>
                <w:sz w:val="13"/>
                <w:szCs w:val="13"/>
                <w:color w:val="auto"/>
              </w:rPr>
              <w:t>9,747</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501,873</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10,474 ​​</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539,306 ​</w:t>
            </w:r>
          </w:p>
        </w:tc>
        <w:tc>
          <w:tcPr>
            <w:tcW w:w="0" w:type="dxa"/>
            <w:vAlign w:val="bottom"/>
          </w:tcPr>
          <w:p>
            <w:pPr>
              <w:spacing w:after="0"/>
              <w:rPr>
                <w:sz w:val="1"/>
                <w:szCs w:val="1"/>
                <w:color w:val="auto"/>
              </w:rPr>
            </w:pPr>
          </w:p>
        </w:tc>
      </w:tr>
      <w:tr>
        <w:trPr>
          <w:trHeight w:val="60"/>
        </w:trPr>
        <w:tc>
          <w:tcPr>
            <w:tcW w:w="280" w:type="dxa"/>
            <w:vAlign w:val="bottom"/>
            <w:tcBorders>
              <w:bottom w:val="single" w:sz="8" w:color="53C072"/>
            </w:tcBorders>
          </w:tcPr>
          <w:p>
            <w:pPr>
              <w:spacing w:after="0"/>
              <w:rPr>
                <w:sz w:val="5"/>
                <w:szCs w:val="5"/>
                <w:color w:val="auto"/>
              </w:rPr>
            </w:pPr>
          </w:p>
        </w:tc>
        <w:tc>
          <w:tcPr>
            <w:tcW w:w="80" w:type="dxa"/>
            <w:vAlign w:val="bottom"/>
            <w:tcBorders>
              <w:bottom w:val="single" w:sz="8" w:color="53C072"/>
            </w:tcBorders>
          </w:tcPr>
          <w:p>
            <w:pPr>
              <w:spacing w:after="0"/>
              <w:rPr>
                <w:sz w:val="5"/>
                <w:szCs w:val="5"/>
                <w:color w:val="auto"/>
              </w:rPr>
            </w:pPr>
          </w:p>
        </w:tc>
        <w:tc>
          <w:tcPr>
            <w:tcW w:w="140" w:type="dxa"/>
            <w:vAlign w:val="bottom"/>
            <w:tcBorders>
              <w:bottom w:val="single" w:sz="8" w:color="53C072"/>
            </w:tcBorders>
          </w:tcPr>
          <w:p>
            <w:pPr>
              <w:spacing w:after="0"/>
              <w:rPr>
                <w:sz w:val="5"/>
                <w:szCs w:val="5"/>
                <w:color w:val="auto"/>
              </w:rPr>
            </w:pPr>
          </w:p>
        </w:tc>
        <w:tc>
          <w:tcPr>
            <w:tcW w:w="40" w:type="dxa"/>
            <w:vAlign w:val="bottom"/>
            <w:tcBorders>
              <w:bottom w:val="single" w:sz="8" w:color="53C072"/>
            </w:tcBorders>
          </w:tcPr>
          <w:p>
            <w:pPr>
              <w:spacing w:after="0"/>
              <w:rPr>
                <w:sz w:val="5"/>
                <w:szCs w:val="5"/>
                <w:color w:val="auto"/>
              </w:rPr>
            </w:pPr>
          </w:p>
        </w:tc>
        <w:tc>
          <w:tcPr>
            <w:tcW w:w="890" w:type="dxa"/>
            <w:vAlign w:val="bottom"/>
            <w:tcBorders>
              <w:bottom w:val="single" w:sz="8" w:color="53C072"/>
            </w:tcBorders>
          </w:tcPr>
          <w:p>
            <w:pPr>
              <w:spacing w:after="0"/>
              <w:rPr>
                <w:sz w:val="5"/>
                <w:szCs w:val="5"/>
                <w:color w:val="auto"/>
              </w:rPr>
            </w:pPr>
          </w:p>
        </w:tc>
        <w:tc>
          <w:tcPr>
            <w:tcW w:w="170" w:type="dxa"/>
            <w:vAlign w:val="bottom"/>
            <w:tcBorders>
              <w:bottom w:val="single" w:sz="8" w:color="53C072"/>
            </w:tcBorders>
          </w:tcPr>
          <w:p>
            <w:pPr>
              <w:spacing w:after="0"/>
              <w:rPr>
                <w:sz w:val="5"/>
                <w:szCs w:val="5"/>
                <w:color w:val="auto"/>
              </w:rPr>
            </w:pPr>
          </w:p>
        </w:tc>
        <w:tc>
          <w:tcPr>
            <w:tcW w:w="560" w:type="dxa"/>
            <w:vAlign w:val="bottom"/>
            <w:tcBorders>
              <w:bottom w:val="single" w:sz="8" w:color="53C072"/>
            </w:tcBorders>
          </w:tcPr>
          <w:p>
            <w:pPr>
              <w:spacing w:after="0"/>
              <w:rPr>
                <w:sz w:val="5"/>
                <w:szCs w:val="5"/>
                <w:color w:val="auto"/>
              </w:rPr>
            </w:pPr>
          </w:p>
        </w:tc>
        <w:tc>
          <w:tcPr>
            <w:tcW w:w="120" w:type="dxa"/>
            <w:vAlign w:val="bottom"/>
            <w:tcBorders>
              <w:bottom w:val="single" w:sz="8" w:color="53C072"/>
            </w:tcBorders>
          </w:tcPr>
          <w:p>
            <w:pPr>
              <w:spacing w:after="0"/>
              <w:rPr>
                <w:sz w:val="5"/>
                <w:szCs w:val="5"/>
                <w:color w:val="auto"/>
              </w:rPr>
            </w:pPr>
          </w:p>
        </w:tc>
        <w:tc>
          <w:tcPr>
            <w:tcW w:w="780" w:type="dxa"/>
            <w:vAlign w:val="bottom"/>
            <w:tcBorders>
              <w:bottom w:val="single" w:sz="8" w:color="53C072"/>
            </w:tcBorders>
          </w:tcPr>
          <w:p>
            <w:pPr>
              <w:spacing w:after="0"/>
              <w:rPr>
                <w:sz w:val="5"/>
                <w:szCs w:val="5"/>
                <w:color w:val="auto"/>
              </w:rPr>
            </w:pPr>
          </w:p>
        </w:tc>
        <w:tc>
          <w:tcPr>
            <w:tcW w:w="120" w:type="dxa"/>
            <w:vAlign w:val="bottom"/>
            <w:tcBorders>
              <w:bottom w:val="single" w:sz="8" w:color="53C072"/>
            </w:tcBorders>
          </w:tcPr>
          <w:p>
            <w:pPr>
              <w:spacing w:after="0"/>
              <w:rPr>
                <w:sz w:val="5"/>
                <w:szCs w:val="5"/>
                <w:color w:val="auto"/>
              </w:rPr>
            </w:pPr>
          </w:p>
        </w:tc>
        <w:tc>
          <w:tcPr>
            <w:tcW w:w="880" w:type="dxa"/>
            <w:vAlign w:val="bottom"/>
            <w:tcBorders>
              <w:bottom w:val="single" w:sz="8" w:color="53C072"/>
            </w:tcBorders>
          </w:tcPr>
          <w:p>
            <w:pPr>
              <w:spacing w:after="0"/>
              <w:rPr>
                <w:sz w:val="5"/>
                <w:szCs w:val="5"/>
                <w:color w:val="auto"/>
              </w:rPr>
            </w:pPr>
          </w:p>
        </w:tc>
        <w:tc>
          <w:tcPr>
            <w:tcW w:w="120" w:type="dxa"/>
            <w:vAlign w:val="bottom"/>
            <w:tcBorders>
              <w:bottom w:val="single" w:sz="8" w:color="53C072"/>
            </w:tcBorders>
          </w:tcPr>
          <w:p>
            <w:pPr>
              <w:spacing w:after="0"/>
              <w:rPr>
                <w:sz w:val="5"/>
                <w:szCs w:val="5"/>
                <w:color w:val="auto"/>
              </w:rPr>
            </w:pPr>
          </w:p>
        </w:tc>
        <w:tc>
          <w:tcPr>
            <w:tcW w:w="540" w:type="dxa"/>
            <w:vAlign w:val="bottom"/>
            <w:tcBorders>
              <w:bottom w:val="single" w:sz="8" w:color="53C072"/>
            </w:tcBorders>
          </w:tcPr>
          <w:p>
            <w:pPr>
              <w:spacing w:after="0"/>
              <w:rPr>
                <w:sz w:val="5"/>
                <w:szCs w:val="5"/>
                <w:color w:val="auto"/>
              </w:rPr>
            </w:pPr>
          </w:p>
        </w:tc>
        <w:tc>
          <w:tcPr>
            <w:tcW w:w="120" w:type="dxa"/>
            <w:vAlign w:val="bottom"/>
            <w:tcBorders>
              <w:bottom w:val="single" w:sz="8" w:color="53C072"/>
            </w:tcBorders>
          </w:tcPr>
          <w:p>
            <w:pPr>
              <w:spacing w:after="0"/>
              <w:rPr>
                <w:sz w:val="5"/>
                <w:szCs w:val="5"/>
                <w:color w:val="auto"/>
              </w:rPr>
            </w:pPr>
          </w:p>
        </w:tc>
        <w:tc>
          <w:tcPr>
            <w:tcW w:w="640" w:type="dxa"/>
            <w:vAlign w:val="bottom"/>
            <w:tcBorders>
              <w:bottom w:val="single" w:sz="8" w:color="53C072"/>
            </w:tcBorders>
          </w:tcPr>
          <w:p>
            <w:pPr>
              <w:spacing w:after="0"/>
              <w:rPr>
                <w:sz w:val="5"/>
                <w:szCs w:val="5"/>
                <w:color w:val="auto"/>
              </w:rPr>
            </w:pPr>
          </w:p>
        </w:tc>
        <w:tc>
          <w:tcPr>
            <w:tcW w:w="140" w:type="dxa"/>
            <w:vAlign w:val="bottom"/>
            <w:tcBorders>
              <w:bottom w:val="single" w:sz="8" w:color="53C072"/>
            </w:tcBorders>
          </w:tcPr>
          <w:p>
            <w:pPr>
              <w:spacing w:after="0"/>
              <w:rPr>
                <w:sz w:val="5"/>
                <w:szCs w:val="5"/>
                <w:color w:val="auto"/>
              </w:rPr>
            </w:pPr>
          </w:p>
        </w:tc>
        <w:tc>
          <w:tcPr>
            <w:tcW w:w="620" w:type="dxa"/>
            <w:vAlign w:val="bottom"/>
            <w:tcBorders>
              <w:bottom w:val="single" w:sz="8" w:color="53C072"/>
            </w:tcBorders>
          </w:tcPr>
          <w:p>
            <w:pPr>
              <w:spacing w:after="0"/>
              <w:rPr>
                <w:sz w:val="5"/>
                <w:szCs w:val="5"/>
                <w:color w:val="auto"/>
              </w:rPr>
            </w:pPr>
          </w:p>
        </w:tc>
        <w:tc>
          <w:tcPr>
            <w:tcW w:w="700" w:type="dxa"/>
            <w:vAlign w:val="bottom"/>
            <w:tcBorders>
              <w:bottom w:val="single" w:sz="8" w:color="53C072"/>
            </w:tcBorders>
          </w:tcPr>
          <w:p>
            <w:pPr>
              <w:spacing w:after="0"/>
              <w:rPr>
                <w:sz w:val="5"/>
                <w:szCs w:val="5"/>
                <w:color w:val="auto"/>
              </w:rPr>
            </w:pPr>
          </w:p>
        </w:tc>
        <w:tc>
          <w:tcPr>
            <w:tcW w:w="80" w:type="dxa"/>
            <w:vAlign w:val="bottom"/>
            <w:tcBorders>
              <w:bottom w:val="single" w:sz="8" w:color="53C072"/>
            </w:tcBorders>
          </w:tcPr>
          <w:p>
            <w:pPr>
              <w:spacing w:after="0"/>
              <w:rPr>
                <w:sz w:val="5"/>
                <w:szCs w:val="5"/>
                <w:color w:val="auto"/>
              </w:rPr>
            </w:pPr>
          </w:p>
        </w:tc>
        <w:tc>
          <w:tcPr>
            <w:tcW w:w="640" w:type="dxa"/>
            <w:vAlign w:val="bottom"/>
            <w:tcBorders>
              <w:bottom w:val="single" w:sz="8" w:color="53C072"/>
            </w:tcBorders>
          </w:tcPr>
          <w:p>
            <w:pPr>
              <w:spacing w:after="0"/>
              <w:rPr>
                <w:sz w:val="5"/>
                <w:szCs w:val="5"/>
                <w:color w:val="auto"/>
              </w:rPr>
            </w:pPr>
          </w:p>
        </w:tc>
        <w:tc>
          <w:tcPr>
            <w:tcW w:w="180" w:type="dxa"/>
            <w:vAlign w:val="bottom"/>
            <w:tcBorders>
              <w:bottom w:val="single" w:sz="8" w:color="53C072"/>
            </w:tcBorders>
          </w:tcPr>
          <w:p>
            <w:pPr>
              <w:spacing w:after="0"/>
              <w:rPr>
                <w:sz w:val="5"/>
                <w:szCs w:val="5"/>
                <w:color w:val="auto"/>
              </w:rPr>
            </w:pPr>
          </w:p>
        </w:tc>
        <w:tc>
          <w:tcPr>
            <w:tcW w:w="840" w:type="dxa"/>
            <w:vAlign w:val="bottom"/>
            <w:tcBorders>
              <w:bottom w:val="single" w:sz="8" w:color="53C072"/>
            </w:tcBorders>
          </w:tcPr>
          <w:p>
            <w:pPr>
              <w:spacing w:after="0"/>
              <w:rPr>
                <w:sz w:val="5"/>
                <w:szCs w:val="5"/>
                <w:color w:val="auto"/>
              </w:rPr>
            </w:pPr>
          </w:p>
        </w:tc>
        <w:tc>
          <w:tcPr>
            <w:tcW w:w="80" w:type="dxa"/>
            <w:vAlign w:val="bottom"/>
            <w:tcBorders>
              <w:bottom w:val="single" w:sz="8" w:color="53C072"/>
            </w:tcBorders>
          </w:tcPr>
          <w:p>
            <w:pPr>
              <w:spacing w:after="0"/>
              <w:rPr>
                <w:sz w:val="5"/>
                <w:szCs w:val="5"/>
                <w:color w:val="auto"/>
              </w:rPr>
            </w:pPr>
          </w:p>
        </w:tc>
        <w:tc>
          <w:tcPr>
            <w:tcW w:w="960" w:type="dxa"/>
            <w:vAlign w:val="bottom"/>
            <w:tcBorders>
              <w:bottom w:val="single" w:sz="8" w:color="53C072"/>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Vesting schedules:</w:t>
      </w:r>
    </w:p>
    <w:p>
      <w:pPr>
        <w:spacing w:after="0" w:line="117" w:lineRule="exact"/>
        <w:rPr>
          <w:sz w:val="20"/>
          <w:szCs w:val="20"/>
          <w:color w:val="auto"/>
        </w:rPr>
      </w:pPr>
    </w:p>
    <w:p>
      <w:pPr>
        <w:ind w:left="1540" w:right="700" w:hanging="190"/>
        <w:spacing w:after="0" w:line="287" w:lineRule="auto"/>
        <w:tabs>
          <w:tab w:leader="none" w:pos="1540" w:val="left"/>
        </w:tabs>
        <w:numPr>
          <w:ilvl w:val="0"/>
          <w:numId w:val="60"/>
        </w:numPr>
        <w:rPr>
          <w:rFonts w:ascii="Arial" w:cs="Arial" w:eastAsia="Arial" w:hAnsi="Arial"/>
          <w:sz w:val="18"/>
          <w:szCs w:val="18"/>
          <w:color w:val="53C072"/>
        </w:rPr>
      </w:pPr>
      <w:r>
        <w:rPr>
          <w:rFonts w:ascii="Arial" w:cs="Arial" w:eastAsia="Arial" w:hAnsi="Arial"/>
          <w:sz w:val="18"/>
          <w:szCs w:val="18"/>
          <w:color w:val="auto"/>
        </w:rPr>
        <w:t>Stock options vest in 25% annual increments on the first through fourth anniversaries of the grant date. Stock options typically expire the day before the tenth anniversary of the grant date.</w:t>
      </w:r>
    </w:p>
    <w:p>
      <w:pPr>
        <w:spacing w:after="0" w:line="44" w:lineRule="exact"/>
        <w:rPr>
          <w:rFonts w:ascii="Arial" w:cs="Arial" w:eastAsia="Arial" w:hAnsi="Arial"/>
          <w:sz w:val="18"/>
          <w:szCs w:val="18"/>
          <w:color w:val="53C072"/>
        </w:rPr>
      </w:pPr>
    </w:p>
    <w:p>
      <w:pPr>
        <w:ind w:left="1540" w:right="640" w:hanging="190"/>
        <w:spacing w:after="0" w:line="318" w:lineRule="auto"/>
        <w:tabs>
          <w:tab w:leader="none" w:pos="1540" w:val="left"/>
        </w:tabs>
        <w:numPr>
          <w:ilvl w:val="0"/>
          <w:numId w:val="60"/>
        </w:numPr>
        <w:rPr>
          <w:rFonts w:ascii="Arial" w:cs="Arial" w:eastAsia="Arial" w:hAnsi="Arial"/>
          <w:sz w:val="17"/>
          <w:szCs w:val="17"/>
          <w:color w:val="53C072"/>
        </w:rPr>
      </w:pPr>
      <w:r>
        <w:rPr>
          <w:rFonts w:ascii="Arial" w:cs="Arial" w:eastAsia="Arial" w:hAnsi="Arial"/>
          <w:sz w:val="17"/>
          <w:szCs w:val="17"/>
          <w:color w:val="auto"/>
        </w:rPr>
        <w:t>RSUs vest in 25% increments commencing on the first business day in January following the grant date (“commencement date”) and on the 1st, 2nd, and 3rd annual anniversary of the commencement date.</w:t>
      </w:r>
    </w:p>
    <w:p>
      <w:pPr>
        <w:spacing w:after="0" w:line="21" w:lineRule="exact"/>
        <w:rPr>
          <w:rFonts w:ascii="Arial" w:cs="Arial" w:eastAsia="Arial" w:hAnsi="Arial"/>
          <w:sz w:val="17"/>
          <w:szCs w:val="17"/>
          <w:color w:val="53C072"/>
        </w:rPr>
      </w:pPr>
    </w:p>
    <w:p>
      <w:pPr>
        <w:ind w:left="1540" w:right="620" w:hanging="190"/>
        <w:spacing w:after="0" w:line="262" w:lineRule="auto"/>
        <w:tabs>
          <w:tab w:leader="none" w:pos="1540" w:val="left"/>
        </w:tabs>
        <w:numPr>
          <w:ilvl w:val="0"/>
          <w:numId w:val="60"/>
        </w:numPr>
        <w:rPr>
          <w:rFonts w:ascii="Arial" w:cs="Arial" w:eastAsia="Arial" w:hAnsi="Arial"/>
          <w:sz w:val="18"/>
          <w:szCs w:val="18"/>
          <w:color w:val="53C072"/>
        </w:rPr>
      </w:pPr>
      <w:r>
        <w:rPr>
          <w:rFonts w:ascii="Arial" w:cs="Arial" w:eastAsia="Arial" w:hAnsi="Arial"/>
          <w:sz w:val="18"/>
          <w:szCs w:val="18"/>
          <w:color w:val="auto"/>
        </w:rPr>
        <w:t>PSUs vest, if at all, at the end of the performance period for the third tranche. Performance is measured discretely for each tranche’s one-fiscal-year performance period and earned PSUs are banked until the end of the performance period for the third tranche at which time earned PSUs from all three tranches are vested and issued.</w:t>
      </w:r>
    </w:p>
    <w:p>
      <w:pPr>
        <w:spacing w:after="0" w:line="200" w:lineRule="exact"/>
        <w:rPr>
          <w:sz w:val="20"/>
          <w:szCs w:val="20"/>
          <w:color w:val="auto"/>
        </w:rPr>
      </w:pPr>
    </w:p>
    <w:p>
      <w:pPr>
        <w:spacing w:after="0" w:line="3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60     </w:t>
      </w:r>
      <w:r>
        <w:rPr>
          <w:sz w:val="1"/>
          <w:szCs w:val="1"/>
          <w:color w:val="auto"/>
        </w:rPr>
        <w:drawing>
          <wp:inline distT="0" distB="0" distL="0" distR="0">
            <wp:extent cx="1242695" cy="24003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820" w:type="dxa"/>
            <w:vAlign w:val="bottom"/>
            <w:vMerge w:val="restart"/>
          </w:tcPr>
          <w:p>
            <w:pPr>
              <w:ind w:left="2580"/>
              <w:spacing w:after="0"/>
              <w:rPr>
                <w:sz w:val="20"/>
                <w:szCs w:val="20"/>
                <w:color w:val="auto"/>
              </w:rPr>
            </w:pPr>
            <w:r>
              <w:rPr>
                <w:rFonts w:ascii="Arial" w:cs="Arial" w:eastAsia="Arial" w:hAnsi="Arial"/>
                <w:sz w:val="14"/>
                <w:szCs w:val="14"/>
                <w:color w:val="auto"/>
                <w:w w:val="99"/>
              </w:rPr>
              <w:t>Compensation of Executive Officers</w:t>
            </w:r>
          </w:p>
        </w:tc>
        <w:tc>
          <w:tcPr>
            <w:tcW w:w="0" w:type="dxa"/>
            <w:vAlign w:val="bottom"/>
          </w:tcPr>
          <w:p>
            <w:pPr>
              <w:spacing w:after="0"/>
              <w:rPr>
                <w:sz w:val="1"/>
                <w:szCs w:val="1"/>
                <w:color w:val="auto"/>
              </w:rPr>
            </w:pPr>
          </w:p>
        </w:tc>
      </w:tr>
      <w:tr>
        <w:trPr>
          <w:trHeight w:val="89"/>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OPTION EXERCISES AND STOCK VESTED</w:t>
      </w:r>
    </w:p>
    <w:p>
      <w:pPr>
        <w:spacing w:after="0" w:line="162" w:lineRule="exact"/>
        <w:rPr>
          <w:sz w:val="20"/>
          <w:szCs w:val="20"/>
          <w:color w:val="auto"/>
        </w:rPr>
      </w:pPr>
    </w:p>
    <w:p>
      <w:pPr>
        <w:ind w:left="1000" w:right="199"/>
        <w:spacing w:after="0" w:line="247" w:lineRule="auto"/>
        <w:rPr>
          <w:sz w:val="20"/>
          <w:szCs w:val="20"/>
          <w:color w:val="auto"/>
        </w:rPr>
      </w:pPr>
      <w:r>
        <w:rPr>
          <w:rFonts w:ascii="Arial" w:cs="Arial" w:eastAsia="Arial" w:hAnsi="Arial"/>
          <w:sz w:val="18"/>
          <w:szCs w:val="18"/>
          <w:color w:val="auto"/>
        </w:rPr>
        <w:t>The following table provides information as to each of the NEOs: (1) stock options exercised during fiscal 2024, including the number of shares acquired upon exercise and the value realized, and (2) the number of shares acquired upon the vesting of stock awards in the form of RSUs, and the value realized, each before payment of any applicable withholding tax. The value realized on vesting of stock awards are the RSUs that vested on January 2, 2024.</w:t>
      </w:r>
    </w:p>
    <w:p>
      <w:pPr>
        <w:spacing w:after="0" w:line="169"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4520" w:type="dxa"/>
            <w:vAlign w:val="bottom"/>
            <w:shd w:val="clear" w:color="auto" w:fill="53C072"/>
          </w:tcPr>
          <w:p>
            <w:pPr>
              <w:spacing w:after="0"/>
              <w:rPr>
                <w:sz w:val="20"/>
                <w:szCs w:val="20"/>
                <w:color w:val="auto"/>
              </w:rPr>
            </w:pPr>
          </w:p>
        </w:tc>
        <w:tc>
          <w:tcPr>
            <w:tcW w:w="220" w:type="dxa"/>
            <w:vAlign w:val="bottom"/>
            <w:shd w:val="clear" w:color="auto" w:fill="53C072"/>
          </w:tcPr>
          <w:p>
            <w:pPr>
              <w:spacing w:after="0"/>
              <w:rPr>
                <w:sz w:val="20"/>
                <w:szCs w:val="20"/>
                <w:color w:val="auto"/>
              </w:rPr>
            </w:pPr>
          </w:p>
        </w:tc>
        <w:tc>
          <w:tcPr>
            <w:tcW w:w="640" w:type="dxa"/>
            <w:vAlign w:val="bottom"/>
            <w:shd w:val="clear" w:color="auto" w:fill="53C072"/>
          </w:tcPr>
          <w:p>
            <w:pPr>
              <w:spacing w:after="0"/>
              <w:rPr>
                <w:sz w:val="20"/>
                <w:szCs w:val="20"/>
                <w:color w:val="auto"/>
              </w:rPr>
            </w:pPr>
          </w:p>
        </w:tc>
        <w:tc>
          <w:tcPr>
            <w:tcW w:w="80" w:type="dxa"/>
            <w:vAlign w:val="bottom"/>
            <w:shd w:val="clear" w:color="auto" w:fill="53C072"/>
          </w:tcPr>
          <w:p>
            <w:pPr>
              <w:spacing w:after="0"/>
              <w:rPr>
                <w:sz w:val="20"/>
                <w:szCs w:val="20"/>
                <w:color w:val="auto"/>
              </w:rPr>
            </w:pPr>
          </w:p>
        </w:tc>
        <w:tc>
          <w:tcPr>
            <w:tcW w:w="1240" w:type="dxa"/>
            <w:vAlign w:val="bottom"/>
            <w:gridSpan w:val="3"/>
            <w:shd w:val="clear" w:color="auto" w:fill="53C072"/>
          </w:tcPr>
          <w:p>
            <w:pPr>
              <w:jc w:val="right"/>
              <w:ind w:right="240"/>
              <w:spacing w:after="0"/>
              <w:rPr>
                <w:sz w:val="20"/>
                <w:szCs w:val="20"/>
                <w:color w:val="auto"/>
              </w:rPr>
            </w:pPr>
            <w:r>
              <w:rPr>
                <w:rFonts w:ascii="Arial" w:cs="Arial" w:eastAsia="Arial" w:hAnsi="Arial"/>
                <w:sz w:val="14"/>
                <w:szCs w:val="14"/>
                <w:b w:val="1"/>
                <w:bCs w:val="1"/>
                <w:color w:val="FEFEFE"/>
                <w:w w:val="98"/>
              </w:rPr>
              <w:t>Option Awards</w:t>
            </w:r>
          </w:p>
        </w:tc>
        <w:tc>
          <w:tcPr>
            <w:tcW w:w="860" w:type="dxa"/>
            <w:vAlign w:val="bottom"/>
            <w:shd w:val="clear" w:color="auto" w:fill="53C072"/>
          </w:tcPr>
          <w:p>
            <w:pPr>
              <w:spacing w:after="0"/>
              <w:rPr>
                <w:sz w:val="20"/>
                <w:szCs w:val="20"/>
                <w:color w:val="auto"/>
              </w:rPr>
            </w:pPr>
          </w:p>
        </w:tc>
        <w:tc>
          <w:tcPr>
            <w:tcW w:w="100" w:type="dxa"/>
            <w:vAlign w:val="bottom"/>
            <w:shd w:val="clear" w:color="auto" w:fill="53C072"/>
          </w:tcPr>
          <w:p>
            <w:pPr>
              <w:spacing w:after="0"/>
              <w:rPr>
                <w:sz w:val="20"/>
                <w:szCs w:val="20"/>
                <w:color w:val="auto"/>
              </w:rPr>
            </w:pPr>
          </w:p>
        </w:tc>
        <w:tc>
          <w:tcPr>
            <w:tcW w:w="1100" w:type="dxa"/>
            <w:vAlign w:val="bottom"/>
            <w:gridSpan w:val="3"/>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Stock Awards</w:t>
            </w:r>
          </w:p>
        </w:tc>
      </w:tr>
      <w:tr>
        <w:trPr>
          <w:trHeight w:val="193"/>
        </w:trPr>
        <w:tc>
          <w:tcPr>
            <w:tcW w:w="4520" w:type="dxa"/>
            <w:vAlign w:val="bottom"/>
            <w:tcBorders>
              <w:top w:val="single" w:sz="8" w:color="53C072"/>
            </w:tcBorders>
            <w:shd w:val="clear" w:color="auto" w:fill="53C072"/>
          </w:tcPr>
          <w:p>
            <w:pPr>
              <w:spacing w:after="0"/>
              <w:rPr>
                <w:sz w:val="16"/>
                <w:szCs w:val="16"/>
                <w:color w:val="auto"/>
              </w:rPr>
            </w:pPr>
          </w:p>
        </w:tc>
        <w:tc>
          <w:tcPr>
            <w:tcW w:w="860" w:type="dxa"/>
            <w:vAlign w:val="bottom"/>
            <w:tcBorders>
              <w:top w:val="single" w:sz="8" w:color="auto"/>
            </w:tcBorders>
            <w:gridSpan w:val="2"/>
            <w:shd w:val="clear" w:color="auto" w:fill="53C072"/>
          </w:tcPr>
          <w:p>
            <w:pPr>
              <w:ind w:left="120"/>
              <w:spacing w:after="0"/>
              <w:rPr>
                <w:sz w:val="20"/>
                <w:szCs w:val="20"/>
                <w:color w:val="auto"/>
              </w:rPr>
            </w:pPr>
            <w:r>
              <w:rPr>
                <w:rFonts w:ascii="Arial" w:cs="Arial" w:eastAsia="Arial" w:hAnsi="Arial"/>
                <w:sz w:val="14"/>
                <w:szCs w:val="14"/>
                <w:b w:val="1"/>
                <w:bCs w:val="1"/>
                <w:color w:val="FEFEFE"/>
              </w:rPr>
              <w:t>Number of</w:t>
            </w:r>
          </w:p>
        </w:tc>
        <w:tc>
          <w:tcPr>
            <w:tcW w:w="80" w:type="dxa"/>
            <w:vAlign w:val="bottom"/>
            <w:tcBorders>
              <w:top w:val="single" w:sz="8" w:color="auto"/>
            </w:tcBorders>
            <w:shd w:val="clear" w:color="auto" w:fill="53C072"/>
          </w:tcPr>
          <w:p>
            <w:pPr>
              <w:spacing w:after="0"/>
              <w:rPr>
                <w:sz w:val="16"/>
                <w:szCs w:val="16"/>
                <w:color w:val="auto"/>
              </w:rPr>
            </w:pPr>
          </w:p>
        </w:tc>
        <w:tc>
          <w:tcPr>
            <w:tcW w:w="340" w:type="dxa"/>
            <w:vAlign w:val="bottom"/>
            <w:tcBorders>
              <w:top w:val="single" w:sz="8" w:color="auto"/>
            </w:tcBorders>
            <w:shd w:val="clear" w:color="auto" w:fill="53C072"/>
          </w:tcPr>
          <w:p>
            <w:pPr>
              <w:spacing w:after="0"/>
              <w:rPr>
                <w:sz w:val="16"/>
                <w:szCs w:val="16"/>
                <w:color w:val="auto"/>
              </w:rPr>
            </w:pPr>
          </w:p>
        </w:tc>
        <w:tc>
          <w:tcPr>
            <w:tcW w:w="680" w:type="dxa"/>
            <w:vAlign w:val="bottom"/>
            <w:tcBorders>
              <w:top w:val="single" w:sz="8" w:color="auto"/>
            </w:tcBorders>
            <w:shd w:val="clear" w:color="auto" w:fill="53C072"/>
          </w:tcPr>
          <w:p>
            <w:pPr>
              <w:spacing w:after="0"/>
              <w:rPr>
                <w:sz w:val="16"/>
                <w:szCs w:val="16"/>
                <w:color w:val="auto"/>
              </w:rPr>
            </w:pPr>
          </w:p>
        </w:tc>
        <w:tc>
          <w:tcPr>
            <w:tcW w:w="220" w:type="dxa"/>
            <w:vAlign w:val="bottom"/>
            <w:tcBorders>
              <w:top w:val="single" w:sz="8" w:color="53C072"/>
            </w:tcBorders>
            <w:shd w:val="clear" w:color="auto" w:fill="53C072"/>
          </w:tcPr>
          <w:p>
            <w:pPr>
              <w:spacing w:after="0"/>
              <w:rPr>
                <w:sz w:val="16"/>
                <w:szCs w:val="16"/>
                <w:color w:val="auto"/>
              </w:rPr>
            </w:pPr>
          </w:p>
        </w:tc>
        <w:tc>
          <w:tcPr>
            <w:tcW w:w="860" w:type="dxa"/>
            <w:vAlign w:val="bottom"/>
            <w:tcBorders>
              <w:top w:val="single" w:sz="8" w:color="auto"/>
            </w:tcBorders>
            <w:shd w:val="clear" w:color="auto" w:fill="53C072"/>
          </w:tcPr>
          <w:p>
            <w:pPr>
              <w:ind w:left="120"/>
              <w:spacing w:after="0"/>
              <w:rPr>
                <w:sz w:val="20"/>
                <w:szCs w:val="20"/>
                <w:color w:val="auto"/>
              </w:rPr>
            </w:pPr>
            <w:r>
              <w:rPr>
                <w:rFonts w:ascii="Arial" w:cs="Arial" w:eastAsia="Arial" w:hAnsi="Arial"/>
                <w:sz w:val="14"/>
                <w:szCs w:val="14"/>
                <w:b w:val="1"/>
                <w:bCs w:val="1"/>
                <w:color w:val="FEFEFE"/>
              </w:rPr>
              <w:t>Number of</w:t>
            </w:r>
          </w:p>
        </w:tc>
        <w:tc>
          <w:tcPr>
            <w:tcW w:w="100" w:type="dxa"/>
            <w:vAlign w:val="bottom"/>
            <w:tcBorders>
              <w:top w:val="single" w:sz="8" w:color="auto"/>
            </w:tcBorders>
            <w:shd w:val="clear" w:color="auto" w:fill="53C072"/>
          </w:tcPr>
          <w:p>
            <w:pPr>
              <w:spacing w:after="0"/>
              <w:rPr>
                <w:sz w:val="16"/>
                <w:szCs w:val="16"/>
                <w:color w:val="auto"/>
              </w:rPr>
            </w:pPr>
          </w:p>
        </w:tc>
        <w:tc>
          <w:tcPr>
            <w:tcW w:w="260" w:type="dxa"/>
            <w:vAlign w:val="bottom"/>
            <w:tcBorders>
              <w:top w:val="single" w:sz="8" w:color="auto"/>
            </w:tcBorders>
            <w:shd w:val="clear" w:color="auto" w:fill="53C072"/>
          </w:tcPr>
          <w:p>
            <w:pPr>
              <w:spacing w:after="0"/>
              <w:rPr>
                <w:sz w:val="16"/>
                <w:szCs w:val="16"/>
                <w:color w:val="auto"/>
              </w:rPr>
            </w:pPr>
          </w:p>
        </w:tc>
        <w:tc>
          <w:tcPr>
            <w:tcW w:w="720" w:type="dxa"/>
            <w:vAlign w:val="bottom"/>
            <w:tcBorders>
              <w:top w:val="single" w:sz="8" w:color="auto"/>
            </w:tcBorders>
            <w:shd w:val="clear" w:color="auto" w:fill="53C072"/>
          </w:tcPr>
          <w:p>
            <w:pPr>
              <w:spacing w:after="0"/>
              <w:rPr>
                <w:sz w:val="16"/>
                <w:szCs w:val="16"/>
                <w:color w:val="auto"/>
              </w:rPr>
            </w:pPr>
          </w:p>
        </w:tc>
        <w:tc>
          <w:tcPr>
            <w:tcW w:w="120" w:type="dxa"/>
            <w:vAlign w:val="bottom"/>
            <w:tcBorders>
              <w:top w:val="single" w:sz="8" w:color="53C072"/>
            </w:tcBorders>
            <w:shd w:val="clear" w:color="auto" w:fill="53C072"/>
          </w:tcPr>
          <w:p>
            <w:pPr>
              <w:spacing w:after="0"/>
              <w:rPr>
                <w:sz w:val="16"/>
                <w:szCs w:val="16"/>
                <w:color w:val="auto"/>
              </w:rPr>
            </w:pPr>
          </w:p>
        </w:tc>
      </w:tr>
      <w:tr>
        <w:trPr>
          <w:trHeight w:val="162"/>
        </w:trPr>
        <w:tc>
          <w:tcPr>
            <w:tcW w:w="4520" w:type="dxa"/>
            <w:vAlign w:val="bottom"/>
            <w:shd w:val="clear" w:color="auto" w:fill="53C072"/>
          </w:tcPr>
          <w:p>
            <w:pPr>
              <w:spacing w:after="0"/>
              <w:rPr>
                <w:sz w:val="14"/>
                <w:szCs w:val="14"/>
                <w:color w:val="auto"/>
              </w:rPr>
            </w:pPr>
          </w:p>
        </w:tc>
        <w:tc>
          <w:tcPr>
            <w:tcW w:w="220" w:type="dxa"/>
            <w:vAlign w:val="bottom"/>
            <w:shd w:val="clear" w:color="auto" w:fill="53C072"/>
          </w:tcPr>
          <w:p>
            <w:pPr>
              <w:spacing w:after="0"/>
              <w:rPr>
                <w:sz w:val="14"/>
                <w:szCs w:val="14"/>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Shares</w:t>
            </w:r>
          </w:p>
        </w:tc>
        <w:tc>
          <w:tcPr>
            <w:tcW w:w="80" w:type="dxa"/>
            <w:vAlign w:val="bottom"/>
            <w:shd w:val="clear" w:color="auto" w:fill="53C072"/>
          </w:tcPr>
          <w:p>
            <w:pPr>
              <w:spacing w:after="0"/>
              <w:rPr>
                <w:sz w:val="14"/>
                <w:szCs w:val="14"/>
                <w:color w:val="auto"/>
              </w:rPr>
            </w:pPr>
          </w:p>
        </w:tc>
        <w:tc>
          <w:tcPr>
            <w:tcW w:w="340" w:type="dxa"/>
            <w:vAlign w:val="bottom"/>
            <w:shd w:val="clear" w:color="auto" w:fill="53C072"/>
          </w:tcPr>
          <w:p>
            <w:pPr>
              <w:spacing w:after="0"/>
              <w:rPr>
                <w:sz w:val="14"/>
                <w:szCs w:val="14"/>
                <w:color w:val="auto"/>
              </w:rPr>
            </w:pPr>
          </w:p>
        </w:tc>
        <w:tc>
          <w:tcPr>
            <w:tcW w:w="900" w:type="dxa"/>
            <w:vAlign w:val="bottom"/>
            <w:gridSpan w:val="2"/>
            <w:shd w:val="clear" w:color="auto" w:fill="53C072"/>
          </w:tcPr>
          <w:p>
            <w:pPr>
              <w:jc w:val="right"/>
              <w:ind w:right="280"/>
              <w:spacing w:after="0"/>
              <w:rPr>
                <w:sz w:val="20"/>
                <w:szCs w:val="20"/>
                <w:color w:val="auto"/>
              </w:rPr>
            </w:pPr>
            <w:r>
              <w:rPr>
                <w:rFonts w:ascii="Arial" w:cs="Arial" w:eastAsia="Arial" w:hAnsi="Arial"/>
                <w:sz w:val="14"/>
                <w:szCs w:val="14"/>
                <w:b w:val="1"/>
                <w:bCs w:val="1"/>
                <w:color w:val="FEFEFE"/>
              </w:rPr>
              <w:t>Value</w:t>
            </w:r>
          </w:p>
        </w:tc>
        <w:tc>
          <w:tcPr>
            <w:tcW w:w="8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Shares</w:t>
            </w:r>
          </w:p>
        </w:tc>
        <w:tc>
          <w:tcPr>
            <w:tcW w:w="100" w:type="dxa"/>
            <w:vAlign w:val="bottom"/>
            <w:shd w:val="clear" w:color="auto" w:fill="53C072"/>
          </w:tcPr>
          <w:p>
            <w:pPr>
              <w:spacing w:after="0"/>
              <w:rPr>
                <w:sz w:val="14"/>
                <w:szCs w:val="14"/>
                <w:color w:val="auto"/>
              </w:rPr>
            </w:pPr>
          </w:p>
        </w:tc>
        <w:tc>
          <w:tcPr>
            <w:tcW w:w="260" w:type="dxa"/>
            <w:vAlign w:val="bottom"/>
            <w:shd w:val="clear" w:color="auto" w:fill="53C072"/>
          </w:tcPr>
          <w:p>
            <w:pPr>
              <w:spacing w:after="0"/>
              <w:rPr>
                <w:sz w:val="14"/>
                <w:szCs w:val="14"/>
                <w:color w:val="auto"/>
              </w:rPr>
            </w:pPr>
          </w:p>
        </w:tc>
        <w:tc>
          <w:tcPr>
            <w:tcW w:w="84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Value</w:t>
            </w:r>
          </w:p>
        </w:tc>
      </w:tr>
      <w:tr>
        <w:trPr>
          <w:trHeight w:val="162"/>
        </w:trPr>
        <w:tc>
          <w:tcPr>
            <w:tcW w:w="4520" w:type="dxa"/>
            <w:vAlign w:val="bottom"/>
            <w:shd w:val="clear" w:color="auto" w:fill="53C072"/>
          </w:tcPr>
          <w:p>
            <w:pPr>
              <w:spacing w:after="0"/>
              <w:rPr>
                <w:sz w:val="14"/>
                <w:szCs w:val="14"/>
                <w:color w:val="auto"/>
              </w:rPr>
            </w:pPr>
          </w:p>
        </w:tc>
        <w:tc>
          <w:tcPr>
            <w:tcW w:w="86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Acquired on</w:t>
            </w:r>
          </w:p>
        </w:tc>
        <w:tc>
          <w:tcPr>
            <w:tcW w:w="80" w:type="dxa"/>
            <w:vAlign w:val="bottom"/>
            <w:shd w:val="clear" w:color="auto" w:fill="53C072"/>
          </w:tcPr>
          <w:p>
            <w:pPr>
              <w:spacing w:after="0"/>
              <w:rPr>
                <w:sz w:val="14"/>
                <w:szCs w:val="14"/>
                <w:color w:val="auto"/>
              </w:rPr>
            </w:pPr>
          </w:p>
        </w:tc>
        <w:tc>
          <w:tcPr>
            <w:tcW w:w="1240" w:type="dxa"/>
            <w:vAlign w:val="bottom"/>
            <w:gridSpan w:val="3"/>
            <w:shd w:val="clear" w:color="auto" w:fill="53C072"/>
          </w:tcPr>
          <w:p>
            <w:pPr>
              <w:jc w:val="right"/>
              <w:ind w:right="280"/>
              <w:spacing w:after="0"/>
              <w:rPr>
                <w:sz w:val="20"/>
                <w:szCs w:val="20"/>
                <w:color w:val="auto"/>
              </w:rPr>
            </w:pPr>
            <w:r>
              <w:rPr>
                <w:rFonts w:ascii="Arial" w:cs="Arial" w:eastAsia="Arial" w:hAnsi="Arial"/>
                <w:sz w:val="14"/>
                <w:szCs w:val="14"/>
                <w:b w:val="1"/>
                <w:bCs w:val="1"/>
                <w:color w:val="FEFEFE"/>
              </w:rPr>
              <w:t>Realized on</w:t>
            </w:r>
          </w:p>
        </w:tc>
        <w:tc>
          <w:tcPr>
            <w:tcW w:w="8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Acquired on</w:t>
            </w:r>
          </w:p>
        </w:tc>
        <w:tc>
          <w:tcPr>
            <w:tcW w:w="100" w:type="dxa"/>
            <w:vAlign w:val="bottom"/>
            <w:shd w:val="clear" w:color="auto" w:fill="53C072"/>
          </w:tcPr>
          <w:p>
            <w:pPr>
              <w:spacing w:after="0"/>
              <w:rPr>
                <w:sz w:val="14"/>
                <w:szCs w:val="14"/>
                <w:color w:val="auto"/>
              </w:rPr>
            </w:pPr>
          </w:p>
        </w:tc>
        <w:tc>
          <w:tcPr>
            <w:tcW w:w="1100" w:type="dxa"/>
            <w:vAlign w:val="bottom"/>
            <w:gridSpan w:val="3"/>
            <w:shd w:val="clear" w:color="auto" w:fill="53C072"/>
          </w:tcPr>
          <w:p>
            <w:pPr>
              <w:ind w:left="140"/>
              <w:spacing w:after="0"/>
              <w:rPr>
                <w:sz w:val="20"/>
                <w:szCs w:val="20"/>
                <w:color w:val="auto"/>
              </w:rPr>
            </w:pPr>
            <w:r>
              <w:rPr>
                <w:rFonts w:ascii="Arial" w:cs="Arial" w:eastAsia="Arial" w:hAnsi="Arial"/>
                <w:sz w:val="14"/>
                <w:szCs w:val="14"/>
                <w:b w:val="1"/>
                <w:bCs w:val="1"/>
                <w:color w:val="FEFEFE"/>
              </w:rPr>
              <w:t>Realized on</w:t>
            </w:r>
          </w:p>
        </w:tc>
      </w:tr>
      <w:tr>
        <w:trPr>
          <w:trHeight w:val="162"/>
        </w:trPr>
        <w:tc>
          <w:tcPr>
            <w:tcW w:w="4520" w:type="dxa"/>
            <w:vAlign w:val="bottom"/>
            <w:shd w:val="clear" w:color="auto" w:fill="53C072"/>
          </w:tcPr>
          <w:p>
            <w:pPr>
              <w:spacing w:after="0"/>
              <w:rPr>
                <w:sz w:val="14"/>
                <w:szCs w:val="14"/>
                <w:color w:val="auto"/>
              </w:rPr>
            </w:pPr>
          </w:p>
        </w:tc>
        <w:tc>
          <w:tcPr>
            <w:tcW w:w="220" w:type="dxa"/>
            <w:vAlign w:val="bottom"/>
            <w:shd w:val="clear" w:color="auto" w:fill="53C072"/>
          </w:tcPr>
          <w:p>
            <w:pPr>
              <w:spacing w:after="0"/>
              <w:rPr>
                <w:sz w:val="14"/>
                <w:szCs w:val="14"/>
                <w:color w:val="auto"/>
              </w:rPr>
            </w:pPr>
          </w:p>
        </w:tc>
        <w:tc>
          <w:tcPr>
            <w:tcW w:w="6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Exercise</w:t>
            </w:r>
          </w:p>
        </w:tc>
        <w:tc>
          <w:tcPr>
            <w:tcW w:w="80" w:type="dxa"/>
            <w:vAlign w:val="bottom"/>
            <w:shd w:val="clear" w:color="auto" w:fill="53C072"/>
          </w:tcPr>
          <w:p>
            <w:pPr>
              <w:spacing w:after="0"/>
              <w:rPr>
                <w:sz w:val="14"/>
                <w:szCs w:val="14"/>
                <w:color w:val="auto"/>
              </w:rPr>
            </w:pPr>
          </w:p>
        </w:tc>
        <w:tc>
          <w:tcPr>
            <w:tcW w:w="340" w:type="dxa"/>
            <w:vAlign w:val="bottom"/>
            <w:shd w:val="clear" w:color="auto" w:fill="53C072"/>
          </w:tcPr>
          <w:p>
            <w:pPr>
              <w:spacing w:after="0"/>
              <w:rPr>
                <w:sz w:val="14"/>
                <w:szCs w:val="14"/>
                <w:color w:val="auto"/>
              </w:rPr>
            </w:pPr>
          </w:p>
        </w:tc>
        <w:tc>
          <w:tcPr>
            <w:tcW w:w="900" w:type="dxa"/>
            <w:vAlign w:val="bottom"/>
            <w:gridSpan w:val="2"/>
            <w:shd w:val="clear" w:color="auto" w:fill="53C072"/>
          </w:tcPr>
          <w:p>
            <w:pPr>
              <w:jc w:val="right"/>
              <w:ind w:right="280"/>
              <w:spacing w:after="0"/>
              <w:rPr>
                <w:sz w:val="20"/>
                <w:szCs w:val="20"/>
                <w:color w:val="auto"/>
              </w:rPr>
            </w:pPr>
            <w:r>
              <w:rPr>
                <w:rFonts w:ascii="Arial" w:cs="Arial" w:eastAsia="Arial" w:hAnsi="Arial"/>
                <w:sz w:val="14"/>
                <w:szCs w:val="14"/>
                <w:b w:val="1"/>
                <w:bCs w:val="1"/>
                <w:color w:val="FEFEFE"/>
              </w:rPr>
              <w:t>Exercise</w:t>
            </w:r>
          </w:p>
        </w:tc>
        <w:tc>
          <w:tcPr>
            <w:tcW w:w="8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Vesting</w:t>
            </w:r>
          </w:p>
        </w:tc>
        <w:tc>
          <w:tcPr>
            <w:tcW w:w="100" w:type="dxa"/>
            <w:vAlign w:val="bottom"/>
            <w:shd w:val="clear" w:color="auto" w:fill="53C072"/>
          </w:tcPr>
          <w:p>
            <w:pPr>
              <w:spacing w:after="0"/>
              <w:rPr>
                <w:sz w:val="14"/>
                <w:szCs w:val="14"/>
                <w:color w:val="auto"/>
              </w:rPr>
            </w:pPr>
          </w:p>
        </w:tc>
        <w:tc>
          <w:tcPr>
            <w:tcW w:w="260" w:type="dxa"/>
            <w:vAlign w:val="bottom"/>
            <w:shd w:val="clear" w:color="auto" w:fill="53C072"/>
          </w:tcPr>
          <w:p>
            <w:pPr>
              <w:spacing w:after="0"/>
              <w:rPr>
                <w:sz w:val="14"/>
                <w:szCs w:val="14"/>
                <w:color w:val="auto"/>
              </w:rPr>
            </w:pPr>
          </w:p>
        </w:tc>
        <w:tc>
          <w:tcPr>
            <w:tcW w:w="84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Vesting</w:t>
            </w:r>
          </w:p>
        </w:tc>
      </w:tr>
      <w:tr>
        <w:trPr>
          <w:trHeight w:val="185"/>
        </w:trPr>
        <w:tc>
          <w:tcPr>
            <w:tcW w:w="452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Name</w:t>
            </w:r>
          </w:p>
        </w:tc>
        <w:tc>
          <w:tcPr>
            <w:tcW w:w="220" w:type="dxa"/>
            <w:vAlign w:val="bottom"/>
            <w:shd w:val="clear" w:color="auto" w:fill="53C072"/>
          </w:tcPr>
          <w:p>
            <w:pPr>
              <w:spacing w:after="0"/>
              <w:rPr>
                <w:sz w:val="16"/>
                <w:szCs w:val="16"/>
                <w:color w:val="auto"/>
              </w:rPr>
            </w:pPr>
          </w:p>
        </w:tc>
        <w:tc>
          <w:tcPr>
            <w:tcW w:w="72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40" w:type="dxa"/>
            <w:vAlign w:val="bottom"/>
            <w:shd w:val="clear" w:color="auto" w:fill="53C072"/>
          </w:tcPr>
          <w:p>
            <w:pPr>
              <w:spacing w:after="0"/>
              <w:rPr>
                <w:sz w:val="16"/>
                <w:szCs w:val="16"/>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220" w:type="dxa"/>
            <w:vAlign w:val="bottom"/>
            <w:shd w:val="clear" w:color="auto" w:fill="53C072"/>
          </w:tcPr>
          <w:p>
            <w:pPr>
              <w:spacing w:after="0"/>
              <w:rPr>
                <w:sz w:val="16"/>
                <w:szCs w:val="16"/>
                <w:color w:val="auto"/>
              </w:rPr>
            </w:pPr>
          </w:p>
        </w:tc>
        <w:tc>
          <w:tcPr>
            <w:tcW w:w="960" w:type="dxa"/>
            <w:vAlign w:val="bottom"/>
            <w:gridSpan w:val="2"/>
            <w:shd w:val="clear" w:color="auto" w:fill="53C072"/>
          </w:tcPr>
          <w:p>
            <w:pPr>
              <w:ind w:left="700"/>
              <w:spacing w:after="0"/>
              <w:rPr>
                <w:sz w:val="20"/>
                <w:szCs w:val="20"/>
                <w:color w:val="auto"/>
              </w:rPr>
            </w:pPr>
            <w:r>
              <w:rPr>
                <w:rFonts w:ascii="Arial" w:cs="Arial" w:eastAsia="Arial" w:hAnsi="Arial"/>
                <w:sz w:val="14"/>
                <w:szCs w:val="14"/>
                <w:b w:val="1"/>
                <w:bCs w:val="1"/>
                <w:color w:val="FEFEFE"/>
              </w:rPr>
              <w:t>(#)</w:t>
            </w:r>
          </w:p>
        </w:tc>
        <w:tc>
          <w:tcPr>
            <w:tcW w:w="260" w:type="dxa"/>
            <w:vAlign w:val="bottom"/>
            <w:shd w:val="clear" w:color="auto" w:fill="53C072"/>
          </w:tcPr>
          <w:p>
            <w:pPr>
              <w:spacing w:after="0"/>
              <w:rPr>
                <w:sz w:val="16"/>
                <w:szCs w:val="16"/>
                <w:color w:val="auto"/>
              </w:rPr>
            </w:pPr>
          </w:p>
        </w:tc>
        <w:tc>
          <w:tcPr>
            <w:tcW w:w="7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120" w:type="dxa"/>
            <w:vAlign w:val="bottom"/>
            <w:shd w:val="clear" w:color="auto" w:fill="53C072"/>
          </w:tcPr>
          <w:p>
            <w:pPr>
              <w:spacing w:after="0"/>
              <w:rPr>
                <w:sz w:val="16"/>
                <w:szCs w:val="16"/>
                <w:color w:val="auto"/>
              </w:rPr>
            </w:pPr>
          </w:p>
        </w:tc>
      </w:tr>
      <w:tr>
        <w:trPr>
          <w:trHeight w:val="256"/>
        </w:trPr>
        <w:tc>
          <w:tcPr>
            <w:tcW w:w="4520" w:type="dxa"/>
            <w:vAlign w:val="bottom"/>
          </w:tcPr>
          <w:p>
            <w:pPr>
              <w:ind w:left="60"/>
              <w:spacing w:after="0"/>
              <w:rPr>
                <w:sz w:val="20"/>
                <w:szCs w:val="20"/>
                <w:color w:val="auto"/>
              </w:rPr>
            </w:pPr>
            <w:r>
              <w:rPr>
                <w:rFonts w:ascii="Arial" w:cs="Arial" w:eastAsia="Arial" w:hAnsi="Arial"/>
                <w:sz w:val="18"/>
                <w:szCs w:val="18"/>
                <w:color w:val="auto"/>
              </w:rPr>
              <w:t>​Philip R. Gallagher</w:t>
            </w:r>
          </w:p>
        </w:tc>
        <w:tc>
          <w:tcPr>
            <w:tcW w:w="860" w:type="dxa"/>
            <w:vAlign w:val="bottom"/>
            <w:gridSpan w:val="2"/>
          </w:tcPr>
          <w:p>
            <w:pPr>
              <w:jc w:val="right"/>
              <w:ind w:right="58"/>
              <w:spacing w:after="0"/>
              <w:rPr>
                <w:sz w:val="20"/>
                <w:szCs w:val="20"/>
                <w:color w:val="auto"/>
              </w:rPr>
            </w:pPr>
            <w:r>
              <w:rPr>
                <w:rFonts w:ascii="Arial" w:cs="Arial" w:eastAsia="Arial" w:hAnsi="Arial"/>
                <w:sz w:val="18"/>
                <w:szCs w:val="18"/>
                <w:color w:val="auto"/>
              </w:rPr>
              <w:t>​19,532</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​209,887 ​</w:t>
            </w:r>
          </w:p>
        </w:tc>
        <w:tc>
          <w:tcPr>
            <w:tcW w:w="860" w:type="dxa"/>
            <w:vAlign w:val="bottom"/>
          </w:tcPr>
          <w:p>
            <w:pPr>
              <w:ind w:left="140"/>
              <w:spacing w:after="0"/>
              <w:rPr>
                <w:sz w:val="20"/>
                <w:szCs w:val="20"/>
                <w:color w:val="auto"/>
              </w:rPr>
            </w:pPr>
            <w:r>
              <w:rPr>
                <w:rFonts w:ascii="Arial" w:cs="Arial" w:eastAsia="Arial" w:hAnsi="Arial"/>
                <w:sz w:val="18"/>
                <w:szCs w:val="18"/>
                <w:color w:val="auto"/>
              </w:rPr>
              <w:t>​66,629</w:t>
            </w:r>
          </w:p>
        </w:tc>
        <w:tc>
          <w:tcPr>
            <w:tcW w:w="1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​3,292,806</w:t>
            </w:r>
          </w:p>
        </w:tc>
      </w:tr>
      <w:tr>
        <w:trPr>
          <w:trHeight w:val="257"/>
        </w:trPr>
        <w:tc>
          <w:tcPr>
            <w:tcW w:w="4520" w:type="dxa"/>
            <w:vAlign w:val="bottom"/>
            <w:shd w:val="clear" w:color="auto" w:fill="CBECD5"/>
          </w:tcPr>
          <w:p>
            <w:pPr>
              <w:ind w:left="60"/>
              <w:spacing w:after="0"/>
              <w:rPr>
                <w:sz w:val="20"/>
                <w:szCs w:val="20"/>
                <w:color w:val="auto"/>
              </w:rPr>
            </w:pPr>
            <w:r>
              <w:rPr>
                <w:rFonts w:ascii="Arial" w:cs="Arial" w:eastAsia="Arial" w:hAnsi="Arial"/>
                <w:sz w:val="18"/>
                <w:szCs w:val="18"/>
                <w:color w:val="auto"/>
              </w:rPr>
              <w:t>​Kenneth Jacobson</w:t>
            </w:r>
          </w:p>
        </w:tc>
        <w:tc>
          <w:tcPr>
            <w:tcW w:w="220" w:type="dxa"/>
            <w:vAlign w:val="bottom"/>
            <w:shd w:val="clear" w:color="auto" w:fill="CBECD5"/>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BECD5"/>
          </w:tcPr>
          <w:p>
            <w:pPr>
              <w:jc w:val="right"/>
              <w:ind w:right="58"/>
              <w:spacing w:after="0"/>
              <w:rPr>
                <w:sz w:val="20"/>
                <w:szCs w:val="20"/>
                <w:color w:val="auto"/>
              </w:rPr>
            </w:pPr>
            <w:r>
              <w:rPr>
                <w:rFonts w:ascii="Arial" w:cs="Arial" w:eastAsia="Arial" w:hAnsi="Arial"/>
                <w:sz w:val="18"/>
                <w:szCs w:val="18"/>
                <w:color w:val="auto"/>
              </w:rPr>
              <w:t>—</w:t>
            </w:r>
          </w:p>
        </w:tc>
        <w:tc>
          <w:tcPr>
            <w:tcW w:w="8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BECD5"/>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BECD5"/>
          </w:tcPr>
          <w:p>
            <w:pPr>
              <w:jc w:val="right"/>
              <w:ind w:right="18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​13,968</w:t>
            </w:r>
          </w:p>
        </w:tc>
        <w:tc>
          <w:tcPr>
            <w:tcW w:w="10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BECD5"/>
          </w:tcPr>
          <w:p>
            <w:pPr>
              <w:jc w:val="right"/>
              <w:ind w:right="100"/>
              <w:spacing w:after="0"/>
              <w:rPr>
                <w:sz w:val="20"/>
                <w:szCs w:val="20"/>
                <w:color w:val="auto"/>
              </w:rPr>
            </w:pPr>
            <w:r>
              <w:rPr>
                <w:rFonts w:ascii="Arial" w:cs="Arial" w:eastAsia="Arial" w:hAnsi="Arial"/>
                <w:sz w:val="18"/>
                <w:szCs w:val="18"/>
                <w:color w:val="auto"/>
              </w:rPr>
              <w:t>690,298</w:t>
            </w:r>
          </w:p>
        </w:tc>
      </w:tr>
      <w:tr>
        <w:trPr>
          <w:trHeight w:val="257"/>
        </w:trPr>
        <w:tc>
          <w:tcPr>
            <w:tcW w:w="4520" w:type="dxa"/>
            <w:vAlign w:val="bottom"/>
          </w:tcPr>
          <w:p>
            <w:pPr>
              <w:ind w:left="60"/>
              <w:spacing w:after="0"/>
              <w:rPr>
                <w:sz w:val="20"/>
                <w:szCs w:val="20"/>
                <w:color w:val="auto"/>
              </w:rPr>
            </w:pPr>
            <w:r>
              <w:rPr>
                <w:rFonts w:ascii="Arial" w:cs="Arial" w:eastAsia="Arial" w:hAnsi="Arial"/>
                <w:sz w:val="18"/>
                <w:szCs w:val="18"/>
                <w:color w:val="auto"/>
              </w:rPr>
              <w:t>​Ken E. Arnold</w:t>
            </w:r>
          </w:p>
        </w:tc>
        <w:tc>
          <w:tcPr>
            <w:tcW w:w="220" w:type="dxa"/>
            <w:vAlign w:val="bottom"/>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860" w:type="dxa"/>
            <w:vAlign w:val="bottom"/>
          </w:tcPr>
          <w:p>
            <w:pPr>
              <w:ind w:left="140"/>
              <w:spacing w:after="0"/>
              <w:rPr>
                <w:sz w:val="20"/>
                <w:szCs w:val="20"/>
                <w:color w:val="auto"/>
              </w:rPr>
            </w:pPr>
            <w:r>
              <w:rPr>
                <w:rFonts w:ascii="Arial" w:cs="Arial" w:eastAsia="Arial" w:hAnsi="Arial"/>
                <w:sz w:val="18"/>
                <w:szCs w:val="18"/>
                <w:color w:val="auto"/>
              </w:rPr>
              <w:t>​10,839</w:t>
            </w:r>
          </w:p>
        </w:tc>
        <w:tc>
          <w:tcPr>
            <w:tcW w:w="10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535,664</w:t>
            </w:r>
          </w:p>
        </w:tc>
      </w:tr>
      <w:tr>
        <w:trPr>
          <w:trHeight w:val="257"/>
        </w:trPr>
        <w:tc>
          <w:tcPr>
            <w:tcW w:w="4520" w:type="dxa"/>
            <w:vAlign w:val="bottom"/>
            <w:shd w:val="clear" w:color="auto" w:fill="CBECD5"/>
          </w:tcPr>
          <w:p>
            <w:pPr>
              <w:ind w:left="60"/>
              <w:spacing w:after="0"/>
              <w:rPr>
                <w:sz w:val="20"/>
                <w:szCs w:val="20"/>
                <w:color w:val="auto"/>
              </w:rPr>
            </w:pPr>
            <w:r>
              <w:rPr>
                <w:rFonts w:ascii="Arial" w:cs="Arial" w:eastAsia="Arial" w:hAnsi="Arial"/>
                <w:sz w:val="18"/>
                <w:szCs w:val="18"/>
                <w:color w:val="auto"/>
              </w:rPr>
              <w:t>​Max Chan</w:t>
            </w:r>
          </w:p>
        </w:tc>
        <w:tc>
          <w:tcPr>
            <w:tcW w:w="220" w:type="dxa"/>
            <w:vAlign w:val="bottom"/>
            <w:shd w:val="clear" w:color="auto" w:fill="CBECD5"/>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BECD5"/>
          </w:tcPr>
          <w:p>
            <w:pPr>
              <w:jc w:val="right"/>
              <w:ind w:right="58"/>
              <w:spacing w:after="0"/>
              <w:rPr>
                <w:sz w:val="20"/>
                <w:szCs w:val="20"/>
                <w:color w:val="auto"/>
              </w:rPr>
            </w:pPr>
            <w:r>
              <w:rPr>
                <w:rFonts w:ascii="Arial" w:cs="Arial" w:eastAsia="Arial" w:hAnsi="Arial"/>
                <w:sz w:val="18"/>
                <w:szCs w:val="18"/>
                <w:color w:val="auto"/>
              </w:rPr>
              <w:t>—</w:t>
            </w:r>
          </w:p>
        </w:tc>
        <w:tc>
          <w:tcPr>
            <w:tcW w:w="8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BECD5"/>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BECD5"/>
          </w:tcPr>
          <w:p>
            <w:pPr>
              <w:jc w:val="right"/>
              <w:ind w:right="18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 8,456</w:t>
            </w:r>
          </w:p>
        </w:tc>
        <w:tc>
          <w:tcPr>
            <w:tcW w:w="100" w:type="dxa"/>
            <w:vAlign w:val="bottom"/>
            <w:shd w:val="clear" w:color="auto" w:fill="CBECD5"/>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BECD5"/>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BECD5"/>
          </w:tcPr>
          <w:p>
            <w:pPr>
              <w:jc w:val="right"/>
              <w:ind w:right="100"/>
              <w:spacing w:after="0"/>
              <w:rPr>
                <w:sz w:val="20"/>
                <w:szCs w:val="20"/>
                <w:color w:val="auto"/>
              </w:rPr>
            </w:pPr>
            <w:r>
              <w:rPr>
                <w:rFonts w:ascii="Arial" w:cs="Arial" w:eastAsia="Arial" w:hAnsi="Arial"/>
                <w:sz w:val="18"/>
                <w:szCs w:val="18"/>
                <w:color w:val="auto"/>
              </w:rPr>
              <w:t>417,896</w:t>
            </w:r>
          </w:p>
        </w:tc>
      </w:tr>
      <w:tr>
        <w:trPr>
          <w:trHeight w:val="290"/>
        </w:trPr>
        <w:tc>
          <w:tcPr>
            <w:tcW w:w="4520" w:type="dxa"/>
            <w:vAlign w:val="bottom"/>
            <w:tcBorders>
              <w:bottom w:val="single" w:sz="8" w:color="53C072"/>
            </w:tcBorders>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Michael R. McCoy</w:t>
            </w:r>
          </w:p>
        </w:tc>
        <w:tc>
          <w:tcPr>
            <w:tcW w:w="220" w:type="dxa"/>
            <w:vAlign w:val="bottom"/>
            <w:tcBorders>
              <w:bottom w:val="single" w:sz="8" w:color="53C072"/>
            </w:tcBorders>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53C072"/>
            </w:tcBorders>
          </w:tcPr>
          <w:p>
            <w:pPr>
              <w:jc w:val="right"/>
              <w:ind w:right="58"/>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53C072"/>
            </w:tcBorders>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53C072"/>
            </w:tcBorders>
            <w:gridSpan w:val="2"/>
          </w:tcPr>
          <w:p>
            <w:pPr>
              <w:jc w:val="right"/>
              <w:ind w:right="18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bscript"/>
              </w:rPr>
              <w:t>​</w:t>
            </w:r>
          </w:p>
        </w:tc>
        <w:tc>
          <w:tcPr>
            <w:tcW w:w="860" w:type="dxa"/>
            <w:vAlign w:val="bottom"/>
            <w:tcBorders>
              <w:bottom w:val="single" w:sz="8" w:color="53C072"/>
            </w:tcBorders>
          </w:tcPr>
          <w:p>
            <w:pPr>
              <w:ind w:left="1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12,676</w:t>
            </w:r>
          </w:p>
        </w:tc>
        <w:tc>
          <w:tcPr>
            <w:tcW w:w="100" w:type="dxa"/>
            <w:vAlign w:val="bottom"/>
            <w:tcBorders>
              <w:bottom w:val="single" w:sz="8" w:color="53C072"/>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53C072"/>
            </w:tcBorders>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53C072"/>
            </w:tcBorders>
            <w:gridSpan w:val="2"/>
          </w:tcPr>
          <w:p>
            <w:pPr>
              <w:jc w:val="right"/>
              <w:ind w:right="100"/>
              <w:spacing w:after="0"/>
              <w:rPr>
                <w:sz w:val="20"/>
                <w:szCs w:val="20"/>
                <w:color w:val="auto"/>
              </w:rPr>
            </w:pPr>
            <w:r>
              <w:rPr>
                <w:rFonts w:ascii="Arial" w:cs="Arial" w:eastAsia="Arial" w:hAnsi="Arial"/>
                <w:sz w:val="18"/>
                <w:szCs w:val="18"/>
                <w:color w:val="auto"/>
              </w:rPr>
              <w:t>626,448</w:t>
            </w:r>
          </w:p>
        </w:tc>
      </w:tr>
    </w:tbl>
    <w:p>
      <w:pPr>
        <w:spacing w:after="0" w:line="12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PENSION BENEFITS</w:t>
      </w:r>
    </w:p>
    <w:p>
      <w:pPr>
        <w:spacing w:after="0" w:line="162" w:lineRule="exact"/>
        <w:rPr>
          <w:sz w:val="20"/>
          <w:szCs w:val="20"/>
          <w:color w:val="auto"/>
        </w:rPr>
      </w:pPr>
    </w:p>
    <w:p>
      <w:pPr>
        <w:ind w:left="1000" w:right="479"/>
        <w:spacing w:after="0" w:line="253" w:lineRule="auto"/>
        <w:rPr>
          <w:sz w:val="20"/>
          <w:szCs w:val="20"/>
          <w:color w:val="auto"/>
        </w:rPr>
      </w:pPr>
      <w:r>
        <w:rPr>
          <w:rFonts w:ascii="Arial" w:cs="Arial" w:eastAsia="Arial" w:hAnsi="Arial"/>
          <w:sz w:val="18"/>
          <w:szCs w:val="18"/>
          <w:color w:val="auto"/>
        </w:rPr>
        <w:t>Further to the discussion of the retirement benefits in the CD&amp;A, the Company provides a retirement benefit under a tax-qualified retirement plan, or the Pension Plan, and a retirement benefit under nonqualified retirement plans.</w:t>
      </w:r>
    </w:p>
    <w:p>
      <w:pPr>
        <w:spacing w:after="0" w:line="101" w:lineRule="exact"/>
        <w:rPr>
          <w:sz w:val="20"/>
          <w:szCs w:val="20"/>
          <w:color w:val="auto"/>
        </w:rPr>
      </w:pPr>
    </w:p>
    <w:p>
      <w:pPr>
        <w:ind w:left="1000" w:right="199"/>
        <w:spacing w:after="0" w:line="244" w:lineRule="auto"/>
        <w:rPr>
          <w:sz w:val="20"/>
          <w:szCs w:val="20"/>
          <w:color w:val="auto"/>
        </w:rPr>
      </w:pPr>
      <w:r>
        <w:rPr>
          <w:rFonts w:ascii="Arial" w:cs="Arial" w:eastAsia="Arial" w:hAnsi="Arial"/>
          <w:sz w:val="18"/>
          <w:szCs w:val="18"/>
          <w:color w:val="auto"/>
        </w:rPr>
        <w:t>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401(k) Plan) of the Code. Currently, the maximum amount of earnings on which benefits can be accrued is $345,000, which is the 2024 annual maximum established by the IRS. The Pension Plan offers participants distributions in the form of various monthly annuity payments and, in most cases, a lump sum distribution option is also available to participants who have terminated employment with the Company.</w:t>
      </w:r>
    </w:p>
    <w:p>
      <w:pPr>
        <w:spacing w:after="0" w:line="110" w:lineRule="exact"/>
        <w:rPr>
          <w:sz w:val="20"/>
          <w:szCs w:val="20"/>
          <w:color w:val="auto"/>
        </w:rPr>
      </w:pPr>
    </w:p>
    <w:p>
      <w:pPr>
        <w:ind w:left="1000" w:right="299"/>
        <w:spacing w:after="0" w:line="248" w:lineRule="auto"/>
        <w:rPr>
          <w:sz w:val="20"/>
          <w:szCs w:val="20"/>
          <w:color w:val="auto"/>
        </w:rPr>
      </w:pPr>
      <w:r>
        <w:rPr>
          <w:rFonts w:ascii="Arial" w:cs="Arial" w:eastAsia="Arial" w:hAnsi="Arial"/>
          <w:sz w:val="18"/>
          <w:szCs w:val="18"/>
          <w:color w:val="auto"/>
        </w:rPr>
        <w:t>The nonqualified retirement plans consist of the Restoration Plan and the SERP. The Restoration Plan is an excess benefit plan that provides retirement income to eligible U.S. employees whose Pension Plan benefit is limited by Code limits on compensation. The Restoration Plan uses the same eligibility, vesting, formula and distribution criteria (except in cases where Code section 409A applies) found in the Pension Plan, but without considering the Code-imposed limits on the Pension Plan. The excess benefit over the Code-imposed limits in the Pension Plan is paid from the Restoration Plan.</w:t>
      </w:r>
    </w:p>
    <w:p>
      <w:pPr>
        <w:spacing w:after="0" w:line="107" w:lineRule="exact"/>
        <w:rPr>
          <w:sz w:val="20"/>
          <w:szCs w:val="20"/>
          <w:color w:val="auto"/>
        </w:rPr>
      </w:pPr>
    </w:p>
    <w:p>
      <w:pPr>
        <w:ind w:left="1000" w:right="159"/>
        <w:spacing w:after="0" w:line="261" w:lineRule="auto"/>
        <w:rPr>
          <w:sz w:val="20"/>
          <w:szCs w:val="20"/>
          <w:color w:val="auto"/>
        </w:rPr>
      </w:pPr>
      <w:r>
        <w:rPr>
          <w:rFonts w:ascii="Arial" w:cs="Arial" w:eastAsia="Arial" w:hAnsi="Arial"/>
          <w:sz w:val="17"/>
          <w:szCs w:val="17"/>
          <w:color w:val="auto"/>
        </w:rPr>
        <w:t>The SERP provides for: (1) payment of a death benefit to the designated beneficiary of each participating officer who dies while he or she is an employee of the Company in an amount equal to twice the officer’s yearly earnings (including salary and cash incentive compensation);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98" w:lineRule="exact"/>
        <w:rPr>
          <w:sz w:val="20"/>
          <w:szCs w:val="20"/>
          <w:color w:val="auto"/>
        </w:rPr>
      </w:pPr>
    </w:p>
    <w:p>
      <w:pPr>
        <w:ind w:left="1000" w:right="519"/>
        <w:spacing w:after="0" w:line="301" w:lineRule="auto"/>
        <w:rPr>
          <w:sz w:val="20"/>
          <w:szCs w:val="20"/>
          <w:color w:val="auto"/>
        </w:rPr>
      </w:pPr>
      <w:r>
        <w:rPr>
          <w:rFonts w:ascii="Arial" w:cs="Arial" w:eastAsia="Arial" w:hAnsi="Arial"/>
          <w:sz w:val="17"/>
          <w:szCs w:val="17"/>
          <w:color w:val="auto"/>
        </w:rPr>
        <w:t>As discussed in the CD&amp;A, the SERP was closed to new participants effective December 31, 2011, and the Restoration Plan was adopted effective January 1, 2012. Pursuant to the terms of both plans, any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69215</wp:posOffset>
            </wp:positionV>
            <wp:extent cx="1243330" cy="2400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43330" cy="240030"/>
                    </a:xfrm>
                    <a:prstGeom prst="rect">
                      <a:avLst/>
                    </a:prstGeom>
                    <a:noFill/>
                  </pic:spPr>
                </pic:pic>
              </a:graphicData>
            </a:graphic>
          </wp:anchor>
        </w:drawing>
      </w:r>
    </w:p>
    <w:p>
      <w:pPr>
        <w:spacing w:after="0" w:line="205" w:lineRule="exact"/>
        <w:rPr>
          <w:sz w:val="20"/>
          <w:szCs w:val="20"/>
          <w:color w:val="auto"/>
        </w:rPr>
      </w:pPr>
    </w:p>
    <w:p>
      <w:pPr>
        <w:ind w:left="95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287655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820" w:type="dxa"/>
            <w:vAlign w:val="bottom"/>
            <w:vMerge w:val="restart"/>
          </w:tcPr>
          <w:p>
            <w:pPr>
              <w:ind w:left="2580"/>
              <w:spacing w:after="0"/>
              <w:rPr>
                <w:sz w:val="20"/>
                <w:szCs w:val="20"/>
                <w:color w:val="auto"/>
              </w:rPr>
            </w:pPr>
            <w:r>
              <w:rPr>
                <w:rFonts w:ascii="Arial" w:cs="Arial" w:eastAsia="Arial" w:hAnsi="Arial"/>
                <w:sz w:val="14"/>
                <w:szCs w:val="14"/>
                <w:color w:val="auto"/>
                <w:w w:val="99"/>
              </w:rPr>
              <w:t>Compensation of Executive Officers</w:t>
            </w:r>
          </w:p>
        </w:tc>
        <w:tc>
          <w:tcPr>
            <w:tcW w:w="0" w:type="dxa"/>
            <w:vAlign w:val="bottom"/>
          </w:tcPr>
          <w:p>
            <w:pPr>
              <w:spacing w:after="0"/>
              <w:rPr>
                <w:sz w:val="1"/>
                <w:szCs w:val="1"/>
                <w:color w:val="auto"/>
              </w:rPr>
            </w:pPr>
          </w:p>
        </w:tc>
      </w:tr>
      <w:tr>
        <w:trPr>
          <w:trHeight w:val="89"/>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139"/>
        <w:spacing w:after="0" w:line="318" w:lineRule="auto"/>
        <w:rPr>
          <w:sz w:val="20"/>
          <w:szCs w:val="20"/>
          <w:color w:val="auto"/>
        </w:rPr>
      </w:pPr>
      <w:r>
        <w:rPr>
          <w:rFonts w:ascii="Arial" w:cs="Arial" w:eastAsia="Arial" w:hAnsi="Arial"/>
          <w:sz w:val="17"/>
          <w:szCs w:val="17"/>
          <w:color w:val="auto"/>
        </w:rPr>
        <w:t>payable under the Restoration Plan will reduce the benefit payable under the SERP. Thus, the maximum benefit payable to vested participants in both nonqualified plans will equal the benefit payable under the SERP.</w:t>
      </w:r>
    </w:p>
    <w:p>
      <w:pPr>
        <w:spacing w:after="0" w:line="62" w:lineRule="exact"/>
        <w:rPr>
          <w:sz w:val="20"/>
          <w:szCs w:val="20"/>
          <w:color w:val="auto"/>
        </w:rPr>
      </w:pPr>
    </w:p>
    <w:p>
      <w:pPr>
        <w:ind w:left="1000" w:right="299"/>
        <w:spacing w:after="0" w:line="282" w:lineRule="auto"/>
        <w:rPr>
          <w:sz w:val="20"/>
          <w:szCs w:val="20"/>
          <w:color w:val="auto"/>
        </w:rPr>
      </w:pPr>
      <w:r>
        <w:rPr>
          <w:rFonts w:ascii="Arial" w:cs="Arial" w:eastAsia="Arial" w:hAnsi="Arial"/>
          <w:sz w:val="17"/>
          <w:szCs w:val="17"/>
          <w:color w:val="auto"/>
        </w:rPr>
        <w:t>The table below shows the number of years of service credited to each such NEO, the actuarial present value of accumulated benefits payable to each of the NEOs as of the end of the fiscal year, and the payments made to each of the NEOs during the last fiscal year, if any. The present value of the accumulated benefit was determined using interest rate assumptions consistent with those used in the Company’s financial statements.</w:t>
      </w:r>
    </w:p>
    <w:p>
      <w:pPr>
        <w:spacing w:after="0" w:line="140"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60" w:type="dxa"/>
            <w:vAlign w:val="bottom"/>
            <w:shd w:val="clear" w:color="auto" w:fill="53C072"/>
          </w:tcPr>
          <w:p>
            <w:pPr>
              <w:spacing w:after="0"/>
              <w:rPr>
                <w:sz w:val="15"/>
                <w:szCs w:val="15"/>
                <w:color w:val="auto"/>
              </w:rPr>
            </w:pPr>
          </w:p>
        </w:tc>
        <w:tc>
          <w:tcPr>
            <w:tcW w:w="3300" w:type="dxa"/>
            <w:vAlign w:val="bottom"/>
            <w:shd w:val="clear" w:color="auto" w:fill="53C072"/>
          </w:tcPr>
          <w:p>
            <w:pPr>
              <w:spacing w:after="0"/>
              <w:rPr>
                <w:sz w:val="15"/>
                <w:szCs w:val="15"/>
                <w:color w:val="auto"/>
              </w:rPr>
            </w:pPr>
          </w:p>
        </w:tc>
        <w:tc>
          <w:tcPr>
            <w:tcW w:w="1260" w:type="dxa"/>
            <w:vAlign w:val="bottom"/>
            <w:shd w:val="clear" w:color="auto" w:fill="53C072"/>
          </w:tcPr>
          <w:p>
            <w:pPr>
              <w:spacing w:after="0"/>
              <w:rPr>
                <w:sz w:val="15"/>
                <w:szCs w:val="15"/>
                <w:color w:val="auto"/>
              </w:rPr>
            </w:pPr>
          </w:p>
        </w:tc>
        <w:tc>
          <w:tcPr>
            <w:tcW w:w="1180" w:type="dxa"/>
            <w:vAlign w:val="bottom"/>
            <w:shd w:val="clear" w:color="auto" w:fill="53C072"/>
          </w:tcPr>
          <w:p>
            <w:pPr>
              <w:jc w:val="right"/>
              <w:ind w:right="76"/>
              <w:spacing w:after="0"/>
              <w:rPr>
                <w:sz w:val="20"/>
                <w:szCs w:val="20"/>
                <w:color w:val="auto"/>
              </w:rPr>
            </w:pPr>
            <w:r>
              <w:rPr>
                <w:rFonts w:ascii="Arial" w:cs="Arial" w:eastAsia="Arial" w:hAnsi="Arial"/>
                <w:sz w:val="14"/>
                <w:szCs w:val="14"/>
                <w:b w:val="1"/>
                <w:bCs w:val="1"/>
                <w:color w:val="FEFEFE"/>
              </w:rPr>
              <w:t>Present</w:t>
            </w:r>
          </w:p>
        </w:tc>
        <w:tc>
          <w:tcPr>
            <w:tcW w:w="960" w:type="dxa"/>
            <w:vAlign w:val="bottom"/>
            <w:shd w:val="clear" w:color="auto" w:fill="53C072"/>
          </w:tcPr>
          <w:p>
            <w:pPr>
              <w:spacing w:after="0"/>
              <w:rPr>
                <w:sz w:val="15"/>
                <w:szCs w:val="15"/>
                <w:color w:val="auto"/>
              </w:rPr>
            </w:pPr>
          </w:p>
        </w:tc>
      </w:tr>
      <w:tr>
        <w:trPr>
          <w:trHeight w:val="162"/>
        </w:trPr>
        <w:tc>
          <w:tcPr>
            <w:tcW w:w="2060" w:type="dxa"/>
            <w:vAlign w:val="bottom"/>
            <w:shd w:val="clear" w:color="auto" w:fill="53C072"/>
          </w:tcPr>
          <w:p>
            <w:pPr>
              <w:spacing w:after="0"/>
              <w:rPr>
                <w:sz w:val="14"/>
                <w:szCs w:val="14"/>
                <w:color w:val="auto"/>
              </w:rPr>
            </w:pPr>
          </w:p>
        </w:tc>
        <w:tc>
          <w:tcPr>
            <w:tcW w:w="3300" w:type="dxa"/>
            <w:vAlign w:val="bottom"/>
            <w:shd w:val="clear" w:color="auto" w:fill="53C072"/>
          </w:tcPr>
          <w:p>
            <w:pPr>
              <w:spacing w:after="0"/>
              <w:rPr>
                <w:sz w:val="14"/>
                <w:szCs w:val="14"/>
                <w:color w:val="auto"/>
              </w:rPr>
            </w:pPr>
          </w:p>
        </w:tc>
        <w:tc>
          <w:tcPr>
            <w:tcW w:w="1260" w:type="dxa"/>
            <w:vAlign w:val="bottom"/>
            <w:shd w:val="clear" w:color="auto" w:fill="53C072"/>
          </w:tcPr>
          <w:p>
            <w:pPr>
              <w:spacing w:after="0"/>
              <w:rPr>
                <w:sz w:val="14"/>
                <w:szCs w:val="14"/>
                <w:color w:val="auto"/>
              </w:rPr>
            </w:pPr>
          </w:p>
        </w:tc>
        <w:tc>
          <w:tcPr>
            <w:tcW w:w="1180" w:type="dxa"/>
            <w:vAlign w:val="bottom"/>
            <w:shd w:val="clear" w:color="auto" w:fill="53C072"/>
          </w:tcPr>
          <w:p>
            <w:pPr>
              <w:jc w:val="right"/>
              <w:ind w:right="76"/>
              <w:spacing w:after="0"/>
              <w:rPr>
                <w:sz w:val="20"/>
                <w:szCs w:val="20"/>
                <w:color w:val="auto"/>
              </w:rPr>
            </w:pPr>
            <w:r>
              <w:rPr>
                <w:rFonts w:ascii="Arial" w:cs="Arial" w:eastAsia="Arial" w:hAnsi="Arial"/>
                <w:sz w:val="14"/>
                <w:szCs w:val="14"/>
                <w:b w:val="1"/>
                <w:bCs w:val="1"/>
                <w:color w:val="FEFEFE"/>
              </w:rPr>
              <w:t>Value of</w:t>
            </w:r>
          </w:p>
        </w:tc>
        <w:tc>
          <w:tcPr>
            <w:tcW w:w="960" w:type="dxa"/>
            <w:vAlign w:val="bottom"/>
            <w:shd w:val="clear" w:color="auto" w:fill="53C072"/>
          </w:tcPr>
          <w:p>
            <w:pPr>
              <w:jc w:val="right"/>
              <w:ind w:right="15"/>
              <w:spacing w:after="0"/>
              <w:rPr>
                <w:sz w:val="20"/>
                <w:szCs w:val="20"/>
                <w:color w:val="auto"/>
              </w:rPr>
            </w:pPr>
            <w:r>
              <w:rPr>
                <w:rFonts w:ascii="Arial" w:cs="Arial" w:eastAsia="Arial" w:hAnsi="Arial"/>
                <w:sz w:val="14"/>
                <w:szCs w:val="14"/>
                <w:b w:val="1"/>
                <w:bCs w:val="1"/>
                <w:color w:val="FEFEFE"/>
              </w:rPr>
              <w:t>Payments</w:t>
            </w:r>
          </w:p>
        </w:tc>
      </w:tr>
      <w:tr>
        <w:trPr>
          <w:trHeight w:val="162"/>
        </w:trPr>
        <w:tc>
          <w:tcPr>
            <w:tcW w:w="2060" w:type="dxa"/>
            <w:vAlign w:val="bottom"/>
            <w:shd w:val="clear" w:color="auto" w:fill="53C072"/>
          </w:tcPr>
          <w:p>
            <w:pPr>
              <w:spacing w:after="0"/>
              <w:rPr>
                <w:sz w:val="14"/>
                <w:szCs w:val="14"/>
                <w:color w:val="auto"/>
              </w:rPr>
            </w:pPr>
          </w:p>
        </w:tc>
        <w:tc>
          <w:tcPr>
            <w:tcW w:w="3300" w:type="dxa"/>
            <w:vAlign w:val="bottom"/>
            <w:shd w:val="clear" w:color="auto" w:fill="53C072"/>
          </w:tcPr>
          <w:p>
            <w:pPr>
              <w:spacing w:after="0"/>
              <w:rPr>
                <w:sz w:val="14"/>
                <w:szCs w:val="14"/>
                <w:color w:val="auto"/>
              </w:rPr>
            </w:pPr>
          </w:p>
        </w:tc>
        <w:tc>
          <w:tcPr>
            <w:tcW w:w="1260" w:type="dxa"/>
            <w:vAlign w:val="bottom"/>
            <w:shd w:val="clear" w:color="auto" w:fill="53C072"/>
          </w:tcPr>
          <w:p>
            <w:pPr>
              <w:jc w:val="right"/>
              <w:ind w:right="74"/>
              <w:spacing w:after="0"/>
              <w:rPr>
                <w:sz w:val="20"/>
                <w:szCs w:val="20"/>
                <w:color w:val="auto"/>
              </w:rPr>
            </w:pPr>
            <w:r>
              <w:rPr>
                <w:rFonts w:ascii="Arial" w:cs="Arial" w:eastAsia="Arial" w:hAnsi="Arial"/>
                <w:sz w:val="14"/>
                <w:szCs w:val="14"/>
                <w:b w:val="1"/>
                <w:bCs w:val="1"/>
                <w:color w:val="FEFEFE"/>
              </w:rPr>
              <w:t>Number of</w:t>
            </w:r>
          </w:p>
        </w:tc>
        <w:tc>
          <w:tcPr>
            <w:tcW w:w="1180" w:type="dxa"/>
            <w:vAlign w:val="bottom"/>
            <w:shd w:val="clear" w:color="auto" w:fill="53C072"/>
          </w:tcPr>
          <w:p>
            <w:pPr>
              <w:jc w:val="right"/>
              <w:ind w:right="76"/>
              <w:spacing w:after="0"/>
              <w:rPr>
                <w:sz w:val="20"/>
                <w:szCs w:val="20"/>
                <w:color w:val="auto"/>
              </w:rPr>
            </w:pPr>
            <w:r>
              <w:rPr>
                <w:rFonts w:ascii="Arial" w:cs="Arial" w:eastAsia="Arial" w:hAnsi="Arial"/>
                <w:sz w:val="14"/>
                <w:szCs w:val="14"/>
                <w:b w:val="1"/>
                <w:bCs w:val="1"/>
                <w:color w:val="FEFEFE"/>
              </w:rPr>
              <w:t>Accumulated</w:t>
            </w:r>
          </w:p>
        </w:tc>
        <w:tc>
          <w:tcPr>
            <w:tcW w:w="960" w:type="dxa"/>
            <w:vAlign w:val="bottom"/>
            <w:shd w:val="clear" w:color="auto" w:fill="53C072"/>
          </w:tcPr>
          <w:p>
            <w:pPr>
              <w:jc w:val="right"/>
              <w:ind w:right="15"/>
              <w:spacing w:after="0"/>
              <w:rPr>
                <w:sz w:val="20"/>
                <w:szCs w:val="20"/>
                <w:color w:val="auto"/>
              </w:rPr>
            </w:pPr>
            <w:r>
              <w:rPr>
                <w:rFonts w:ascii="Arial" w:cs="Arial" w:eastAsia="Arial" w:hAnsi="Arial"/>
                <w:sz w:val="14"/>
                <w:szCs w:val="14"/>
                <w:b w:val="1"/>
                <w:bCs w:val="1"/>
                <w:color w:val="FEFEFE"/>
              </w:rPr>
              <w:t>During</w:t>
            </w:r>
          </w:p>
        </w:tc>
      </w:tr>
      <w:tr>
        <w:trPr>
          <w:trHeight w:val="162"/>
        </w:trPr>
        <w:tc>
          <w:tcPr>
            <w:tcW w:w="2060" w:type="dxa"/>
            <w:vAlign w:val="bottom"/>
            <w:shd w:val="clear" w:color="auto" w:fill="53C072"/>
          </w:tcPr>
          <w:p>
            <w:pPr>
              <w:spacing w:after="0"/>
              <w:rPr>
                <w:sz w:val="14"/>
                <w:szCs w:val="14"/>
                <w:color w:val="auto"/>
              </w:rPr>
            </w:pPr>
          </w:p>
        </w:tc>
        <w:tc>
          <w:tcPr>
            <w:tcW w:w="3300" w:type="dxa"/>
            <w:vAlign w:val="bottom"/>
            <w:shd w:val="clear" w:color="auto" w:fill="53C072"/>
          </w:tcPr>
          <w:p>
            <w:pPr>
              <w:spacing w:after="0"/>
              <w:rPr>
                <w:sz w:val="14"/>
                <w:szCs w:val="14"/>
                <w:color w:val="auto"/>
              </w:rPr>
            </w:pPr>
          </w:p>
        </w:tc>
        <w:tc>
          <w:tcPr>
            <w:tcW w:w="1260" w:type="dxa"/>
            <w:vAlign w:val="bottom"/>
            <w:shd w:val="clear" w:color="auto" w:fill="53C072"/>
          </w:tcPr>
          <w:p>
            <w:pPr>
              <w:jc w:val="right"/>
              <w:ind w:right="74"/>
              <w:spacing w:after="0"/>
              <w:rPr>
                <w:sz w:val="20"/>
                <w:szCs w:val="20"/>
                <w:color w:val="auto"/>
              </w:rPr>
            </w:pPr>
            <w:r>
              <w:rPr>
                <w:rFonts w:ascii="Arial" w:cs="Arial" w:eastAsia="Arial" w:hAnsi="Arial"/>
                <w:sz w:val="14"/>
                <w:szCs w:val="14"/>
                <w:b w:val="1"/>
                <w:bCs w:val="1"/>
                <w:color w:val="FEFEFE"/>
              </w:rPr>
              <w:t>Years Credited</w:t>
            </w:r>
          </w:p>
        </w:tc>
        <w:tc>
          <w:tcPr>
            <w:tcW w:w="1180" w:type="dxa"/>
            <w:vAlign w:val="bottom"/>
            <w:shd w:val="clear" w:color="auto" w:fill="53C072"/>
          </w:tcPr>
          <w:p>
            <w:pPr>
              <w:jc w:val="right"/>
              <w:ind w:right="76"/>
              <w:spacing w:after="0"/>
              <w:rPr>
                <w:sz w:val="20"/>
                <w:szCs w:val="20"/>
                <w:color w:val="auto"/>
              </w:rPr>
            </w:pPr>
            <w:r>
              <w:rPr>
                <w:rFonts w:ascii="Arial" w:cs="Arial" w:eastAsia="Arial" w:hAnsi="Arial"/>
                <w:sz w:val="14"/>
                <w:szCs w:val="14"/>
                <w:b w:val="1"/>
                <w:bCs w:val="1"/>
                <w:color w:val="FEFEFE"/>
              </w:rPr>
              <w:t>Benefit</w:t>
            </w:r>
          </w:p>
        </w:tc>
        <w:tc>
          <w:tcPr>
            <w:tcW w:w="960" w:type="dxa"/>
            <w:vAlign w:val="bottom"/>
            <w:shd w:val="clear" w:color="auto" w:fill="53C072"/>
          </w:tcPr>
          <w:p>
            <w:pPr>
              <w:jc w:val="right"/>
              <w:ind w:right="15"/>
              <w:spacing w:after="0"/>
              <w:rPr>
                <w:sz w:val="20"/>
                <w:szCs w:val="20"/>
                <w:color w:val="auto"/>
              </w:rPr>
            </w:pPr>
            <w:r>
              <w:rPr>
                <w:rFonts w:ascii="Arial" w:cs="Arial" w:eastAsia="Arial" w:hAnsi="Arial"/>
                <w:sz w:val="14"/>
                <w:szCs w:val="14"/>
                <w:b w:val="1"/>
                <w:bCs w:val="1"/>
                <w:color w:val="FEFEFE"/>
              </w:rPr>
              <w:t>Last Fiscal</w:t>
            </w:r>
          </w:p>
        </w:tc>
      </w:tr>
      <w:tr>
        <w:trPr>
          <w:trHeight w:val="171"/>
        </w:trPr>
        <w:tc>
          <w:tcPr>
            <w:tcW w:w="206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rPr>
              <w:t>Name</w:t>
            </w:r>
          </w:p>
        </w:tc>
        <w:tc>
          <w:tcPr>
            <w:tcW w:w="3300" w:type="dxa"/>
            <w:vAlign w:val="bottom"/>
            <w:shd w:val="clear" w:color="auto" w:fill="53C072"/>
          </w:tcPr>
          <w:p>
            <w:pPr>
              <w:ind w:left="2440"/>
              <w:spacing w:after="0"/>
              <w:rPr>
                <w:sz w:val="20"/>
                <w:szCs w:val="20"/>
                <w:color w:val="auto"/>
              </w:rPr>
            </w:pPr>
            <w:r>
              <w:rPr>
                <w:rFonts w:ascii="Arial" w:cs="Arial" w:eastAsia="Arial" w:hAnsi="Arial"/>
                <w:sz w:val="14"/>
                <w:szCs w:val="14"/>
                <w:b w:val="1"/>
                <w:bCs w:val="1"/>
                <w:color w:val="FEFEFE"/>
              </w:rPr>
              <w:t>Plan Name</w:t>
            </w:r>
          </w:p>
        </w:tc>
        <w:tc>
          <w:tcPr>
            <w:tcW w:w="1260" w:type="dxa"/>
            <w:vAlign w:val="bottom"/>
            <w:shd w:val="clear" w:color="auto" w:fill="53C072"/>
          </w:tcPr>
          <w:p>
            <w:pPr>
              <w:jc w:val="right"/>
              <w:ind w:right="34"/>
              <w:spacing w:after="0"/>
              <w:rPr>
                <w:sz w:val="20"/>
                <w:szCs w:val="20"/>
                <w:color w:val="auto"/>
              </w:rPr>
            </w:pPr>
            <w:r>
              <w:rPr>
                <w:rFonts w:ascii="Arial" w:cs="Arial" w:eastAsia="Arial" w:hAnsi="Arial"/>
                <w:sz w:val="14"/>
                <w:szCs w:val="14"/>
                <w:b w:val="1"/>
                <w:bCs w:val="1"/>
                <w:color w:val="FEFEFE"/>
              </w:rPr>
              <w:t>Service (#)(1)</w:t>
            </w:r>
          </w:p>
        </w:tc>
        <w:tc>
          <w:tcPr>
            <w:tcW w:w="1180" w:type="dxa"/>
            <w:vAlign w:val="bottom"/>
            <w:shd w:val="clear" w:color="auto" w:fill="53C072"/>
          </w:tcPr>
          <w:p>
            <w:pPr>
              <w:jc w:val="right"/>
              <w:ind w:right="36"/>
              <w:spacing w:after="0"/>
              <w:rPr>
                <w:sz w:val="20"/>
                <w:szCs w:val="20"/>
                <w:color w:val="auto"/>
              </w:rPr>
            </w:pPr>
            <w:r>
              <w:rPr>
                <w:rFonts w:ascii="Arial" w:cs="Arial" w:eastAsia="Arial" w:hAnsi="Arial"/>
                <w:sz w:val="14"/>
                <w:szCs w:val="14"/>
                <w:b w:val="1"/>
                <w:bCs w:val="1"/>
                <w:color w:val="FEFEFE"/>
              </w:rPr>
              <w:t>($)</w:t>
            </w:r>
          </w:p>
        </w:tc>
        <w:tc>
          <w:tcPr>
            <w:tcW w:w="9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Year ($)</w:t>
            </w:r>
          </w:p>
        </w:tc>
      </w:tr>
      <w:tr>
        <w:trPr>
          <w:trHeight w:val="261"/>
        </w:trPr>
        <w:tc>
          <w:tcPr>
            <w:tcW w:w="2060" w:type="dxa"/>
            <w:vAlign w:val="bottom"/>
          </w:tcPr>
          <w:p>
            <w:pPr>
              <w:ind w:left="60"/>
              <w:spacing w:after="0"/>
              <w:rPr>
                <w:sz w:val="20"/>
                <w:szCs w:val="20"/>
                <w:color w:val="auto"/>
              </w:rPr>
            </w:pPr>
            <w:r>
              <w:rPr>
                <w:rFonts w:ascii="Arial" w:cs="Arial" w:eastAsia="Arial" w:hAnsi="Arial"/>
                <w:sz w:val="18"/>
                <w:szCs w:val="18"/>
                <w:color w:val="auto"/>
              </w:rPr>
              <w:t>Philip R. Gallagher</w:t>
            </w:r>
          </w:p>
        </w:tc>
        <w:tc>
          <w:tcPr>
            <w:tcW w:w="3300" w:type="dxa"/>
            <w:vAlign w:val="bottom"/>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39.6</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183,148</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2060" w:type="dxa"/>
            <w:vAlign w:val="bottom"/>
          </w:tcPr>
          <w:p>
            <w:pPr>
              <w:spacing w:after="0"/>
              <w:rPr>
                <w:sz w:val="19"/>
                <w:szCs w:val="19"/>
                <w:color w:val="auto"/>
              </w:rPr>
            </w:pPr>
          </w:p>
        </w:tc>
        <w:tc>
          <w:tcPr>
            <w:tcW w:w="3300" w:type="dxa"/>
            <w:vAlign w:val="bottom"/>
          </w:tcPr>
          <w:p>
            <w:pPr>
              <w:ind w:left="540"/>
              <w:spacing w:after="0"/>
              <w:rPr>
                <w:sz w:val="20"/>
                <w:szCs w:val="20"/>
                <w:color w:val="auto"/>
              </w:rPr>
            </w:pPr>
            <w:r>
              <w:rPr>
                <w:rFonts w:ascii="Arial" w:cs="Arial" w:eastAsia="Arial" w:hAnsi="Arial"/>
                <w:sz w:val="18"/>
                <w:szCs w:val="18"/>
                <w:color w:val="auto"/>
              </w:rPr>
              <w:t>Nonqualified Retirement Plans(2)</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60" w:type="dxa"/>
            <w:vAlign w:val="bottom"/>
            <w:shd w:val="clear" w:color="auto" w:fill="CBECD5"/>
          </w:tcPr>
          <w:p>
            <w:pPr>
              <w:ind w:left="60"/>
              <w:spacing w:after="0"/>
              <w:rPr>
                <w:sz w:val="20"/>
                <w:szCs w:val="20"/>
                <w:color w:val="auto"/>
              </w:rPr>
            </w:pPr>
            <w:r>
              <w:rPr>
                <w:rFonts w:ascii="Arial" w:cs="Arial" w:eastAsia="Arial" w:hAnsi="Arial"/>
                <w:sz w:val="18"/>
                <w:szCs w:val="18"/>
                <w:color w:val="auto"/>
              </w:rPr>
              <w:t>Kenneth Jacobson</w:t>
            </w:r>
          </w:p>
        </w:tc>
        <w:tc>
          <w:tcPr>
            <w:tcW w:w="3300" w:type="dxa"/>
            <w:vAlign w:val="bottom"/>
            <w:shd w:val="clear" w:color="auto" w:fill="CBECD5"/>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9.5</w:t>
            </w:r>
          </w:p>
        </w:tc>
        <w:tc>
          <w:tcPr>
            <w:tcW w:w="1180" w:type="dxa"/>
            <w:vAlign w:val="bottom"/>
            <w:shd w:val="clear" w:color="auto" w:fill="CBECD5"/>
          </w:tcPr>
          <w:p>
            <w:pPr>
              <w:jc w:val="right"/>
              <w:ind w:right="36"/>
              <w:spacing w:after="0"/>
              <w:rPr>
                <w:sz w:val="20"/>
                <w:szCs w:val="20"/>
                <w:color w:val="auto"/>
              </w:rPr>
            </w:pPr>
            <w:r>
              <w:rPr>
                <w:rFonts w:ascii="Arial" w:cs="Arial" w:eastAsia="Arial" w:hAnsi="Arial"/>
                <w:sz w:val="18"/>
                <w:szCs w:val="18"/>
                <w:color w:val="auto"/>
              </w:rPr>
              <w:t>113,275</w:t>
            </w:r>
          </w:p>
        </w:tc>
        <w:tc>
          <w:tcPr>
            <w:tcW w:w="9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60" w:type="dxa"/>
            <w:vAlign w:val="bottom"/>
            <w:shd w:val="clear" w:color="auto" w:fill="CBECD5"/>
          </w:tcPr>
          <w:p>
            <w:pPr>
              <w:spacing w:after="0"/>
              <w:rPr>
                <w:sz w:val="18"/>
                <w:szCs w:val="18"/>
                <w:color w:val="auto"/>
              </w:rPr>
            </w:pPr>
          </w:p>
        </w:tc>
        <w:tc>
          <w:tcPr>
            <w:tcW w:w="3300" w:type="dxa"/>
            <w:vAlign w:val="bottom"/>
            <w:shd w:val="clear" w:color="auto" w:fill="CBECD5"/>
          </w:tcPr>
          <w:p>
            <w:pPr>
              <w:ind w:left="540"/>
              <w:spacing w:after="0"/>
              <w:rPr>
                <w:sz w:val="20"/>
                <w:szCs w:val="20"/>
                <w:color w:val="auto"/>
              </w:rPr>
            </w:pPr>
            <w:r>
              <w:rPr>
                <w:rFonts w:ascii="Arial" w:cs="Arial" w:eastAsia="Arial" w:hAnsi="Arial"/>
                <w:sz w:val="18"/>
                <w:szCs w:val="18"/>
                <w:color w:val="auto"/>
              </w:rPr>
              <w:t>Restoration Plan</w:t>
            </w:r>
          </w:p>
        </w:tc>
        <w:tc>
          <w:tcPr>
            <w:tcW w:w="12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9.5</w:t>
            </w:r>
          </w:p>
        </w:tc>
        <w:tc>
          <w:tcPr>
            <w:tcW w:w="1180" w:type="dxa"/>
            <w:vAlign w:val="bottom"/>
            <w:shd w:val="clear" w:color="auto" w:fill="CBECD5"/>
          </w:tcPr>
          <w:p>
            <w:pPr>
              <w:jc w:val="right"/>
              <w:ind w:right="36"/>
              <w:spacing w:after="0"/>
              <w:rPr>
                <w:sz w:val="20"/>
                <w:szCs w:val="20"/>
                <w:color w:val="auto"/>
              </w:rPr>
            </w:pPr>
            <w:r>
              <w:rPr>
                <w:rFonts w:ascii="Arial" w:cs="Arial" w:eastAsia="Arial" w:hAnsi="Arial"/>
                <w:sz w:val="18"/>
                <w:szCs w:val="18"/>
                <w:color w:val="auto"/>
              </w:rPr>
              <w:t>95,517</w:t>
            </w:r>
          </w:p>
        </w:tc>
        <w:tc>
          <w:tcPr>
            <w:tcW w:w="9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060" w:type="dxa"/>
            <w:vAlign w:val="bottom"/>
          </w:tcPr>
          <w:p>
            <w:pPr>
              <w:ind w:left="60"/>
              <w:spacing w:after="0"/>
              <w:rPr>
                <w:sz w:val="20"/>
                <w:szCs w:val="20"/>
                <w:color w:val="auto"/>
              </w:rPr>
            </w:pPr>
            <w:r>
              <w:rPr>
                <w:rFonts w:ascii="Arial" w:cs="Arial" w:eastAsia="Arial" w:hAnsi="Arial"/>
                <w:sz w:val="18"/>
                <w:szCs w:val="18"/>
                <w:color w:val="auto"/>
              </w:rPr>
              <w:t>Ken E. Arnold</w:t>
            </w:r>
          </w:p>
        </w:tc>
        <w:tc>
          <w:tcPr>
            <w:tcW w:w="3300" w:type="dxa"/>
            <w:vAlign w:val="bottom"/>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25.5</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421,062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2060" w:type="dxa"/>
            <w:vAlign w:val="bottom"/>
          </w:tcPr>
          <w:p>
            <w:pPr>
              <w:spacing w:after="0"/>
              <w:rPr>
                <w:sz w:val="18"/>
                <w:szCs w:val="18"/>
                <w:color w:val="auto"/>
              </w:rPr>
            </w:pPr>
          </w:p>
        </w:tc>
        <w:tc>
          <w:tcPr>
            <w:tcW w:w="3300" w:type="dxa"/>
            <w:vAlign w:val="bottom"/>
          </w:tcPr>
          <w:p>
            <w:pPr>
              <w:ind w:left="540"/>
              <w:spacing w:after="0"/>
              <w:rPr>
                <w:sz w:val="20"/>
                <w:szCs w:val="20"/>
                <w:color w:val="auto"/>
              </w:rPr>
            </w:pPr>
            <w:r>
              <w:rPr>
                <w:rFonts w:ascii="Arial" w:cs="Arial" w:eastAsia="Arial" w:hAnsi="Arial"/>
                <w:sz w:val="18"/>
                <w:szCs w:val="18"/>
                <w:color w:val="auto"/>
              </w:rPr>
              <w:t>Restoration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7.5</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167,175</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60" w:type="dxa"/>
            <w:vAlign w:val="bottom"/>
            <w:shd w:val="clear" w:color="auto" w:fill="CBECD5"/>
          </w:tcPr>
          <w:p>
            <w:pPr>
              <w:ind w:left="60"/>
              <w:spacing w:after="0"/>
              <w:rPr>
                <w:sz w:val="20"/>
                <w:szCs w:val="20"/>
                <w:color w:val="auto"/>
              </w:rPr>
            </w:pPr>
            <w:r>
              <w:rPr>
                <w:rFonts w:ascii="Arial" w:cs="Arial" w:eastAsia="Arial" w:hAnsi="Arial"/>
                <w:sz w:val="18"/>
                <w:szCs w:val="18"/>
                <w:color w:val="auto"/>
              </w:rPr>
              <w:t>Max Chan</w:t>
            </w:r>
          </w:p>
        </w:tc>
        <w:tc>
          <w:tcPr>
            <w:tcW w:w="3300" w:type="dxa"/>
            <w:vAlign w:val="bottom"/>
            <w:shd w:val="clear" w:color="auto" w:fill="CBECD5"/>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7.9</w:t>
            </w:r>
          </w:p>
        </w:tc>
        <w:tc>
          <w:tcPr>
            <w:tcW w:w="1180" w:type="dxa"/>
            <w:vAlign w:val="bottom"/>
            <w:shd w:val="clear" w:color="auto" w:fill="CBECD5"/>
          </w:tcPr>
          <w:p>
            <w:pPr>
              <w:jc w:val="right"/>
              <w:ind w:right="36"/>
              <w:spacing w:after="0"/>
              <w:rPr>
                <w:sz w:val="20"/>
                <w:szCs w:val="20"/>
                <w:color w:val="auto"/>
              </w:rPr>
            </w:pPr>
            <w:r>
              <w:rPr>
                <w:rFonts w:ascii="Arial" w:cs="Arial" w:eastAsia="Arial" w:hAnsi="Arial"/>
                <w:sz w:val="18"/>
                <w:szCs w:val="18"/>
                <w:color w:val="auto"/>
              </w:rPr>
              <w:t>107,040</w:t>
            </w:r>
          </w:p>
        </w:tc>
        <w:tc>
          <w:tcPr>
            <w:tcW w:w="9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60" w:type="dxa"/>
            <w:vAlign w:val="bottom"/>
            <w:shd w:val="clear" w:color="auto" w:fill="CBECD5"/>
          </w:tcPr>
          <w:p>
            <w:pPr>
              <w:spacing w:after="0"/>
              <w:rPr>
                <w:sz w:val="18"/>
                <w:szCs w:val="18"/>
                <w:color w:val="auto"/>
              </w:rPr>
            </w:pPr>
          </w:p>
        </w:tc>
        <w:tc>
          <w:tcPr>
            <w:tcW w:w="3300" w:type="dxa"/>
            <w:vAlign w:val="bottom"/>
            <w:shd w:val="clear" w:color="auto" w:fill="CBECD5"/>
          </w:tcPr>
          <w:p>
            <w:pPr>
              <w:ind w:left="540"/>
              <w:spacing w:after="0"/>
              <w:rPr>
                <w:sz w:val="20"/>
                <w:szCs w:val="20"/>
                <w:color w:val="auto"/>
              </w:rPr>
            </w:pPr>
            <w:r>
              <w:rPr>
                <w:rFonts w:ascii="Arial" w:cs="Arial" w:eastAsia="Arial" w:hAnsi="Arial"/>
                <w:sz w:val="18"/>
                <w:szCs w:val="18"/>
                <w:color w:val="auto"/>
              </w:rPr>
              <w:t>Restoration Plan</w:t>
            </w:r>
          </w:p>
        </w:tc>
        <w:tc>
          <w:tcPr>
            <w:tcW w:w="1260" w:type="dxa"/>
            <w:vAlign w:val="bottom"/>
            <w:shd w:val="clear" w:color="auto" w:fill="CBECD5"/>
          </w:tcPr>
          <w:p>
            <w:pPr>
              <w:jc w:val="right"/>
              <w:ind w:right="34"/>
              <w:spacing w:after="0"/>
              <w:rPr>
                <w:sz w:val="20"/>
                <w:szCs w:val="20"/>
                <w:color w:val="auto"/>
              </w:rPr>
            </w:pPr>
            <w:r>
              <w:rPr>
                <w:rFonts w:ascii="Arial" w:cs="Arial" w:eastAsia="Arial" w:hAnsi="Arial"/>
                <w:sz w:val="18"/>
                <w:szCs w:val="18"/>
                <w:color w:val="auto"/>
              </w:rPr>
              <w:t>7.9</w:t>
            </w:r>
          </w:p>
        </w:tc>
        <w:tc>
          <w:tcPr>
            <w:tcW w:w="1180" w:type="dxa"/>
            <w:vAlign w:val="bottom"/>
            <w:shd w:val="clear" w:color="auto" w:fill="CBECD5"/>
          </w:tcPr>
          <w:p>
            <w:pPr>
              <w:jc w:val="right"/>
              <w:ind w:right="36"/>
              <w:spacing w:after="0"/>
              <w:rPr>
                <w:sz w:val="20"/>
                <w:szCs w:val="20"/>
                <w:color w:val="auto"/>
              </w:rPr>
            </w:pPr>
            <w:r>
              <w:rPr>
                <w:rFonts w:ascii="Arial" w:cs="Arial" w:eastAsia="Arial" w:hAnsi="Arial"/>
                <w:sz w:val="18"/>
                <w:szCs w:val="18"/>
                <w:color w:val="auto"/>
              </w:rPr>
              <w:t>96,301</w:t>
            </w:r>
          </w:p>
        </w:tc>
        <w:tc>
          <w:tcPr>
            <w:tcW w:w="9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060" w:type="dxa"/>
            <w:vAlign w:val="bottom"/>
          </w:tcPr>
          <w:p>
            <w:pPr>
              <w:ind w:left="60"/>
              <w:spacing w:after="0"/>
              <w:rPr>
                <w:sz w:val="20"/>
                <w:szCs w:val="20"/>
                <w:color w:val="auto"/>
              </w:rPr>
            </w:pPr>
            <w:r>
              <w:rPr>
                <w:rFonts w:ascii="Arial" w:cs="Arial" w:eastAsia="Arial" w:hAnsi="Arial"/>
                <w:sz w:val="18"/>
                <w:szCs w:val="18"/>
                <w:color w:val="auto"/>
              </w:rPr>
              <w:t>Michael R. McCoy</w:t>
            </w:r>
          </w:p>
        </w:tc>
        <w:tc>
          <w:tcPr>
            <w:tcW w:w="3300" w:type="dxa"/>
            <w:vAlign w:val="bottom"/>
          </w:tcPr>
          <w:p>
            <w:pPr>
              <w:ind w:left="540"/>
              <w:spacing w:after="0"/>
              <w:rPr>
                <w:sz w:val="20"/>
                <w:szCs w:val="20"/>
                <w:color w:val="auto"/>
              </w:rPr>
            </w:pPr>
            <w:r>
              <w:rPr>
                <w:rFonts w:ascii="Arial" w:cs="Arial" w:eastAsia="Arial" w:hAnsi="Arial"/>
                <w:sz w:val="18"/>
                <w:szCs w:val="18"/>
                <w:color w:val="auto"/>
              </w:rPr>
              <w:t>Pension Plan</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171,543</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060" w:type="dxa"/>
            <w:vAlign w:val="bottom"/>
            <w:tcBorders>
              <w:bottom w:val="single" w:sz="8" w:color="53C072"/>
            </w:tcBorders>
          </w:tcPr>
          <w:p>
            <w:pPr>
              <w:spacing w:after="0"/>
              <w:rPr>
                <w:sz w:val="21"/>
                <w:szCs w:val="21"/>
                <w:color w:val="auto"/>
              </w:rPr>
            </w:pPr>
          </w:p>
        </w:tc>
        <w:tc>
          <w:tcPr>
            <w:tcW w:w="3300" w:type="dxa"/>
            <w:vAlign w:val="bottom"/>
            <w:tcBorders>
              <w:bottom w:val="single" w:sz="8" w:color="53C072"/>
            </w:tcBorders>
          </w:tcPr>
          <w:p>
            <w:pPr>
              <w:ind w:left="540"/>
              <w:spacing w:after="0"/>
              <w:rPr>
                <w:sz w:val="20"/>
                <w:szCs w:val="20"/>
                <w:color w:val="auto"/>
              </w:rPr>
            </w:pPr>
            <w:r>
              <w:rPr>
                <w:rFonts w:ascii="Arial" w:cs="Arial" w:eastAsia="Arial" w:hAnsi="Arial"/>
                <w:sz w:val="18"/>
                <w:szCs w:val="18"/>
                <w:color w:val="auto"/>
              </w:rPr>
              <w:t>Restoration Plan</w:t>
            </w:r>
          </w:p>
        </w:tc>
        <w:tc>
          <w:tcPr>
            <w:tcW w:w="1260" w:type="dxa"/>
            <w:vAlign w:val="bottom"/>
            <w:tcBorders>
              <w:bottom w:val="single" w:sz="8" w:color="53C072"/>
            </w:tcBorders>
          </w:tcPr>
          <w:p>
            <w:pPr>
              <w:jc w:val="right"/>
              <w:ind w:right="34"/>
              <w:spacing w:after="0"/>
              <w:rPr>
                <w:sz w:val="20"/>
                <w:szCs w:val="20"/>
                <w:color w:val="auto"/>
              </w:rPr>
            </w:pPr>
            <w:r>
              <w:rPr>
                <w:rFonts w:ascii="Arial" w:cs="Arial" w:eastAsia="Arial" w:hAnsi="Arial"/>
                <w:sz w:val="18"/>
                <w:szCs w:val="18"/>
                <w:color w:val="auto"/>
              </w:rPr>
              <w:t>9.5</w:t>
            </w:r>
          </w:p>
        </w:tc>
        <w:tc>
          <w:tcPr>
            <w:tcW w:w="1180" w:type="dxa"/>
            <w:vAlign w:val="bottom"/>
            <w:tcBorders>
              <w:bottom w:val="single" w:sz="8" w:color="53C072"/>
            </w:tcBorders>
          </w:tcPr>
          <w:p>
            <w:pPr>
              <w:jc w:val="right"/>
              <w:ind w:right="36"/>
              <w:spacing w:after="0"/>
              <w:rPr>
                <w:sz w:val="20"/>
                <w:szCs w:val="20"/>
                <w:color w:val="auto"/>
              </w:rPr>
            </w:pPr>
            <w:r>
              <w:rPr>
                <w:rFonts w:ascii="Arial" w:cs="Arial" w:eastAsia="Arial" w:hAnsi="Arial"/>
                <w:sz w:val="18"/>
                <w:szCs w:val="18"/>
                <w:color w:val="auto"/>
              </w:rPr>
              <w:t>108,853</w:t>
            </w:r>
          </w:p>
        </w:tc>
        <w:tc>
          <w:tcPr>
            <w:tcW w:w="96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w:t>
            </w:r>
          </w:p>
        </w:tc>
      </w:tr>
    </w:tbl>
    <w:p>
      <w:pPr>
        <w:spacing w:after="0" w:line="62" w:lineRule="exact"/>
        <w:rPr>
          <w:sz w:val="20"/>
          <w:szCs w:val="20"/>
          <w:color w:val="auto"/>
        </w:rPr>
      </w:pPr>
    </w:p>
    <w:p>
      <w:pPr>
        <w:ind w:left="1780" w:right="159" w:hanging="718"/>
        <w:spacing w:after="0" w:line="262" w:lineRule="auto"/>
        <w:tabs>
          <w:tab w:leader="none" w:pos="1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Pursuant to the terms of the Pension Plan and Restoration Plan, an employee must wait until the next open period after his or her start date before being credited with any years of service. No participant is credited with any additional years of service under the Pension Plan, Restoration Plan or the SERP beyond their actual years of service.</w:t>
      </w:r>
    </w:p>
    <w:p>
      <w:pPr>
        <w:spacing w:after="0" w:line="108" w:lineRule="exact"/>
        <w:rPr>
          <w:rFonts w:ascii="Arial" w:cs="Arial" w:eastAsia="Arial" w:hAnsi="Arial"/>
          <w:sz w:val="18"/>
          <w:szCs w:val="18"/>
          <w:color w:val="auto"/>
        </w:rPr>
      </w:pPr>
    </w:p>
    <w:p>
      <w:pPr>
        <w:ind w:left="1780" w:right="319" w:hanging="718"/>
        <w:spacing w:after="0" w:line="287" w:lineRule="auto"/>
        <w:tabs>
          <w:tab w:leader="none" w:pos="1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Only Mr. Gallagher was a participant in the SERP and he received his final payment under this Plan in fiscal 2023.</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POTENTIAL PAYOUTS UPON TERMINATION AND CHANGE OF CONTROL</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Severance Benefits and Change of Control Agreements</w:t>
      </w:r>
    </w:p>
    <w:p>
      <w:pPr>
        <w:spacing w:after="0" w:line="162" w:lineRule="exact"/>
        <w:rPr>
          <w:sz w:val="20"/>
          <w:szCs w:val="20"/>
          <w:color w:val="auto"/>
        </w:rPr>
      </w:pPr>
    </w:p>
    <w:p>
      <w:pPr>
        <w:ind w:left="1000" w:right="299"/>
        <w:spacing w:after="0" w:line="257" w:lineRule="auto"/>
        <w:rPr>
          <w:sz w:val="20"/>
          <w:szCs w:val="20"/>
          <w:color w:val="auto"/>
        </w:rPr>
      </w:pPr>
      <w:r>
        <w:rPr>
          <w:rFonts w:ascii="Arial" w:cs="Arial" w:eastAsia="Arial" w:hAnsi="Arial"/>
          <w:sz w:val="18"/>
          <w:szCs w:val="18"/>
          <w:b w:val="1"/>
          <w:bCs w:val="1"/>
          <w:color w:val="53C072"/>
        </w:rPr>
        <w:t xml:space="preserve">Severance Benefits. </w:t>
      </w:r>
      <w:r>
        <w:rPr>
          <w:rFonts w:ascii="Arial" w:cs="Arial" w:eastAsia="Arial" w:hAnsi="Arial"/>
          <w:sz w:val="18"/>
          <w:szCs w:val="18"/>
          <w:color w:val="000000"/>
        </w:rPr>
        <w:t>Each of the NEOs have entered into an employment agreement with the Company,</w:t>
      </w:r>
      <w:r>
        <w:rPr>
          <w:rFonts w:ascii="Arial" w:cs="Arial" w:eastAsia="Arial" w:hAnsi="Arial"/>
          <w:sz w:val="18"/>
          <w:szCs w:val="18"/>
          <w:b w:val="1"/>
          <w:bCs w:val="1"/>
          <w:color w:val="53C072"/>
        </w:rPr>
        <w:t xml:space="preserve"> </w:t>
      </w:r>
      <w:r>
        <w:rPr>
          <w:rFonts w:ascii="Arial" w:cs="Arial" w:eastAsia="Arial" w:hAnsi="Arial"/>
          <w:sz w:val="18"/>
          <w:szCs w:val="18"/>
          <w:color w:val="000000"/>
        </w:rPr>
        <w:t>which provide for severance benefits. Specifically, if the Company terminates an NEOs employment without cause, they will receive a lump sum equal to: (1) base annual salary and (2) target bonus for the year in which the termination occurs. “Cause” generally includes gross misconduct, breach of any material term of the agreement, willful breach, habitual neglect or wanton disregard of the executive’s duties, or conviction of any criminal act.</w:t>
      </w:r>
    </w:p>
    <w:p>
      <w:pPr>
        <w:spacing w:after="0" w:line="101" w:lineRule="exact"/>
        <w:rPr>
          <w:sz w:val="20"/>
          <w:szCs w:val="20"/>
          <w:color w:val="auto"/>
        </w:rPr>
      </w:pPr>
    </w:p>
    <w:p>
      <w:pPr>
        <w:ind w:left="1000" w:right="159"/>
        <w:spacing w:after="0" w:line="271" w:lineRule="auto"/>
        <w:rPr>
          <w:sz w:val="20"/>
          <w:szCs w:val="20"/>
          <w:color w:val="auto"/>
        </w:rPr>
      </w:pPr>
      <w:r>
        <w:rPr>
          <w:rFonts w:ascii="Arial" w:cs="Arial" w:eastAsia="Arial" w:hAnsi="Arial"/>
          <w:sz w:val="17"/>
          <w:szCs w:val="17"/>
          <w:b w:val="1"/>
          <w:bCs w:val="1"/>
          <w:color w:val="53C072"/>
        </w:rPr>
        <w:t xml:space="preserve">Change of Control Agreements. </w:t>
      </w:r>
      <w:r>
        <w:rPr>
          <w:rFonts w:ascii="Arial" w:cs="Arial" w:eastAsia="Arial" w:hAnsi="Arial"/>
          <w:sz w:val="17"/>
          <w:szCs w:val="17"/>
          <w:color w:val="000000"/>
        </w:rPr>
        <w:t>Each of the NEOs entered into a change of control agreement with the</w:t>
      </w:r>
      <w:r>
        <w:rPr>
          <w:rFonts w:ascii="Arial" w:cs="Arial" w:eastAsia="Arial" w:hAnsi="Arial"/>
          <w:sz w:val="17"/>
          <w:szCs w:val="17"/>
          <w:b w:val="1"/>
          <w:bCs w:val="1"/>
          <w:color w:val="53C072"/>
        </w:rPr>
        <w:t xml:space="preserve"> </w:t>
      </w:r>
      <w:r>
        <w:rPr>
          <w:rFonts w:ascii="Arial" w:cs="Arial" w:eastAsia="Arial" w:hAnsi="Arial"/>
          <w:sz w:val="17"/>
          <w:szCs w:val="17"/>
          <w:color w:val="000000"/>
        </w:rPr>
        <w:t>Company. If an NEO is actually or constructively terminated within 24 months of a change of control, the Company must pay the NEO all accrued base salary and pro-rata incentive payments, plus 2.99 times the sum of (i) the NEO’s then-current annual base salary and (ii) the NEO’s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 will be accelerated and delivered. No NEO is entitled to a tax gross-up for excise taxes related to payments made upon a change of control. The change of control agreements between the Company and the NEOs have provisions to ensure compliance with Section 409A of the Code, by deferring any payment due upon termination of employment for up to six months to the extent required by Section 409A.</w:t>
      </w:r>
    </w:p>
    <w:p>
      <w:pPr>
        <w:spacing w:after="0" w:line="1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62     </w:t>
      </w:r>
      <w:r>
        <w:rPr>
          <w:sz w:val="1"/>
          <w:szCs w:val="1"/>
          <w:color w:val="auto"/>
        </w:rPr>
        <w:drawing>
          <wp:inline distT="0" distB="0" distL="0" distR="0">
            <wp:extent cx="1242695" cy="24003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492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820" w:type="dxa"/>
            <w:vAlign w:val="bottom"/>
            <w:vMerge w:val="restart"/>
          </w:tcPr>
          <w:p>
            <w:pPr>
              <w:ind w:left="2580"/>
              <w:spacing w:after="0"/>
              <w:rPr>
                <w:sz w:val="20"/>
                <w:szCs w:val="20"/>
                <w:color w:val="auto"/>
              </w:rPr>
            </w:pPr>
            <w:r>
              <w:rPr>
                <w:rFonts w:ascii="Arial" w:cs="Arial" w:eastAsia="Arial" w:hAnsi="Arial"/>
                <w:sz w:val="14"/>
                <w:szCs w:val="14"/>
                <w:color w:val="auto"/>
                <w:w w:val="99"/>
              </w:rPr>
              <w:t>Compensation of Executive Officers</w:t>
            </w:r>
          </w:p>
        </w:tc>
        <w:tc>
          <w:tcPr>
            <w:tcW w:w="0" w:type="dxa"/>
            <w:vAlign w:val="bottom"/>
          </w:tcPr>
          <w:p>
            <w:pPr>
              <w:spacing w:after="0"/>
              <w:rPr>
                <w:sz w:val="1"/>
                <w:szCs w:val="1"/>
                <w:color w:val="auto"/>
              </w:rPr>
            </w:pPr>
          </w:p>
        </w:tc>
      </w:tr>
      <w:tr>
        <w:trPr>
          <w:trHeight w:val="89"/>
        </w:trPr>
        <w:tc>
          <w:tcPr>
            <w:tcW w:w="4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920" w:type="dxa"/>
            <w:vAlign w:val="bottom"/>
            <w:vMerge w:val="continue"/>
          </w:tcPr>
          <w:p>
            <w:pPr>
              <w:spacing w:after="0"/>
              <w:rPr>
                <w:sz w:val="11"/>
                <w:szCs w:val="11"/>
                <w:color w:val="auto"/>
              </w:rPr>
            </w:pPr>
          </w:p>
        </w:tc>
        <w:tc>
          <w:tcPr>
            <w:tcW w:w="4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239"/>
        <w:spacing w:after="0" w:line="255" w:lineRule="auto"/>
        <w:rPr>
          <w:sz w:val="20"/>
          <w:szCs w:val="20"/>
          <w:color w:val="auto"/>
        </w:rPr>
      </w:pPr>
      <w:r>
        <w:rPr>
          <w:rFonts w:ascii="Arial" w:cs="Arial" w:eastAsia="Arial" w:hAnsi="Arial"/>
          <w:sz w:val="18"/>
          <w:szCs w:val="18"/>
          <w:color w:val="auto"/>
        </w:rPr>
        <w:t>A constructive termination includes a material diminution in the NEO’s responsibilities, a material change in the geographic location at which the NEO is primarily required to perform services, a material reduction in the NEO’s base compensation, or any other action or inaction that constitutes a material breach by the Company under its employment agreement with the NEO. A change of control includes (i) the acquisition of voting or dispositive power with respect to 50% or more of the outstanding shares of the Company’s Common Stock, (ii) a change in the individuals serving on the Board of Directors so that those serving on the effective date of the applicable agreement and those persons appointed by such individuals to the Board no longer constitute a majority of the Board, or (iii) shareholder approval of a liquidation, dissolution or sale of substantially all of the assets of the Company.</w:t>
      </w:r>
    </w:p>
    <w:p>
      <w:pPr>
        <w:spacing w:after="0" w:line="113" w:lineRule="exact"/>
        <w:rPr>
          <w:sz w:val="20"/>
          <w:szCs w:val="20"/>
          <w:color w:val="auto"/>
        </w:rPr>
      </w:pPr>
    </w:p>
    <w:p>
      <w:pPr>
        <w:ind w:left="1000" w:right="139"/>
        <w:spacing w:after="0" w:line="257" w:lineRule="auto"/>
        <w:rPr>
          <w:sz w:val="20"/>
          <w:szCs w:val="20"/>
          <w:color w:val="auto"/>
        </w:rPr>
      </w:pPr>
      <w:r>
        <w:rPr>
          <w:rFonts w:ascii="Arial" w:cs="Arial" w:eastAsia="Arial" w:hAnsi="Arial"/>
          <w:sz w:val="18"/>
          <w:szCs w:val="18"/>
          <w:b w:val="1"/>
          <w:bCs w:val="1"/>
          <w:color w:val="53C072"/>
        </w:rPr>
        <w:t xml:space="preserve">Potential Payouts upon Termination Table. </w:t>
      </w:r>
      <w:r>
        <w:rPr>
          <w:rFonts w:ascii="Arial" w:cs="Arial" w:eastAsia="Arial" w:hAnsi="Arial"/>
          <w:sz w:val="18"/>
          <w:szCs w:val="18"/>
          <w:color w:val="000000"/>
        </w:rPr>
        <w:t>The following table sets forth the estimated payments and value</w:t>
      </w:r>
      <w:r>
        <w:rPr>
          <w:rFonts w:ascii="Arial" w:cs="Arial" w:eastAsia="Arial" w:hAnsi="Arial"/>
          <w:sz w:val="18"/>
          <w:szCs w:val="18"/>
          <w:b w:val="1"/>
          <w:bCs w:val="1"/>
          <w:color w:val="53C072"/>
        </w:rPr>
        <w:t xml:space="preserve"> </w:t>
      </w:r>
      <w:r>
        <w:rPr>
          <w:rFonts w:ascii="Arial" w:cs="Arial" w:eastAsia="Arial" w:hAnsi="Arial"/>
          <w:sz w:val="18"/>
          <w:szCs w:val="18"/>
          <w:color w:val="000000"/>
        </w:rPr>
        <w:t>of benefits that each of the NEOs would be entitled to receive under their employment agreements, change of control agreements, and equity plans, in the event of the termination of their employment under various scenarios. The table assumes that the termination occurred on June 29, 2024, which is the Company’s fiscal year end. The market value of the stock awards is based on the closing market price of the Company’s Common Stock as of June 29, 2024, which was $51.49.</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in this section:</w:t>
      </w:r>
    </w:p>
    <w:p>
      <w:pPr>
        <w:spacing w:after="0" w:line="117" w:lineRule="exact"/>
        <w:rPr>
          <w:sz w:val="20"/>
          <w:szCs w:val="20"/>
          <w:color w:val="auto"/>
        </w:rPr>
      </w:pPr>
    </w:p>
    <w:p>
      <w:pPr>
        <w:ind w:left="1540" w:hanging="190"/>
        <w:spacing w:after="0"/>
        <w:tabs>
          <w:tab w:leader="none" w:pos="1540" w:val="left"/>
        </w:tabs>
        <w:numPr>
          <w:ilvl w:val="0"/>
          <w:numId w:val="62"/>
        </w:numPr>
        <w:rPr>
          <w:rFonts w:ascii="Arial" w:cs="Arial" w:eastAsia="Arial" w:hAnsi="Arial"/>
          <w:sz w:val="18"/>
          <w:szCs w:val="18"/>
          <w:color w:val="53C072"/>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an NEO’s death;</w:t>
      </w:r>
    </w:p>
    <w:p>
      <w:pPr>
        <w:spacing w:after="0" w:line="117" w:lineRule="exact"/>
        <w:rPr>
          <w:rFonts w:ascii="Arial" w:cs="Arial" w:eastAsia="Arial" w:hAnsi="Arial"/>
          <w:sz w:val="18"/>
          <w:szCs w:val="18"/>
          <w:color w:val="53C072"/>
        </w:rPr>
      </w:pPr>
    </w:p>
    <w:p>
      <w:pPr>
        <w:ind w:left="1540" w:hanging="190"/>
        <w:spacing w:after="0"/>
        <w:tabs>
          <w:tab w:leader="none" w:pos="1540" w:val="left"/>
        </w:tabs>
        <w:numPr>
          <w:ilvl w:val="0"/>
          <w:numId w:val="62"/>
        </w:numPr>
        <w:rPr>
          <w:rFonts w:ascii="Arial" w:cs="Arial" w:eastAsia="Arial" w:hAnsi="Arial"/>
          <w:sz w:val="17"/>
          <w:szCs w:val="17"/>
          <w:color w:val="53C072"/>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refers to an NEO’s permanent and total disability during the term of the NEO’s employment;</w:t>
      </w:r>
    </w:p>
    <w:p>
      <w:pPr>
        <w:spacing w:after="0" w:line="128" w:lineRule="exact"/>
        <w:rPr>
          <w:rFonts w:ascii="Arial" w:cs="Arial" w:eastAsia="Arial" w:hAnsi="Arial"/>
          <w:sz w:val="17"/>
          <w:szCs w:val="17"/>
          <w:color w:val="53C072"/>
        </w:rPr>
      </w:pPr>
    </w:p>
    <w:p>
      <w:pPr>
        <w:ind w:left="1540" w:right="239" w:hanging="190"/>
        <w:spacing w:after="0" w:line="287" w:lineRule="auto"/>
        <w:tabs>
          <w:tab w:leader="none" w:pos="1540" w:val="left"/>
        </w:tabs>
        <w:numPr>
          <w:ilvl w:val="0"/>
          <w:numId w:val="62"/>
        </w:numPr>
        <w:rPr>
          <w:rFonts w:ascii="Arial" w:cs="Arial" w:eastAsia="Arial" w:hAnsi="Arial"/>
          <w:sz w:val="18"/>
          <w:szCs w:val="18"/>
          <w:color w:val="53C072"/>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NEO is fired without cause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44" w:lineRule="exact"/>
        <w:rPr>
          <w:rFonts w:ascii="Arial" w:cs="Arial" w:eastAsia="Arial" w:hAnsi="Arial"/>
          <w:sz w:val="18"/>
          <w:szCs w:val="18"/>
          <w:color w:val="53C072"/>
        </w:rPr>
      </w:pPr>
    </w:p>
    <w:p>
      <w:pPr>
        <w:ind w:left="1540" w:right="959" w:hanging="190"/>
        <w:spacing w:after="0" w:line="287" w:lineRule="auto"/>
        <w:tabs>
          <w:tab w:leader="none" w:pos="1540" w:val="left"/>
        </w:tabs>
        <w:numPr>
          <w:ilvl w:val="0"/>
          <w:numId w:val="62"/>
        </w:numPr>
        <w:rPr>
          <w:rFonts w:ascii="Arial" w:cs="Arial" w:eastAsia="Arial" w:hAnsi="Arial"/>
          <w:sz w:val="18"/>
          <w:szCs w:val="18"/>
          <w:color w:val="53C072"/>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constructive termination of the NEO within 24 months of the change; and</w:t>
      </w:r>
    </w:p>
    <w:p>
      <w:pPr>
        <w:spacing w:after="0" w:line="44" w:lineRule="exact"/>
        <w:rPr>
          <w:rFonts w:ascii="Arial" w:cs="Arial" w:eastAsia="Arial" w:hAnsi="Arial"/>
          <w:sz w:val="18"/>
          <w:szCs w:val="18"/>
          <w:color w:val="53C072"/>
        </w:rPr>
      </w:pPr>
    </w:p>
    <w:p>
      <w:pPr>
        <w:ind w:left="1540" w:hanging="190"/>
        <w:spacing w:after="0"/>
        <w:tabs>
          <w:tab w:leader="none" w:pos="1540" w:val="left"/>
        </w:tabs>
        <w:numPr>
          <w:ilvl w:val="0"/>
          <w:numId w:val="62"/>
        </w:numPr>
        <w:rPr>
          <w:rFonts w:ascii="Arial" w:cs="Arial" w:eastAsia="Arial" w:hAnsi="Arial"/>
          <w:sz w:val="18"/>
          <w:szCs w:val="18"/>
          <w:color w:val="53C072"/>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for the purpose of determining benefit under the stock plans, means all the following:</w:t>
      </w:r>
    </w:p>
    <w:p>
      <w:pPr>
        <w:spacing w:after="0" w:line="27" w:lineRule="exact"/>
        <w:rPr>
          <w:rFonts w:ascii="Arial" w:cs="Arial" w:eastAsia="Arial" w:hAnsi="Arial"/>
          <w:sz w:val="18"/>
          <w:szCs w:val="18"/>
          <w:color w:val="53C072"/>
        </w:rPr>
      </w:pPr>
    </w:p>
    <w:p>
      <w:pPr>
        <w:ind w:left="1540" w:right="199"/>
        <w:spacing w:after="0" w:line="266" w:lineRule="auto"/>
        <w:rPr>
          <w:rFonts w:ascii="Arial" w:cs="Arial" w:eastAsia="Arial" w:hAnsi="Arial"/>
          <w:sz w:val="18"/>
          <w:szCs w:val="18"/>
          <w:color w:val="53C072"/>
        </w:rPr>
      </w:pPr>
      <w:r>
        <w:rPr>
          <w:rFonts w:ascii="Arial" w:cs="Arial" w:eastAsia="Arial" w:hAnsi="Arial"/>
          <w:sz w:val="18"/>
          <w:szCs w:val="18"/>
          <w:color w:val="auto"/>
        </w:rPr>
        <w:t>(a) age 55, (b) five years of service, (c) age plus years of service is equal to at least 65, and (d) the NEO must have signed a non-compete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81"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Pr>
          <w:p>
            <w:pPr>
              <w:ind w:left="34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5"/>
            <w:vMerge w:val="restart"/>
          </w:tcPr>
          <w:p>
            <w:pPr>
              <w:jc w:val="right"/>
              <w:ind w:right="392"/>
              <w:spacing w:after="0"/>
              <w:rPr>
                <w:sz w:val="20"/>
                <w:szCs w:val="20"/>
                <w:color w:val="auto"/>
              </w:rPr>
            </w:pPr>
            <w:r>
              <w:rPr>
                <w:rFonts w:ascii="Arial" w:cs="Arial" w:eastAsia="Arial" w:hAnsi="Arial"/>
                <w:sz w:val="14"/>
                <w:szCs w:val="14"/>
                <w:color w:val="auto"/>
              </w:rPr>
              <w:t>Compensation of Executive Officers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3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PROXY STATEMENT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8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432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680" w:type="dxa"/>
            <w:vAlign w:val="bottom"/>
            <w:shd w:val="clear" w:color="auto" w:fill="53C072"/>
          </w:tcPr>
          <w:p>
            <w:pPr>
              <w:spacing w:after="0"/>
              <w:rPr>
                <w:sz w:val="16"/>
                <w:szCs w:val="16"/>
                <w:color w:val="auto"/>
              </w:rPr>
            </w:pPr>
          </w:p>
        </w:tc>
        <w:tc>
          <w:tcPr>
            <w:tcW w:w="12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72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200" w:type="dxa"/>
            <w:vAlign w:val="bottom"/>
            <w:shd w:val="clear" w:color="auto" w:fill="53C072"/>
          </w:tcPr>
          <w:p>
            <w:pPr>
              <w:spacing w:after="0"/>
              <w:rPr>
                <w:sz w:val="16"/>
                <w:szCs w:val="16"/>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Company</w:t>
            </w:r>
          </w:p>
        </w:tc>
        <w:tc>
          <w:tcPr>
            <w:tcW w:w="280" w:type="dxa"/>
            <w:vAlign w:val="bottom"/>
            <w:shd w:val="clear" w:color="auto" w:fill="53C072"/>
          </w:tcPr>
          <w:p>
            <w:pPr>
              <w:spacing w:after="0"/>
              <w:rPr>
                <w:sz w:val="16"/>
                <w:szCs w:val="16"/>
                <w:color w:val="auto"/>
              </w:rPr>
            </w:pPr>
          </w:p>
        </w:tc>
        <w:tc>
          <w:tcPr>
            <w:tcW w:w="740" w:type="dxa"/>
            <w:vAlign w:val="bottom"/>
            <w:shd w:val="clear" w:color="auto" w:fill="53C072"/>
          </w:tcPr>
          <w:p>
            <w:pPr>
              <w:spacing w:after="0"/>
              <w:rPr>
                <w:sz w:val="16"/>
                <w:szCs w:val="16"/>
                <w:color w:val="auto"/>
              </w:rPr>
            </w:pPr>
          </w:p>
        </w:tc>
        <w:tc>
          <w:tcPr>
            <w:tcW w:w="320" w:type="dxa"/>
            <w:vAlign w:val="bottom"/>
            <w:shd w:val="clear" w:color="auto" w:fill="53C072"/>
          </w:tcPr>
          <w:p>
            <w:pPr>
              <w:spacing w:after="0"/>
              <w:rPr>
                <w:sz w:val="16"/>
                <w:szCs w:val="16"/>
                <w:color w:val="auto"/>
              </w:rPr>
            </w:pPr>
          </w:p>
        </w:tc>
        <w:tc>
          <w:tcPr>
            <w:tcW w:w="760" w:type="dxa"/>
            <w:vAlign w:val="bottom"/>
            <w:tcBorders>
              <w:right w:val="single" w:sz="8" w:color="53C072"/>
            </w:tcBorders>
            <w:shd w:val="clear" w:color="auto" w:fill="53C07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432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68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7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98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Termination</w:t>
            </w:r>
          </w:p>
        </w:tc>
        <w:tc>
          <w:tcPr>
            <w:tcW w:w="280" w:type="dxa"/>
            <w:vAlign w:val="bottom"/>
            <w:shd w:val="clear" w:color="auto" w:fill="53C072"/>
          </w:tcPr>
          <w:p>
            <w:pPr>
              <w:spacing w:after="0"/>
              <w:rPr>
                <w:sz w:val="14"/>
                <w:szCs w:val="14"/>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w w:val="99"/>
              </w:rPr>
              <w:t>Change of</w:t>
            </w:r>
          </w:p>
        </w:tc>
        <w:tc>
          <w:tcPr>
            <w:tcW w:w="320" w:type="dxa"/>
            <w:vAlign w:val="bottom"/>
            <w:shd w:val="clear" w:color="auto" w:fill="53C072"/>
          </w:tcPr>
          <w:p>
            <w:pPr>
              <w:spacing w:after="0"/>
              <w:rPr>
                <w:sz w:val="14"/>
                <w:szCs w:val="14"/>
                <w:color w:val="auto"/>
              </w:rPr>
            </w:pPr>
          </w:p>
        </w:tc>
        <w:tc>
          <w:tcPr>
            <w:tcW w:w="760" w:type="dxa"/>
            <w:vAlign w:val="bottom"/>
            <w:tcBorders>
              <w:right w:val="single" w:sz="8" w:color="53C072"/>
            </w:tcBorders>
            <w:shd w:val="clear" w:color="auto" w:fill="53C07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432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68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100" w:type="dxa"/>
            <w:vAlign w:val="bottom"/>
            <w:shd w:val="clear" w:color="auto" w:fill="53C072"/>
          </w:tcPr>
          <w:p>
            <w:pPr>
              <w:spacing w:after="0"/>
              <w:rPr>
                <w:sz w:val="14"/>
                <w:szCs w:val="14"/>
                <w:color w:val="auto"/>
              </w:rPr>
            </w:pPr>
          </w:p>
        </w:tc>
        <w:tc>
          <w:tcPr>
            <w:tcW w:w="7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Disability</w:t>
            </w:r>
          </w:p>
        </w:tc>
        <w:tc>
          <w:tcPr>
            <w:tcW w:w="100" w:type="dxa"/>
            <w:vAlign w:val="bottom"/>
            <w:shd w:val="clear" w:color="auto" w:fill="53C072"/>
          </w:tcPr>
          <w:p>
            <w:pPr>
              <w:spacing w:after="0"/>
              <w:rPr>
                <w:sz w:val="14"/>
                <w:szCs w:val="14"/>
                <w:color w:val="auto"/>
              </w:rPr>
            </w:pPr>
          </w:p>
        </w:tc>
        <w:tc>
          <w:tcPr>
            <w:tcW w:w="200" w:type="dxa"/>
            <w:vAlign w:val="bottom"/>
            <w:shd w:val="clear" w:color="auto" w:fill="53C072"/>
          </w:tcPr>
          <w:p>
            <w:pPr>
              <w:spacing w:after="0"/>
              <w:rPr>
                <w:sz w:val="14"/>
                <w:szCs w:val="14"/>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w/o Cause</w:t>
            </w:r>
          </w:p>
        </w:tc>
        <w:tc>
          <w:tcPr>
            <w:tcW w:w="280" w:type="dxa"/>
            <w:vAlign w:val="bottom"/>
            <w:shd w:val="clear" w:color="auto" w:fill="53C072"/>
          </w:tcPr>
          <w:p>
            <w:pPr>
              <w:spacing w:after="0"/>
              <w:rPr>
                <w:sz w:val="14"/>
                <w:szCs w:val="14"/>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Control</w:t>
            </w:r>
          </w:p>
        </w:tc>
        <w:tc>
          <w:tcPr>
            <w:tcW w:w="1080" w:type="dxa"/>
            <w:vAlign w:val="bottom"/>
            <w:tcBorders>
              <w:right w:val="single" w:sz="8" w:color="53C072"/>
            </w:tcBorders>
            <w:gridSpan w:val="2"/>
            <w:shd w:val="clear" w:color="auto" w:fill="53C072"/>
          </w:tcPr>
          <w:p>
            <w:pPr>
              <w:ind w:left="240"/>
              <w:spacing w:after="0"/>
              <w:rPr>
                <w:sz w:val="20"/>
                <w:szCs w:val="20"/>
                <w:color w:val="auto"/>
              </w:rPr>
            </w:pPr>
            <w:r>
              <w:rPr>
                <w:rFonts w:ascii="Arial" w:cs="Arial" w:eastAsia="Arial" w:hAnsi="Arial"/>
                <w:sz w:val="14"/>
                <w:szCs w:val="14"/>
                <w:b w:val="1"/>
                <w:bCs w:val="1"/>
                <w:color w:val="FEFEFE"/>
              </w:rPr>
              <w:t>Retirement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w:t>
            </w:r>
          </w:p>
        </w:tc>
        <w:tc>
          <w:tcPr>
            <w:tcW w:w="4320" w:type="dxa"/>
            <w:vAlign w:val="bottom"/>
            <w:shd w:val="clear" w:color="auto" w:fill="53C072"/>
          </w:tcPr>
          <w:p>
            <w:pPr>
              <w:spacing w:after="0"/>
              <w:rPr>
                <w:sz w:val="14"/>
                <w:szCs w:val="14"/>
                <w:color w:val="auto"/>
              </w:rPr>
            </w:pPr>
          </w:p>
        </w:tc>
        <w:tc>
          <w:tcPr>
            <w:tcW w:w="120" w:type="dxa"/>
            <w:vAlign w:val="bottom"/>
            <w:shd w:val="clear" w:color="auto" w:fill="53C072"/>
          </w:tcPr>
          <w:p>
            <w:pPr>
              <w:spacing w:after="0"/>
              <w:rPr>
                <w:sz w:val="14"/>
                <w:szCs w:val="14"/>
                <w:color w:val="auto"/>
              </w:rPr>
            </w:pPr>
          </w:p>
        </w:tc>
        <w:tc>
          <w:tcPr>
            <w:tcW w:w="220" w:type="dxa"/>
            <w:vAlign w:val="bottom"/>
            <w:gridSpan w:val="2"/>
            <w:shd w:val="clear" w:color="auto" w:fill="53C072"/>
          </w:tcPr>
          <w:p>
            <w:pPr>
              <w:spacing w:after="0"/>
              <w:rPr>
                <w:sz w:val="20"/>
                <w:szCs w:val="20"/>
                <w:color w:val="auto"/>
              </w:rPr>
            </w:pPr>
            <w:r>
              <w:rPr>
                <w:rFonts w:ascii="Arial" w:cs="Arial" w:eastAsia="Arial" w:hAnsi="Arial"/>
                <w:sz w:val="14"/>
                <w:szCs w:val="14"/>
                <w:b w:val="1"/>
                <w:bCs w:val="1"/>
                <w:color w:val="FEFEFE"/>
              </w:rPr>
              <w:t>​ ​</w:t>
            </w: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Death ($)</w:t>
            </w:r>
          </w:p>
        </w:tc>
        <w:tc>
          <w:tcPr>
            <w:tcW w:w="120" w:type="dxa"/>
            <w:vAlign w:val="bottom"/>
            <w:shd w:val="clear" w:color="auto" w:fill="53C072"/>
          </w:tcPr>
          <w:p>
            <w:pPr>
              <w:spacing w:after="0"/>
              <w:rPr>
                <w:sz w:val="14"/>
                <w:szCs w:val="14"/>
                <w:color w:val="auto"/>
              </w:rPr>
            </w:pPr>
          </w:p>
        </w:tc>
        <w:tc>
          <w:tcPr>
            <w:tcW w:w="200" w:type="dxa"/>
            <w:vAlign w:val="bottom"/>
            <w:gridSpan w:val="2"/>
            <w:shd w:val="clear" w:color="auto" w:fill="53C072"/>
          </w:tcPr>
          <w:p>
            <w:pPr>
              <w:spacing w:after="0"/>
              <w:rPr>
                <w:sz w:val="20"/>
                <w:szCs w:val="20"/>
                <w:color w:val="auto"/>
              </w:rPr>
            </w:pPr>
            <w:r>
              <w:rPr>
                <w:rFonts w:ascii="Arial" w:cs="Arial" w:eastAsia="Arial" w:hAnsi="Arial"/>
                <w:sz w:val="14"/>
                <w:szCs w:val="14"/>
                <w:b w:val="1"/>
                <w:bCs w:val="1"/>
                <w:color w:val="FEFEFE"/>
              </w:rPr>
              <w:t>​ ​</w:t>
            </w:r>
          </w:p>
        </w:tc>
        <w:tc>
          <w:tcPr>
            <w:tcW w:w="7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100" w:type="dxa"/>
            <w:vAlign w:val="bottom"/>
            <w:shd w:val="clear" w:color="auto" w:fill="53C072"/>
          </w:tcPr>
          <w:p>
            <w:pPr>
              <w:spacing w:after="0"/>
              <w:rPr>
                <w:sz w:val="14"/>
                <w:szCs w:val="14"/>
                <w:color w:val="auto"/>
              </w:rPr>
            </w:pPr>
          </w:p>
        </w:tc>
        <w:tc>
          <w:tcPr>
            <w:tcW w:w="200" w:type="dxa"/>
            <w:vAlign w:val="bottom"/>
            <w:shd w:val="clear" w:color="auto" w:fill="53C072"/>
          </w:tcPr>
          <w:p>
            <w:pPr>
              <w:ind w:left="20"/>
              <w:spacing w:after="0"/>
              <w:rPr>
                <w:sz w:val="20"/>
                <w:szCs w:val="20"/>
                <w:color w:val="auto"/>
              </w:rPr>
            </w:pPr>
            <w:r>
              <w:rPr>
                <w:rFonts w:ascii="Arial" w:cs="Arial" w:eastAsia="Arial" w:hAnsi="Arial"/>
                <w:sz w:val="14"/>
                <w:szCs w:val="14"/>
                <w:b w:val="1"/>
                <w:bCs w:val="1"/>
                <w:color w:val="FEFEFE"/>
              </w:rPr>
              <w:t>​ ​</w:t>
            </w: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2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20" w:type="dxa"/>
            <w:vAlign w:val="bottom"/>
            <w:shd w:val="clear" w:color="auto" w:fill="53C072"/>
          </w:tcPr>
          <w:p>
            <w:pPr>
              <w:ind w:left="120"/>
              <w:spacing w:after="0"/>
              <w:rPr>
                <w:sz w:val="20"/>
                <w:szCs w:val="20"/>
                <w:color w:val="auto"/>
              </w:rPr>
            </w:pPr>
            <w:r>
              <w:rPr>
                <w:rFonts w:ascii="Arial" w:cs="Arial" w:eastAsia="Arial" w:hAnsi="Arial"/>
                <w:sz w:val="14"/>
                <w:szCs w:val="14"/>
                <w:b w:val="1"/>
                <w:bCs w:val="1"/>
                <w:color w:val="FEFEFE"/>
              </w:rPr>
              <w:t>​ ​</w:t>
            </w:r>
          </w:p>
        </w:tc>
        <w:tc>
          <w:tcPr>
            <w:tcW w:w="760" w:type="dxa"/>
            <w:vAlign w:val="bottom"/>
            <w:tcBorders>
              <w:right w:val="single" w:sz="8" w:color="53C072"/>
            </w:tcBorders>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spacing w:after="0" w:line="149" w:lineRule="exact"/>
              <w:rPr>
                <w:sz w:val="20"/>
                <w:szCs w:val="20"/>
                <w:color w:val="auto"/>
              </w:rPr>
            </w:pPr>
            <w:r>
              <w:rPr>
                <w:rFonts w:ascii="Arial" w:cs="Arial" w:eastAsia="Arial" w:hAnsi="Arial"/>
                <w:sz w:val="17"/>
                <w:szCs w:val="17"/>
                <w:color w:val="auto"/>
              </w:rPr>
              <w:t>​ ​</w:t>
            </w:r>
          </w:p>
        </w:tc>
        <w:tc>
          <w:tcPr>
            <w:tcW w:w="680" w:type="dxa"/>
            <w:vAlign w:val="bottom"/>
          </w:tcPr>
          <w:p>
            <w:pPr>
              <w:spacing w:after="0"/>
              <w:rPr>
                <w:sz w:val="12"/>
                <w:szCs w:val="12"/>
                <w:color w:val="auto"/>
              </w:rPr>
            </w:pPr>
          </w:p>
        </w:tc>
        <w:tc>
          <w:tcPr>
            <w:tcW w:w="320" w:type="dxa"/>
            <w:vAlign w:val="bottom"/>
            <w:gridSpan w:val="3"/>
          </w:tcPr>
          <w:p>
            <w:pPr>
              <w:jc w:val="right"/>
              <w:spacing w:after="0" w:line="149" w:lineRule="exact"/>
              <w:rPr>
                <w:sz w:val="20"/>
                <w:szCs w:val="20"/>
                <w:color w:val="auto"/>
              </w:rPr>
            </w:pPr>
            <w:r>
              <w:rPr>
                <w:rFonts w:ascii="Arial" w:cs="Arial" w:eastAsia="Arial" w:hAnsi="Arial"/>
                <w:sz w:val="17"/>
                <w:szCs w:val="17"/>
                <w:color w:val="auto"/>
              </w:rPr>
              <w:t>​ ​ ​</w:t>
            </w:r>
          </w:p>
        </w:tc>
        <w:tc>
          <w:tcPr>
            <w:tcW w:w="720" w:type="dxa"/>
            <w:vAlign w:val="bottom"/>
          </w:tcPr>
          <w:p>
            <w:pPr>
              <w:spacing w:after="0"/>
              <w:rPr>
                <w:sz w:val="12"/>
                <w:szCs w:val="12"/>
                <w:color w:val="auto"/>
              </w:rPr>
            </w:pPr>
          </w:p>
        </w:tc>
        <w:tc>
          <w:tcPr>
            <w:tcW w:w="300" w:type="dxa"/>
            <w:vAlign w:val="bottom"/>
            <w:gridSpan w:val="2"/>
          </w:tcPr>
          <w:p>
            <w:pPr>
              <w:spacing w:after="0" w:line="149" w:lineRule="exact"/>
              <w:rPr>
                <w:sz w:val="20"/>
                <w:szCs w:val="20"/>
                <w:color w:val="auto"/>
              </w:rPr>
            </w:pPr>
            <w:r>
              <w:rPr>
                <w:rFonts w:ascii="Arial" w:cs="Arial" w:eastAsia="Arial" w:hAnsi="Arial"/>
                <w:sz w:val="17"/>
                <w:szCs w:val="17"/>
                <w:color w:val="auto"/>
              </w:rPr>
              <w:t>​ ​ ​</w:t>
            </w:r>
          </w:p>
        </w:tc>
        <w:tc>
          <w:tcPr>
            <w:tcW w:w="7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740" w:type="dxa"/>
            <w:vAlign w:val="bottom"/>
          </w:tcPr>
          <w:p>
            <w:pPr>
              <w:spacing w:after="0"/>
              <w:rPr>
                <w:sz w:val="12"/>
                <w:szCs w:val="12"/>
                <w:color w:val="auto"/>
              </w:rPr>
            </w:pPr>
          </w:p>
        </w:tc>
        <w:tc>
          <w:tcPr>
            <w:tcW w:w="320" w:type="dxa"/>
            <w:vAlign w:val="bottom"/>
          </w:tcPr>
          <w:p>
            <w:pPr>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4440" w:type="dxa"/>
            <w:vAlign w:val="bottom"/>
            <w:gridSpan w:val="2"/>
          </w:tcPr>
          <w:p>
            <w:pPr>
              <w:spacing w:after="0"/>
              <w:rPr>
                <w:sz w:val="20"/>
                <w:szCs w:val="20"/>
                <w:color w:val="auto"/>
              </w:rPr>
            </w:pPr>
            <w:r>
              <w:rPr>
                <w:rFonts w:ascii="Arial" w:cs="Arial" w:eastAsia="Arial" w:hAnsi="Arial"/>
                <w:sz w:val="4"/>
                <w:szCs w:val="4"/>
                <w:color w:val="auto"/>
              </w:rPr>
              <w:t>Philip R. Gallagher</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(1)</w:t>
            </w:r>
          </w:p>
        </w:tc>
        <w:tc>
          <w:tcPr>
            <w:tcW w:w="1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gridSpan w:val="2"/>
          </w:tcPr>
          <w:p>
            <w:pPr>
              <w:ind w:left="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3,000,000</w:t>
            </w:r>
          </w:p>
        </w:tc>
        <w:tc>
          <w:tcPr>
            <w:tcW w:w="10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8,970,000</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120" w:type="dxa"/>
            <w:vAlign w:val="bottom"/>
          </w:tcPr>
          <w:p>
            <w:pPr>
              <w:spacing w:after="0"/>
              <w:rPr>
                <w:sz w:val="19"/>
                <w:szCs w:val="19"/>
                <w:color w:val="auto"/>
              </w:rPr>
            </w:pPr>
          </w:p>
        </w:tc>
        <w:tc>
          <w:tcPr>
            <w:tcW w:w="900" w:type="dxa"/>
            <w:vAlign w:val="bottom"/>
            <w:gridSpan w:val="3"/>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5,133,301</w:t>
            </w:r>
          </w:p>
        </w:tc>
        <w:tc>
          <w:tcPr>
            <w:tcW w:w="120" w:type="dxa"/>
            <w:vAlign w:val="bottom"/>
          </w:tcPr>
          <w:p>
            <w:pPr>
              <w:spacing w:after="0"/>
              <w:rPr>
                <w:sz w:val="19"/>
                <w:szCs w:val="19"/>
                <w:color w:val="auto"/>
              </w:rPr>
            </w:pPr>
          </w:p>
        </w:tc>
        <w:tc>
          <w:tcPr>
            <w:tcW w:w="920" w:type="dxa"/>
            <w:vAlign w:val="bottom"/>
            <w:gridSpan w:val="3"/>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5,133,301</w:t>
            </w:r>
          </w:p>
        </w:tc>
        <w:tc>
          <w:tcPr>
            <w:tcW w:w="100" w:type="dxa"/>
            <w:vAlign w:val="bottom"/>
          </w:tcPr>
          <w:p>
            <w:pPr>
              <w:spacing w:after="0"/>
              <w:rPr>
                <w:sz w:val="19"/>
                <w:szCs w:val="19"/>
                <w:color w:val="auto"/>
              </w:rPr>
            </w:pPr>
          </w:p>
        </w:tc>
        <w:tc>
          <w:tcPr>
            <w:tcW w:w="980" w:type="dxa"/>
            <w:vAlign w:val="bottom"/>
            <w:gridSpan w:val="2"/>
          </w:tcPr>
          <w:p>
            <w:pPr>
              <w:ind w:left="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5,133,301</w:t>
            </w:r>
          </w:p>
        </w:tc>
        <w:tc>
          <w:tcPr>
            <w:tcW w:w="10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5,133,301</w:t>
            </w:r>
          </w:p>
        </w:tc>
        <w:tc>
          <w:tcPr>
            <w:tcW w:w="1080" w:type="dxa"/>
            <w:vAlign w:val="bottom"/>
            <w:gridSpan w:val="2"/>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5,133,301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Settlement of unvested stock options</w:t>
            </w:r>
            <w:r>
              <w:rPr>
                <w:rFonts w:ascii="Arial" w:cs="Arial" w:eastAsia="Arial" w:hAnsi="Arial"/>
                <w:sz w:val="26"/>
                <w:szCs w:val="26"/>
                <w:color w:val="auto"/>
                <w:vertAlign w:val="superscript"/>
              </w:rPr>
              <w:t>(4)</w:t>
            </w:r>
          </w:p>
        </w:tc>
        <w:tc>
          <w:tcPr>
            <w:tcW w:w="1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2,208,903</w:t>
            </w:r>
          </w:p>
        </w:tc>
        <w:tc>
          <w:tcPr>
            <w:tcW w:w="100" w:type="dxa"/>
            <w:vAlign w:val="bottom"/>
          </w:tcPr>
          <w:p>
            <w:pPr>
              <w:spacing w:after="0"/>
              <w:rPr>
                <w:sz w:val="21"/>
                <w:szCs w:val="21"/>
                <w:color w:val="auto"/>
              </w:rPr>
            </w:pPr>
          </w:p>
        </w:tc>
        <w:tc>
          <w:tcPr>
            <w:tcW w:w="980" w:type="dxa"/>
            <w:vAlign w:val="bottom"/>
            <w:gridSpan w:val="2"/>
          </w:tcPr>
          <w:p>
            <w:pPr>
              <w:ind w:left="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2,208,903</w:t>
            </w:r>
          </w:p>
        </w:tc>
        <w:tc>
          <w:tcPr>
            <w:tcW w:w="10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2,208,903</w:t>
            </w:r>
          </w:p>
        </w:tc>
        <w:tc>
          <w:tcPr>
            <w:tcW w:w="1080" w:type="dxa"/>
            <w:vAlign w:val="bottom"/>
            <w:gridSpan w:val="2"/>
          </w:tcPr>
          <w:p>
            <w:pPr>
              <w:ind w:left="1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2,208,903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(2)(4)</w:t>
            </w:r>
          </w:p>
        </w:tc>
        <w:tc>
          <w:tcPr>
            <w:tcW w:w="120" w:type="dxa"/>
            <w:vAlign w:val="bottom"/>
          </w:tcPr>
          <w:p>
            <w:pPr>
              <w:spacing w:after="0"/>
              <w:rPr>
                <w:sz w:val="21"/>
                <w:szCs w:val="21"/>
                <w:color w:val="auto"/>
              </w:rPr>
            </w:pPr>
          </w:p>
        </w:tc>
        <w:tc>
          <w:tcPr>
            <w:tcW w:w="90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5,416,646</w:t>
            </w:r>
          </w:p>
        </w:tc>
        <w:tc>
          <w:tcPr>
            <w:tcW w:w="120" w:type="dxa"/>
            <w:vAlign w:val="bottom"/>
          </w:tcPr>
          <w:p>
            <w:pPr>
              <w:spacing w:after="0"/>
              <w:rPr>
                <w:sz w:val="21"/>
                <w:szCs w:val="21"/>
                <w:color w:val="auto"/>
              </w:rPr>
            </w:pPr>
          </w:p>
        </w:tc>
        <w:tc>
          <w:tcPr>
            <w:tcW w:w="92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2,713,884</w:t>
            </w:r>
          </w:p>
        </w:tc>
        <w:tc>
          <w:tcPr>
            <w:tcW w:w="100" w:type="dxa"/>
            <w:vAlign w:val="bottom"/>
          </w:tcPr>
          <w:p>
            <w:pPr>
              <w:spacing w:after="0"/>
              <w:rPr>
                <w:sz w:val="21"/>
                <w:szCs w:val="21"/>
                <w:color w:val="auto"/>
              </w:rPr>
            </w:pPr>
          </w:p>
        </w:tc>
        <w:tc>
          <w:tcPr>
            <w:tcW w:w="980" w:type="dxa"/>
            <w:vAlign w:val="bottom"/>
            <w:gridSpan w:val="2"/>
          </w:tcPr>
          <w:p>
            <w:pPr>
              <w:ind w:left="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2,713,884</w:t>
            </w:r>
          </w:p>
        </w:tc>
        <w:tc>
          <w:tcPr>
            <w:tcW w:w="10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5,416,646</w:t>
            </w:r>
          </w:p>
        </w:tc>
        <w:tc>
          <w:tcPr>
            <w:tcW w:w="1080" w:type="dxa"/>
            <w:vAlign w:val="bottom"/>
            <w:gridSpan w:val="2"/>
          </w:tcPr>
          <w:p>
            <w:pPr>
              <w:ind w:left="1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2,713,884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20" w:type="dxa"/>
            <w:vAlign w:val="bottom"/>
          </w:tcPr>
          <w:p>
            <w:pPr>
              <w:spacing w:after="0"/>
              <w:rPr>
                <w:sz w:val="21"/>
                <w:szCs w:val="21"/>
                <w:color w:val="auto"/>
              </w:rPr>
            </w:pPr>
          </w:p>
        </w:tc>
        <w:tc>
          <w:tcPr>
            <w:tcW w:w="90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2,921,577</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gridSpan w:val="2"/>
          </w:tcPr>
          <w:p>
            <w:pPr>
              <w:ind w:left="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3,629,942</w:t>
            </w:r>
          </w:p>
        </w:tc>
        <w:tc>
          <w:tcPr>
            <w:tcW w:w="10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6,533,927</w:t>
            </w:r>
          </w:p>
        </w:tc>
        <w:tc>
          <w:tcPr>
            <w:tcW w:w="1080" w:type="dxa"/>
            <w:vAlign w:val="bottom"/>
            <w:gridSpan w:val="2"/>
          </w:tcPr>
          <w:p>
            <w:pPr>
              <w:ind w:left="1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3,629,942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Welfare benefits</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95,213</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Life insurance benefit</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Pension</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187,204</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187,204</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187,204</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187,204</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187,204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Nonqualified retirement plans</w:t>
            </w:r>
            <w:r>
              <w:rPr>
                <w:rFonts w:ascii="Arial" w:cs="Arial" w:eastAsia="Arial" w:hAnsi="Arial"/>
                <w:sz w:val="26"/>
                <w:szCs w:val="26"/>
                <w:color w:val="auto"/>
                <w:vertAlign w:val="superscript"/>
              </w:rPr>
              <w:t>(5)</w:t>
            </w:r>
          </w:p>
        </w:tc>
        <w:tc>
          <w:tcPr>
            <w:tcW w:w="120" w:type="dxa"/>
            <w:vAlign w:val="bottom"/>
          </w:tcPr>
          <w:p>
            <w:pPr>
              <w:spacing w:after="0"/>
              <w:rPr>
                <w:sz w:val="21"/>
                <w:szCs w:val="21"/>
                <w:color w:val="auto"/>
              </w:rPr>
            </w:pPr>
          </w:p>
        </w:tc>
        <w:tc>
          <w:tcPr>
            <w:tcW w:w="90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4,272,000</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vMerge w:val="restart"/>
          </w:tcPr>
          <w:p>
            <w:pPr>
              <w:spacing w:after="0" w:line="181" w:lineRule="exact"/>
              <w:rPr>
                <w:sz w:val="20"/>
                <w:szCs w:val="20"/>
                <w:color w:val="auto"/>
              </w:rPr>
            </w:pPr>
            <w:r>
              <w:rPr>
                <w:rFonts w:ascii="Arial" w:cs="Arial" w:eastAsia="Arial" w:hAnsi="Arial"/>
                <w:sz w:val="18"/>
                <w:szCs w:val="18"/>
                <w:color w:val="auto"/>
              </w:rPr>
              <w:t>​</w:t>
            </w: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spacing w:after="0" w:line="181" w:lineRule="exact"/>
              <w:rPr>
                <w:sz w:val="20"/>
                <w:szCs w:val="20"/>
                <w:color w:val="auto"/>
              </w:rPr>
            </w:pPr>
            <w:r>
              <w:rPr>
                <w:rFonts w:ascii="Arial" w:cs="Arial" w:eastAsia="Arial" w:hAnsi="Arial"/>
                <w:sz w:val="18"/>
                <w:szCs w:val="18"/>
                <w:color w:val="auto"/>
              </w:rPr>
              <w:t>​ ​</w:t>
            </w:r>
          </w:p>
        </w:tc>
        <w:tc>
          <w:tcPr>
            <w:tcW w:w="680" w:type="dxa"/>
            <w:vAlign w:val="bottom"/>
          </w:tcPr>
          <w:p>
            <w:pPr>
              <w:spacing w:after="0"/>
              <w:rPr>
                <w:sz w:val="2"/>
                <w:szCs w:val="2"/>
                <w:color w:val="auto"/>
              </w:rPr>
            </w:pPr>
          </w:p>
        </w:tc>
        <w:tc>
          <w:tcPr>
            <w:tcW w:w="320" w:type="dxa"/>
            <w:vAlign w:val="bottom"/>
            <w:gridSpan w:val="3"/>
            <w:vMerge w:val="restart"/>
          </w:tcPr>
          <w:p>
            <w:pPr>
              <w:jc w:val="right"/>
              <w:spacing w:after="0" w:line="181" w:lineRule="exact"/>
              <w:rPr>
                <w:sz w:val="20"/>
                <w:szCs w:val="20"/>
                <w:color w:val="auto"/>
              </w:rPr>
            </w:pPr>
            <w:r>
              <w:rPr>
                <w:rFonts w:ascii="Arial" w:cs="Arial" w:eastAsia="Arial" w:hAnsi="Arial"/>
                <w:sz w:val="18"/>
                <w:szCs w:val="18"/>
                <w:color w:val="auto"/>
              </w:rPr>
              <w:t>​ ​ ​</w:t>
            </w:r>
          </w:p>
        </w:tc>
        <w:tc>
          <w:tcPr>
            <w:tcW w:w="720" w:type="dxa"/>
            <w:vAlign w:val="bottom"/>
          </w:tcPr>
          <w:p>
            <w:pPr>
              <w:spacing w:after="0"/>
              <w:rPr>
                <w:sz w:val="2"/>
                <w:szCs w:val="2"/>
                <w:color w:val="auto"/>
              </w:rPr>
            </w:pPr>
          </w:p>
        </w:tc>
        <w:tc>
          <w:tcPr>
            <w:tcW w:w="300" w:type="dxa"/>
            <w:vAlign w:val="bottom"/>
            <w:gridSpan w:val="2"/>
            <w:vMerge w:val="restart"/>
          </w:tcPr>
          <w:p>
            <w:pPr>
              <w:spacing w:after="0" w:line="181" w:lineRule="exact"/>
              <w:rPr>
                <w:sz w:val="20"/>
                <w:szCs w:val="20"/>
                <w:color w:val="auto"/>
              </w:rPr>
            </w:pPr>
            <w:r>
              <w:rPr>
                <w:rFonts w:ascii="Arial" w:cs="Arial" w:eastAsia="Arial" w:hAnsi="Arial"/>
                <w:sz w:val="18"/>
                <w:szCs w:val="18"/>
                <w:color w:val="auto"/>
              </w:rPr>
              <w:t>​ ​ ​</w:t>
            </w:r>
          </w:p>
        </w:tc>
        <w:tc>
          <w:tcPr>
            <w:tcW w:w="780" w:type="dxa"/>
            <w:vAlign w:val="bottom"/>
          </w:tcPr>
          <w:p>
            <w:pPr>
              <w:spacing w:after="0"/>
              <w:rPr>
                <w:sz w:val="2"/>
                <w:szCs w:val="2"/>
                <w:color w:val="auto"/>
              </w:rPr>
            </w:pPr>
          </w:p>
        </w:tc>
        <w:tc>
          <w:tcPr>
            <w:tcW w:w="280" w:type="dxa"/>
            <w:vAlign w:val="bottom"/>
            <w:vMerge w:val="restart"/>
          </w:tcPr>
          <w:p>
            <w:pPr>
              <w:jc w:val="right"/>
              <w:spacing w:after="0" w:line="181" w:lineRule="exact"/>
              <w:rPr>
                <w:sz w:val="20"/>
                <w:szCs w:val="20"/>
                <w:color w:val="auto"/>
              </w:rPr>
            </w:pPr>
            <w:r>
              <w:rPr>
                <w:rFonts w:ascii="Arial" w:cs="Arial" w:eastAsia="Arial" w:hAnsi="Arial"/>
                <w:sz w:val="18"/>
                <w:szCs w:val="18"/>
                <w:color w:val="auto"/>
              </w:rPr>
              <w:t>​ ​ ​</w:t>
            </w:r>
          </w:p>
        </w:tc>
        <w:tc>
          <w:tcPr>
            <w:tcW w:w="740" w:type="dxa"/>
            <w:vAlign w:val="bottom"/>
          </w:tcPr>
          <w:p>
            <w:pPr>
              <w:spacing w:after="0"/>
              <w:rPr>
                <w:sz w:val="2"/>
                <w:szCs w:val="2"/>
                <w:color w:val="auto"/>
              </w:rPr>
            </w:pPr>
          </w:p>
        </w:tc>
        <w:tc>
          <w:tcPr>
            <w:tcW w:w="320" w:type="dxa"/>
            <w:vAlign w:val="bottom"/>
            <w:vMerge w:val="restart"/>
          </w:tcPr>
          <w:p>
            <w:pPr>
              <w:spacing w:after="0" w:line="181" w:lineRule="exact"/>
              <w:rPr>
                <w:sz w:val="20"/>
                <w:szCs w:val="20"/>
                <w:color w:val="auto"/>
              </w:rPr>
            </w:pPr>
            <w:r>
              <w:rPr>
                <w:rFonts w:ascii="Arial" w:cs="Arial" w:eastAsia="Arial" w:hAnsi="Arial"/>
                <w:sz w:val="18"/>
                <w:szCs w:val="18"/>
                <w:color w:val="auto"/>
              </w:rPr>
              <w:t>​ ​ ​</w:t>
            </w:r>
          </w:p>
        </w:tc>
        <w:tc>
          <w:tcPr>
            <w:tcW w:w="760" w:type="dxa"/>
            <w:vAlign w:val="bottom"/>
          </w:tcPr>
          <w:p>
            <w:pPr>
              <w:spacing w:after="0"/>
              <w:rPr>
                <w:sz w:val="2"/>
                <w:szCs w:val="2"/>
                <w:color w:val="auto"/>
              </w:rPr>
            </w:pPr>
          </w:p>
        </w:tc>
        <w:tc>
          <w:tcPr>
            <w:tcW w:w="60" w:type="dxa"/>
            <w:vAlign w:val="bottom"/>
            <w:vMerge w:val="restart"/>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48"/>
        </w:trPr>
        <w:tc>
          <w:tcPr>
            <w:tcW w:w="40" w:type="dxa"/>
            <w:vAlign w:val="bottom"/>
            <w:shd w:val="clear" w:color="auto" w:fill="CBECD5"/>
          </w:tcPr>
          <w:p>
            <w:pPr>
              <w:spacing w:after="0"/>
              <w:rPr>
                <w:sz w:val="12"/>
                <w:szCs w:val="12"/>
                <w:color w:val="auto"/>
              </w:rPr>
            </w:pPr>
          </w:p>
        </w:tc>
        <w:tc>
          <w:tcPr>
            <w:tcW w:w="12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CBECD5"/>
          </w:tcPr>
          <w:p>
            <w:pPr>
              <w:spacing w:after="0"/>
              <w:rPr>
                <w:sz w:val="7"/>
                <w:szCs w:val="7"/>
                <w:color w:val="auto"/>
              </w:rPr>
            </w:pPr>
          </w:p>
        </w:tc>
        <w:tc>
          <w:tcPr>
            <w:tcW w:w="4440" w:type="dxa"/>
            <w:vAlign w:val="bottom"/>
            <w:gridSpan w:val="2"/>
          </w:tcPr>
          <w:p>
            <w:pPr>
              <w:spacing w:after="0" w:line="81" w:lineRule="exact"/>
              <w:rPr>
                <w:sz w:val="20"/>
                <w:szCs w:val="20"/>
                <w:color w:val="auto"/>
              </w:rPr>
            </w:pPr>
            <w:r>
              <w:rPr>
                <w:rFonts w:ascii="Arial" w:cs="Arial" w:eastAsia="Arial" w:hAnsi="Arial"/>
                <w:sz w:val="9"/>
                <w:szCs w:val="9"/>
                <w:color w:val="auto"/>
              </w:rPr>
              <w:t>Kenneth Jacobson</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CBECD5"/>
          </w:tcPr>
          <w:p>
            <w:pPr>
              <w:spacing w:after="0"/>
              <w:rPr>
                <w:sz w:val="18"/>
                <w:szCs w:val="18"/>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line="211" w:lineRule="exact"/>
              <w:rPr>
                <w:sz w:val="20"/>
                <w:szCs w:val="20"/>
                <w:color w:val="auto"/>
              </w:rPr>
            </w:pPr>
            <w:r>
              <w:rPr>
                <w:rFonts w:ascii="Arial" w:cs="Arial" w:eastAsia="Arial" w:hAnsi="Arial"/>
                <w:sz w:val="17"/>
                <w:szCs w:val="17"/>
                <w:color w:val="auto"/>
              </w:rPr>
              <w:t>Severance</w:t>
            </w:r>
            <w:r>
              <w:rPr>
                <w:rFonts w:ascii="Arial" w:cs="Arial" w:eastAsia="Arial" w:hAnsi="Arial"/>
                <w:sz w:val="24"/>
                <w:szCs w:val="24"/>
                <w:color w:val="auto"/>
                <w:vertAlign w:val="superscript"/>
              </w:rPr>
              <w:t>(1)</w:t>
            </w:r>
          </w:p>
        </w:tc>
        <w:tc>
          <w:tcPr>
            <w:tcW w:w="120" w:type="dxa"/>
            <w:vAlign w:val="bottom"/>
            <w:shd w:val="clear" w:color="auto" w:fill="CBECD5"/>
          </w:tcPr>
          <w:p>
            <w:pPr>
              <w:spacing w:after="0"/>
              <w:rPr>
                <w:sz w:val="18"/>
                <w:szCs w:val="18"/>
                <w:color w:val="auto"/>
              </w:rPr>
            </w:pPr>
          </w:p>
        </w:tc>
        <w:tc>
          <w:tcPr>
            <w:tcW w:w="22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8"/>
                <w:szCs w:val="18"/>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8"/>
                <w:szCs w:val="18"/>
                <w:color w:val="auto"/>
              </w:rPr>
            </w:pPr>
          </w:p>
        </w:tc>
        <w:tc>
          <w:tcPr>
            <w:tcW w:w="980" w:type="dxa"/>
            <w:vAlign w:val="bottom"/>
            <w:gridSpan w:val="2"/>
            <w:shd w:val="clear" w:color="auto" w:fill="CBECD5"/>
          </w:tcPr>
          <w:p>
            <w:pPr>
              <w:ind w:left="20"/>
              <w:spacing w:after="0" w:line="211"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1,200,000</w:t>
            </w:r>
          </w:p>
        </w:tc>
        <w:tc>
          <w:tcPr>
            <w:tcW w:w="1020" w:type="dxa"/>
            <w:vAlign w:val="bottom"/>
            <w:gridSpan w:val="2"/>
            <w:shd w:val="clear" w:color="auto" w:fill="CBECD5"/>
          </w:tcPr>
          <w:p>
            <w:pPr>
              <w:jc w:val="right"/>
              <w:spacing w:after="0" w:line="211"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3,588,000</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120" w:type="dxa"/>
            <w:vAlign w:val="bottom"/>
            <w:shd w:val="clear" w:color="auto" w:fill="CBECD5"/>
          </w:tcPr>
          <w:p>
            <w:pPr>
              <w:spacing w:after="0"/>
              <w:rPr>
                <w:sz w:val="19"/>
                <w:szCs w:val="19"/>
                <w:color w:val="auto"/>
              </w:rPr>
            </w:pPr>
          </w:p>
        </w:tc>
        <w:tc>
          <w:tcPr>
            <w:tcW w:w="22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Settlement of unvested stock options</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w:t>
            </w:r>
          </w:p>
        </w:tc>
        <w:tc>
          <w:tcPr>
            <w:tcW w:w="120" w:type="dxa"/>
            <w:vAlign w:val="bottom"/>
            <w:shd w:val="clear" w:color="auto" w:fill="CBECD5"/>
          </w:tcPr>
          <w:p>
            <w:pPr>
              <w:spacing w:after="0"/>
              <w:rPr>
                <w:sz w:val="21"/>
                <w:szCs w:val="21"/>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BECD5"/>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1,100,753</w:t>
            </w:r>
          </w:p>
        </w:tc>
        <w:tc>
          <w:tcPr>
            <w:tcW w:w="120" w:type="dxa"/>
            <w:vAlign w:val="bottom"/>
            <w:shd w:val="clear" w:color="auto" w:fill="CBECD5"/>
          </w:tcPr>
          <w:p>
            <w:pPr>
              <w:spacing w:after="0"/>
              <w:rPr>
                <w:sz w:val="21"/>
                <w:szCs w:val="21"/>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21"/>
                <w:szCs w:val="21"/>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BECD5"/>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1,100,753</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line="243"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20" w:type="dxa"/>
            <w:vAlign w:val="bottom"/>
            <w:shd w:val="clear" w:color="auto" w:fill="CBECD5"/>
          </w:tcPr>
          <w:p>
            <w:pPr>
              <w:spacing w:after="0"/>
              <w:rPr>
                <w:sz w:val="21"/>
                <w:szCs w:val="21"/>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572,861</w:t>
            </w:r>
          </w:p>
        </w:tc>
        <w:tc>
          <w:tcPr>
            <w:tcW w:w="120" w:type="dxa"/>
            <w:vAlign w:val="bottom"/>
            <w:shd w:val="clear" w:color="auto" w:fill="CBECD5"/>
          </w:tcPr>
          <w:p>
            <w:pPr>
              <w:spacing w:after="0"/>
              <w:rPr>
                <w:sz w:val="21"/>
                <w:szCs w:val="21"/>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572,861</w:t>
            </w:r>
          </w:p>
        </w:tc>
        <w:tc>
          <w:tcPr>
            <w:tcW w:w="100" w:type="dxa"/>
            <w:vAlign w:val="bottom"/>
            <w:shd w:val="clear" w:color="auto" w:fill="CBECD5"/>
          </w:tcPr>
          <w:p>
            <w:pPr>
              <w:spacing w:after="0"/>
              <w:rPr>
                <w:sz w:val="21"/>
                <w:szCs w:val="21"/>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BECD5"/>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1,320,358</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Welfare benefits</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90,732</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Life insurance benefit</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Pension</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148,774</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148,774</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148,774</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148,774</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148,774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40" w:type="dxa"/>
            <w:vAlign w:val="bottom"/>
            <w:shd w:val="clear" w:color="auto" w:fill="CBECD5"/>
          </w:tcPr>
          <w:p>
            <w:pPr>
              <w:spacing w:after="0"/>
              <w:rPr>
                <w:sz w:val="22"/>
                <w:szCs w:val="22"/>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Restoration Plan</w:t>
            </w:r>
          </w:p>
        </w:tc>
        <w:tc>
          <w:tcPr>
            <w:tcW w:w="120" w:type="dxa"/>
            <w:vAlign w:val="bottom"/>
            <w:shd w:val="clear" w:color="auto" w:fill="CBECD5"/>
          </w:tcPr>
          <w:p>
            <w:pPr>
              <w:spacing w:after="0"/>
              <w:rPr>
                <w:sz w:val="22"/>
                <w:szCs w:val="22"/>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125,452</w:t>
            </w:r>
          </w:p>
        </w:tc>
        <w:tc>
          <w:tcPr>
            <w:tcW w:w="120" w:type="dxa"/>
            <w:vAlign w:val="bottom"/>
            <w:shd w:val="clear" w:color="auto" w:fill="CBECD5"/>
          </w:tcPr>
          <w:p>
            <w:pPr>
              <w:spacing w:after="0"/>
              <w:rPr>
                <w:sz w:val="22"/>
                <w:szCs w:val="22"/>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125,452</w:t>
            </w:r>
          </w:p>
        </w:tc>
        <w:tc>
          <w:tcPr>
            <w:tcW w:w="100" w:type="dxa"/>
            <w:vAlign w:val="bottom"/>
            <w:shd w:val="clear" w:color="auto" w:fill="CBECD5"/>
          </w:tcPr>
          <w:p>
            <w:pPr>
              <w:spacing w:after="0"/>
              <w:rPr>
                <w:sz w:val="22"/>
                <w:szCs w:val="22"/>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shd w:val="clear" w:color="auto" w:fill="CBECD5"/>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125,452</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125,452</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shd w:val="clear" w:color="auto" w:fill="CBECD5"/>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125,452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2"/>
                <w:szCs w:val="12"/>
                <w:color w:val="auto"/>
              </w:rPr>
            </w:pPr>
          </w:p>
        </w:tc>
        <w:tc>
          <w:tcPr>
            <w:tcW w:w="12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200" w:type="dxa"/>
            <w:vAlign w:val="bottom"/>
          </w:tcPr>
          <w:p>
            <w:pPr>
              <w:ind w:left="20"/>
              <w:spacing w:after="0" w:line="149" w:lineRule="exact"/>
              <w:rPr>
                <w:sz w:val="20"/>
                <w:szCs w:val="20"/>
                <w:color w:val="auto"/>
              </w:rPr>
            </w:pPr>
            <w:r>
              <w:rPr>
                <w:rFonts w:ascii="Arial" w:cs="Arial" w:eastAsia="Arial" w:hAnsi="Arial"/>
                <w:sz w:val="17"/>
                <w:szCs w:val="17"/>
                <w:color w:val="auto"/>
              </w:rPr>
              <w:t>​ ​</w:t>
            </w:r>
          </w:p>
        </w:tc>
        <w:tc>
          <w:tcPr>
            <w:tcW w:w="7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740" w:type="dxa"/>
            <w:vAlign w:val="bottom"/>
          </w:tcPr>
          <w:p>
            <w:pPr>
              <w:spacing w:after="0"/>
              <w:rPr>
                <w:sz w:val="12"/>
                <w:szCs w:val="12"/>
                <w:color w:val="auto"/>
              </w:rPr>
            </w:pPr>
          </w:p>
        </w:tc>
        <w:tc>
          <w:tcPr>
            <w:tcW w:w="320" w:type="dxa"/>
            <w:vAlign w:val="bottom"/>
          </w:tcPr>
          <w:p>
            <w:pPr>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4440" w:type="dxa"/>
            <w:vAlign w:val="bottom"/>
            <w:gridSpan w:val="2"/>
          </w:tcPr>
          <w:p>
            <w:pPr>
              <w:spacing w:after="0"/>
              <w:rPr>
                <w:sz w:val="20"/>
                <w:szCs w:val="20"/>
                <w:color w:val="auto"/>
              </w:rPr>
            </w:pPr>
            <w:r>
              <w:rPr>
                <w:rFonts w:ascii="Arial" w:cs="Arial" w:eastAsia="Arial" w:hAnsi="Arial"/>
                <w:sz w:val="4"/>
                <w:szCs w:val="4"/>
                <w:color w:val="auto"/>
              </w:rPr>
              <w:t>Ken E. Arnold</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(1)</w:t>
            </w:r>
          </w:p>
        </w:tc>
        <w:tc>
          <w:tcPr>
            <w:tcW w:w="1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980,000</w:t>
            </w:r>
          </w:p>
        </w:tc>
        <w:tc>
          <w:tcPr>
            <w:tcW w:w="10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2,930,200</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934,130</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934,130</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934,130</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934,130</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934,130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Settlement of unvested stock options</w:t>
            </w:r>
            <w:r>
              <w:rPr>
                <w:rFonts w:ascii="Arial" w:cs="Arial" w:eastAsia="Arial" w:hAnsi="Arial"/>
                <w:sz w:val="26"/>
                <w:szCs w:val="26"/>
                <w:color w:val="auto"/>
                <w:vertAlign w:val="superscript"/>
              </w:rPr>
              <w:t>(4)</w:t>
            </w:r>
          </w:p>
        </w:tc>
        <w:tc>
          <w:tcPr>
            <w:tcW w:w="1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366,258</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366,258</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366,258</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366,258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(2)(4)</w:t>
            </w:r>
          </w:p>
        </w:tc>
        <w:tc>
          <w:tcPr>
            <w:tcW w:w="1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871,160</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407,904</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407,904</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871,160</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407,904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line="243"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2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439,621</w:t>
            </w:r>
          </w:p>
        </w:tc>
        <w:tc>
          <w:tcPr>
            <w:tcW w:w="1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530,450</w:t>
            </w:r>
          </w:p>
        </w:tc>
        <w:tc>
          <w:tcPr>
            <w:tcW w:w="1020" w:type="dxa"/>
            <w:vAlign w:val="bottom"/>
            <w:gridSpan w:val="2"/>
          </w:tcPr>
          <w:p>
            <w:pPr>
              <w:jc w:val="right"/>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1,028,307</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530,450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Welfare benefits</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78,449</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Life insurance benefit</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Pension</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447,699</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447,699</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447,699</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447,699</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447,699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20" w:type="dxa"/>
            <w:vAlign w:val="bottom"/>
          </w:tcPr>
          <w:p>
            <w:pPr>
              <w:ind w:left="60"/>
              <w:spacing w:after="0"/>
              <w:rPr>
                <w:sz w:val="20"/>
                <w:szCs w:val="20"/>
                <w:color w:val="auto"/>
              </w:rPr>
            </w:pPr>
            <w:r>
              <w:rPr>
                <w:rFonts w:ascii="Arial" w:cs="Arial" w:eastAsia="Arial" w:hAnsi="Arial"/>
                <w:sz w:val="18"/>
                <w:szCs w:val="18"/>
                <w:color w:val="auto"/>
              </w:rPr>
              <w:t>Restoration Plan</w:t>
            </w:r>
          </w:p>
        </w:tc>
        <w:tc>
          <w:tcPr>
            <w:tcW w:w="1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178,097</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178,097</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178,097</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178,097</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178,097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vMerge w:val="restart"/>
          </w:tcPr>
          <w:p>
            <w:pPr>
              <w:spacing w:after="0" w:line="181" w:lineRule="exact"/>
              <w:rPr>
                <w:sz w:val="20"/>
                <w:szCs w:val="20"/>
                <w:color w:val="auto"/>
              </w:rPr>
            </w:pPr>
            <w:r>
              <w:rPr>
                <w:rFonts w:ascii="Arial" w:cs="Arial" w:eastAsia="Arial" w:hAnsi="Arial"/>
                <w:sz w:val="18"/>
                <w:szCs w:val="18"/>
                <w:color w:val="auto"/>
              </w:rPr>
              <w:t>​</w:t>
            </w: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spacing w:after="0" w:line="181" w:lineRule="exact"/>
              <w:rPr>
                <w:sz w:val="20"/>
                <w:szCs w:val="20"/>
                <w:color w:val="auto"/>
              </w:rPr>
            </w:pPr>
            <w:r>
              <w:rPr>
                <w:rFonts w:ascii="Arial" w:cs="Arial" w:eastAsia="Arial" w:hAnsi="Arial"/>
                <w:sz w:val="18"/>
                <w:szCs w:val="18"/>
                <w:color w:val="auto"/>
              </w:rPr>
              <w:t>​ ​</w:t>
            </w:r>
          </w:p>
        </w:tc>
        <w:tc>
          <w:tcPr>
            <w:tcW w:w="680" w:type="dxa"/>
            <w:vAlign w:val="bottom"/>
          </w:tcPr>
          <w:p>
            <w:pPr>
              <w:spacing w:after="0"/>
              <w:rPr>
                <w:sz w:val="2"/>
                <w:szCs w:val="2"/>
                <w:color w:val="auto"/>
              </w:rPr>
            </w:pPr>
          </w:p>
        </w:tc>
        <w:tc>
          <w:tcPr>
            <w:tcW w:w="320" w:type="dxa"/>
            <w:vAlign w:val="bottom"/>
            <w:gridSpan w:val="3"/>
            <w:vMerge w:val="restart"/>
          </w:tcPr>
          <w:p>
            <w:pPr>
              <w:jc w:val="right"/>
              <w:spacing w:after="0" w:line="181" w:lineRule="exact"/>
              <w:rPr>
                <w:sz w:val="20"/>
                <w:szCs w:val="20"/>
                <w:color w:val="auto"/>
              </w:rPr>
            </w:pPr>
            <w:r>
              <w:rPr>
                <w:rFonts w:ascii="Arial" w:cs="Arial" w:eastAsia="Arial" w:hAnsi="Arial"/>
                <w:sz w:val="18"/>
                <w:szCs w:val="18"/>
                <w:color w:val="auto"/>
              </w:rPr>
              <w:t>​ ​ ​</w:t>
            </w:r>
          </w:p>
        </w:tc>
        <w:tc>
          <w:tcPr>
            <w:tcW w:w="720" w:type="dxa"/>
            <w:vAlign w:val="bottom"/>
          </w:tcPr>
          <w:p>
            <w:pPr>
              <w:spacing w:after="0"/>
              <w:rPr>
                <w:sz w:val="2"/>
                <w:szCs w:val="2"/>
                <w:color w:val="auto"/>
              </w:rPr>
            </w:pPr>
          </w:p>
        </w:tc>
        <w:tc>
          <w:tcPr>
            <w:tcW w:w="300" w:type="dxa"/>
            <w:vAlign w:val="bottom"/>
            <w:gridSpan w:val="2"/>
            <w:vMerge w:val="restart"/>
          </w:tcPr>
          <w:p>
            <w:pPr>
              <w:spacing w:after="0" w:line="181" w:lineRule="exact"/>
              <w:rPr>
                <w:sz w:val="20"/>
                <w:szCs w:val="20"/>
                <w:color w:val="auto"/>
              </w:rPr>
            </w:pPr>
            <w:r>
              <w:rPr>
                <w:rFonts w:ascii="Arial" w:cs="Arial" w:eastAsia="Arial" w:hAnsi="Arial"/>
                <w:sz w:val="18"/>
                <w:szCs w:val="18"/>
                <w:color w:val="auto"/>
              </w:rPr>
              <w:t>​ ​ ​</w:t>
            </w:r>
          </w:p>
        </w:tc>
        <w:tc>
          <w:tcPr>
            <w:tcW w:w="780" w:type="dxa"/>
            <w:vAlign w:val="bottom"/>
          </w:tcPr>
          <w:p>
            <w:pPr>
              <w:spacing w:after="0"/>
              <w:rPr>
                <w:sz w:val="2"/>
                <w:szCs w:val="2"/>
                <w:color w:val="auto"/>
              </w:rPr>
            </w:pPr>
          </w:p>
        </w:tc>
        <w:tc>
          <w:tcPr>
            <w:tcW w:w="280" w:type="dxa"/>
            <w:vAlign w:val="bottom"/>
            <w:vMerge w:val="restart"/>
          </w:tcPr>
          <w:p>
            <w:pPr>
              <w:jc w:val="right"/>
              <w:spacing w:after="0" w:line="181" w:lineRule="exact"/>
              <w:rPr>
                <w:sz w:val="20"/>
                <w:szCs w:val="20"/>
                <w:color w:val="auto"/>
              </w:rPr>
            </w:pPr>
            <w:r>
              <w:rPr>
                <w:rFonts w:ascii="Arial" w:cs="Arial" w:eastAsia="Arial" w:hAnsi="Arial"/>
                <w:sz w:val="18"/>
                <w:szCs w:val="18"/>
                <w:color w:val="auto"/>
              </w:rPr>
              <w:t>​ ​ ​</w:t>
            </w:r>
          </w:p>
        </w:tc>
        <w:tc>
          <w:tcPr>
            <w:tcW w:w="740" w:type="dxa"/>
            <w:vAlign w:val="bottom"/>
          </w:tcPr>
          <w:p>
            <w:pPr>
              <w:spacing w:after="0"/>
              <w:rPr>
                <w:sz w:val="2"/>
                <w:szCs w:val="2"/>
                <w:color w:val="auto"/>
              </w:rPr>
            </w:pPr>
          </w:p>
        </w:tc>
        <w:tc>
          <w:tcPr>
            <w:tcW w:w="320" w:type="dxa"/>
            <w:vAlign w:val="bottom"/>
            <w:vMerge w:val="restart"/>
          </w:tcPr>
          <w:p>
            <w:pPr>
              <w:spacing w:after="0" w:line="181" w:lineRule="exact"/>
              <w:rPr>
                <w:sz w:val="20"/>
                <w:szCs w:val="20"/>
                <w:color w:val="auto"/>
              </w:rPr>
            </w:pPr>
            <w:r>
              <w:rPr>
                <w:rFonts w:ascii="Arial" w:cs="Arial" w:eastAsia="Arial" w:hAnsi="Arial"/>
                <w:sz w:val="18"/>
                <w:szCs w:val="18"/>
                <w:color w:val="auto"/>
              </w:rPr>
              <w:t>​ ​ ​</w:t>
            </w:r>
          </w:p>
        </w:tc>
        <w:tc>
          <w:tcPr>
            <w:tcW w:w="760" w:type="dxa"/>
            <w:vAlign w:val="bottom"/>
          </w:tcPr>
          <w:p>
            <w:pPr>
              <w:spacing w:after="0"/>
              <w:rPr>
                <w:sz w:val="2"/>
                <w:szCs w:val="2"/>
                <w:color w:val="auto"/>
              </w:rPr>
            </w:pPr>
          </w:p>
        </w:tc>
        <w:tc>
          <w:tcPr>
            <w:tcW w:w="60" w:type="dxa"/>
            <w:vAlign w:val="bottom"/>
            <w:vMerge w:val="restart"/>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48"/>
        </w:trPr>
        <w:tc>
          <w:tcPr>
            <w:tcW w:w="40" w:type="dxa"/>
            <w:vAlign w:val="bottom"/>
            <w:shd w:val="clear" w:color="auto" w:fill="CBECD5"/>
          </w:tcPr>
          <w:p>
            <w:pPr>
              <w:spacing w:after="0"/>
              <w:rPr>
                <w:sz w:val="12"/>
                <w:szCs w:val="12"/>
                <w:color w:val="auto"/>
              </w:rPr>
            </w:pPr>
          </w:p>
        </w:tc>
        <w:tc>
          <w:tcPr>
            <w:tcW w:w="12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shd w:val="clear" w:color="auto" w:fill="CBECD5"/>
          </w:tcPr>
          <w:p>
            <w:pPr>
              <w:spacing w:after="0"/>
              <w:rPr>
                <w:sz w:val="7"/>
                <w:szCs w:val="7"/>
                <w:color w:val="auto"/>
              </w:rPr>
            </w:pPr>
          </w:p>
        </w:tc>
        <w:tc>
          <w:tcPr>
            <w:tcW w:w="4440" w:type="dxa"/>
            <w:vAlign w:val="bottom"/>
            <w:gridSpan w:val="2"/>
          </w:tcPr>
          <w:p>
            <w:pPr>
              <w:spacing w:after="0" w:line="81" w:lineRule="exact"/>
              <w:rPr>
                <w:sz w:val="20"/>
                <w:szCs w:val="20"/>
                <w:color w:val="auto"/>
              </w:rPr>
            </w:pPr>
            <w:r>
              <w:rPr>
                <w:rFonts w:ascii="Arial" w:cs="Arial" w:eastAsia="Arial" w:hAnsi="Arial"/>
                <w:sz w:val="9"/>
                <w:szCs w:val="9"/>
                <w:color w:val="auto"/>
              </w:rPr>
              <w:t>Max Chan</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CBECD5"/>
          </w:tcPr>
          <w:p>
            <w:pPr>
              <w:spacing w:after="0"/>
              <w:rPr>
                <w:sz w:val="18"/>
                <w:szCs w:val="18"/>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line="211" w:lineRule="exact"/>
              <w:rPr>
                <w:sz w:val="20"/>
                <w:szCs w:val="20"/>
                <w:color w:val="auto"/>
              </w:rPr>
            </w:pPr>
            <w:r>
              <w:rPr>
                <w:rFonts w:ascii="Arial" w:cs="Arial" w:eastAsia="Arial" w:hAnsi="Arial"/>
                <w:sz w:val="17"/>
                <w:szCs w:val="17"/>
                <w:color w:val="auto"/>
              </w:rPr>
              <w:t>Severance</w:t>
            </w:r>
            <w:r>
              <w:rPr>
                <w:rFonts w:ascii="Arial" w:cs="Arial" w:eastAsia="Arial" w:hAnsi="Arial"/>
                <w:sz w:val="24"/>
                <w:szCs w:val="24"/>
                <w:color w:val="auto"/>
                <w:vertAlign w:val="superscript"/>
              </w:rPr>
              <w:t>(1)</w:t>
            </w:r>
          </w:p>
        </w:tc>
        <w:tc>
          <w:tcPr>
            <w:tcW w:w="120" w:type="dxa"/>
            <w:vAlign w:val="bottom"/>
            <w:shd w:val="clear" w:color="auto" w:fill="CBECD5"/>
          </w:tcPr>
          <w:p>
            <w:pPr>
              <w:spacing w:after="0"/>
              <w:rPr>
                <w:sz w:val="18"/>
                <w:szCs w:val="18"/>
                <w:color w:val="auto"/>
              </w:rPr>
            </w:pPr>
          </w:p>
        </w:tc>
        <w:tc>
          <w:tcPr>
            <w:tcW w:w="22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8"/>
                <w:szCs w:val="18"/>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8"/>
                <w:szCs w:val="18"/>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990,000</w:t>
            </w:r>
          </w:p>
        </w:tc>
        <w:tc>
          <w:tcPr>
            <w:tcW w:w="1020" w:type="dxa"/>
            <w:vAlign w:val="bottom"/>
            <w:gridSpan w:val="2"/>
            <w:shd w:val="clear" w:color="auto" w:fill="CBECD5"/>
          </w:tcPr>
          <w:p>
            <w:pPr>
              <w:jc w:val="right"/>
              <w:spacing w:after="0" w:line="211"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2,960,100</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120" w:type="dxa"/>
            <w:vAlign w:val="bottom"/>
            <w:shd w:val="clear" w:color="auto" w:fill="CBECD5"/>
          </w:tcPr>
          <w:p>
            <w:pPr>
              <w:spacing w:after="0"/>
              <w:rPr>
                <w:sz w:val="19"/>
                <w:szCs w:val="19"/>
                <w:color w:val="auto"/>
              </w:rPr>
            </w:pPr>
          </w:p>
        </w:tc>
        <w:tc>
          <w:tcPr>
            <w:tcW w:w="22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109,513</w:t>
            </w:r>
          </w:p>
        </w:tc>
        <w:tc>
          <w:tcPr>
            <w:tcW w:w="120" w:type="dxa"/>
            <w:vAlign w:val="bottom"/>
            <w:shd w:val="clear" w:color="auto" w:fill="CBECD5"/>
          </w:tcPr>
          <w:p>
            <w:pPr>
              <w:spacing w:after="0"/>
              <w:rPr>
                <w:sz w:val="19"/>
                <w:szCs w:val="19"/>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109,513</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109,513</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109,513</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109,513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Settlement of unvested stock options</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109,513</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w:t>
            </w:r>
          </w:p>
        </w:tc>
        <w:tc>
          <w:tcPr>
            <w:tcW w:w="120" w:type="dxa"/>
            <w:vAlign w:val="bottom"/>
            <w:shd w:val="clear" w:color="auto" w:fill="CBECD5"/>
          </w:tcPr>
          <w:p>
            <w:pPr>
              <w:spacing w:after="0"/>
              <w:rPr>
                <w:sz w:val="21"/>
                <w:szCs w:val="21"/>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537,659</w:t>
            </w:r>
          </w:p>
        </w:tc>
        <w:tc>
          <w:tcPr>
            <w:tcW w:w="120" w:type="dxa"/>
            <w:vAlign w:val="bottom"/>
            <w:shd w:val="clear" w:color="auto" w:fill="CBECD5"/>
          </w:tcPr>
          <w:p>
            <w:pPr>
              <w:spacing w:after="0"/>
              <w:rPr>
                <w:sz w:val="21"/>
                <w:szCs w:val="21"/>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21"/>
                <w:szCs w:val="21"/>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537,659</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shd w:val="clear" w:color="auto" w:fill="CBECD5"/>
          </w:tcPr>
          <w:p>
            <w:pPr>
              <w:spacing w:after="0"/>
              <w:rPr>
                <w:sz w:val="21"/>
                <w:szCs w:val="21"/>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line="243"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20" w:type="dxa"/>
            <w:vAlign w:val="bottom"/>
            <w:shd w:val="clear" w:color="auto" w:fill="CBECD5"/>
          </w:tcPr>
          <w:p>
            <w:pPr>
              <w:spacing w:after="0"/>
              <w:rPr>
                <w:sz w:val="21"/>
                <w:szCs w:val="21"/>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239,910</w:t>
            </w:r>
          </w:p>
        </w:tc>
        <w:tc>
          <w:tcPr>
            <w:tcW w:w="120" w:type="dxa"/>
            <w:vAlign w:val="bottom"/>
            <w:shd w:val="clear" w:color="auto" w:fill="CBECD5"/>
          </w:tcPr>
          <w:p>
            <w:pPr>
              <w:spacing w:after="0"/>
              <w:rPr>
                <w:sz w:val="21"/>
                <w:szCs w:val="21"/>
                <w:color w:val="auto"/>
              </w:rPr>
            </w:pPr>
          </w:p>
        </w:tc>
        <w:tc>
          <w:tcPr>
            <w:tcW w:w="200" w:type="dxa"/>
            <w:vAlign w:val="bottom"/>
            <w:gridSpan w:val="2"/>
            <w:shd w:val="clear" w:color="auto" w:fill="CBECD5"/>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239,910</w:t>
            </w:r>
          </w:p>
        </w:tc>
        <w:tc>
          <w:tcPr>
            <w:tcW w:w="100" w:type="dxa"/>
            <w:vAlign w:val="bottom"/>
            <w:shd w:val="clear" w:color="auto" w:fill="CBECD5"/>
          </w:tcPr>
          <w:p>
            <w:pPr>
              <w:spacing w:after="0"/>
              <w:rPr>
                <w:sz w:val="21"/>
                <w:szCs w:val="21"/>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590,384</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Welfare benefits</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81,829</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Life insurance benefit</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BECD5"/>
          </w:tcPr>
          <w:p>
            <w:pPr>
              <w:spacing w:after="0"/>
              <w:rPr>
                <w:sz w:val="19"/>
                <w:szCs w:val="19"/>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Pension</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128,635</w:t>
            </w:r>
          </w:p>
        </w:tc>
        <w:tc>
          <w:tcPr>
            <w:tcW w:w="120" w:type="dxa"/>
            <w:vAlign w:val="bottom"/>
            <w:shd w:val="clear" w:color="auto" w:fill="CBECD5"/>
          </w:tcPr>
          <w:p>
            <w:pPr>
              <w:spacing w:after="0"/>
              <w:rPr>
                <w:sz w:val="19"/>
                <w:szCs w:val="19"/>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128,635</w:t>
            </w:r>
          </w:p>
        </w:tc>
        <w:tc>
          <w:tcPr>
            <w:tcW w:w="100" w:type="dxa"/>
            <w:vAlign w:val="bottom"/>
            <w:shd w:val="clear" w:color="auto" w:fill="CBECD5"/>
          </w:tcPr>
          <w:p>
            <w:pPr>
              <w:spacing w:after="0"/>
              <w:rPr>
                <w:sz w:val="19"/>
                <w:szCs w:val="19"/>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128,635</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128,635</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rPr>
              <w:t>128,635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40" w:type="dxa"/>
            <w:vAlign w:val="bottom"/>
            <w:shd w:val="clear" w:color="auto" w:fill="CBECD5"/>
          </w:tcPr>
          <w:p>
            <w:pPr>
              <w:spacing w:after="0"/>
              <w:rPr>
                <w:sz w:val="22"/>
                <w:szCs w:val="22"/>
                <w:color w:val="auto"/>
              </w:rPr>
            </w:pP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4320" w:type="dxa"/>
            <w:vAlign w:val="bottom"/>
            <w:shd w:val="clear" w:color="auto" w:fill="CBECD5"/>
          </w:tcPr>
          <w:p>
            <w:pPr>
              <w:ind w:left="60"/>
              <w:spacing w:after="0"/>
              <w:rPr>
                <w:sz w:val="20"/>
                <w:szCs w:val="20"/>
                <w:color w:val="auto"/>
              </w:rPr>
            </w:pPr>
            <w:r>
              <w:rPr>
                <w:rFonts w:ascii="Arial" w:cs="Arial" w:eastAsia="Arial" w:hAnsi="Arial"/>
                <w:sz w:val="18"/>
                <w:szCs w:val="18"/>
                <w:color w:val="auto"/>
              </w:rPr>
              <w:t>Restoration Plan</w:t>
            </w:r>
          </w:p>
        </w:tc>
        <w:tc>
          <w:tcPr>
            <w:tcW w:w="120" w:type="dxa"/>
            <w:vAlign w:val="bottom"/>
            <w:shd w:val="clear" w:color="auto" w:fill="CBECD5"/>
          </w:tcPr>
          <w:p>
            <w:pPr>
              <w:spacing w:after="0"/>
              <w:rPr>
                <w:sz w:val="22"/>
                <w:szCs w:val="22"/>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115,729</w:t>
            </w:r>
          </w:p>
        </w:tc>
        <w:tc>
          <w:tcPr>
            <w:tcW w:w="120" w:type="dxa"/>
            <w:vAlign w:val="bottom"/>
            <w:shd w:val="clear" w:color="auto" w:fill="CBECD5"/>
          </w:tcPr>
          <w:p>
            <w:pPr>
              <w:spacing w:after="0"/>
              <w:rPr>
                <w:sz w:val="22"/>
                <w:szCs w:val="22"/>
                <w:color w:val="auto"/>
              </w:rPr>
            </w:pPr>
          </w:p>
        </w:tc>
        <w:tc>
          <w:tcPr>
            <w:tcW w:w="10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BECD5"/>
          </w:tcPr>
          <w:p>
            <w:pPr>
              <w:jc w:val="right"/>
              <w:spacing w:after="0"/>
              <w:rPr>
                <w:sz w:val="20"/>
                <w:szCs w:val="20"/>
                <w:color w:val="auto"/>
              </w:rPr>
            </w:pPr>
            <w:r>
              <w:rPr>
                <w:rFonts w:ascii="Arial" w:cs="Arial" w:eastAsia="Arial" w:hAnsi="Arial"/>
                <w:sz w:val="18"/>
                <w:szCs w:val="18"/>
                <w:color w:val="auto"/>
              </w:rPr>
              <w:t>115,729</w:t>
            </w:r>
          </w:p>
        </w:tc>
        <w:tc>
          <w:tcPr>
            <w:tcW w:w="100" w:type="dxa"/>
            <w:vAlign w:val="bottom"/>
            <w:shd w:val="clear" w:color="auto" w:fill="CBECD5"/>
          </w:tcPr>
          <w:p>
            <w:pPr>
              <w:spacing w:after="0"/>
              <w:rPr>
                <w:sz w:val="22"/>
                <w:szCs w:val="22"/>
                <w:color w:val="auto"/>
              </w:rPr>
            </w:pPr>
          </w:p>
        </w:tc>
        <w:tc>
          <w:tcPr>
            <w:tcW w:w="200" w:type="dxa"/>
            <w:vAlign w:val="bottom"/>
            <w:shd w:val="clear" w:color="auto" w:fill="CBECD5"/>
          </w:tcPr>
          <w:p>
            <w:pPr>
              <w:ind w:left="20"/>
              <w:spacing w:after="0"/>
              <w:rPr>
                <w:sz w:val="20"/>
                <w:szCs w:val="20"/>
                <w:color w:val="auto"/>
              </w:rPr>
            </w:pPr>
            <w:r>
              <w:rPr>
                <w:rFonts w:ascii="Arial" w:cs="Arial" w:eastAsia="Arial" w:hAnsi="Arial"/>
                <w:sz w:val="18"/>
                <w:szCs w:val="18"/>
                <w:color w:val="auto"/>
                <w:shd w:val="clear" w:color="auto" w:fill="CBECD5"/>
              </w:rPr>
              <w:t>​ ​</w:t>
            </w:r>
          </w:p>
        </w:tc>
        <w:tc>
          <w:tcPr>
            <w:tcW w:w="78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115,729</w:t>
            </w:r>
          </w:p>
        </w:tc>
        <w:tc>
          <w:tcPr>
            <w:tcW w:w="28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 ​</w:t>
            </w:r>
          </w:p>
        </w:tc>
        <w:tc>
          <w:tcPr>
            <w:tcW w:w="740" w:type="dxa"/>
            <w:vAlign w:val="bottom"/>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115,729</w:t>
            </w:r>
          </w:p>
        </w:tc>
        <w:tc>
          <w:tcPr>
            <w:tcW w:w="320" w:type="dxa"/>
            <w:vAlign w:val="bottom"/>
            <w:shd w:val="clear" w:color="auto" w:fill="CBECD5"/>
          </w:tcPr>
          <w:p>
            <w:pPr>
              <w:ind w:left="120"/>
              <w:spacing w:after="0"/>
              <w:rPr>
                <w:sz w:val="20"/>
                <w:szCs w:val="20"/>
                <w:color w:val="auto"/>
              </w:rPr>
            </w:pPr>
            <w:r>
              <w:rPr>
                <w:rFonts w:ascii="Arial" w:cs="Arial" w:eastAsia="Arial" w:hAnsi="Arial"/>
                <w:sz w:val="18"/>
                <w:szCs w:val="18"/>
                <w:color w:val="auto"/>
                <w:shd w:val="clear" w:color="auto" w:fill="CBECD5"/>
              </w:rPr>
              <w:t>​ ​</w:t>
            </w:r>
          </w:p>
        </w:tc>
        <w:tc>
          <w:tcPr>
            <w:tcW w:w="760" w:type="dxa"/>
            <w:vAlign w:val="bottom"/>
            <w:tcBorders>
              <w:right w:val="single" w:sz="8" w:color="CBECD5"/>
            </w:tcBorders>
            <w:shd w:val="clear" w:color="auto" w:fill="CBECD5"/>
          </w:tcPr>
          <w:p>
            <w:pPr>
              <w:jc w:val="right"/>
              <w:spacing w:after="0"/>
              <w:rPr>
                <w:sz w:val="20"/>
                <w:szCs w:val="20"/>
                <w:color w:val="auto"/>
              </w:rPr>
            </w:pPr>
            <w:r>
              <w:rPr>
                <w:rFonts w:ascii="Arial" w:cs="Arial" w:eastAsia="Arial" w:hAnsi="Arial"/>
                <w:sz w:val="18"/>
                <w:szCs w:val="18"/>
                <w:color w:val="auto"/>
                <w:shd w:val="clear" w:color="auto" w:fill="CBECD5"/>
              </w:rPr>
              <w:t>115,729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-4457065</wp:posOffset>
            </wp:positionV>
            <wp:extent cx="6180455"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80455" cy="1460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-1482090</wp:posOffset>
            </wp:positionV>
            <wp:extent cx="6180455"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804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64     </w:t>
      </w:r>
      <w:r>
        <w:rPr>
          <w:sz w:val="1"/>
          <w:szCs w:val="1"/>
          <w:color w:val="auto"/>
        </w:rPr>
        <w:drawing>
          <wp:inline distT="0" distB="0" distL="0" distR="0">
            <wp:extent cx="1242695" cy="24003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81"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160" w:type="dxa"/>
            <w:vAlign w:val="bottom"/>
          </w:tcPr>
          <w:p>
            <w:pPr>
              <w:spacing w:after="0"/>
              <w:rPr>
                <w:sz w:val="17"/>
                <w:szCs w:val="17"/>
                <w:color w:val="auto"/>
              </w:rPr>
            </w:pPr>
          </w:p>
        </w:tc>
        <w:tc>
          <w:tcPr>
            <w:tcW w:w="4040" w:type="dxa"/>
            <w:vAlign w:val="bottom"/>
          </w:tcPr>
          <w:p>
            <w:pPr>
              <w:ind w:left="34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5"/>
            <w:vMerge w:val="restart"/>
          </w:tcPr>
          <w:p>
            <w:pPr>
              <w:jc w:val="right"/>
              <w:ind w:right="397"/>
              <w:spacing w:after="0"/>
              <w:rPr>
                <w:sz w:val="20"/>
                <w:szCs w:val="20"/>
                <w:color w:val="auto"/>
              </w:rPr>
            </w:pPr>
            <w:r>
              <w:rPr>
                <w:rFonts w:ascii="Arial" w:cs="Arial" w:eastAsia="Arial" w:hAnsi="Arial"/>
                <w:sz w:val="14"/>
                <w:szCs w:val="14"/>
                <w:color w:val="auto"/>
              </w:rPr>
              <w:t>Compensation of Executive Officers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60" w:type="dxa"/>
            <w:vAlign w:val="bottom"/>
          </w:tcPr>
          <w:p>
            <w:pPr>
              <w:spacing w:after="0"/>
              <w:rPr>
                <w:sz w:val="7"/>
                <w:szCs w:val="7"/>
                <w:color w:val="auto"/>
              </w:rPr>
            </w:pPr>
          </w:p>
        </w:tc>
        <w:tc>
          <w:tcPr>
            <w:tcW w:w="40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PROXY STATEMENT</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8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60" w:type="dxa"/>
            <w:vAlign w:val="bottom"/>
          </w:tcPr>
          <w:p>
            <w:pPr>
              <w:spacing w:after="0"/>
              <w:rPr>
                <w:sz w:val="11"/>
                <w:szCs w:val="11"/>
                <w:color w:val="auto"/>
              </w:rPr>
            </w:pPr>
          </w:p>
        </w:tc>
        <w:tc>
          <w:tcPr>
            <w:tcW w:w="404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8"/>
        </w:trPr>
        <w:tc>
          <w:tcPr>
            <w:tcW w:w="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53C072"/>
          </w:tcPr>
          <w:p>
            <w:pPr>
              <w:spacing w:after="0"/>
              <w:rPr>
                <w:sz w:val="15"/>
                <w:szCs w:val="15"/>
                <w:color w:val="auto"/>
              </w:rPr>
            </w:pPr>
          </w:p>
        </w:tc>
        <w:tc>
          <w:tcPr>
            <w:tcW w:w="4040" w:type="dxa"/>
            <w:vAlign w:val="bottom"/>
            <w:shd w:val="clear" w:color="auto" w:fill="53C072"/>
          </w:tcPr>
          <w:p>
            <w:pPr>
              <w:spacing w:after="0"/>
              <w:rPr>
                <w:sz w:val="15"/>
                <w:szCs w:val="15"/>
                <w:color w:val="auto"/>
              </w:rPr>
            </w:pPr>
          </w:p>
        </w:tc>
        <w:tc>
          <w:tcPr>
            <w:tcW w:w="640" w:type="dxa"/>
            <w:vAlign w:val="bottom"/>
            <w:shd w:val="clear" w:color="auto" w:fill="53C072"/>
          </w:tcPr>
          <w:p>
            <w:pPr>
              <w:spacing w:after="0"/>
              <w:rPr>
                <w:sz w:val="15"/>
                <w:szCs w:val="15"/>
                <w:color w:val="auto"/>
              </w:rPr>
            </w:pPr>
          </w:p>
        </w:tc>
        <w:tc>
          <w:tcPr>
            <w:tcW w:w="700" w:type="dxa"/>
            <w:vAlign w:val="bottom"/>
            <w:shd w:val="clear" w:color="auto" w:fill="53C072"/>
          </w:tcPr>
          <w:p>
            <w:pPr>
              <w:spacing w:after="0"/>
              <w:rPr>
                <w:sz w:val="15"/>
                <w:szCs w:val="15"/>
                <w:color w:val="auto"/>
              </w:rPr>
            </w:pPr>
          </w:p>
        </w:tc>
        <w:tc>
          <w:tcPr>
            <w:tcW w:w="300" w:type="dxa"/>
            <w:vAlign w:val="bottom"/>
            <w:shd w:val="clear" w:color="auto" w:fill="53C072"/>
          </w:tcPr>
          <w:p>
            <w:pPr>
              <w:spacing w:after="0"/>
              <w:rPr>
                <w:sz w:val="15"/>
                <w:szCs w:val="15"/>
                <w:color w:val="auto"/>
              </w:rPr>
            </w:pPr>
          </w:p>
        </w:tc>
        <w:tc>
          <w:tcPr>
            <w:tcW w:w="700" w:type="dxa"/>
            <w:vAlign w:val="bottom"/>
            <w:shd w:val="clear" w:color="auto" w:fill="53C072"/>
          </w:tcPr>
          <w:p>
            <w:pPr>
              <w:spacing w:after="0"/>
              <w:rPr>
                <w:sz w:val="15"/>
                <w:szCs w:val="15"/>
                <w:color w:val="auto"/>
              </w:rPr>
            </w:pPr>
          </w:p>
        </w:tc>
        <w:tc>
          <w:tcPr>
            <w:tcW w:w="300" w:type="dxa"/>
            <w:vAlign w:val="bottom"/>
            <w:shd w:val="clear" w:color="auto" w:fill="53C072"/>
          </w:tcPr>
          <w:p>
            <w:pPr>
              <w:spacing w:after="0"/>
              <w:rPr>
                <w:sz w:val="15"/>
                <w:szCs w:val="15"/>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Company</w:t>
            </w:r>
          </w:p>
        </w:tc>
        <w:tc>
          <w:tcPr>
            <w:tcW w:w="340" w:type="dxa"/>
            <w:vAlign w:val="bottom"/>
            <w:shd w:val="clear" w:color="auto" w:fill="53C072"/>
          </w:tcPr>
          <w:p>
            <w:pPr>
              <w:spacing w:after="0"/>
              <w:rPr>
                <w:sz w:val="15"/>
                <w:szCs w:val="15"/>
                <w:color w:val="auto"/>
              </w:rPr>
            </w:pPr>
          </w:p>
        </w:tc>
        <w:tc>
          <w:tcPr>
            <w:tcW w:w="680" w:type="dxa"/>
            <w:vAlign w:val="bottom"/>
            <w:shd w:val="clear" w:color="auto" w:fill="53C072"/>
          </w:tcPr>
          <w:p>
            <w:pPr>
              <w:spacing w:after="0"/>
              <w:rPr>
                <w:sz w:val="15"/>
                <w:szCs w:val="15"/>
                <w:color w:val="auto"/>
              </w:rPr>
            </w:pPr>
          </w:p>
        </w:tc>
        <w:tc>
          <w:tcPr>
            <w:tcW w:w="320" w:type="dxa"/>
            <w:vAlign w:val="bottom"/>
            <w:shd w:val="clear" w:color="auto" w:fill="53C072"/>
          </w:tcPr>
          <w:p>
            <w:pPr>
              <w:spacing w:after="0"/>
              <w:rPr>
                <w:sz w:val="15"/>
                <w:szCs w:val="15"/>
                <w:color w:val="auto"/>
              </w:rPr>
            </w:pPr>
          </w:p>
        </w:tc>
        <w:tc>
          <w:tcPr>
            <w:tcW w:w="760" w:type="dxa"/>
            <w:vAlign w:val="bottom"/>
            <w:tcBorders>
              <w:right w:val="single" w:sz="8" w:color="53C072"/>
            </w:tcBorders>
            <w:shd w:val="clear" w:color="auto" w:fill="53C07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53C072"/>
          </w:tcPr>
          <w:p>
            <w:pPr>
              <w:spacing w:after="0"/>
              <w:rPr>
                <w:sz w:val="14"/>
                <w:szCs w:val="14"/>
                <w:color w:val="auto"/>
              </w:rPr>
            </w:pPr>
          </w:p>
        </w:tc>
        <w:tc>
          <w:tcPr>
            <w:tcW w:w="4040" w:type="dxa"/>
            <w:vAlign w:val="bottom"/>
            <w:shd w:val="clear" w:color="auto" w:fill="53C072"/>
          </w:tcPr>
          <w:p>
            <w:pPr>
              <w:spacing w:after="0"/>
              <w:rPr>
                <w:sz w:val="14"/>
                <w:szCs w:val="14"/>
                <w:color w:val="auto"/>
              </w:rPr>
            </w:pPr>
          </w:p>
        </w:tc>
        <w:tc>
          <w:tcPr>
            <w:tcW w:w="64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30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108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Termination</w:t>
            </w:r>
          </w:p>
        </w:tc>
        <w:tc>
          <w:tcPr>
            <w:tcW w:w="1020" w:type="dxa"/>
            <w:vAlign w:val="bottom"/>
            <w:gridSpan w:val="2"/>
            <w:shd w:val="clear" w:color="auto" w:fill="53C072"/>
          </w:tcPr>
          <w:p>
            <w:pPr>
              <w:jc w:val="right"/>
              <w:spacing w:after="0"/>
              <w:rPr>
                <w:sz w:val="20"/>
                <w:szCs w:val="20"/>
                <w:color w:val="auto"/>
              </w:rPr>
            </w:pPr>
            <w:r>
              <w:rPr>
                <w:rFonts w:ascii="Arial" w:cs="Arial" w:eastAsia="Arial" w:hAnsi="Arial"/>
                <w:sz w:val="14"/>
                <w:szCs w:val="14"/>
                <w:b w:val="1"/>
                <w:bCs w:val="1"/>
                <w:color w:val="FEFEFE"/>
              </w:rPr>
              <w:t>Change of</w:t>
            </w:r>
          </w:p>
        </w:tc>
        <w:tc>
          <w:tcPr>
            <w:tcW w:w="320" w:type="dxa"/>
            <w:vAlign w:val="bottom"/>
            <w:shd w:val="clear" w:color="auto" w:fill="53C072"/>
          </w:tcPr>
          <w:p>
            <w:pPr>
              <w:spacing w:after="0"/>
              <w:rPr>
                <w:sz w:val="14"/>
                <w:szCs w:val="14"/>
                <w:color w:val="auto"/>
              </w:rPr>
            </w:pPr>
          </w:p>
        </w:tc>
        <w:tc>
          <w:tcPr>
            <w:tcW w:w="760" w:type="dxa"/>
            <w:vAlign w:val="bottom"/>
            <w:tcBorders>
              <w:right w:val="single" w:sz="8" w:color="53C072"/>
            </w:tcBorders>
            <w:shd w:val="clear" w:color="auto" w:fill="53C07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shd w:val="clear" w:color="auto" w:fill="53C072"/>
          </w:tcPr>
          <w:p>
            <w:pPr>
              <w:spacing w:after="0"/>
              <w:rPr>
                <w:sz w:val="14"/>
                <w:szCs w:val="14"/>
                <w:color w:val="auto"/>
              </w:rPr>
            </w:pPr>
          </w:p>
        </w:tc>
        <w:tc>
          <w:tcPr>
            <w:tcW w:w="4040" w:type="dxa"/>
            <w:vAlign w:val="bottom"/>
            <w:shd w:val="clear" w:color="auto" w:fill="53C072"/>
          </w:tcPr>
          <w:p>
            <w:pPr>
              <w:spacing w:after="0"/>
              <w:rPr>
                <w:sz w:val="14"/>
                <w:szCs w:val="14"/>
                <w:color w:val="auto"/>
              </w:rPr>
            </w:pPr>
          </w:p>
        </w:tc>
        <w:tc>
          <w:tcPr>
            <w:tcW w:w="640" w:type="dxa"/>
            <w:vAlign w:val="bottom"/>
            <w:shd w:val="clear" w:color="auto" w:fill="53C072"/>
          </w:tcPr>
          <w:p>
            <w:pPr>
              <w:spacing w:after="0"/>
              <w:rPr>
                <w:sz w:val="14"/>
                <w:szCs w:val="14"/>
                <w:color w:val="auto"/>
              </w:rPr>
            </w:pPr>
          </w:p>
        </w:tc>
        <w:tc>
          <w:tcPr>
            <w:tcW w:w="700" w:type="dxa"/>
            <w:vAlign w:val="bottom"/>
            <w:shd w:val="clear" w:color="auto" w:fill="53C072"/>
          </w:tcPr>
          <w:p>
            <w:pPr>
              <w:spacing w:after="0"/>
              <w:rPr>
                <w:sz w:val="14"/>
                <w:szCs w:val="14"/>
                <w:color w:val="auto"/>
              </w:rPr>
            </w:pPr>
          </w:p>
        </w:tc>
        <w:tc>
          <w:tcPr>
            <w:tcW w:w="300" w:type="dxa"/>
            <w:vAlign w:val="bottom"/>
            <w:shd w:val="clear" w:color="auto" w:fill="53C072"/>
          </w:tcPr>
          <w:p>
            <w:pPr>
              <w:spacing w:after="0"/>
              <w:rPr>
                <w:sz w:val="14"/>
                <w:szCs w:val="14"/>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Disability</w:t>
            </w:r>
          </w:p>
        </w:tc>
        <w:tc>
          <w:tcPr>
            <w:tcW w:w="300" w:type="dxa"/>
            <w:vAlign w:val="bottom"/>
            <w:shd w:val="clear" w:color="auto" w:fill="53C072"/>
          </w:tcPr>
          <w:p>
            <w:pPr>
              <w:spacing w:after="0"/>
              <w:rPr>
                <w:sz w:val="14"/>
                <w:szCs w:val="14"/>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w/o Cause</w:t>
            </w:r>
          </w:p>
        </w:tc>
        <w:tc>
          <w:tcPr>
            <w:tcW w:w="340" w:type="dxa"/>
            <w:vAlign w:val="bottom"/>
            <w:shd w:val="clear" w:color="auto" w:fill="53C072"/>
          </w:tcPr>
          <w:p>
            <w:pPr>
              <w:spacing w:after="0"/>
              <w:rPr>
                <w:sz w:val="14"/>
                <w:szCs w:val="14"/>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Control</w:t>
            </w:r>
          </w:p>
        </w:tc>
        <w:tc>
          <w:tcPr>
            <w:tcW w:w="1080" w:type="dxa"/>
            <w:vAlign w:val="bottom"/>
            <w:tcBorders>
              <w:right w:val="single" w:sz="8" w:color="53C072"/>
            </w:tcBorders>
            <w:gridSpan w:val="2"/>
            <w:shd w:val="clear" w:color="auto" w:fill="53C072"/>
          </w:tcPr>
          <w:p>
            <w:pPr>
              <w:jc w:val="right"/>
              <w:ind w:right="17"/>
              <w:spacing w:after="0"/>
              <w:rPr>
                <w:sz w:val="20"/>
                <w:szCs w:val="20"/>
                <w:color w:val="auto"/>
              </w:rPr>
            </w:pPr>
            <w:r>
              <w:rPr>
                <w:rFonts w:ascii="Arial" w:cs="Arial" w:eastAsia="Arial" w:hAnsi="Arial"/>
                <w:sz w:val="14"/>
                <w:szCs w:val="14"/>
                <w:b w:val="1"/>
                <w:bCs w:val="1"/>
                <w:color w:val="FEFEFE"/>
              </w:rPr>
              <w:t>Retirement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shd w:val="clear" w:color="auto" w:fill="53C072"/>
          </w:tcPr>
          <w:p>
            <w:pPr>
              <w:ind w:left="40"/>
              <w:spacing w:after="0"/>
              <w:rPr>
                <w:sz w:val="20"/>
                <w:szCs w:val="20"/>
                <w:color w:val="auto"/>
              </w:rPr>
            </w:pPr>
            <w:r>
              <w:rPr>
                <w:rFonts w:ascii="Arial" w:cs="Arial" w:eastAsia="Arial" w:hAnsi="Arial"/>
                <w:sz w:val="14"/>
                <w:szCs w:val="14"/>
                <w:b w:val="1"/>
                <w:bCs w:val="1"/>
                <w:color w:val="FEFEFE"/>
              </w:rPr>
              <w:t>​</w:t>
            </w:r>
          </w:p>
        </w:tc>
        <w:tc>
          <w:tcPr>
            <w:tcW w:w="4040" w:type="dxa"/>
            <w:vAlign w:val="bottom"/>
            <w:shd w:val="clear" w:color="auto" w:fill="53C072"/>
          </w:tcPr>
          <w:p>
            <w:pPr>
              <w:spacing w:after="0"/>
              <w:rPr>
                <w:sz w:val="14"/>
                <w:szCs w:val="14"/>
                <w:color w:val="auto"/>
              </w:rPr>
            </w:pPr>
          </w:p>
        </w:tc>
        <w:tc>
          <w:tcPr>
            <w:tcW w:w="640" w:type="dxa"/>
            <w:vAlign w:val="bottom"/>
            <w:shd w:val="clear" w:color="auto" w:fill="53C072"/>
          </w:tcPr>
          <w:p>
            <w:pPr>
              <w:ind w:left="440"/>
              <w:spacing w:after="0"/>
              <w:rPr>
                <w:sz w:val="20"/>
                <w:szCs w:val="20"/>
                <w:color w:val="auto"/>
              </w:rPr>
            </w:pPr>
            <w:r>
              <w:rPr>
                <w:rFonts w:ascii="Arial" w:cs="Arial" w:eastAsia="Arial" w:hAnsi="Arial"/>
                <w:sz w:val="14"/>
                <w:szCs w:val="14"/>
                <w:b w:val="1"/>
                <w:bCs w:val="1"/>
                <w:color w:val="FEFEFE"/>
              </w:rPr>
              <w:t>​ ​</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Death ($)</w:t>
            </w:r>
          </w:p>
        </w:tc>
        <w:tc>
          <w:tcPr>
            <w:tcW w:w="3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7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0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7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32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 ​</w:t>
            </w:r>
          </w:p>
        </w:tc>
        <w:tc>
          <w:tcPr>
            <w:tcW w:w="760" w:type="dxa"/>
            <w:vAlign w:val="bottom"/>
            <w:tcBorders>
              <w:right w:val="single" w:sz="8" w:color="53C072"/>
            </w:tcBorders>
            <w:shd w:val="clear" w:color="auto" w:fill="53C072"/>
          </w:tcPr>
          <w:p>
            <w:pPr>
              <w:jc w:val="right"/>
              <w:spacing w:after="0"/>
              <w:rPr>
                <w:sz w:val="20"/>
                <w:szCs w:val="20"/>
                <w:color w:val="auto"/>
              </w:rPr>
            </w:pPr>
            <w:r>
              <w:rPr>
                <w:rFonts w:ascii="Arial" w:cs="Arial" w:eastAsia="Arial" w:hAnsi="Arial"/>
                <w:sz w:val="14"/>
                <w:szCs w:val="14"/>
                <w:b w:val="1"/>
                <w:bCs w:val="1"/>
                <w:color w:val="FEFEFE"/>
              </w:rPr>
              <w: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49"/>
        </w:trPr>
        <w:tc>
          <w:tcPr>
            <w:tcW w:w="160" w:type="dxa"/>
            <w:vAlign w:val="bottom"/>
          </w:tcPr>
          <w:p>
            <w:pPr>
              <w:ind w:left="40"/>
              <w:spacing w:after="0" w:line="149" w:lineRule="exact"/>
              <w:rPr>
                <w:sz w:val="20"/>
                <w:szCs w:val="20"/>
                <w:color w:val="auto"/>
              </w:rPr>
            </w:pPr>
            <w:r>
              <w:rPr>
                <w:rFonts w:ascii="Arial" w:cs="Arial" w:eastAsia="Arial" w:hAnsi="Arial"/>
                <w:sz w:val="17"/>
                <w:szCs w:val="17"/>
                <w:color w:val="auto"/>
              </w:rPr>
              <w:t>​</w:t>
            </w:r>
          </w:p>
        </w:tc>
        <w:tc>
          <w:tcPr>
            <w:tcW w:w="404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7"/>
                <w:szCs w:val="17"/>
                <w:color w:val="auto"/>
              </w:rPr>
              <w:t>​ ​</w:t>
            </w:r>
          </w:p>
        </w:tc>
        <w:tc>
          <w:tcPr>
            <w:tcW w:w="7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7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7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6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
        </w:trPr>
        <w:tc>
          <w:tcPr>
            <w:tcW w:w="4200" w:type="dxa"/>
            <w:vAlign w:val="bottom"/>
            <w:gridSpan w:val="2"/>
          </w:tcPr>
          <w:p>
            <w:pPr>
              <w:ind w:left="40"/>
              <w:spacing w:after="0" w:line="41" w:lineRule="exact"/>
              <w:rPr>
                <w:sz w:val="20"/>
                <w:szCs w:val="20"/>
                <w:color w:val="auto"/>
              </w:rPr>
            </w:pPr>
            <w:r>
              <w:rPr>
                <w:rFonts w:ascii="Arial" w:cs="Arial" w:eastAsia="Arial" w:hAnsi="Arial"/>
                <w:sz w:val="4"/>
                <w:szCs w:val="4"/>
                <w:color w:val="auto"/>
              </w:rPr>
              <w:t>Michael R. McCoy</w:t>
            </w:r>
          </w:p>
        </w:tc>
        <w:tc>
          <w:tcPr>
            <w:tcW w:w="640" w:type="dxa"/>
            <w:vAlign w:val="bottom"/>
            <w:vMerge w:val="restart"/>
          </w:tcPr>
          <w:p>
            <w:pPr>
              <w:ind w:left="440"/>
              <w:spacing w:after="0"/>
              <w:rPr>
                <w:sz w:val="20"/>
                <w:szCs w:val="20"/>
                <w:color w:val="auto"/>
              </w:rPr>
            </w:pPr>
            <w:r>
              <w:rPr>
                <w:rFonts w:ascii="Arial" w:cs="Arial" w:eastAsia="Arial" w:hAnsi="Arial"/>
                <w:sz w:val="18"/>
                <w:szCs w:val="18"/>
                <w:color w:val="auto"/>
              </w:rPr>
              <w:t>​ ​</w:t>
            </w:r>
          </w:p>
        </w:tc>
        <w:tc>
          <w:tcPr>
            <w:tcW w:w="700" w:type="dxa"/>
            <w:vAlign w:val="bottom"/>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spacing w:after="0"/>
              <w:rPr>
                <w:sz w:val="3"/>
                <w:szCs w:val="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spacing w:after="0"/>
              <w:rPr>
                <w:sz w:val="3"/>
                <w:szCs w:val="3"/>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spacing w:after="0"/>
              <w:rPr>
                <w:sz w:val="3"/>
                <w:szCs w:val="3"/>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spacing w:after="0"/>
              <w:rPr>
                <w:sz w:val="3"/>
                <w:szCs w:val="3"/>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6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4040" w:type="dxa"/>
            <w:vAlign w:val="bottom"/>
          </w:tcPr>
          <w:p>
            <w:pPr>
              <w:ind w:left="900"/>
              <w:spacing w:after="0"/>
              <w:rPr>
                <w:sz w:val="20"/>
                <w:szCs w:val="20"/>
                <w:color w:val="auto"/>
              </w:rPr>
            </w:pPr>
            <w:r>
              <w:rPr>
                <w:rFonts w:ascii="Arial" w:cs="Arial" w:eastAsia="Arial" w:hAnsi="Arial"/>
                <w:sz w:val="12"/>
                <w:szCs w:val="12"/>
                <w:color w:val="auto"/>
              </w:rPr>
              <w:t>(1)</w:t>
            </w:r>
          </w:p>
        </w:tc>
        <w:tc>
          <w:tcPr>
            <w:tcW w:w="640" w:type="dxa"/>
            <w:vAlign w:val="bottom"/>
            <w:vMerge w:val="continue"/>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4"/>
              </w:rPr>
              <w:t>1,071,000</w:t>
            </w:r>
          </w:p>
        </w:tc>
        <w:tc>
          <w:tcPr>
            <w:tcW w:w="3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160" w:type="dxa"/>
            <w:vAlign w:val="bottom"/>
          </w:tcPr>
          <w:p>
            <w:pPr>
              <w:spacing w:after="0"/>
              <w:rPr>
                <w:sz w:val="5"/>
                <w:szCs w:val="5"/>
                <w:color w:val="auto"/>
              </w:rPr>
            </w:pPr>
          </w:p>
        </w:tc>
        <w:tc>
          <w:tcPr>
            <w:tcW w:w="4040" w:type="dxa"/>
            <w:vAlign w:val="bottom"/>
          </w:tcPr>
          <w:p>
            <w:pPr>
              <w:ind w:left="60"/>
              <w:spacing w:after="0" w:line="63" w:lineRule="exact"/>
              <w:rPr>
                <w:sz w:val="20"/>
                <w:szCs w:val="20"/>
                <w:color w:val="auto"/>
              </w:rPr>
            </w:pPr>
            <w:r>
              <w:rPr>
                <w:rFonts w:ascii="Arial" w:cs="Arial" w:eastAsia="Arial" w:hAnsi="Arial"/>
                <w:sz w:val="7"/>
                <w:szCs w:val="7"/>
                <w:color w:val="auto"/>
              </w:rPr>
              <w:t>Severance</w:t>
            </w: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20" w:type="dxa"/>
            <w:vAlign w:val="bottom"/>
            <w:gridSpan w:val="2"/>
          </w:tcPr>
          <w:p>
            <w:pPr>
              <w:jc w:val="right"/>
              <w:spacing w:after="0" w:line="63" w:lineRule="exact"/>
              <w:rPr>
                <w:sz w:val="20"/>
                <w:szCs w:val="20"/>
                <w:color w:val="auto"/>
              </w:rPr>
            </w:pPr>
            <w:r>
              <w:rPr>
                <w:rFonts w:ascii="Arial" w:cs="Arial" w:eastAsia="Arial" w:hAnsi="Arial"/>
                <w:sz w:val="7"/>
                <w:szCs w:val="7"/>
                <w:color w:val="auto"/>
              </w:rPr>
              <w:t>3,202,290</w:t>
            </w:r>
          </w:p>
        </w:tc>
        <w:tc>
          <w:tcPr>
            <w:tcW w:w="3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4040" w:type="dxa"/>
            <w:vAlign w:val="bottom"/>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640" w:type="dxa"/>
            <w:vAlign w:val="bottom"/>
          </w:tcPr>
          <w:p>
            <w:pPr>
              <w:ind w:left="4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779,248</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779,248</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779,248</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779,248</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779,248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4040" w:type="dxa"/>
            <w:vAlign w:val="bottom"/>
          </w:tcPr>
          <w:p>
            <w:pPr>
              <w:ind w:left="60"/>
              <w:spacing w:after="0"/>
              <w:rPr>
                <w:sz w:val="20"/>
                <w:szCs w:val="20"/>
                <w:color w:val="auto"/>
              </w:rPr>
            </w:pPr>
            <w:r>
              <w:rPr>
                <w:rFonts w:ascii="Arial" w:cs="Arial" w:eastAsia="Arial" w:hAnsi="Arial"/>
                <w:sz w:val="18"/>
                <w:szCs w:val="18"/>
                <w:color w:val="auto"/>
              </w:rPr>
              <w:t>Settlement of unvested stock options</w:t>
            </w:r>
          </w:p>
        </w:tc>
        <w:tc>
          <w:tcPr>
            <w:tcW w:w="640" w:type="dxa"/>
            <w:vAlign w:val="bottom"/>
          </w:tcPr>
          <w:p>
            <w:pPr>
              <w:ind w:left="4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386,569</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4040" w:type="dxa"/>
            <w:vAlign w:val="bottom"/>
          </w:tcPr>
          <w:p>
            <w:pPr>
              <w:ind w:left="60"/>
              <w:spacing w:after="0" w:line="237" w:lineRule="exact"/>
              <w:rPr>
                <w:sz w:val="20"/>
                <w:szCs w:val="20"/>
                <w:color w:val="auto"/>
              </w:rPr>
            </w:pPr>
            <w:r>
              <w:rPr>
                <w:rFonts w:ascii="Arial" w:cs="Arial" w:eastAsia="Arial" w:hAnsi="Arial"/>
                <w:sz w:val="18"/>
                <w:szCs w:val="18"/>
                <w:color w:val="auto"/>
              </w:rPr>
              <w:t>Settlement of RSUs</w:t>
            </w:r>
            <w:r>
              <w:rPr>
                <w:rFonts w:ascii="Arial" w:cs="Arial" w:eastAsia="Arial" w:hAnsi="Arial"/>
                <w:sz w:val="23"/>
                <w:szCs w:val="23"/>
                <w:color w:val="auto"/>
                <w:vertAlign w:val="superscript"/>
              </w:rPr>
              <w:t>(2)</w:t>
            </w:r>
          </w:p>
        </w:tc>
        <w:tc>
          <w:tcPr>
            <w:tcW w:w="640" w:type="dxa"/>
            <w:vAlign w:val="bottom"/>
          </w:tcPr>
          <w:p>
            <w:pPr>
              <w:ind w:left="4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943,090</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943,090</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37"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w:t>
            </w:r>
          </w:p>
        </w:tc>
        <w:tc>
          <w:tcPr>
            <w:tcW w:w="0" w:type="dxa"/>
            <w:vAlign w:val="bottom"/>
          </w:tcPr>
          <w:p>
            <w:pPr>
              <w:spacing w:after="0"/>
              <w:rPr>
                <w:sz w:val="1"/>
                <w:szCs w:val="1"/>
                <w:color w:val="auto"/>
              </w:rPr>
            </w:pPr>
          </w:p>
        </w:tc>
      </w:tr>
      <w:tr>
        <w:trPr>
          <w:trHeight w:val="181"/>
        </w:trPr>
        <w:tc>
          <w:tcPr>
            <w:tcW w:w="160" w:type="dxa"/>
            <w:vAlign w:val="bottom"/>
          </w:tcPr>
          <w:p>
            <w:pPr>
              <w:ind w:left="40"/>
              <w:spacing w:after="0" w:line="181" w:lineRule="exact"/>
              <w:rPr>
                <w:sz w:val="20"/>
                <w:szCs w:val="20"/>
                <w:color w:val="auto"/>
              </w:rPr>
            </w:pPr>
            <w:r>
              <w:rPr>
                <w:rFonts w:ascii="Arial" w:cs="Arial" w:eastAsia="Arial" w:hAnsi="Arial"/>
                <w:sz w:val="18"/>
                <w:szCs w:val="18"/>
                <w:color w:val="auto"/>
              </w:rPr>
              <w:t>​</w:t>
            </w:r>
          </w:p>
        </w:tc>
        <w:tc>
          <w:tcPr>
            <w:tcW w:w="4040" w:type="dxa"/>
            <w:vAlign w:val="bottom"/>
          </w:tcPr>
          <w:p>
            <w:pPr>
              <w:ind w:left="1600"/>
              <w:spacing w:after="0"/>
              <w:rPr>
                <w:sz w:val="20"/>
                <w:szCs w:val="20"/>
                <w:color w:val="auto"/>
              </w:rPr>
            </w:pPr>
            <w:r>
              <w:rPr>
                <w:rFonts w:ascii="Arial" w:cs="Arial" w:eastAsia="Arial" w:hAnsi="Arial"/>
                <w:sz w:val="12"/>
                <w:szCs w:val="12"/>
                <w:color w:val="auto"/>
              </w:rPr>
              <w:t>(3)</w:t>
            </w:r>
          </w:p>
        </w:tc>
        <w:tc>
          <w:tcPr>
            <w:tcW w:w="640" w:type="dxa"/>
            <w:vAlign w:val="bottom"/>
          </w:tcPr>
          <w:p>
            <w:pPr>
              <w:ind w:left="440"/>
              <w:spacing w:after="0" w:line="181" w:lineRule="exact"/>
              <w:rPr>
                <w:sz w:val="20"/>
                <w:szCs w:val="20"/>
                <w:color w:val="auto"/>
              </w:rPr>
            </w:pPr>
            <w:r>
              <w:rPr>
                <w:rFonts w:ascii="Arial" w:cs="Arial" w:eastAsia="Arial" w:hAnsi="Arial"/>
                <w:sz w:val="18"/>
                <w:szCs w:val="18"/>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484,091</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484,091</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680" w:type="dxa"/>
            <w:vAlign w:val="bottom"/>
          </w:tcPr>
          <w:p>
            <w:pPr>
              <w:spacing w:after="0"/>
              <w:rPr>
                <w:sz w:val="15"/>
                <w:szCs w:val="15"/>
                <w:color w:val="auto"/>
              </w:rPr>
            </w:pPr>
          </w:p>
        </w:tc>
        <w:tc>
          <w:tcPr>
            <w:tcW w:w="320" w:type="dxa"/>
            <w:vAlign w:val="bottom"/>
          </w:tcPr>
          <w:p>
            <w:pPr>
              <w:jc w:val="right"/>
              <w:spacing w:after="0" w:line="181" w:lineRule="exact"/>
              <w:rPr>
                <w:sz w:val="20"/>
                <w:szCs w:val="20"/>
                <w:color w:val="auto"/>
              </w:rPr>
            </w:pPr>
            <w:r>
              <w:rPr>
                <w:rFonts w:ascii="Arial" w:cs="Arial" w:eastAsia="Arial" w:hAnsi="Arial"/>
                <w:sz w:val="18"/>
                <w:szCs w:val="18"/>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160" w:type="dxa"/>
            <w:vAlign w:val="bottom"/>
          </w:tcPr>
          <w:p>
            <w:pPr>
              <w:spacing w:after="0"/>
              <w:rPr>
                <w:sz w:val="5"/>
                <w:szCs w:val="5"/>
                <w:color w:val="auto"/>
              </w:rPr>
            </w:pPr>
          </w:p>
        </w:tc>
        <w:tc>
          <w:tcPr>
            <w:tcW w:w="4040" w:type="dxa"/>
            <w:vAlign w:val="bottom"/>
          </w:tcPr>
          <w:p>
            <w:pPr>
              <w:ind w:left="60"/>
              <w:spacing w:after="0" w:line="63" w:lineRule="exact"/>
              <w:rPr>
                <w:sz w:val="20"/>
                <w:szCs w:val="20"/>
                <w:color w:val="auto"/>
              </w:rPr>
            </w:pPr>
            <w:r>
              <w:rPr>
                <w:rFonts w:ascii="Arial" w:cs="Arial" w:eastAsia="Arial" w:hAnsi="Arial"/>
                <w:sz w:val="7"/>
                <w:szCs w:val="7"/>
                <w:color w:val="auto"/>
              </w:rPr>
              <w:t>Settlement of PSUs</w:t>
            </w: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20" w:type="dxa"/>
            <w:vAlign w:val="bottom"/>
            <w:gridSpan w:val="2"/>
          </w:tcPr>
          <w:p>
            <w:pPr>
              <w:jc w:val="right"/>
              <w:spacing w:after="0" w:line="63" w:lineRule="exact"/>
              <w:rPr>
                <w:sz w:val="20"/>
                <w:szCs w:val="20"/>
                <w:color w:val="auto"/>
              </w:rPr>
            </w:pPr>
            <w:r>
              <w:rPr>
                <w:rFonts w:ascii="Arial" w:cs="Arial" w:eastAsia="Arial" w:hAnsi="Arial"/>
                <w:sz w:val="7"/>
                <w:szCs w:val="7"/>
                <w:color w:val="auto"/>
              </w:rPr>
              <w:t>1,125,726</w:t>
            </w:r>
          </w:p>
        </w:tc>
        <w:tc>
          <w:tcPr>
            <w:tcW w:w="3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4040" w:type="dxa"/>
            <w:vAlign w:val="bottom"/>
          </w:tcPr>
          <w:p>
            <w:pPr>
              <w:ind w:left="60"/>
              <w:spacing w:after="0"/>
              <w:rPr>
                <w:sz w:val="20"/>
                <w:szCs w:val="20"/>
                <w:color w:val="auto"/>
              </w:rPr>
            </w:pPr>
            <w:r>
              <w:rPr>
                <w:rFonts w:ascii="Arial" w:cs="Arial" w:eastAsia="Arial" w:hAnsi="Arial"/>
                <w:sz w:val="18"/>
                <w:szCs w:val="18"/>
                <w:color w:val="auto"/>
              </w:rPr>
              <w:t>Welfare benefits</w:t>
            </w:r>
          </w:p>
        </w:tc>
        <w:tc>
          <w:tcPr>
            <w:tcW w:w="640" w:type="dxa"/>
            <w:vAlign w:val="bottom"/>
          </w:tcPr>
          <w:p>
            <w:pPr>
              <w:ind w:left="4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86,946</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21"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4040" w:type="dxa"/>
            <w:vAlign w:val="bottom"/>
          </w:tcPr>
          <w:p>
            <w:pPr>
              <w:ind w:left="60"/>
              <w:spacing w:after="0"/>
              <w:rPr>
                <w:sz w:val="20"/>
                <w:szCs w:val="20"/>
                <w:color w:val="auto"/>
              </w:rPr>
            </w:pPr>
            <w:r>
              <w:rPr>
                <w:rFonts w:ascii="Arial" w:cs="Arial" w:eastAsia="Arial" w:hAnsi="Arial"/>
                <w:sz w:val="18"/>
                <w:szCs w:val="18"/>
                <w:color w:val="auto"/>
              </w:rPr>
              <w:t>Life insurance benefit</w:t>
            </w:r>
          </w:p>
        </w:tc>
        <w:tc>
          <w:tcPr>
            <w:tcW w:w="640" w:type="dxa"/>
            <w:vAlign w:val="bottom"/>
          </w:tcPr>
          <w:p>
            <w:pPr>
              <w:ind w:left="4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4040" w:type="dxa"/>
            <w:vAlign w:val="bottom"/>
          </w:tcPr>
          <w:p>
            <w:pPr>
              <w:ind w:left="60"/>
              <w:spacing w:after="0"/>
              <w:rPr>
                <w:sz w:val="20"/>
                <w:szCs w:val="20"/>
                <w:color w:val="auto"/>
              </w:rPr>
            </w:pPr>
            <w:r>
              <w:rPr>
                <w:rFonts w:ascii="Arial" w:cs="Arial" w:eastAsia="Arial" w:hAnsi="Arial"/>
                <w:sz w:val="18"/>
                <w:szCs w:val="18"/>
                <w:color w:val="auto"/>
              </w:rPr>
              <w:t>Pension</w:t>
            </w:r>
          </w:p>
        </w:tc>
        <w:tc>
          <w:tcPr>
            <w:tcW w:w="640" w:type="dxa"/>
            <w:vAlign w:val="bottom"/>
          </w:tcPr>
          <w:p>
            <w:pPr>
              <w:ind w:left="4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218,551</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218,551</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218,551</w:t>
            </w: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218,551</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218,551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60" w:type="dxa"/>
            <w:vAlign w:val="bottom"/>
            <w:tcBorders>
              <w:bottom w:val="single" w:sz="8" w:color="53C072"/>
            </w:tcBorders>
          </w:tcPr>
          <w:p>
            <w:pPr>
              <w:ind w:left="40"/>
              <w:spacing w:after="0"/>
              <w:rPr>
                <w:sz w:val="20"/>
                <w:szCs w:val="20"/>
                <w:color w:val="auto"/>
              </w:rPr>
            </w:pPr>
            <w:r>
              <w:rPr>
                <w:rFonts w:ascii="Arial" w:cs="Arial" w:eastAsia="Arial" w:hAnsi="Arial"/>
                <w:sz w:val="18"/>
                <w:szCs w:val="18"/>
                <w:color w:val="auto"/>
              </w:rPr>
              <w:t>​</w:t>
            </w:r>
          </w:p>
        </w:tc>
        <w:tc>
          <w:tcPr>
            <w:tcW w:w="4040" w:type="dxa"/>
            <w:vAlign w:val="bottom"/>
            <w:tcBorders>
              <w:bottom w:val="single" w:sz="8" w:color="53C072"/>
            </w:tcBorders>
          </w:tcPr>
          <w:p>
            <w:pPr>
              <w:ind w:left="60"/>
              <w:spacing w:after="0"/>
              <w:rPr>
                <w:sz w:val="20"/>
                <w:szCs w:val="20"/>
                <w:color w:val="auto"/>
              </w:rPr>
            </w:pPr>
            <w:r>
              <w:rPr>
                <w:rFonts w:ascii="Arial" w:cs="Arial" w:eastAsia="Arial" w:hAnsi="Arial"/>
                <w:sz w:val="18"/>
                <w:szCs w:val="18"/>
                <w:color w:val="auto"/>
              </w:rPr>
              <w:t>Restoration Plan</w:t>
            </w:r>
          </w:p>
        </w:tc>
        <w:tc>
          <w:tcPr>
            <w:tcW w:w="640" w:type="dxa"/>
            <w:vAlign w:val="bottom"/>
            <w:tcBorders>
              <w:bottom w:val="single" w:sz="8" w:color="53C072"/>
            </w:tcBorders>
          </w:tcPr>
          <w:p>
            <w:pPr>
              <w:ind w:left="4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138,683</w:t>
            </w:r>
          </w:p>
        </w:tc>
        <w:tc>
          <w:tcPr>
            <w:tcW w:w="30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138,683</w:t>
            </w:r>
          </w:p>
        </w:tc>
        <w:tc>
          <w:tcPr>
            <w:tcW w:w="30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138,683</w:t>
            </w:r>
          </w:p>
        </w:tc>
        <w:tc>
          <w:tcPr>
            <w:tcW w:w="34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 ​</w:t>
            </w:r>
          </w:p>
        </w:tc>
        <w:tc>
          <w:tcPr>
            <w:tcW w:w="68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138,683</w:t>
            </w:r>
          </w:p>
        </w:tc>
        <w:tc>
          <w:tcPr>
            <w:tcW w:w="32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53C072"/>
            </w:tcBorders>
          </w:tcPr>
          <w:p>
            <w:pPr>
              <w:jc w:val="right"/>
              <w:spacing w:after="0"/>
              <w:rPr>
                <w:sz w:val="20"/>
                <w:szCs w:val="20"/>
                <w:color w:val="auto"/>
              </w:rPr>
            </w:pPr>
            <w:r>
              <w:rPr>
                <w:rFonts w:ascii="Arial" w:cs="Arial" w:eastAsia="Arial" w:hAnsi="Arial"/>
                <w:sz w:val="18"/>
                <w:szCs w:val="18"/>
                <w:color w:val="auto"/>
              </w:rPr>
              <w:t>138,683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780" w:hanging="718"/>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Severance payments assume target annual incentive for fiscal 2024.</w:t>
      </w:r>
    </w:p>
    <w:p>
      <w:pPr>
        <w:spacing w:after="0" w:line="157" w:lineRule="exact"/>
        <w:rPr>
          <w:rFonts w:ascii="Arial" w:cs="Arial" w:eastAsia="Arial" w:hAnsi="Arial"/>
          <w:sz w:val="18"/>
          <w:szCs w:val="18"/>
          <w:color w:val="auto"/>
        </w:rPr>
      </w:pPr>
    </w:p>
    <w:p>
      <w:pPr>
        <w:ind w:left="1780" w:right="560" w:hanging="718"/>
        <w:spacing w:after="0" w:line="287" w:lineRule="auto"/>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value of RSUs reflected in the table above under death and change of control equals the value of all RSUs allocated to the NEOs but not yet vested on June 29, 2024.</w:t>
      </w:r>
    </w:p>
    <w:p>
      <w:pPr>
        <w:spacing w:after="0" w:line="85" w:lineRule="exact"/>
        <w:rPr>
          <w:rFonts w:ascii="Arial" w:cs="Arial" w:eastAsia="Arial" w:hAnsi="Arial"/>
          <w:sz w:val="18"/>
          <w:szCs w:val="18"/>
          <w:color w:val="auto"/>
        </w:rPr>
      </w:pPr>
    </w:p>
    <w:p>
      <w:pPr>
        <w:ind w:left="1780" w:hanging="718"/>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value of PSUs in the table above include two grants for the performance periods covering</w:t>
      </w:r>
    </w:p>
    <w:p>
      <w:pPr>
        <w:spacing w:after="0" w:line="27" w:lineRule="exact"/>
        <w:rPr>
          <w:rFonts w:ascii="Arial" w:cs="Arial" w:eastAsia="Arial" w:hAnsi="Arial"/>
          <w:sz w:val="18"/>
          <w:szCs w:val="18"/>
          <w:color w:val="auto"/>
        </w:rPr>
      </w:pPr>
    </w:p>
    <w:p>
      <w:pPr>
        <w:jc w:val="both"/>
        <w:ind w:left="1780" w:right="560"/>
        <w:spacing w:after="0" w:line="258" w:lineRule="auto"/>
        <w:rPr>
          <w:rFonts w:ascii="Arial" w:cs="Arial" w:eastAsia="Arial" w:hAnsi="Arial"/>
          <w:sz w:val="18"/>
          <w:szCs w:val="18"/>
          <w:color w:val="auto"/>
        </w:rPr>
      </w:pPr>
      <w:r>
        <w:rPr>
          <w:rFonts w:ascii="Arial" w:cs="Arial" w:eastAsia="Arial" w:hAnsi="Arial"/>
          <w:sz w:val="18"/>
          <w:szCs w:val="18"/>
          <w:color w:val="auto"/>
        </w:rPr>
        <w:t>FY 2023 to FY 2025 and FY 2024 to FY 2026. Included are the PSUs earned for the tranches relating to the performance applicable to fiscal 2023 and fiscal 2024. For the remaining tranches applicable to fiscal 2025 and fiscal 2026, we have assumed performance at target.</w:t>
      </w:r>
    </w:p>
    <w:p>
      <w:pPr>
        <w:spacing w:after="0" w:line="97" w:lineRule="exact"/>
        <w:rPr>
          <w:rFonts w:ascii="Arial" w:cs="Arial" w:eastAsia="Arial" w:hAnsi="Arial"/>
          <w:sz w:val="18"/>
          <w:szCs w:val="18"/>
          <w:color w:val="auto"/>
        </w:rPr>
      </w:pPr>
    </w:p>
    <w:p>
      <w:pPr>
        <w:ind w:left="1780" w:right="580" w:hanging="718"/>
        <w:spacing w:after="0" w:line="259" w:lineRule="auto"/>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Because Mr. Gallagher and Mr. Arnold are retirement eligible under the applicable equity compensation plans, the amount of potential payouts regarding RSUs and Stock Options in the event of a disability or termination by the Company without cause is the same as that under Retirement because the amount received upon retirement is greater than would be received upon a disability or termination without cause.</w:t>
      </w:r>
    </w:p>
    <w:p>
      <w:pPr>
        <w:spacing w:after="0" w:line="111" w:lineRule="exact"/>
        <w:rPr>
          <w:rFonts w:ascii="Arial" w:cs="Arial" w:eastAsia="Arial" w:hAnsi="Arial"/>
          <w:sz w:val="18"/>
          <w:szCs w:val="18"/>
          <w:color w:val="auto"/>
        </w:rPr>
      </w:pPr>
    </w:p>
    <w:p>
      <w:pPr>
        <w:ind w:left="1780" w:right="600" w:hanging="718"/>
        <w:spacing w:after="0" w:line="268" w:lineRule="auto"/>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Gallagher has received all his supplemental retirement benefits under the SERP effective in fiscal year 2023. The amount included above is for the death benefit provided under the SERP as discussed above relating to Pension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40"/>
          <w:szCs w:val="40"/>
          <w:b w:val="1"/>
          <w:bCs w:val="1"/>
          <w:color w:val="FEFEFE"/>
        </w:rPr>
        <w:t>CEO PAY RATIO</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399"/>
        <w:spacing w:after="0" w:line="259" w:lineRule="auto"/>
        <w:rPr>
          <w:sz w:val="20"/>
          <w:szCs w:val="20"/>
          <w:color w:val="auto"/>
        </w:rPr>
      </w:pPr>
      <w:r>
        <w:rPr>
          <w:rFonts w:ascii="Arial" w:cs="Arial" w:eastAsia="Arial" w:hAnsi="Arial"/>
          <w:sz w:val="18"/>
          <w:szCs w:val="18"/>
          <w:color w:val="auto"/>
        </w:rPr>
        <w:t>The following is information about the relationship of the annual total compensation paid to the individual identified as its median paid employee and the annual total compensation of the CEO, Mr. Gallagher. The company determined a new median employee for fiscal year 2024. The fiscal 2024 total compensation of the median paid employee, other than the Company’s CEO, was $44,824. The CEO’s fiscal 2024 total compensation was $8,775,978.</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The ratio of CEO to median employee pay was 196 to 1.</w:t>
      </w:r>
    </w:p>
    <w:p>
      <w:pPr>
        <w:spacing w:after="0" w:line="148" w:lineRule="exact"/>
        <w:rPr>
          <w:sz w:val="20"/>
          <w:szCs w:val="20"/>
          <w:color w:val="auto"/>
        </w:rPr>
      </w:pPr>
    </w:p>
    <w:p>
      <w:pPr>
        <w:ind w:left="1000" w:right="359"/>
        <w:spacing w:after="0" w:line="287" w:lineRule="auto"/>
        <w:rPr>
          <w:sz w:val="20"/>
          <w:szCs w:val="20"/>
          <w:color w:val="auto"/>
        </w:rPr>
      </w:pPr>
      <w:r>
        <w:rPr>
          <w:rFonts w:ascii="Arial" w:cs="Arial" w:eastAsia="Arial" w:hAnsi="Arial"/>
          <w:sz w:val="18"/>
          <w:szCs w:val="18"/>
          <w:color w:val="auto"/>
        </w:rPr>
        <w:t>The following summarizes the methodology, material assumptions, adjustments, and estimates the Company used in calculating the CEO pay ratio for fiscal 2024:</w:t>
      </w:r>
    </w:p>
    <w:p>
      <w:pPr>
        <w:spacing w:after="0" w:line="85" w:lineRule="exact"/>
        <w:rPr>
          <w:sz w:val="20"/>
          <w:szCs w:val="20"/>
          <w:color w:val="auto"/>
        </w:rPr>
      </w:pPr>
    </w:p>
    <w:p>
      <w:pPr>
        <w:ind w:left="1720" w:right="179" w:hanging="370"/>
        <w:spacing w:after="0" w:line="287" w:lineRule="auto"/>
        <w:tabs>
          <w:tab w:leader="none" w:pos="1720" w:val="left"/>
        </w:tabs>
        <w:numPr>
          <w:ilvl w:val="0"/>
          <w:numId w:val="64"/>
        </w:numPr>
        <w:rPr>
          <w:rFonts w:ascii="Arial" w:cs="Arial" w:eastAsia="Arial" w:hAnsi="Arial"/>
          <w:sz w:val="18"/>
          <w:szCs w:val="18"/>
          <w:color w:val="53C072"/>
        </w:rPr>
      </w:pPr>
      <w:r>
        <w:rPr>
          <w:rFonts w:ascii="Arial" w:cs="Arial" w:eastAsia="Arial" w:hAnsi="Arial"/>
          <w:sz w:val="18"/>
          <w:szCs w:val="18"/>
          <w:b w:val="1"/>
          <w:bCs w:val="1"/>
          <w:color w:val="53C072"/>
        </w:rPr>
        <w:t xml:space="preserve">Employee Measurement Date: </w:t>
      </w:r>
      <w:r>
        <w:rPr>
          <w:rFonts w:ascii="Arial" w:cs="Arial" w:eastAsia="Arial" w:hAnsi="Arial"/>
          <w:sz w:val="18"/>
          <w:szCs w:val="18"/>
          <w:color w:val="000000"/>
        </w:rPr>
        <w:t>The Company collected data for all employees as of June 29, 2024,</w:t>
      </w:r>
      <w:r>
        <w:rPr>
          <w:rFonts w:ascii="Arial" w:cs="Arial" w:eastAsia="Arial" w:hAnsi="Arial"/>
          <w:sz w:val="18"/>
          <w:szCs w:val="18"/>
          <w:b w:val="1"/>
          <w:bCs w:val="1"/>
          <w:color w:val="53C072"/>
        </w:rPr>
        <w:t xml:space="preserve"> </w:t>
      </w:r>
      <w:r>
        <w:rPr>
          <w:rFonts w:ascii="Arial" w:cs="Arial" w:eastAsia="Arial" w:hAnsi="Arial"/>
          <w:sz w:val="18"/>
          <w:szCs w:val="18"/>
          <w:color w:val="000000"/>
        </w:rPr>
        <w:t>the last day of the Company’s fiscal year.</w:t>
      </w:r>
    </w:p>
    <w:p>
      <w:pPr>
        <w:spacing w:after="0" w:line="85" w:lineRule="exact"/>
        <w:rPr>
          <w:rFonts w:ascii="Arial" w:cs="Arial" w:eastAsia="Arial" w:hAnsi="Arial"/>
          <w:sz w:val="18"/>
          <w:szCs w:val="18"/>
          <w:color w:val="53C072"/>
        </w:rPr>
      </w:pPr>
    </w:p>
    <w:p>
      <w:pPr>
        <w:ind w:left="1720" w:right="139" w:hanging="370"/>
        <w:spacing w:after="0" w:line="262" w:lineRule="auto"/>
        <w:tabs>
          <w:tab w:leader="none" w:pos="1720" w:val="left"/>
        </w:tabs>
        <w:numPr>
          <w:ilvl w:val="0"/>
          <w:numId w:val="64"/>
        </w:numPr>
        <w:rPr>
          <w:rFonts w:ascii="Arial" w:cs="Arial" w:eastAsia="Arial" w:hAnsi="Arial"/>
          <w:sz w:val="18"/>
          <w:szCs w:val="18"/>
          <w:color w:val="53C072"/>
        </w:rPr>
      </w:pPr>
      <w:r>
        <w:rPr>
          <w:rFonts w:ascii="Arial" w:cs="Arial" w:eastAsia="Arial" w:hAnsi="Arial"/>
          <w:sz w:val="18"/>
          <w:szCs w:val="18"/>
          <w:b w:val="1"/>
          <w:bCs w:val="1"/>
          <w:color w:val="53C072"/>
        </w:rPr>
        <w:t xml:space="preserve">Exclusions: </w:t>
      </w:r>
      <w:r>
        <w:rPr>
          <w:rFonts w:ascii="Arial" w:cs="Arial" w:eastAsia="Arial" w:hAnsi="Arial"/>
          <w:sz w:val="18"/>
          <w:szCs w:val="18"/>
          <w:color w:val="000000"/>
        </w:rPr>
        <w:t>The rule allows companies to exclude non-US employees from countries in which data</w:t>
      </w:r>
      <w:r>
        <w:rPr>
          <w:rFonts w:ascii="Arial" w:cs="Arial" w:eastAsia="Arial" w:hAnsi="Arial"/>
          <w:sz w:val="18"/>
          <w:szCs w:val="18"/>
          <w:b w:val="1"/>
          <w:bCs w:val="1"/>
          <w:color w:val="53C072"/>
        </w:rPr>
        <w:t xml:space="preserve"> </w:t>
      </w:r>
      <w:r>
        <w:rPr>
          <w:rFonts w:ascii="Arial" w:cs="Arial" w:eastAsia="Arial" w:hAnsi="Arial"/>
          <w:sz w:val="18"/>
          <w:szCs w:val="18"/>
          <w:color w:val="000000"/>
        </w:rPr>
        <w:t>privacy laws or regulations make companies unable to comply and provides a de minimis exception for non- US employees. The Company did not exclude any of its employees from its total workforce of approximately 16,000 employees.</w:t>
      </w:r>
    </w:p>
    <w:p>
      <w:pPr>
        <w:spacing w:after="0" w:line="95" w:lineRule="exact"/>
        <w:rPr>
          <w:rFonts w:ascii="Arial" w:cs="Arial" w:eastAsia="Arial" w:hAnsi="Arial"/>
          <w:sz w:val="18"/>
          <w:szCs w:val="18"/>
          <w:color w:val="53C072"/>
        </w:rPr>
      </w:pPr>
    </w:p>
    <w:p>
      <w:pPr>
        <w:ind w:left="1720" w:right="159" w:hanging="370"/>
        <w:spacing w:after="0" w:line="287" w:lineRule="auto"/>
        <w:tabs>
          <w:tab w:leader="none" w:pos="1720" w:val="left"/>
        </w:tabs>
        <w:numPr>
          <w:ilvl w:val="0"/>
          <w:numId w:val="64"/>
        </w:numPr>
        <w:rPr>
          <w:rFonts w:ascii="Arial" w:cs="Arial" w:eastAsia="Arial" w:hAnsi="Arial"/>
          <w:sz w:val="18"/>
          <w:szCs w:val="18"/>
          <w:color w:val="53C072"/>
        </w:rPr>
      </w:pPr>
      <w:r>
        <w:rPr>
          <w:rFonts w:ascii="Arial" w:cs="Arial" w:eastAsia="Arial" w:hAnsi="Arial"/>
          <w:sz w:val="18"/>
          <w:szCs w:val="18"/>
          <w:b w:val="1"/>
          <w:bCs w:val="1"/>
          <w:color w:val="53C072"/>
        </w:rPr>
        <w:t xml:space="preserve">Compensation Time Period: </w:t>
      </w:r>
      <w:r>
        <w:rPr>
          <w:rFonts w:ascii="Arial" w:cs="Arial" w:eastAsia="Arial" w:hAnsi="Arial"/>
          <w:sz w:val="18"/>
          <w:szCs w:val="18"/>
          <w:color w:val="000000"/>
        </w:rPr>
        <w:t>The Company measured compensation for the median paid employee</w:t>
      </w:r>
      <w:r>
        <w:rPr>
          <w:rFonts w:ascii="Arial" w:cs="Arial" w:eastAsia="Arial" w:hAnsi="Arial"/>
          <w:sz w:val="18"/>
          <w:szCs w:val="18"/>
          <w:b w:val="1"/>
          <w:bCs w:val="1"/>
          <w:color w:val="53C072"/>
        </w:rPr>
        <w:t xml:space="preserve"> </w:t>
      </w:r>
      <w:r>
        <w:rPr>
          <w:rFonts w:ascii="Arial" w:cs="Arial" w:eastAsia="Arial" w:hAnsi="Arial"/>
          <w:sz w:val="18"/>
          <w:szCs w:val="18"/>
          <w:color w:val="000000"/>
        </w:rPr>
        <w:t>using the 12-month fiscal period of July 2, 2023 through June 29, 2024.</w:t>
      </w:r>
    </w:p>
    <w:p>
      <w:pPr>
        <w:spacing w:after="0" w:line="85" w:lineRule="exact"/>
        <w:rPr>
          <w:rFonts w:ascii="Arial" w:cs="Arial" w:eastAsia="Arial" w:hAnsi="Arial"/>
          <w:sz w:val="18"/>
          <w:szCs w:val="18"/>
          <w:color w:val="53C072"/>
        </w:rPr>
      </w:pPr>
    </w:p>
    <w:p>
      <w:pPr>
        <w:ind w:left="1720" w:right="159" w:hanging="370"/>
        <w:spacing w:after="0" w:line="262" w:lineRule="auto"/>
        <w:tabs>
          <w:tab w:leader="none" w:pos="1720" w:val="left"/>
        </w:tabs>
        <w:numPr>
          <w:ilvl w:val="0"/>
          <w:numId w:val="64"/>
        </w:numPr>
        <w:rPr>
          <w:rFonts w:ascii="Arial" w:cs="Arial" w:eastAsia="Arial" w:hAnsi="Arial"/>
          <w:sz w:val="18"/>
          <w:szCs w:val="18"/>
          <w:color w:val="53C072"/>
        </w:rPr>
      </w:pPr>
      <w:r>
        <w:rPr>
          <w:rFonts w:ascii="Arial" w:cs="Arial" w:eastAsia="Arial" w:hAnsi="Arial"/>
          <w:sz w:val="18"/>
          <w:szCs w:val="18"/>
          <w:b w:val="1"/>
          <w:bCs w:val="1"/>
          <w:color w:val="53C072"/>
        </w:rPr>
        <w:t xml:space="preserve">Consistently Applied Compensation Measure: </w:t>
      </w:r>
      <w:r>
        <w:rPr>
          <w:rFonts w:ascii="Arial" w:cs="Arial" w:eastAsia="Arial" w:hAnsi="Arial"/>
          <w:sz w:val="18"/>
          <w:szCs w:val="18"/>
          <w:color w:val="000000"/>
        </w:rPr>
        <w:t>Target total cash (base bay plus target bonus) was</w:t>
      </w:r>
      <w:r>
        <w:rPr>
          <w:rFonts w:ascii="Arial" w:cs="Arial" w:eastAsia="Arial" w:hAnsi="Arial"/>
          <w:sz w:val="18"/>
          <w:szCs w:val="18"/>
          <w:b w:val="1"/>
          <w:bCs w:val="1"/>
          <w:color w:val="53C072"/>
        </w:rPr>
        <w:t xml:space="preserve"> </w:t>
      </w:r>
      <w:r>
        <w:rPr>
          <w:rFonts w:ascii="Arial" w:cs="Arial" w:eastAsia="Arial" w:hAnsi="Arial"/>
          <w:sz w:val="18"/>
          <w:szCs w:val="18"/>
          <w:color w:val="000000"/>
        </w:rPr>
        <w:t>selected as the consistently applied compensation measure used to identify the median employee. Base pay for hourly employees was calculated based on reasonable estimate of hours worked, and on salary levels for all employees.</w:t>
      </w:r>
    </w:p>
    <w:p>
      <w:pPr>
        <w:spacing w:after="0" w:line="108" w:lineRule="exact"/>
        <w:rPr>
          <w:rFonts w:ascii="Arial" w:cs="Arial" w:eastAsia="Arial" w:hAnsi="Arial"/>
          <w:sz w:val="18"/>
          <w:szCs w:val="18"/>
          <w:color w:val="53C072"/>
        </w:rPr>
      </w:pPr>
    </w:p>
    <w:p>
      <w:pPr>
        <w:ind w:left="1720" w:right="339" w:hanging="370"/>
        <w:spacing w:after="0" w:line="268" w:lineRule="auto"/>
        <w:tabs>
          <w:tab w:leader="none" w:pos="1720" w:val="left"/>
        </w:tabs>
        <w:numPr>
          <w:ilvl w:val="0"/>
          <w:numId w:val="64"/>
        </w:numPr>
        <w:rPr>
          <w:rFonts w:ascii="Arial" w:cs="Arial" w:eastAsia="Arial" w:hAnsi="Arial"/>
          <w:sz w:val="18"/>
          <w:szCs w:val="18"/>
          <w:color w:val="53C072"/>
        </w:rPr>
      </w:pPr>
      <w:r>
        <w:rPr>
          <w:rFonts w:ascii="Arial" w:cs="Arial" w:eastAsia="Arial" w:hAnsi="Arial"/>
          <w:sz w:val="18"/>
          <w:szCs w:val="18"/>
          <w:b w:val="1"/>
          <w:bCs w:val="1"/>
          <w:color w:val="53C072"/>
        </w:rPr>
        <w:t xml:space="preserve">Determining Median Paid Employee’s Pay for CEO Ratio: </w:t>
      </w:r>
      <w:r>
        <w:rPr>
          <w:rFonts w:ascii="Arial" w:cs="Arial" w:eastAsia="Arial" w:hAnsi="Arial"/>
          <w:sz w:val="18"/>
          <w:szCs w:val="18"/>
          <w:color w:val="000000"/>
        </w:rPr>
        <w:t>The median paid employee received</w:t>
      </w:r>
      <w:r>
        <w:rPr>
          <w:rFonts w:ascii="Arial" w:cs="Arial" w:eastAsia="Arial" w:hAnsi="Arial"/>
          <w:sz w:val="18"/>
          <w:szCs w:val="18"/>
          <w:b w:val="1"/>
          <w:bCs w:val="1"/>
          <w:color w:val="53C072"/>
        </w:rPr>
        <w:t xml:space="preserve"> </w:t>
      </w:r>
      <w:r>
        <w:rPr>
          <w:rFonts w:ascii="Arial" w:cs="Arial" w:eastAsia="Arial" w:hAnsi="Arial"/>
          <w:sz w:val="18"/>
          <w:szCs w:val="18"/>
          <w:color w:val="000000"/>
        </w:rPr>
        <w:t>actual earnings in the amount of $44,824 for fiscal 2024, calculated in accordance with the requirements of Item 402(c)(2)(x) of Regulation S-K.</w:t>
      </w:r>
    </w:p>
    <w:p>
      <w:pPr>
        <w:spacing w:after="0" w:line="89" w:lineRule="exact"/>
        <w:rPr>
          <w:rFonts w:ascii="Arial" w:cs="Arial" w:eastAsia="Arial" w:hAnsi="Arial"/>
          <w:sz w:val="18"/>
          <w:szCs w:val="18"/>
          <w:color w:val="53C072"/>
        </w:rPr>
      </w:pPr>
    </w:p>
    <w:p>
      <w:pPr>
        <w:ind w:left="1720" w:right="179" w:hanging="370"/>
        <w:spacing w:after="0" w:line="268" w:lineRule="auto"/>
        <w:tabs>
          <w:tab w:leader="none" w:pos="1720" w:val="left"/>
        </w:tabs>
        <w:numPr>
          <w:ilvl w:val="0"/>
          <w:numId w:val="64"/>
        </w:numPr>
        <w:rPr>
          <w:rFonts w:ascii="Arial" w:cs="Arial" w:eastAsia="Arial" w:hAnsi="Arial"/>
          <w:sz w:val="18"/>
          <w:szCs w:val="18"/>
          <w:color w:val="53C072"/>
        </w:rPr>
      </w:pPr>
      <w:r>
        <w:rPr>
          <w:rFonts w:ascii="Arial" w:cs="Arial" w:eastAsia="Arial" w:hAnsi="Arial"/>
          <w:sz w:val="18"/>
          <w:szCs w:val="18"/>
          <w:b w:val="1"/>
          <w:bCs w:val="1"/>
          <w:color w:val="53C072"/>
        </w:rPr>
        <w:t xml:space="preserve">Determining CEO’s Pay for CEO Ratio: </w:t>
      </w:r>
      <w:r>
        <w:rPr>
          <w:rFonts w:ascii="Arial" w:cs="Arial" w:eastAsia="Arial" w:hAnsi="Arial"/>
          <w:sz w:val="18"/>
          <w:szCs w:val="18"/>
          <w:color w:val="000000"/>
        </w:rPr>
        <w:t>With respect to the annual total compensation of the CEO,</w:t>
      </w:r>
      <w:r>
        <w:rPr>
          <w:rFonts w:ascii="Arial" w:cs="Arial" w:eastAsia="Arial" w:hAnsi="Arial"/>
          <w:sz w:val="18"/>
          <w:szCs w:val="18"/>
          <w:b w:val="1"/>
          <w:bCs w:val="1"/>
          <w:color w:val="53C072"/>
        </w:rPr>
        <w:t xml:space="preserve"> </w:t>
      </w:r>
      <w:r>
        <w:rPr>
          <w:rFonts w:ascii="Arial" w:cs="Arial" w:eastAsia="Arial" w:hAnsi="Arial"/>
          <w:sz w:val="18"/>
          <w:szCs w:val="18"/>
          <w:color w:val="000000"/>
        </w:rPr>
        <w:t>the Company used the amount reported in the “Total” column of the 2024 Summary Compensation Table included in this Proxy Statement.</w:t>
      </w:r>
    </w:p>
    <w:p>
      <w:pPr>
        <w:spacing w:after="0" w:line="103" w:lineRule="exact"/>
        <w:rPr>
          <w:sz w:val="20"/>
          <w:szCs w:val="20"/>
          <w:color w:val="auto"/>
        </w:rPr>
      </w:pPr>
    </w:p>
    <w:p>
      <w:pPr>
        <w:ind w:left="1000" w:right="399"/>
        <w:spacing w:after="0" w:line="262" w:lineRule="auto"/>
        <w:rPr>
          <w:sz w:val="20"/>
          <w:szCs w:val="20"/>
          <w:color w:val="auto"/>
        </w:rPr>
      </w:pPr>
      <w:r>
        <w:rPr>
          <w:rFonts w:ascii="Arial" w:cs="Arial" w:eastAsia="Arial" w:hAnsi="Arial"/>
          <w:sz w:val="18"/>
          <w:szCs w:val="18"/>
          <w:color w:val="auto"/>
        </w:rPr>
        <w:t>The SEC rules for identifying the median employee and calculating the pay ratio permit companies to use various methodologies and assumptions, to apply certain exclusions, and to make reasonable estimates that reflect their employee population and compensation practices. As a result, the pay ratio reported by other companies may not be comparable to the pay ratio that the Company has reported.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66     </w:t>
      </w:r>
      <w:r>
        <w:rPr>
          <w:sz w:val="1"/>
          <w:szCs w:val="1"/>
          <w:color w:val="auto"/>
        </w:rPr>
        <w:drawing>
          <wp:inline distT="0" distB="0" distL="0" distR="0">
            <wp:extent cx="1242695" cy="24003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560"/>
        <w:spacing w:after="0"/>
        <w:rPr>
          <w:sz w:val="20"/>
          <w:szCs w:val="20"/>
          <w:color w:val="auto"/>
        </w:rPr>
      </w:pPr>
      <w:r>
        <w:rPr>
          <w:rFonts w:ascii="Arial" w:cs="Arial" w:eastAsia="Arial" w:hAnsi="Arial"/>
          <w:sz w:val="40"/>
          <w:szCs w:val="40"/>
          <w:b w:val="1"/>
          <w:bCs w:val="1"/>
          <w:color w:val="FEFEFE"/>
        </w:rPr>
        <w:t>PAY VERSUS PERFORMANCE</w:t>
      </w:r>
    </w:p>
    <w:p>
      <w:pPr>
        <w:spacing w:after="0" w:line="338" w:lineRule="exact"/>
        <w:rPr>
          <w:sz w:val="20"/>
          <w:szCs w:val="20"/>
          <w:color w:val="auto"/>
        </w:rPr>
      </w:pPr>
    </w:p>
    <w:p>
      <w:pPr>
        <w:ind w:left="1000" w:right="439"/>
        <w:spacing w:after="0" w:line="287" w:lineRule="auto"/>
        <w:rPr>
          <w:sz w:val="20"/>
          <w:szCs w:val="20"/>
          <w:color w:val="auto"/>
        </w:rPr>
      </w:pPr>
      <w:r>
        <w:rPr>
          <w:rFonts w:ascii="Arial" w:cs="Arial" w:eastAsia="Arial" w:hAnsi="Arial"/>
          <w:sz w:val="18"/>
          <w:szCs w:val="18"/>
          <w:color w:val="auto"/>
        </w:rPr>
        <w:t>Compensation Actually Paid (“CAP”) and certain Company financial performance measures for the past four fiscal years are set forth below.</w:t>
      </w:r>
    </w:p>
    <w:p>
      <w:pPr>
        <w:spacing w:after="0" w:line="85" w:lineRule="exact"/>
        <w:rPr>
          <w:sz w:val="20"/>
          <w:szCs w:val="20"/>
          <w:color w:val="auto"/>
        </w:rPr>
      </w:pPr>
    </w:p>
    <w:p>
      <w:pPr>
        <w:ind w:left="1000" w:right="179"/>
        <w:spacing w:after="0" w:line="259" w:lineRule="auto"/>
        <w:rPr>
          <w:sz w:val="20"/>
          <w:szCs w:val="20"/>
          <w:color w:val="auto"/>
        </w:rPr>
      </w:pPr>
      <w:r>
        <w:rPr>
          <w:rFonts w:ascii="Arial" w:cs="Arial" w:eastAsia="Arial" w:hAnsi="Arial"/>
          <w:sz w:val="18"/>
          <w:szCs w:val="18"/>
          <w:color w:val="auto"/>
        </w:rPr>
        <w:t>CAP is calculated as required under applicable SEC rules and presented on an individual basis for each principal executive officer of the Company (“PEO”) and as an average for other NEOs serving during the presented years. CAP does not reflect the actual amount of compensation earned or realized by NEOs during a covered year. Please see the footnotes to the Pay Versus Performance Table below for more detailed information on the calculation of CAP.</w:t>
      </w:r>
    </w:p>
    <w:p>
      <w:pPr>
        <w:spacing w:after="0" w:line="98" w:lineRule="exact"/>
        <w:rPr>
          <w:sz w:val="20"/>
          <w:szCs w:val="20"/>
          <w:color w:val="auto"/>
        </w:rPr>
      </w:pPr>
    </w:p>
    <w:p>
      <w:pPr>
        <w:ind w:left="1000" w:right="239"/>
        <w:spacing w:after="0" w:line="262" w:lineRule="auto"/>
        <w:rPr>
          <w:sz w:val="20"/>
          <w:szCs w:val="20"/>
          <w:color w:val="auto"/>
        </w:rPr>
      </w:pPr>
      <w:r>
        <w:rPr>
          <w:rFonts w:ascii="Arial" w:cs="Arial" w:eastAsia="Arial" w:hAnsi="Arial"/>
          <w:sz w:val="18"/>
          <w:szCs w:val="18"/>
          <w:color w:val="auto"/>
        </w:rPr>
        <w:t>Neither the Compensation and Leadership Development Committee nor the Board used CAP or net income as the basis for making compensation decisions. For more information concerning the Company’s pay-for-performance philosophy and how it aligns executive compensation with the Company’s performance, please see “Compensation Discussion and Analysis.”</w:t>
      </w:r>
    </w:p>
    <w:p>
      <w:pPr>
        <w:spacing w:after="0" w:line="109" w:lineRule="exact"/>
        <w:rPr>
          <w:sz w:val="20"/>
          <w:szCs w:val="20"/>
          <w:color w:val="auto"/>
        </w:rPr>
      </w:pPr>
    </w:p>
    <w:p>
      <w:pPr>
        <w:ind w:left="1000" w:right="159"/>
        <w:spacing w:after="0" w:line="268" w:lineRule="auto"/>
        <w:rPr>
          <w:sz w:val="20"/>
          <w:szCs w:val="20"/>
          <w:color w:val="auto"/>
        </w:rPr>
      </w:pPr>
      <w:r>
        <w:rPr>
          <w:rFonts w:ascii="Arial" w:cs="Arial" w:eastAsia="Arial" w:hAnsi="Arial"/>
          <w:sz w:val="18"/>
          <w:szCs w:val="18"/>
          <w:color w:val="auto"/>
        </w:rPr>
        <w:t>The calculation of the prior years’ CAP for both the PEO and the non-PEO NEOs did not take into consideration the accelerated vesting attributable to retirement eligibility. This has been corrected for the calculation of CAP for fiscal 2024. Prior years’ CAP has not been restated.</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PAY VERSUS PERFORMANCE TABLE</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152"/>
        </w:trPr>
        <w:tc>
          <w:tcPr>
            <w:tcW w:w="460" w:type="dxa"/>
            <w:vAlign w:val="bottom"/>
            <w:shd w:val="clear" w:color="auto" w:fill="53C072"/>
          </w:tcPr>
          <w:p>
            <w:pPr>
              <w:spacing w:after="0"/>
              <w:rPr>
                <w:sz w:val="13"/>
                <w:szCs w:val="13"/>
                <w:color w:val="auto"/>
              </w:rPr>
            </w:pPr>
          </w:p>
        </w:tc>
        <w:tc>
          <w:tcPr>
            <w:tcW w:w="1040" w:type="dxa"/>
            <w:vAlign w:val="bottom"/>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200" w:type="dxa"/>
            <w:vAlign w:val="bottom"/>
            <w:shd w:val="clear" w:color="auto" w:fill="53C072"/>
          </w:tcPr>
          <w:p>
            <w:pPr>
              <w:spacing w:after="0"/>
              <w:rPr>
                <w:sz w:val="13"/>
                <w:szCs w:val="13"/>
                <w:color w:val="auto"/>
              </w:rPr>
            </w:pPr>
          </w:p>
        </w:tc>
        <w:tc>
          <w:tcPr>
            <w:tcW w:w="780" w:type="dxa"/>
            <w:vAlign w:val="bottom"/>
            <w:shd w:val="clear" w:color="auto" w:fill="53C072"/>
          </w:tcPr>
          <w:p>
            <w:pPr>
              <w:jc w:val="right"/>
              <w:ind w:right="140"/>
              <w:spacing w:after="0"/>
              <w:rPr>
                <w:sz w:val="20"/>
                <w:szCs w:val="20"/>
                <w:color w:val="auto"/>
              </w:rPr>
            </w:pPr>
            <w:r>
              <w:rPr>
                <w:rFonts w:ascii="Arial" w:cs="Arial" w:eastAsia="Arial" w:hAnsi="Arial"/>
                <w:sz w:val="12"/>
                <w:szCs w:val="12"/>
                <w:b w:val="1"/>
                <w:bCs w:val="1"/>
                <w:color w:val="FEFEFE"/>
              </w:rPr>
              <w:t>Summary</w:t>
            </w:r>
          </w:p>
        </w:tc>
        <w:tc>
          <w:tcPr>
            <w:tcW w:w="1400" w:type="dxa"/>
            <w:vAlign w:val="bottom"/>
            <w:gridSpan w:val="2"/>
            <w:shd w:val="clear" w:color="auto" w:fill="53C072"/>
          </w:tcPr>
          <w:p>
            <w:pPr>
              <w:jc w:val="center"/>
              <w:ind w:left="480"/>
              <w:spacing w:after="0"/>
              <w:rPr>
                <w:sz w:val="20"/>
                <w:szCs w:val="20"/>
                <w:color w:val="auto"/>
              </w:rPr>
            </w:pPr>
            <w:r>
              <w:rPr>
                <w:rFonts w:ascii="Arial" w:cs="Arial" w:eastAsia="Arial" w:hAnsi="Arial"/>
                <w:sz w:val="12"/>
                <w:szCs w:val="12"/>
                <w:b w:val="1"/>
                <w:bCs w:val="1"/>
                <w:color w:val="FEFEFE"/>
                <w:w w:val="97"/>
              </w:rPr>
              <w:t>Avg. Summary</w:t>
            </w:r>
          </w:p>
        </w:tc>
        <w:tc>
          <w:tcPr>
            <w:tcW w:w="80" w:type="dxa"/>
            <w:vAlign w:val="bottom"/>
            <w:shd w:val="clear" w:color="auto" w:fill="53C072"/>
          </w:tcPr>
          <w:p>
            <w:pPr>
              <w:spacing w:after="0"/>
              <w:rPr>
                <w:sz w:val="13"/>
                <w:szCs w:val="13"/>
                <w:color w:val="auto"/>
              </w:rPr>
            </w:pPr>
          </w:p>
        </w:tc>
        <w:tc>
          <w:tcPr>
            <w:tcW w:w="800" w:type="dxa"/>
            <w:vAlign w:val="bottom"/>
            <w:shd w:val="clear" w:color="auto" w:fill="53C072"/>
          </w:tcPr>
          <w:p>
            <w:pPr>
              <w:spacing w:after="0"/>
              <w:rPr>
                <w:sz w:val="13"/>
                <w:szCs w:val="13"/>
                <w:color w:val="auto"/>
              </w:rPr>
            </w:pPr>
          </w:p>
        </w:tc>
        <w:tc>
          <w:tcPr>
            <w:tcW w:w="1580" w:type="dxa"/>
            <w:vAlign w:val="bottom"/>
            <w:gridSpan w:val="3"/>
            <w:shd w:val="clear" w:color="auto" w:fill="53C072"/>
          </w:tcPr>
          <w:p>
            <w:pPr>
              <w:ind w:left="120"/>
              <w:spacing w:after="0"/>
              <w:rPr>
                <w:sz w:val="20"/>
                <w:szCs w:val="20"/>
                <w:color w:val="auto"/>
              </w:rPr>
            </w:pPr>
            <w:r>
              <w:rPr>
                <w:rFonts w:ascii="Arial" w:cs="Arial" w:eastAsia="Arial" w:hAnsi="Arial"/>
                <w:sz w:val="12"/>
                <w:szCs w:val="12"/>
                <w:b w:val="1"/>
                <w:bCs w:val="1"/>
                <w:color w:val="FEFEFE"/>
                <w:w w:val="98"/>
              </w:rPr>
              <w:t>Value of Initial Fixed $100</w:t>
            </w:r>
          </w:p>
        </w:tc>
        <w:tc>
          <w:tcPr>
            <w:tcW w:w="40" w:type="dxa"/>
            <w:vAlign w:val="bottom"/>
            <w:shd w:val="clear" w:color="auto" w:fill="53C072"/>
          </w:tcPr>
          <w:p>
            <w:pPr>
              <w:spacing w:after="0"/>
              <w:rPr>
                <w:sz w:val="13"/>
                <w:szCs w:val="13"/>
                <w:color w:val="auto"/>
              </w:rPr>
            </w:pPr>
          </w:p>
        </w:tc>
        <w:tc>
          <w:tcPr>
            <w:tcW w:w="76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300" w:type="dxa"/>
            <w:vAlign w:val="bottom"/>
            <w:shd w:val="clear" w:color="auto" w:fill="53C072"/>
          </w:tcPr>
          <w:p>
            <w:pPr>
              <w:spacing w:after="0"/>
              <w:rPr>
                <w:sz w:val="13"/>
                <w:szCs w:val="13"/>
                <w:color w:val="auto"/>
              </w:rPr>
            </w:pPr>
          </w:p>
        </w:tc>
        <w:tc>
          <w:tcPr>
            <w:tcW w:w="500" w:type="dxa"/>
            <w:vAlign w:val="bottom"/>
            <w:shd w:val="clear" w:color="auto" w:fill="53C072"/>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 w:type="dxa"/>
            <w:vAlign w:val="bottom"/>
            <w:shd w:val="clear" w:color="auto" w:fill="53C072"/>
          </w:tcPr>
          <w:p>
            <w:pPr>
              <w:spacing w:after="0"/>
              <w:rPr>
                <w:sz w:val="11"/>
                <w:szCs w:val="11"/>
                <w:color w:val="auto"/>
              </w:rPr>
            </w:pPr>
          </w:p>
        </w:tc>
        <w:tc>
          <w:tcPr>
            <w:tcW w:w="1040" w:type="dxa"/>
            <w:vAlign w:val="bottom"/>
            <w:shd w:val="clear" w:color="auto" w:fill="53C072"/>
          </w:tcPr>
          <w:p>
            <w:pPr>
              <w:jc w:val="center"/>
              <w:spacing w:after="0" w:line="135" w:lineRule="exact"/>
              <w:rPr>
                <w:sz w:val="20"/>
                <w:szCs w:val="20"/>
                <w:color w:val="auto"/>
              </w:rPr>
            </w:pPr>
            <w:r>
              <w:rPr>
                <w:rFonts w:ascii="Arial" w:cs="Arial" w:eastAsia="Arial" w:hAnsi="Arial"/>
                <w:sz w:val="12"/>
                <w:szCs w:val="12"/>
                <w:b w:val="1"/>
                <w:bCs w:val="1"/>
                <w:color w:val="FEFEFE"/>
                <w:w w:val="98"/>
              </w:rPr>
              <w:t>Summary</w:t>
            </w:r>
          </w:p>
        </w:tc>
        <w:tc>
          <w:tcPr>
            <w:tcW w:w="640" w:type="dxa"/>
            <w:vAlign w:val="bottom"/>
            <w:shd w:val="clear" w:color="auto" w:fill="53C072"/>
          </w:tcPr>
          <w:p>
            <w:pPr>
              <w:spacing w:after="0"/>
              <w:rPr>
                <w:sz w:val="11"/>
                <w:szCs w:val="11"/>
                <w:color w:val="auto"/>
              </w:rPr>
            </w:pPr>
          </w:p>
        </w:tc>
        <w:tc>
          <w:tcPr>
            <w:tcW w:w="980" w:type="dxa"/>
            <w:vAlign w:val="bottom"/>
            <w:gridSpan w:val="2"/>
            <w:shd w:val="clear" w:color="auto" w:fill="53C072"/>
          </w:tcPr>
          <w:p>
            <w:pPr>
              <w:jc w:val="right"/>
              <w:ind w:right="140"/>
              <w:spacing w:after="0" w:line="135" w:lineRule="exact"/>
              <w:rPr>
                <w:sz w:val="20"/>
                <w:szCs w:val="20"/>
                <w:color w:val="auto"/>
              </w:rPr>
            </w:pPr>
            <w:r>
              <w:rPr>
                <w:rFonts w:ascii="Arial" w:cs="Arial" w:eastAsia="Arial" w:hAnsi="Arial"/>
                <w:sz w:val="12"/>
                <w:szCs w:val="12"/>
                <w:b w:val="1"/>
                <w:bCs w:val="1"/>
                <w:color w:val="FEFEFE"/>
              </w:rPr>
              <w:t>Comp. Table</w:t>
            </w:r>
          </w:p>
        </w:tc>
        <w:tc>
          <w:tcPr>
            <w:tcW w:w="600" w:type="dxa"/>
            <w:vAlign w:val="bottom"/>
            <w:vMerge w:val="restart"/>
            <w:shd w:val="clear" w:color="auto" w:fill="53C072"/>
          </w:tcPr>
          <w:p>
            <w:pPr>
              <w:jc w:val="right"/>
              <w:ind w:right="120"/>
              <w:spacing w:after="0"/>
              <w:rPr>
                <w:sz w:val="20"/>
                <w:szCs w:val="20"/>
                <w:color w:val="auto"/>
              </w:rPr>
            </w:pPr>
            <w:r>
              <w:rPr>
                <w:rFonts w:ascii="Arial" w:cs="Arial" w:eastAsia="Arial" w:hAnsi="Arial"/>
                <w:sz w:val="12"/>
                <w:szCs w:val="12"/>
                <w:b w:val="1"/>
                <w:bCs w:val="1"/>
                <w:color w:val="FEFEFE"/>
                <w:w w:val="99"/>
              </w:rPr>
              <w:t>CAP to</w:t>
            </w:r>
          </w:p>
        </w:tc>
        <w:tc>
          <w:tcPr>
            <w:tcW w:w="800" w:type="dxa"/>
            <w:vAlign w:val="bottom"/>
            <w:shd w:val="clear" w:color="auto" w:fill="53C072"/>
          </w:tcPr>
          <w:p>
            <w:pPr>
              <w:jc w:val="right"/>
              <w:spacing w:after="0" w:line="135" w:lineRule="exact"/>
              <w:rPr>
                <w:sz w:val="20"/>
                <w:szCs w:val="20"/>
                <w:color w:val="auto"/>
              </w:rPr>
            </w:pPr>
            <w:r>
              <w:rPr>
                <w:rFonts w:ascii="Arial" w:cs="Arial" w:eastAsia="Arial" w:hAnsi="Arial"/>
                <w:sz w:val="12"/>
                <w:szCs w:val="12"/>
                <w:b w:val="1"/>
                <w:bCs w:val="1"/>
                <w:color w:val="FEFEFE"/>
              </w:rPr>
              <w:t>Comp. Table</w:t>
            </w:r>
          </w:p>
        </w:tc>
        <w:tc>
          <w:tcPr>
            <w:tcW w:w="80" w:type="dxa"/>
            <w:vAlign w:val="bottom"/>
            <w:shd w:val="clear" w:color="auto" w:fill="53C072"/>
          </w:tcPr>
          <w:p>
            <w:pPr>
              <w:spacing w:after="0"/>
              <w:rPr>
                <w:sz w:val="11"/>
                <w:szCs w:val="11"/>
                <w:color w:val="auto"/>
              </w:rPr>
            </w:pPr>
          </w:p>
        </w:tc>
        <w:tc>
          <w:tcPr>
            <w:tcW w:w="800" w:type="dxa"/>
            <w:vAlign w:val="bottom"/>
            <w:vMerge w:val="restart"/>
            <w:shd w:val="clear" w:color="auto" w:fill="53C072"/>
          </w:tcPr>
          <w:p>
            <w:pPr>
              <w:ind w:left="40"/>
              <w:spacing w:after="0"/>
              <w:rPr>
                <w:sz w:val="20"/>
                <w:szCs w:val="20"/>
                <w:color w:val="auto"/>
              </w:rPr>
            </w:pPr>
            <w:r>
              <w:rPr>
                <w:rFonts w:ascii="Arial" w:cs="Arial" w:eastAsia="Arial" w:hAnsi="Arial"/>
                <w:sz w:val="12"/>
                <w:szCs w:val="12"/>
                <w:b w:val="1"/>
                <w:bCs w:val="1"/>
                <w:color w:val="FEFEFE"/>
              </w:rPr>
              <w:t>Avg. CAP to</w:t>
            </w:r>
          </w:p>
        </w:tc>
        <w:tc>
          <w:tcPr>
            <w:tcW w:w="1580" w:type="dxa"/>
            <w:vAlign w:val="bottom"/>
            <w:gridSpan w:val="3"/>
            <w:shd w:val="clear" w:color="auto" w:fill="53C072"/>
          </w:tcPr>
          <w:p>
            <w:pPr>
              <w:ind w:left="360"/>
              <w:spacing w:after="0" w:line="135" w:lineRule="exact"/>
              <w:rPr>
                <w:sz w:val="20"/>
                <w:szCs w:val="20"/>
                <w:color w:val="auto"/>
              </w:rPr>
            </w:pPr>
            <w:r>
              <w:rPr>
                <w:rFonts w:ascii="Arial" w:cs="Arial" w:eastAsia="Arial" w:hAnsi="Arial"/>
                <w:sz w:val="12"/>
                <w:szCs w:val="12"/>
                <w:b w:val="1"/>
                <w:bCs w:val="1"/>
                <w:color w:val="FEFEFE"/>
                <w:w w:val="96"/>
              </w:rPr>
              <w:t>Investment Based on:</w:t>
            </w:r>
          </w:p>
        </w:tc>
        <w:tc>
          <w:tcPr>
            <w:tcW w:w="40" w:type="dxa"/>
            <w:vAlign w:val="bottom"/>
            <w:shd w:val="clear" w:color="auto" w:fill="53C072"/>
          </w:tcPr>
          <w:p>
            <w:pPr>
              <w:spacing w:after="0"/>
              <w:rPr>
                <w:sz w:val="11"/>
                <w:szCs w:val="11"/>
                <w:color w:val="auto"/>
              </w:rPr>
            </w:pPr>
          </w:p>
        </w:tc>
        <w:tc>
          <w:tcPr>
            <w:tcW w:w="760" w:type="dxa"/>
            <w:vAlign w:val="bottom"/>
            <w:vMerge w:val="restart"/>
            <w:shd w:val="clear" w:color="auto" w:fill="53C072"/>
          </w:tcPr>
          <w:p>
            <w:pPr>
              <w:jc w:val="right"/>
              <w:spacing w:after="0"/>
              <w:rPr>
                <w:sz w:val="20"/>
                <w:szCs w:val="20"/>
                <w:color w:val="auto"/>
              </w:rPr>
            </w:pPr>
            <w:r>
              <w:rPr>
                <w:rFonts w:ascii="Arial" w:cs="Arial" w:eastAsia="Arial" w:hAnsi="Arial"/>
                <w:sz w:val="12"/>
                <w:szCs w:val="12"/>
                <w:b w:val="1"/>
                <w:bCs w:val="1"/>
                <w:color w:val="FEFEFE"/>
              </w:rPr>
              <w:t>Net</w:t>
            </w:r>
          </w:p>
        </w:tc>
        <w:tc>
          <w:tcPr>
            <w:tcW w:w="80" w:type="dxa"/>
            <w:vAlign w:val="bottom"/>
            <w:shd w:val="clear" w:color="auto" w:fill="53C072"/>
          </w:tcPr>
          <w:p>
            <w:pPr>
              <w:spacing w:after="0"/>
              <w:rPr>
                <w:sz w:val="11"/>
                <w:szCs w:val="11"/>
                <w:color w:val="auto"/>
              </w:rPr>
            </w:pPr>
          </w:p>
        </w:tc>
        <w:tc>
          <w:tcPr>
            <w:tcW w:w="300" w:type="dxa"/>
            <w:vAlign w:val="bottom"/>
            <w:shd w:val="clear" w:color="auto" w:fill="53C072"/>
          </w:tcPr>
          <w:p>
            <w:pPr>
              <w:spacing w:after="0"/>
              <w:rPr>
                <w:sz w:val="11"/>
                <w:szCs w:val="11"/>
                <w:color w:val="auto"/>
              </w:rPr>
            </w:pPr>
          </w:p>
        </w:tc>
        <w:tc>
          <w:tcPr>
            <w:tcW w:w="500" w:type="dxa"/>
            <w:vAlign w:val="bottom"/>
            <w:shd w:val="clear" w:color="auto" w:fill="53C072"/>
          </w:tcPr>
          <w:p>
            <w:pPr>
              <w:spacing w:after="0"/>
              <w:rPr>
                <w:sz w:val="11"/>
                <w:szCs w:val="11"/>
                <w:color w:val="auto"/>
              </w:rPr>
            </w:pPr>
          </w:p>
        </w:tc>
        <w:tc>
          <w:tcPr>
            <w:tcW w:w="100" w:type="dxa"/>
            <w:vAlign w:val="bottom"/>
            <w:shd w:val="clear" w:color="auto" w:fill="53C072"/>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60" w:type="dxa"/>
            <w:vAlign w:val="bottom"/>
            <w:shd w:val="clear" w:color="auto" w:fill="53C072"/>
          </w:tcPr>
          <w:p>
            <w:pPr>
              <w:spacing w:after="0"/>
              <w:rPr>
                <w:sz w:val="10"/>
                <w:szCs w:val="10"/>
                <w:color w:val="auto"/>
              </w:rPr>
            </w:pPr>
          </w:p>
        </w:tc>
        <w:tc>
          <w:tcPr>
            <w:tcW w:w="1040" w:type="dxa"/>
            <w:vAlign w:val="bottom"/>
            <w:shd w:val="clear" w:color="auto" w:fill="53C072"/>
          </w:tcPr>
          <w:p>
            <w:pPr>
              <w:jc w:val="right"/>
              <w:ind w:right="159"/>
              <w:spacing w:after="0" w:line="122" w:lineRule="exact"/>
              <w:rPr>
                <w:sz w:val="20"/>
                <w:szCs w:val="20"/>
                <w:color w:val="auto"/>
              </w:rPr>
            </w:pPr>
            <w:r>
              <w:rPr>
                <w:rFonts w:ascii="Arial" w:cs="Arial" w:eastAsia="Arial" w:hAnsi="Arial"/>
                <w:sz w:val="12"/>
                <w:szCs w:val="12"/>
                <w:b w:val="1"/>
                <w:bCs w:val="1"/>
                <w:color w:val="FEFEFE"/>
              </w:rPr>
              <w:t>Comp. Table</w:t>
            </w:r>
          </w:p>
        </w:tc>
        <w:tc>
          <w:tcPr>
            <w:tcW w:w="640" w:type="dxa"/>
            <w:vAlign w:val="bottom"/>
            <w:shd w:val="clear" w:color="auto" w:fill="53C072"/>
          </w:tcPr>
          <w:p>
            <w:pPr>
              <w:spacing w:after="0"/>
              <w:rPr>
                <w:sz w:val="10"/>
                <w:szCs w:val="10"/>
                <w:color w:val="auto"/>
              </w:rPr>
            </w:pPr>
          </w:p>
        </w:tc>
        <w:tc>
          <w:tcPr>
            <w:tcW w:w="200" w:type="dxa"/>
            <w:vAlign w:val="bottom"/>
            <w:shd w:val="clear" w:color="auto" w:fill="53C072"/>
          </w:tcPr>
          <w:p>
            <w:pPr>
              <w:spacing w:after="0"/>
              <w:rPr>
                <w:sz w:val="10"/>
                <w:szCs w:val="10"/>
                <w:color w:val="auto"/>
              </w:rPr>
            </w:pPr>
          </w:p>
        </w:tc>
        <w:tc>
          <w:tcPr>
            <w:tcW w:w="780" w:type="dxa"/>
            <w:vAlign w:val="bottom"/>
            <w:shd w:val="clear" w:color="auto" w:fill="53C072"/>
          </w:tcPr>
          <w:p>
            <w:pPr>
              <w:jc w:val="right"/>
              <w:ind w:right="140"/>
              <w:spacing w:after="0" w:line="122" w:lineRule="exact"/>
              <w:rPr>
                <w:sz w:val="20"/>
                <w:szCs w:val="20"/>
                <w:color w:val="auto"/>
              </w:rPr>
            </w:pPr>
            <w:r>
              <w:rPr>
                <w:rFonts w:ascii="Arial" w:cs="Arial" w:eastAsia="Arial" w:hAnsi="Arial"/>
                <w:sz w:val="12"/>
                <w:szCs w:val="12"/>
                <w:b w:val="1"/>
                <w:bCs w:val="1"/>
                <w:color w:val="FEFEFE"/>
              </w:rPr>
              <w:t>Total For</w:t>
            </w:r>
          </w:p>
        </w:tc>
        <w:tc>
          <w:tcPr>
            <w:tcW w:w="600" w:type="dxa"/>
            <w:vAlign w:val="bottom"/>
            <w:vMerge w:val="continue"/>
            <w:shd w:val="clear" w:color="auto" w:fill="53C072"/>
          </w:tcPr>
          <w:p>
            <w:pPr>
              <w:spacing w:after="0"/>
              <w:rPr>
                <w:sz w:val="10"/>
                <w:szCs w:val="10"/>
                <w:color w:val="auto"/>
              </w:rPr>
            </w:pPr>
          </w:p>
        </w:tc>
        <w:tc>
          <w:tcPr>
            <w:tcW w:w="800" w:type="dxa"/>
            <w:vAlign w:val="bottom"/>
            <w:shd w:val="clear" w:color="auto" w:fill="53C072"/>
          </w:tcPr>
          <w:p>
            <w:pPr>
              <w:jc w:val="right"/>
              <w:spacing w:after="0" w:line="122" w:lineRule="exact"/>
              <w:rPr>
                <w:sz w:val="20"/>
                <w:szCs w:val="20"/>
                <w:color w:val="auto"/>
              </w:rPr>
            </w:pPr>
            <w:r>
              <w:rPr>
                <w:rFonts w:ascii="Arial" w:cs="Arial" w:eastAsia="Arial" w:hAnsi="Arial"/>
                <w:sz w:val="12"/>
                <w:szCs w:val="12"/>
                <w:b w:val="1"/>
                <w:bCs w:val="1"/>
                <w:color w:val="FEFEFE"/>
              </w:rPr>
              <w:t>Total For</w:t>
            </w:r>
          </w:p>
        </w:tc>
        <w:tc>
          <w:tcPr>
            <w:tcW w:w="80" w:type="dxa"/>
            <w:vAlign w:val="bottom"/>
            <w:shd w:val="clear" w:color="auto" w:fill="53C072"/>
          </w:tcPr>
          <w:p>
            <w:pPr>
              <w:spacing w:after="0"/>
              <w:rPr>
                <w:sz w:val="10"/>
                <w:szCs w:val="10"/>
                <w:color w:val="auto"/>
              </w:rPr>
            </w:pPr>
          </w:p>
        </w:tc>
        <w:tc>
          <w:tcPr>
            <w:tcW w:w="800" w:type="dxa"/>
            <w:vAlign w:val="bottom"/>
            <w:vMerge w:val="continue"/>
            <w:shd w:val="clear" w:color="auto" w:fill="53C072"/>
          </w:tcPr>
          <w:p>
            <w:pPr>
              <w:spacing w:after="0"/>
              <w:rPr>
                <w:sz w:val="10"/>
                <w:szCs w:val="10"/>
                <w:color w:val="auto"/>
              </w:rPr>
            </w:pPr>
          </w:p>
        </w:tc>
        <w:tc>
          <w:tcPr>
            <w:tcW w:w="720" w:type="dxa"/>
            <w:vAlign w:val="bottom"/>
            <w:shd w:val="clear" w:color="auto" w:fill="53C072"/>
          </w:tcPr>
          <w:p>
            <w:pPr>
              <w:spacing w:after="0"/>
              <w:rPr>
                <w:sz w:val="10"/>
                <w:szCs w:val="10"/>
                <w:color w:val="auto"/>
              </w:rPr>
            </w:pPr>
          </w:p>
        </w:tc>
        <w:tc>
          <w:tcPr>
            <w:tcW w:w="100" w:type="dxa"/>
            <w:vAlign w:val="bottom"/>
            <w:shd w:val="clear" w:color="auto" w:fill="53C072"/>
          </w:tcPr>
          <w:p>
            <w:pPr>
              <w:spacing w:after="0"/>
              <w:rPr>
                <w:sz w:val="10"/>
                <w:szCs w:val="10"/>
                <w:color w:val="auto"/>
              </w:rPr>
            </w:pPr>
          </w:p>
        </w:tc>
        <w:tc>
          <w:tcPr>
            <w:tcW w:w="760" w:type="dxa"/>
            <w:vAlign w:val="bottom"/>
            <w:shd w:val="clear" w:color="auto" w:fill="53C072"/>
          </w:tcPr>
          <w:p>
            <w:pPr>
              <w:spacing w:after="0"/>
              <w:rPr>
                <w:sz w:val="10"/>
                <w:szCs w:val="10"/>
                <w:color w:val="auto"/>
              </w:rPr>
            </w:pPr>
          </w:p>
        </w:tc>
        <w:tc>
          <w:tcPr>
            <w:tcW w:w="40" w:type="dxa"/>
            <w:vAlign w:val="bottom"/>
            <w:shd w:val="clear" w:color="auto" w:fill="53C072"/>
          </w:tcPr>
          <w:p>
            <w:pPr>
              <w:spacing w:after="0"/>
              <w:rPr>
                <w:sz w:val="10"/>
                <w:szCs w:val="10"/>
                <w:color w:val="auto"/>
              </w:rPr>
            </w:pPr>
          </w:p>
        </w:tc>
        <w:tc>
          <w:tcPr>
            <w:tcW w:w="760" w:type="dxa"/>
            <w:vAlign w:val="bottom"/>
            <w:vMerge w:val="continue"/>
            <w:shd w:val="clear" w:color="auto" w:fill="53C072"/>
          </w:tcPr>
          <w:p>
            <w:pPr>
              <w:spacing w:after="0"/>
              <w:rPr>
                <w:sz w:val="10"/>
                <w:szCs w:val="10"/>
                <w:color w:val="auto"/>
              </w:rPr>
            </w:pPr>
          </w:p>
        </w:tc>
        <w:tc>
          <w:tcPr>
            <w:tcW w:w="80" w:type="dxa"/>
            <w:vAlign w:val="bottom"/>
            <w:shd w:val="clear" w:color="auto" w:fill="53C072"/>
          </w:tcPr>
          <w:p>
            <w:pPr>
              <w:spacing w:after="0"/>
              <w:rPr>
                <w:sz w:val="10"/>
                <w:szCs w:val="10"/>
                <w:color w:val="auto"/>
              </w:rPr>
            </w:pPr>
          </w:p>
        </w:tc>
        <w:tc>
          <w:tcPr>
            <w:tcW w:w="300" w:type="dxa"/>
            <w:vAlign w:val="bottom"/>
            <w:shd w:val="clear" w:color="auto" w:fill="53C072"/>
          </w:tcPr>
          <w:p>
            <w:pPr>
              <w:spacing w:after="0"/>
              <w:rPr>
                <w:sz w:val="10"/>
                <w:szCs w:val="10"/>
                <w:color w:val="auto"/>
              </w:rPr>
            </w:pPr>
          </w:p>
        </w:tc>
        <w:tc>
          <w:tcPr>
            <w:tcW w:w="500" w:type="dxa"/>
            <w:vAlign w:val="bottom"/>
            <w:shd w:val="clear" w:color="auto" w:fill="53C072"/>
          </w:tcPr>
          <w:p>
            <w:pPr>
              <w:spacing w:after="0"/>
              <w:rPr>
                <w:sz w:val="10"/>
                <w:szCs w:val="10"/>
                <w:color w:val="auto"/>
              </w:rPr>
            </w:pPr>
          </w:p>
        </w:tc>
        <w:tc>
          <w:tcPr>
            <w:tcW w:w="100" w:type="dxa"/>
            <w:vAlign w:val="bottom"/>
            <w:shd w:val="clear" w:color="auto" w:fill="53C072"/>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0" w:type="dxa"/>
            <w:vAlign w:val="bottom"/>
            <w:shd w:val="clear" w:color="auto" w:fill="53C072"/>
          </w:tcPr>
          <w:p>
            <w:pPr>
              <w:ind w:left="80"/>
              <w:spacing w:after="0" w:line="135" w:lineRule="exact"/>
              <w:rPr>
                <w:sz w:val="20"/>
                <w:szCs w:val="20"/>
                <w:color w:val="auto"/>
              </w:rPr>
            </w:pPr>
            <w:r>
              <w:rPr>
                <w:rFonts w:ascii="Arial" w:cs="Arial" w:eastAsia="Arial" w:hAnsi="Arial"/>
                <w:sz w:val="12"/>
                <w:szCs w:val="12"/>
                <w:b w:val="1"/>
                <w:bCs w:val="1"/>
                <w:color w:val="FEFEFE"/>
              </w:rPr>
              <w:t>Fiscal</w:t>
            </w:r>
          </w:p>
        </w:tc>
        <w:tc>
          <w:tcPr>
            <w:tcW w:w="1040" w:type="dxa"/>
            <w:vAlign w:val="bottom"/>
            <w:shd w:val="clear" w:color="auto" w:fill="53C072"/>
          </w:tcPr>
          <w:p>
            <w:pPr>
              <w:jc w:val="right"/>
              <w:ind w:right="159"/>
              <w:spacing w:after="0" w:line="135" w:lineRule="exact"/>
              <w:rPr>
                <w:sz w:val="20"/>
                <w:szCs w:val="20"/>
                <w:color w:val="auto"/>
              </w:rPr>
            </w:pPr>
            <w:r>
              <w:rPr>
                <w:rFonts w:ascii="Arial" w:cs="Arial" w:eastAsia="Arial" w:hAnsi="Arial"/>
                <w:sz w:val="12"/>
                <w:szCs w:val="12"/>
                <w:b w:val="1"/>
                <w:bCs w:val="1"/>
                <w:color w:val="FEFEFE"/>
              </w:rPr>
              <w:t>Total For</w:t>
            </w:r>
          </w:p>
        </w:tc>
        <w:tc>
          <w:tcPr>
            <w:tcW w:w="640" w:type="dxa"/>
            <w:vAlign w:val="bottom"/>
            <w:shd w:val="clear" w:color="auto" w:fill="53C072"/>
          </w:tcPr>
          <w:p>
            <w:pPr>
              <w:jc w:val="right"/>
              <w:spacing w:after="0" w:line="135" w:lineRule="exact"/>
              <w:rPr>
                <w:sz w:val="20"/>
                <w:szCs w:val="20"/>
                <w:color w:val="auto"/>
              </w:rPr>
            </w:pPr>
            <w:r>
              <w:rPr>
                <w:rFonts w:ascii="Arial" w:cs="Arial" w:eastAsia="Arial" w:hAnsi="Arial"/>
                <w:sz w:val="12"/>
                <w:szCs w:val="12"/>
                <w:b w:val="1"/>
                <w:bCs w:val="1"/>
                <w:color w:val="FEFEFE"/>
              </w:rPr>
              <w:t>CAP to</w:t>
            </w:r>
          </w:p>
        </w:tc>
        <w:tc>
          <w:tcPr>
            <w:tcW w:w="200" w:type="dxa"/>
            <w:vAlign w:val="bottom"/>
            <w:shd w:val="clear" w:color="auto" w:fill="53C072"/>
          </w:tcPr>
          <w:p>
            <w:pPr>
              <w:spacing w:after="0"/>
              <w:rPr>
                <w:sz w:val="11"/>
                <w:szCs w:val="11"/>
                <w:color w:val="auto"/>
              </w:rPr>
            </w:pPr>
          </w:p>
        </w:tc>
        <w:tc>
          <w:tcPr>
            <w:tcW w:w="780" w:type="dxa"/>
            <w:vAlign w:val="bottom"/>
            <w:shd w:val="clear" w:color="auto" w:fill="53C072"/>
          </w:tcPr>
          <w:p>
            <w:pPr>
              <w:jc w:val="right"/>
              <w:ind w:right="140"/>
              <w:spacing w:after="0" w:line="135" w:lineRule="exact"/>
              <w:rPr>
                <w:sz w:val="20"/>
                <w:szCs w:val="20"/>
                <w:color w:val="auto"/>
              </w:rPr>
            </w:pPr>
            <w:r>
              <w:rPr>
                <w:rFonts w:ascii="Arial" w:cs="Arial" w:eastAsia="Arial" w:hAnsi="Arial"/>
                <w:sz w:val="12"/>
                <w:szCs w:val="12"/>
                <w:b w:val="1"/>
                <w:bCs w:val="1"/>
                <w:color w:val="FEFEFE"/>
              </w:rPr>
              <w:t>Former</w:t>
            </w:r>
          </w:p>
        </w:tc>
        <w:tc>
          <w:tcPr>
            <w:tcW w:w="600" w:type="dxa"/>
            <w:vAlign w:val="bottom"/>
            <w:shd w:val="clear" w:color="auto" w:fill="53C072"/>
          </w:tcPr>
          <w:p>
            <w:pPr>
              <w:jc w:val="right"/>
              <w:ind w:right="120"/>
              <w:spacing w:after="0" w:line="135" w:lineRule="exact"/>
              <w:rPr>
                <w:sz w:val="20"/>
                <w:szCs w:val="20"/>
                <w:color w:val="auto"/>
              </w:rPr>
            </w:pPr>
            <w:r>
              <w:rPr>
                <w:rFonts w:ascii="Arial" w:cs="Arial" w:eastAsia="Arial" w:hAnsi="Arial"/>
                <w:sz w:val="12"/>
                <w:szCs w:val="12"/>
                <w:b w:val="1"/>
                <w:bCs w:val="1"/>
                <w:color w:val="FEFEFE"/>
                <w:w w:val="96"/>
              </w:rPr>
              <w:t>Former</w:t>
            </w:r>
          </w:p>
        </w:tc>
        <w:tc>
          <w:tcPr>
            <w:tcW w:w="800" w:type="dxa"/>
            <w:vAlign w:val="bottom"/>
            <w:shd w:val="clear" w:color="auto" w:fill="53C072"/>
          </w:tcPr>
          <w:p>
            <w:pPr>
              <w:jc w:val="right"/>
              <w:spacing w:after="0" w:line="135" w:lineRule="exact"/>
              <w:rPr>
                <w:sz w:val="20"/>
                <w:szCs w:val="20"/>
                <w:color w:val="auto"/>
              </w:rPr>
            </w:pPr>
            <w:r>
              <w:rPr>
                <w:rFonts w:ascii="Arial" w:cs="Arial" w:eastAsia="Arial" w:hAnsi="Arial"/>
                <w:sz w:val="12"/>
                <w:szCs w:val="12"/>
                <w:b w:val="1"/>
                <w:bCs w:val="1"/>
                <w:color w:val="FEFEFE"/>
              </w:rPr>
              <w:t>non-PEO</w:t>
            </w:r>
          </w:p>
        </w:tc>
        <w:tc>
          <w:tcPr>
            <w:tcW w:w="80" w:type="dxa"/>
            <w:vAlign w:val="bottom"/>
            <w:shd w:val="clear" w:color="auto" w:fill="53C072"/>
          </w:tcPr>
          <w:p>
            <w:pPr>
              <w:spacing w:after="0"/>
              <w:rPr>
                <w:sz w:val="11"/>
                <w:szCs w:val="11"/>
                <w:color w:val="auto"/>
              </w:rPr>
            </w:pPr>
          </w:p>
        </w:tc>
        <w:tc>
          <w:tcPr>
            <w:tcW w:w="800" w:type="dxa"/>
            <w:vAlign w:val="bottom"/>
            <w:shd w:val="clear" w:color="auto" w:fill="53C072"/>
          </w:tcPr>
          <w:p>
            <w:pPr>
              <w:ind w:left="220"/>
              <w:spacing w:after="0" w:line="135" w:lineRule="exact"/>
              <w:rPr>
                <w:sz w:val="20"/>
                <w:szCs w:val="20"/>
                <w:color w:val="auto"/>
              </w:rPr>
            </w:pPr>
            <w:r>
              <w:rPr>
                <w:rFonts w:ascii="Arial" w:cs="Arial" w:eastAsia="Arial" w:hAnsi="Arial"/>
                <w:sz w:val="12"/>
                <w:szCs w:val="12"/>
                <w:b w:val="1"/>
                <w:bCs w:val="1"/>
                <w:color w:val="FEFEFE"/>
              </w:rPr>
              <w:t>non-PEO</w:t>
            </w:r>
          </w:p>
        </w:tc>
        <w:tc>
          <w:tcPr>
            <w:tcW w:w="720" w:type="dxa"/>
            <w:vAlign w:val="bottom"/>
            <w:shd w:val="clear" w:color="auto" w:fill="53C072"/>
          </w:tcPr>
          <w:p>
            <w:pPr>
              <w:ind w:left="160"/>
              <w:spacing w:after="0" w:line="135" w:lineRule="exact"/>
              <w:rPr>
                <w:sz w:val="20"/>
                <w:szCs w:val="20"/>
                <w:color w:val="auto"/>
              </w:rPr>
            </w:pPr>
            <w:r>
              <w:rPr>
                <w:rFonts w:ascii="Arial" w:cs="Arial" w:eastAsia="Arial" w:hAnsi="Arial"/>
                <w:sz w:val="12"/>
                <w:szCs w:val="12"/>
                <w:b w:val="1"/>
                <w:bCs w:val="1"/>
                <w:color w:val="FEFEFE"/>
                <w:w w:val="98"/>
              </w:rPr>
              <w:t>Company</w:t>
            </w:r>
          </w:p>
        </w:tc>
        <w:tc>
          <w:tcPr>
            <w:tcW w:w="100" w:type="dxa"/>
            <w:vAlign w:val="bottom"/>
            <w:shd w:val="clear" w:color="auto" w:fill="53C072"/>
          </w:tcPr>
          <w:p>
            <w:pPr>
              <w:spacing w:after="0"/>
              <w:rPr>
                <w:sz w:val="11"/>
                <w:szCs w:val="11"/>
                <w:color w:val="auto"/>
              </w:rPr>
            </w:pPr>
          </w:p>
        </w:tc>
        <w:tc>
          <w:tcPr>
            <w:tcW w:w="760" w:type="dxa"/>
            <w:vAlign w:val="bottom"/>
            <w:shd w:val="clear" w:color="auto" w:fill="53C072"/>
          </w:tcPr>
          <w:p>
            <w:pPr>
              <w:jc w:val="center"/>
              <w:spacing w:after="0" w:line="135" w:lineRule="exact"/>
              <w:rPr>
                <w:sz w:val="20"/>
                <w:szCs w:val="20"/>
                <w:color w:val="auto"/>
              </w:rPr>
            </w:pPr>
            <w:r>
              <w:rPr>
                <w:rFonts w:ascii="Arial" w:cs="Arial" w:eastAsia="Arial" w:hAnsi="Arial"/>
                <w:sz w:val="12"/>
                <w:szCs w:val="12"/>
                <w:b w:val="1"/>
                <w:bCs w:val="1"/>
                <w:color w:val="FEFEFE"/>
                <w:w w:val="97"/>
              </w:rPr>
              <w:t>Peer Group</w:t>
            </w:r>
          </w:p>
        </w:tc>
        <w:tc>
          <w:tcPr>
            <w:tcW w:w="40" w:type="dxa"/>
            <w:vAlign w:val="bottom"/>
            <w:shd w:val="clear" w:color="auto" w:fill="53C072"/>
          </w:tcPr>
          <w:p>
            <w:pPr>
              <w:spacing w:after="0"/>
              <w:rPr>
                <w:sz w:val="11"/>
                <w:szCs w:val="11"/>
                <w:color w:val="auto"/>
              </w:rPr>
            </w:pPr>
          </w:p>
        </w:tc>
        <w:tc>
          <w:tcPr>
            <w:tcW w:w="760" w:type="dxa"/>
            <w:vAlign w:val="bottom"/>
            <w:shd w:val="clear" w:color="auto" w:fill="53C072"/>
          </w:tcPr>
          <w:p>
            <w:pPr>
              <w:jc w:val="right"/>
              <w:spacing w:after="0" w:line="135" w:lineRule="exact"/>
              <w:rPr>
                <w:sz w:val="20"/>
                <w:szCs w:val="20"/>
                <w:color w:val="auto"/>
              </w:rPr>
            </w:pPr>
            <w:r>
              <w:rPr>
                <w:rFonts w:ascii="Arial" w:cs="Arial" w:eastAsia="Arial" w:hAnsi="Arial"/>
                <w:sz w:val="12"/>
                <w:szCs w:val="12"/>
                <w:b w:val="1"/>
                <w:bCs w:val="1"/>
                <w:color w:val="FEFEFE"/>
              </w:rPr>
              <w:t>Income</w:t>
            </w:r>
          </w:p>
        </w:tc>
        <w:tc>
          <w:tcPr>
            <w:tcW w:w="80" w:type="dxa"/>
            <w:vAlign w:val="bottom"/>
            <w:shd w:val="clear" w:color="auto" w:fill="53C072"/>
          </w:tcPr>
          <w:p>
            <w:pPr>
              <w:spacing w:after="0"/>
              <w:rPr>
                <w:sz w:val="11"/>
                <w:szCs w:val="11"/>
                <w:color w:val="auto"/>
              </w:rPr>
            </w:pPr>
          </w:p>
        </w:tc>
        <w:tc>
          <w:tcPr>
            <w:tcW w:w="800" w:type="dxa"/>
            <w:vAlign w:val="bottom"/>
            <w:gridSpan w:val="2"/>
            <w:shd w:val="clear" w:color="auto" w:fill="53C072"/>
          </w:tcPr>
          <w:p>
            <w:pPr>
              <w:ind w:left="40"/>
              <w:spacing w:after="0" w:line="135" w:lineRule="exact"/>
              <w:rPr>
                <w:sz w:val="20"/>
                <w:szCs w:val="20"/>
                <w:color w:val="auto"/>
              </w:rPr>
            </w:pPr>
            <w:r>
              <w:rPr>
                <w:rFonts w:ascii="Arial" w:cs="Arial" w:eastAsia="Arial" w:hAnsi="Arial"/>
                <w:sz w:val="12"/>
                <w:szCs w:val="12"/>
                <w:b w:val="1"/>
                <w:bCs w:val="1"/>
                <w:color w:val="FEFEFE"/>
                <w:w w:val="99"/>
              </w:rPr>
              <w:t>Adjusted OI$</w:t>
            </w:r>
          </w:p>
        </w:tc>
        <w:tc>
          <w:tcPr>
            <w:tcW w:w="100" w:type="dxa"/>
            <w:vAlign w:val="bottom"/>
            <w:shd w:val="clear" w:color="auto" w:fill="53C072"/>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460" w:type="dxa"/>
            <w:vAlign w:val="bottom"/>
            <w:tcBorders>
              <w:bottom w:val="single" w:sz="8" w:color="53C072"/>
            </w:tcBorders>
            <w:shd w:val="clear" w:color="auto" w:fill="53C072"/>
          </w:tcPr>
          <w:p>
            <w:pPr>
              <w:jc w:val="center"/>
              <w:spacing w:after="0"/>
              <w:rPr>
                <w:sz w:val="20"/>
                <w:szCs w:val="20"/>
                <w:color w:val="auto"/>
              </w:rPr>
            </w:pPr>
            <w:r>
              <w:rPr>
                <w:rFonts w:ascii="Arial" w:cs="Arial" w:eastAsia="Arial" w:hAnsi="Arial"/>
                <w:sz w:val="12"/>
                <w:szCs w:val="12"/>
                <w:b w:val="1"/>
                <w:bCs w:val="1"/>
                <w:color w:val="FEFEFE"/>
                <w:w w:val="92"/>
              </w:rPr>
              <w:t>Year</w:t>
            </w:r>
          </w:p>
        </w:tc>
        <w:tc>
          <w:tcPr>
            <w:tcW w:w="1040" w:type="dxa"/>
            <w:vAlign w:val="bottom"/>
            <w:tcBorders>
              <w:bottom w:val="single" w:sz="8" w:color="53C072"/>
            </w:tcBorders>
            <w:shd w:val="clear" w:color="auto" w:fill="53C072"/>
          </w:tcPr>
          <w:p>
            <w:pPr>
              <w:jc w:val="right"/>
              <w:ind w:right="119"/>
              <w:spacing w:after="0"/>
              <w:rPr>
                <w:sz w:val="20"/>
                <w:szCs w:val="20"/>
                <w:color w:val="auto"/>
              </w:rPr>
            </w:pPr>
            <w:r>
              <w:rPr>
                <w:rFonts w:ascii="Arial" w:cs="Arial" w:eastAsia="Arial" w:hAnsi="Arial"/>
                <w:sz w:val="12"/>
                <w:szCs w:val="12"/>
                <w:b w:val="1"/>
                <w:bCs w:val="1"/>
                <w:color w:val="FEFEFE"/>
              </w:rPr>
              <w:t>PEO</w:t>
            </w:r>
          </w:p>
        </w:tc>
        <w:tc>
          <w:tcPr>
            <w:tcW w:w="64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2"/>
                <w:szCs w:val="12"/>
                <w:b w:val="1"/>
                <w:bCs w:val="1"/>
                <w:color w:val="FEFEFE"/>
              </w:rPr>
              <w:t>PEO</w:t>
            </w:r>
          </w:p>
        </w:tc>
        <w:tc>
          <w:tcPr>
            <w:tcW w:w="200" w:type="dxa"/>
            <w:vAlign w:val="bottom"/>
            <w:tcBorders>
              <w:bottom w:val="single" w:sz="8" w:color="53C072"/>
            </w:tcBorders>
            <w:shd w:val="clear" w:color="auto" w:fill="53C072"/>
          </w:tcPr>
          <w:p>
            <w:pPr>
              <w:spacing w:after="0"/>
              <w:rPr>
                <w:sz w:val="15"/>
                <w:szCs w:val="15"/>
                <w:color w:val="auto"/>
              </w:rPr>
            </w:pPr>
          </w:p>
        </w:tc>
        <w:tc>
          <w:tcPr>
            <w:tcW w:w="780" w:type="dxa"/>
            <w:vAlign w:val="bottom"/>
            <w:tcBorders>
              <w:bottom w:val="single" w:sz="8" w:color="53C072"/>
            </w:tcBorders>
            <w:shd w:val="clear" w:color="auto" w:fill="53C072"/>
          </w:tcPr>
          <w:p>
            <w:pPr>
              <w:jc w:val="right"/>
              <w:ind w:right="120"/>
              <w:spacing w:after="0"/>
              <w:rPr>
                <w:sz w:val="20"/>
                <w:szCs w:val="20"/>
                <w:color w:val="auto"/>
              </w:rPr>
            </w:pPr>
            <w:r>
              <w:rPr>
                <w:rFonts w:ascii="Arial" w:cs="Arial" w:eastAsia="Arial" w:hAnsi="Arial"/>
                <w:sz w:val="12"/>
                <w:szCs w:val="12"/>
                <w:b w:val="1"/>
                <w:bCs w:val="1"/>
                <w:color w:val="FEFEFE"/>
              </w:rPr>
              <w:t>PEO</w:t>
            </w:r>
          </w:p>
        </w:tc>
        <w:tc>
          <w:tcPr>
            <w:tcW w:w="600" w:type="dxa"/>
            <w:vAlign w:val="bottom"/>
            <w:tcBorders>
              <w:bottom w:val="single" w:sz="8" w:color="53C072"/>
            </w:tcBorders>
            <w:shd w:val="clear" w:color="auto" w:fill="53C072"/>
          </w:tcPr>
          <w:p>
            <w:pPr>
              <w:jc w:val="right"/>
              <w:ind w:right="80"/>
              <w:spacing w:after="0"/>
              <w:rPr>
                <w:sz w:val="20"/>
                <w:szCs w:val="20"/>
                <w:color w:val="auto"/>
              </w:rPr>
            </w:pPr>
            <w:r>
              <w:rPr>
                <w:rFonts w:ascii="Arial" w:cs="Arial" w:eastAsia="Arial" w:hAnsi="Arial"/>
                <w:sz w:val="12"/>
                <w:szCs w:val="12"/>
                <w:b w:val="1"/>
                <w:bCs w:val="1"/>
                <w:color w:val="FEFEFE"/>
              </w:rPr>
              <w:t>PEO</w:t>
            </w:r>
          </w:p>
        </w:tc>
        <w:tc>
          <w:tcPr>
            <w:tcW w:w="800" w:type="dxa"/>
            <w:vAlign w:val="bottom"/>
            <w:tcBorders>
              <w:bottom w:val="single" w:sz="8" w:color="53C072"/>
            </w:tcBorders>
            <w:shd w:val="clear" w:color="auto" w:fill="53C072"/>
          </w:tcPr>
          <w:p>
            <w:pPr>
              <w:jc w:val="right"/>
              <w:spacing w:after="0"/>
              <w:rPr>
                <w:sz w:val="20"/>
                <w:szCs w:val="20"/>
                <w:color w:val="auto"/>
              </w:rPr>
            </w:pPr>
            <w:r>
              <w:rPr>
                <w:rFonts w:ascii="Arial" w:cs="Arial" w:eastAsia="Arial" w:hAnsi="Arial"/>
                <w:sz w:val="12"/>
                <w:szCs w:val="12"/>
                <w:b w:val="1"/>
                <w:bCs w:val="1"/>
                <w:color w:val="FEFEFE"/>
              </w:rPr>
              <w:t>NEOs</w:t>
            </w:r>
          </w:p>
        </w:tc>
        <w:tc>
          <w:tcPr>
            <w:tcW w:w="80" w:type="dxa"/>
            <w:vAlign w:val="bottom"/>
            <w:tcBorders>
              <w:bottom w:val="single" w:sz="8" w:color="53C072"/>
            </w:tcBorders>
            <w:shd w:val="clear" w:color="auto" w:fill="53C072"/>
          </w:tcPr>
          <w:p>
            <w:pPr>
              <w:spacing w:after="0"/>
              <w:rPr>
                <w:sz w:val="15"/>
                <w:szCs w:val="15"/>
                <w:color w:val="auto"/>
              </w:rPr>
            </w:pPr>
          </w:p>
        </w:tc>
        <w:tc>
          <w:tcPr>
            <w:tcW w:w="800" w:type="dxa"/>
            <w:vAlign w:val="bottom"/>
            <w:tcBorders>
              <w:bottom w:val="single" w:sz="8" w:color="53C072"/>
            </w:tcBorders>
            <w:shd w:val="clear" w:color="auto" w:fill="53C072"/>
          </w:tcPr>
          <w:p>
            <w:pPr>
              <w:ind w:left="440"/>
              <w:spacing w:after="0"/>
              <w:rPr>
                <w:sz w:val="20"/>
                <w:szCs w:val="20"/>
                <w:color w:val="auto"/>
              </w:rPr>
            </w:pPr>
            <w:r>
              <w:rPr>
                <w:rFonts w:ascii="Arial" w:cs="Arial" w:eastAsia="Arial" w:hAnsi="Arial"/>
                <w:sz w:val="12"/>
                <w:szCs w:val="12"/>
                <w:b w:val="1"/>
                <w:bCs w:val="1"/>
                <w:color w:val="FEFEFE"/>
              </w:rPr>
              <w:t>NEOs</w:t>
            </w:r>
          </w:p>
        </w:tc>
        <w:tc>
          <w:tcPr>
            <w:tcW w:w="720" w:type="dxa"/>
            <w:vAlign w:val="bottom"/>
            <w:tcBorders>
              <w:bottom w:val="single" w:sz="8" w:color="53C072"/>
            </w:tcBorders>
            <w:shd w:val="clear" w:color="auto" w:fill="53C072"/>
          </w:tcPr>
          <w:p>
            <w:pPr>
              <w:ind w:left="340"/>
              <w:spacing w:after="0"/>
              <w:rPr>
                <w:sz w:val="20"/>
                <w:szCs w:val="20"/>
                <w:color w:val="auto"/>
              </w:rPr>
            </w:pPr>
            <w:r>
              <w:rPr>
                <w:rFonts w:ascii="Arial" w:cs="Arial" w:eastAsia="Arial" w:hAnsi="Arial"/>
                <w:sz w:val="12"/>
                <w:szCs w:val="12"/>
                <w:b w:val="1"/>
                <w:bCs w:val="1"/>
                <w:color w:val="FEFEFE"/>
                <w:w w:val="92"/>
              </w:rPr>
              <w:t>TSR(1)</w:t>
            </w:r>
          </w:p>
        </w:tc>
        <w:tc>
          <w:tcPr>
            <w:tcW w:w="100" w:type="dxa"/>
            <w:vAlign w:val="bottom"/>
            <w:tcBorders>
              <w:bottom w:val="single" w:sz="8" w:color="53C072"/>
            </w:tcBorders>
            <w:shd w:val="clear" w:color="auto" w:fill="53C072"/>
          </w:tcPr>
          <w:p>
            <w:pPr>
              <w:spacing w:after="0"/>
              <w:rPr>
                <w:sz w:val="15"/>
                <w:szCs w:val="15"/>
                <w:color w:val="auto"/>
              </w:rPr>
            </w:pPr>
          </w:p>
        </w:tc>
        <w:tc>
          <w:tcPr>
            <w:tcW w:w="760" w:type="dxa"/>
            <w:vAlign w:val="bottom"/>
            <w:tcBorders>
              <w:bottom w:val="single" w:sz="8" w:color="53C072"/>
            </w:tcBorders>
            <w:shd w:val="clear" w:color="auto" w:fill="53C072"/>
          </w:tcPr>
          <w:p>
            <w:pPr>
              <w:ind w:left="240"/>
              <w:spacing w:after="0"/>
              <w:rPr>
                <w:sz w:val="20"/>
                <w:szCs w:val="20"/>
                <w:color w:val="auto"/>
              </w:rPr>
            </w:pPr>
            <w:r>
              <w:rPr>
                <w:rFonts w:ascii="Arial" w:cs="Arial" w:eastAsia="Arial" w:hAnsi="Arial"/>
                <w:sz w:val="12"/>
                <w:szCs w:val="12"/>
                <w:b w:val="1"/>
                <w:bCs w:val="1"/>
                <w:color w:val="FEFEFE"/>
                <w:w w:val="93"/>
              </w:rPr>
              <w:t>TSR(1)(2)</w:t>
            </w:r>
          </w:p>
        </w:tc>
        <w:tc>
          <w:tcPr>
            <w:tcW w:w="40" w:type="dxa"/>
            <w:vAlign w:val="bottom"/>
            <w:tcBorders>
              <w:bottom w:val="single" w:sz="8" w:color="53C072"/>
            </w:tcBorders>
            <w:shd w:val="clear" w:color="auto" w:fill="53C072"/>
          </w:tcPr>
          <w:p>
            <w:pPr>
              <w:spacing w:after="0"/>
              <w:rPr>
                <w:sz w:val="15"/>
                <w:szCs w:val="15"/>
                <w:color w:val="auto"/>
              </w:rPr>
            </w:pPr>
          </w:p>
        </w:tc>
        <w:tc>
          <w:tcPr>
            <w:tcW w:w="760" w:type="dxa"/>
            <w:vAlign w:val="bottom"/>
            <w:tcBorders>
              <w:bottom w:val="single" w:sz="8" w:color="53C072"/>
            </w:tcBorders>
            <w:shd w:val="clear" w:color="auto" w:fill="53C072"/>
          </w:tcPr>
          <w:p>
            <w:pPr>
              <w:ind w:left="100"/>
              <w:spacing w:after="0"/>
              <w:rPr>
                <w:sz w:val="20"/>
                <w:szCs w:val="20"/>
                <w:color w:val="auto"/>
              </w:rPr>
            </w:pPr>
            <w:r>
              <w:rPr>
                <w:rFonts w:ascii="Arial" w:cs="Arial" w:eastAsia="Arial" w:hAnsi="Arial"/>
                <w:sz w:val="12"/>
                <w:szCs w:val="12"/>
                <w:b w:val="1"/>
                <w:bCs w:val="1"/>
                <w:color w:val="FEFEFE"/>
                <w:w w:val="94"/>
              </w:rPr>
              <w:t>(Millions)(3)</w:t>
            </w:r>
          </w:p>
        </w:tc>
        <w:tc>
          <w:tcPr>
            <w:tcW w:w="80" w:type="dxa"/>
            <w:vAlign w:val="bottom"/>
            <w:tcBorders>
              <w:bottom w:val="single" w:sz="8" w:color="53C072"/>
            </w:tcBorders>
            <w:shd w:val="clear" w:color="auto" w:fill="53C072"/>
          </w:tcPr>
          <w:p>
            <w:pPr>
              <w:spacing w:after="0"/>
              <w:rPr>
                <w:sz w:val="15"/>
                <w:szCs w:val="15"/>
                <w:color w:val="auto"/>
              </w:rPr>
            </w:pPr>
          </w:p>
        </w:tc>
        <w:tc>
          <w:tcPr>
            <w:tcW w:w="800" w:type="dxa"/>
            <w:vAlign w:val="bottom"/>
            <w:tcBorders>
              <w:bottom w:val="single" w:sz="8" w:color="53C072"/>
            </w:tcBorders>
            <w:gridSpan w:val="2"/>
            <w:shd w:val="clear" w:color="auto" w:fill="53C072"/>
          </w:tcPr>
          <w:p>
            <w:pPr>
              <w:ind w:left="140"/>
              <w:spacing w:after="0"/>
              <w:rPr>
                <w:sz w:val="20"/>
                <w:szCs w:val="20"/>
                <w:color w:val="auto"/>
              </w:rPr>
            </w:pPr>
            <w:r>
              <w:rPr>
                <w:rFonts w:ascii="Arial" w:cs="Arial" w:eastAsia="Arial" w:hAnsi="Arial"/>
                <w:sz w:val="12"/>
                <w:szCs w:val="12"/>
                <w:b w:val="1"/>
                <w:bCs w:val="1"/>
                <w:color w:val="FEFEFE"/>
                <w:w w:val="94"/>
              </w:rPr>
              <w:t>(Millions)(4)</w:t>
            </w:r>
          </w:p>
        </w:tc>
        <w:tc>
          <w:tcPr>
            <w:tcW w:w="100" w:type="dxa"/>
            <w:vAlign w:val="bottom"/>
            <w:tcBorders>
              <w:bottom w:val="single" w:sz="8" w:color="53C072"/>
            </w:tcBorders>
            <w:shd w:val="clear" w:color="auto" w:fill="53C072"/>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2024</w:t>
            </w:r>
          </w:p>
        </w:tc>
        <w:tc>
          <w:tcPr>
            <w:tcW w:w="1040" w:type="dxa"/>
            <w:vAlign w:val="bottom"/>
          </w:tcPr>
          <w:p>
            <w:pPr>
              <w:jc w:val="center"/>
              <w:spacing w:after="0" w:line="229"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$8,775,978 </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5,540,132</w:t>
            </w:r>
          </w:p>
        </w:tc>
        <w:tc>
          <w:tcPr>
            <w:tcW w:w="200" w:type="dxa"/>
            <w:vAlign w:val="bottom"/>
          </w:tcPr>
          <w:p>
            <w:pPr>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line="229"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600" w:type="dxa"/>
            <w:vAlign w:val="bottom"/>
          </w:tcPr>
          <w:p>
            <w:pPr>
              <w:jc w:val="right"/>
              <w:spacing w:after="0" w:line="229"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0" w:type="dxa"/>
            <w:vAlign w:val="bottom"/>
          </w:tcPr>
          <w:p>
            <w:pPr>
              <w:jc w:val="center"/>
              <w:spacing w:after="0" w:line="229"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$ 2,041,858</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ind w:left="60"/>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$1,354,722 </w:t>
            </w:r>
            <w:r>
              <w:rPr>
                <w:rFonts w:ascii="Arial" w:cs="Arial" w:eastAsia="Arial" w:hAnsi="Arial"/>
                <w:sz w:val="25"/>
                <w:szCs w:val="25"/>
                <w:color w:val="auto"/>
                <w:vertAlign w:val="subscript"/>
              </w:rPr>
              <w:t>​</w:t>
            </w:r>
          </w:p>
        </w:tc>
        <w:tc>
          <w:tcPr>
            <w:tcW w:w="720" w:type="dxa"/>
            <w:vAlign w:val="bottom"/>
          </w:tcPr>
          <w:p>
            <w:pPr>
              <w:ind w:left="160"/>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$218.81</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$253.53</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tcPr>
          <w:p>
            <w:pPr>
              <w:ind w:left="200"/>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$498.7</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00" w:type="dxa"/>
            <w:vAlign w:val="bottom"/>
          </w:tcPr>
          <w:p>
            <w:pPr>
              <w:ind w:left="160"/>
              <w:spacing w:after="0" w:line="229"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900.0</w:t>
            </w:r>
          </w:p>
        </w:tc>
        <w:tc>
          <w:tcPr>
            <w:tcW w:w="100" w:type="dxa"/>
            <w:vAlign w:val="bottom"/>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30"/>
        </w:trPr>
        <w:tc>
          <w:tcPr>
            <w:tcW w:w="460" w:type="dxa"/>
            <w:vAlign w:val="bottom"/>
            <w:shd w:val="clear" w:color="auto" w:fill="CBECD5"/>
          </w:tcPr>
          <w:p>
            <w:pPr>
              <w:jc w:val="center"/>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2023</w:t>
            </w:r>
          </w:p>
        </w:tc>
        <w:tc>
          <w:tcPr>
            <w:tcW w:w="1040" w:type="dxa"/>
            <w:vAlign w:val="bottom"/>
            <w:shd w:val="clear" w:color="auto" w:fill="CBECD5"/>
          </w:tcPr>
          <w:p>
            <w:pPr>
              <w:jc w:val="center"/>
              <w:spacing w:after="0" w:line="229"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$9,716,827 </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40" w:type="dxa"/>
            <w:vAlign w:val="bottom"/>
            <w:shd w:val="clear" w:color="auto" w:fill="CBECD5"/>
          </w:tcPr>
          <w:p>
            <w:pPr>
              <w:jc w:val="right"/>
              <w:spacing w:after="0"/>
              <w:rPr>
                <w:sz w:val="20"/>
                <w:szCs w:val="20"/>
                <w:color w:val="auto"/>
              </w:rPr>
            </w:pPr>
            <w:r>
              <w:rPr>
                <w:rFonts w:ascii="Arial" w:cs="Arial" w:eastAsia="Arial" w:hAnsi="Arial"/>
                <w:sz w:val="13"/>
                <w:szCs w:val="13"/>
                <w:color w:val="auto"/>
                <w:w w:val="92"/>
              </w:rPr>
              <w:t>13,428,971</w:t>
            </w:r>
          </w:p>
        </w:tc>
        <w:tc>
          <w:tcPr>
            <w:tcW w:w="200" w:type="dxa"/>
            <w:vAlign w:val="bottom"/>
            <w:shd w:val="clear" w:color="auto" w:fill="CBECD5"/>
          </w:tcPr>
          <w:p>
            <w:pPr>
              <w:spacing w:after="0"/>
              <w:rPr>
                <w:sz w:val="20"/>
                <w:szCs w:val="20"/>
                <w:color w:val="auto"/>
              </w:rPr>
            </w:pPr>
            <w:r>
              <w:rPr>
                <w:rFonts w:ascii="Arial" w:cs="Arial" w:eastAsia="Arial" w:hAnsi="Arial"/>
                <w:sz w:val="13"/>
                <w:szCs w:val="13"/>
                <w:color w:val="auto"/>
              </w:rPr>
              <w:t>​​ ​</w:t>
            </w:r>
          </w:p>
        </w:tc>
        <w:tc>
          <w:tcPr>
            <w:tcW w:w="780" w:type="dxa"/>
            <w:vAlign w:val="bottom"/>
            <w:shd w:val="clear" w:color="auto" w:fill="CBECD5"/>
          </w:tcPr>
          <w:p>
            <w:pPr>
              <w:jc w:val="right"/>
              <w:spacing w:after="0" w:line="229"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600" w:type="dxa"/>
            <w:vAlign w:val="bottom"/>
            <w:shd w:val="clear" w:color="auto" w:fill="CBECD5"/>
          </w:tcPr>
          <w:p>
            <w:pPr>
              <w:jc w:val="right"/>
              <w:spacing w:after="0" w:line="229"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0" w:type="dxa"/>
            <w:vAlign w:val="bottom"/>
            <w:shd w:val="clear" w:color="auto" w:fill="CBECD5"/>
          </w:tcPr>
          <w:p>
            <w:pPr>
              <w:jc w:val="center"/>
              <w:spacing w:after="0" w:line="229"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$ 1,928,181</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800" w:type="dxa"/>
            <w:vAlign w:val="bottom"/>
            <w:shd w:val="clear" w:color="auto" w:fill="CBECD5"/>
          </w:tcPr>
          <w:p>
            <w:pPr>
              <w:ind w:left="60"/>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$1,950,485 </w:t>
            </w:r>
            <w:r>
              <w:rPr>
                <w:rFonts w:ascii="Arial" w:cs="Arial" w:eastAsia="Arial" w:hAnsi="Arial"/>
                <w:sz w:val="25"/>
                <w:szCs w:val="25"/>
                <w:color w:val="auto"/>
                <w:vertAlign w:val="subscript"/>
              </w:rPr>
              <w:t>​</w:t>
            </w:r>
          </w:p>
        </w:tc>
        <w:tc>
          <w:tcPr>
            <w:tcW w:w="720" w:type="dxa"/>
            <w:vAlign w:val="bottom"/>
            <w:shd w:val="clear" w:color="auto" w:fill="CBECD5"/>
          </w:tcPr>
          <w:p>
            <w:pPr>
              <w:ind w:left="160"/>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$208.95</w:t>
            </w:r>
          </w:p>
        </w:tc>
        <w:tc>
          <w:tcPr>
            <w:tcW w:w="10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BECD5"/>
          </w:tcPr>
          <w:p>
            <w:pPr>
              <w:jc w:val="center"/>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$218.46</w:t>
            </w:r>
          </w:p>
        </w:tc>
        <w:tc>
          <w:tcPr>
            <w:tcW w:w="4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BECD5"/>
          </w:tcPr>
          <w:p>
            <w:pPr>
              <w:ind w:left="200"/>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$770.8</w:t>
            </w:r>
          </w:p>
        </w:tc>
        <w:tc>
          <w:tcPr>
            <w:tcW w:w="80" w:type="dxa"/>
            <w:vAlign w:val="bottom"/>
            <w:shd w:val="clear" w:color="auto" w:fill="CBECD5"/>
          </w:tcPr>
          <w:p>
            <w:pPr>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BECD5"/>
          </w:tcPr>
          <w:p>
            <w:pPr>
              <w:jc w:val="right"/>
              <w:ind w:right="77"/>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$1,220.9</w:t>
            </w:r>
          </w:p>
        </w:tc>
        <w:tc>
          <w:tcPr>
            <w:tcW w:w="100" w:type="dxa"/>
            <w:vAlign w:val="bottom"/>
            <w:shd w:val="clear" w:color="auto" w:fill="CBECD5"/>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30"/>
        </w:trPr>
        <w:tc>
          <w:tcPr>
            <w:tcW w:w="460" w:type="dxa"/>
            <w:vAlign w:val="bottom"/>
          </w:tcPr>
          <w:p>
            <w:pPr>
              <w:jc w:val="center"/>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2022</w:t>
            </w:r>
          </w:p>
        </w:tc>
        <w:tc>
          <w:tcPr>
            <w:tcW w:w="1040" w:type="dxa"/>
            <w:vAlign w:val="bottom"/>
          </w:tcPr>
          <w:p>
            <w:pPr>
              <w:jc w:val="center"/>
              <w:spacing w:after="0" w:line="229"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$8,129,900 </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9,883,510</w:t>
            </w:r>
          </w:p>
        </w:tc>
        <w:tc>
          <w:tcPr>
            <w:tcW w:w="200" w:type="dxa"/>
            <w:vAlign w:val="bottom"/>
          </w:tcPr>
          <w:p>
            <w:pPr>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line="229"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600" w:type="dxa"/>
            <w:vAlign w:val="bottom"/>
          </w:tcPr>
          <w:p>
            <w:pPr>
              <w:jc w:val="right"/>
              <w:spacing w:after="0" w:line="229"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0" w:type="dxa"/>
            <w:vAlign w:val="bottom"/>
          </w:tcPr>
          <w:p>
            <w:pPr>
              <w:jc w:val="center"/>
              <w:spacing w:after="0" w:line="229"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$ 2,031,221</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ind w:left="60"/>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$1,912,506 </w:t>
            </w:r>
            <w:r>
              <w:rPr>
                <w:rFonts w:ascii="Arial" w:cs="Arial" w:eastAsia="Arial" w:hAnsi="Arial"/>
                <w:sz w:val="25"/>
                <w:szCs w:val="25"/>
                <w:color w:val="auto"/>
                <w:vertAlign w:val="subscript"/>
              </w:rPr>
              <w:t>​</w:t>
            </w:r>
          </w:p>
        </w:tc>
        <w:tc>
          <w:tcPr>
            <w:tcW w:w="720" w:type="dxa"/>
            <w:vAlign w:val="bottom"/>
          </w:tcPr>
          <w:p>
            <w:pPr>
              <w:ind w:left="160"/>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$170.48</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$177.30</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tcPr>
          <w:p>
            <w:pPr>
              <w:ind w:left="200"/>
              <w:spacing w:after="0" w:line="229"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$692.4</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300" w:type="dxa"/>
            <w:vAlign w:val="bottom"/>
          </w:tcPr>
          <w:p>
            <w:pPr>
              <w:ind w:left="160"/>
              <w:spacing w:after="0" w:line="229"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985.6</w:t>
            </w:r>
          </w:p>
        </w:tc>
        <w:tc>
          <w:tcPr>
            <w:tcW w:w="100" w:type="dxa"/>
            <w:vAlign w:val="bottom"/>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63"/>
        </w:trPr>
        <w:tc>
          <w:tcPr>
            <w:tcW w:w="460" w:type="dxa"/>
            <w:vAlign w:val="bottom"/>
            <w:tcBorders>
              <w:bottom w:val="single" w:sz="8" w:color="53C072"/>
            </w:tcBorders>
            <w:shd w:val="clear" w:color="auto" w:fill="CBECD5"/>
          </w:tcPr>
          <w:p>
            <w:pPr>
              <w:jc w:val="center"/>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2021</w:t>
            </w:r>
          </w:p>
        </w:tc>
        <w:tc>
          <w:tcPr>
            <w:tcW w:w="1040" w:type="dxa"/>
            <w:vAlign w:val="bottom"/>
            <w:tcBorders>
              <w:bottom w:val="single" w:sz="8" w:color="53C072"/>
            </w:tcBorders>
            <w:shd w:val="clear" w:color="auto" w:fill="CBECD5"/>
          </w:tcPr>
          <w:p>
            <w:pPr>
              <w:jc w:val="center"/>
              <w:spacing w:after="0" w:line="257"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$6,151,987 </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4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3"/>
                <w:szCs w:val="13"/>
                <w:color w:val="auto"/>
              </w:rPr>
              <w:t>8,577,743</w:t>
            </w:r>
          </w:p>
        </w:tc>
        <w:tc>
          <w:tcPr>
            <w:tcW w:w="1580" w:type="dxa"/>
            <w:vAlign w:val="bottom"/>
            <w:tcBorders>
              <w:bottom w:val="single" w:sz="8" w:color="53C072"/>
            </w:tcBorders>
            <w:gridSpan w:val="3"/>
            <w:shd w:val="clear" w:color="auto" w:fill="CBECD5"/>
          </w:tcPr>
          <w:p>
            <w:pPr>
              <w:jc w:val="right"/>
              <w:spacing w:after="0" w:line="257"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 xml:space="preserve">$2,910,076 </w:t>
            </w:r>
            <w:r>
              <w:rPr>
                <w:rFonts w:ascii="Arial" w:cs="Arial" w:eastAsia="Arial" w:hAnsi="Arial"/>
                <w:sz w:val="25"/>
                <w:szCs w:val="25"/>
                <w:color w:val="auto"/>
                <w:vertAlign w:val="subscript"/>
              </w:rPr>
              <w:t>​​​​</w:t>
            </w:r>
            <w:r>
              <w:rPr>
                <w:rFonts w:ascii="Arial" w:cs="Arial" w:eastAsia="Arial" w:hAnsi="Arial"/>
                <w:sz w:val="13"/>
                <w:szCs w:val="13"/>
                <w:color w:val="auto"/>
              </w:rPr>
              <w:t xml:space="preserve">$377,147 </w:t>
            </w:r>
            <w:r>
              <w:rPr>
                <w:rFonts w:ascii="Arial" w:cs="Arial" w:eastAsia="Arial" w:hAnsi="Arial"/>
                <w:sz w:val="25"/>
                <w:szCs w:val="25"/>
                <w:color w:val="auto"/>
                <w:vertAlign w:val="subscript"/>
              </w:rPr>
              <w:t>​​</w:t>
            </w:r>
          </w:p>
        </w:tc>
        <w:tc>
          <w:tcPr>
            <w:tcW w:w="800" w:type="dxa"/>
            <w:vAlign w:val="bottom"/>
            <w:tcBorders>
              <w:bottom w:val="single" w:sz="8" w:color="53C072"/>
            </w:tcBorders>
            <w:shd w:val="clear" w:color="auto" w:fill="CBECD5"/>
          </w:tcPr>
          <w:p>
            <w:pPr>
              <w:jc w:val="center"/>
              <w:spacing w:after="0" w:line="257"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$ 1,862,076</w:t>
            </w:r>
          </w:p>
        </w:tc>
        <w:tc>
          <w:tcPr>
            <w:tcW w:w="8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53C072"/>
            </w:tcBorders>
            <w:shd w:val="clear" w:color="auto" w:fill="CBECD5"/>
          </w:tcPr>
          <w:p>
            <w:pPr>
              <w:ind w:left="60"/>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$1,527,825 </w:t>
            </w:r>
            <w:r>
              <w:rPr>
                <w:rFonts w:ascii="Arial" w:cs="Arial" w:eastAsia="Arial" w:hAnsi="Arial"/>
                <w:sz w:val="25"/>
                <w:szCs w:val="25"/>
                <w:color w:val="auto"/>
                <w:vertAlign w:val="subscript"/>
              </w:rPr>
              <w:t>​</w:t>
            </w:r>
          </w:p>
        </w:tc>
        <w:tc>
          <w:tcPr>
            <w:tcW w:w="720" w:type="dxa"/>
            <w:vAlign w:val="bottom"/>
            <w:tcBorders>
              <w:bottom w:val="single" w:sz="8" w:color="53C072"/>
            </w:tcBorders>
            <w:shd w:val="clear" w:color="auto" w:fill="CBECD5"/>
          </w:tcPr>
          <w:p>
            <w:pPr>
              <w:ind w:left="160"/>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$157.58</w:t>
            </w:r>
          </w:p>
        </w:tc>
        <w:tc>
          <w:tcPr>
            <w:tcW w:w="10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53C072"/>
            </w:tcBorders>
            <w:shd w:val="clear" w:color="auto" w:fill="CBECD5"/>
          </w:tcPr>
          <w:p>
            <w:pPr>
              <w:jc w:val="center"/>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$199.58</w:t>
            </w:r>
          </w:p>
        </w:tc>
        <w:tc>
          <w:tcPr>
            <w:tcW w:w="4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53C072"/>
            </w:tcBorders>
            <w:shd w:val="clear" w:color="auto" w:fill="CBECD5"/>
          </w:tcPr>
          <w:p>
            <w:pPr>
              <w:ind w:left="200"/>
              <w:spacing w:after="0" w:line="257"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$193.1</w:t>
            </w:r>
          </w:p>
        </w:tc>
        <w:tc>
          <w:tcPr>
            <w:tcW w:w="8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53C072"/>
            </w:tcBorders>
            <w:shd w:val="clear" w:color="auto" w:fill="CBECD5"/>
          </w:tcPr>
          <w:p>
            <w:pPr>
              <w:ind w:left="160"/>
              <w:spacing w:after="0" w:line="257"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500" w:type="dxa"/>
            <w:vAlign w:val="bottom"/>
            <w:tcBorders>
              <w:bottom w:val="single" w:sz="8" w:color="53C072"/>
            </w:tcBorders>
            <w:shd w:val="clear" w:color="auto" w:fill="CBECD5"/>
          </w:tcPr>
          <w:p>
            <w:pPr>
              <w:jc w:val="right"/>
              <w:ind w:right="77"/>
              <w:spacing w:after="0"/>
              <w:rPr>
                <w:sz w:val="20"/>
                <w:szCs w:val="20"/>
                <w:color w:val="auto"/>
              </w:rPr>
            </w:pPr>
            <w:r>
              <w:rPr>
                <w:rFonts w:ascii="Arial" w:cs="Arial" w:eastAsia="Arial" w:hAnsi="Arial"/>
                <w:sz w:val="13"/>
                <w:szCs w:val="13"/>
                <w:color w:val="auto"/>
              </w:rPr>
              <w:t>407.0</w:t>
            </w:r>
          </w:p>
        </w:tc>
        <w:tc>
          <w:tcPr>
            <w:tcW w:w="100" w:type="dxa"/>
            <w:vAlign w:val="bottom"/>
            <w:tcBorders>
              <w:bottom w:val="single" w:sz="8" w:color="53C072"/>
            </w:tcBorders>
            <w:shd w:val="clear" w:color="auto" w:fill="CBECD5"/>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80" w:right="159" w:hanging="718"/>
        <w:spacing w:after="0" w:line="287" w:lineRule="auto"/>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Reflects the cumulative value of a $100 investment made at the beginning of fiscal year 2021 through the end of fiscal year 2024, including the reinvestment of dividends.</w:t>
      </w:r>
    </w:p>
    <w:p>
      <w:pPr>
        <w:spacing w:after="0" w:line="85" w:lineRule="exact"/>
        <w:rPr>
          <w:rFonts w:ascii="Arial" w:cs="Arial" w:eastAsia="Arial" w:hAnsi="Arial"/>
          <w:sz w:val="18"/>
          <w:szCs w:val="18"/>
          <w:color w:val="auto"/>
        </w:rPr>
      </w:pPr>
    </w:p>
    <w:p>
      <w:pPr>
        <w:ind w:left="1780" w:right="359" w:hanging="718"/>
        <w:spacing w:after="0" w:line="262" w:lineRule="auto"/>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Peer Group is the one used in the Annual Reports on Form 10-K pursuant to Item 201(e)(ii) of Regulations S-K for each of the fiscal years noted, which is comprised of the following five companies: Agilysys, Inc.; Arrow Electronics Inc.; Insight Enterprises Inc.; Scansource Inc.; and TD Synnex Corporation.</w:t>
      </w:r>
    </w:p>
    <w:p>
      <w:pPr>
        <w:spacing w:after="0" w:line="108" w:lineRule="exact"/>
        <w:rPr>
          <w:rFonts w:ascii="Arial" w:cs="Arial" w:eastAsia="Arial" w:hAnsi="Arial"/>
          <w:sz w:val="18"/>
          <w:szCs w:val="18"/>
          <w:color w:val="auto"/>
        </w:rPr>
      </w:pPr>
    </w:p>
    <w:p>
      <w:pPr>
        <w:ind w:left="1780" w:right="379" w:hanging="718"/>
        <w:spacing w:after="0" w:line="287" w:lineRule="auto"/>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presented in the Company’s Consolidated Statements of Operations for each of the fiscal years ended, calculated in accordance with GAAP.</w:t>
      </w:r>
    </w:p>
    <w:p>
      <w:pPr>
        <w:spacing w:after="0" w:line="71" w:lineRule="exact"/>
        <w:rPr>
          <w:rFonts w:ascii="Arial" w:cs="Arial" w:eastAsia="Arial" w:hAnsi="Arial"/>
          <w:sz w:val="18"/>
          <w:szCs w:val="18"/>
          <w:color w:val="auto"/>
        </w:rPr>
      </w:pPr>
    </w:p>
    <w:p>
      <w:pPr>
        <w:ind w:left="1780" w:right="279" w:hanging="718"/>
        <w:spacing w:after="0" w:line="282" w:lineRule="auto"/>
        <w:tabs>
          <w:tab w:leader="none" w:pos="17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Company’s selected measure, Adjusted Operating Income Dollars (OI$), is a non-GAAP measure and was one of the financial performance metrics used in the fiscal 2024 annual cash incentive plan design for executive officers. Please 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for information on how this measure was calculated as well as a reconciliation to its most directly comparable GAAP measures.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26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480" w:type="dxa"/>
            <w:vAlign w:val="bottom"/>
            <w:vMerge w:val="restart"/>
          </w:tcPr>
          <w:p>
            <w:pPr>
              <w:ind w:left="2920"/>
              <w:spacing w:after="0"/>
              <w:rPr>
                <w:sz w:val="20"/>
                <w:szCs w:val="20"/>
                <w:color w:val="auto"/>
              </w:rPr>
            </w:pPr>
            <w:r>
              <w:rPr>
                <w:rFonts w:ascii="Arial" w:cs="Arial" w:eastAsia="Arial" w:hAnsi="Arial"/>
                <w:sz w:val="14"/>
                <w:szCs w:val="14"/>
                <w:color w:val="auto"/>
                <w:w w:val="98"/>
              </w:rPr>
              <w:t>Pay Versus Performance</w:t>
            </w:r>
          </w:p>
        </w:tc>
        <w:tc>
          <w:tcPr>
            <w:tcW w:w="0" w:type="dxa"/>
            <w:vAlign w:val="bottom"/>
          </w:tcPr>
          <w:p>
            <w:pPr>
              <w:spacing w:after="0"/>
              <w:rPr>
                <w:sz w:val="1"/>
                <w:szCs w:val="1"/>
                <w:color w:val="auto"/>
              </w:rPr>
            </w:pPr>
          </w:p>
        </w:tc>
      </w:tr>
      <w:tr>
        <w:trPr>
          <w:trHeight w:val="89"/>
        </w:trPr>
        <w:tc>
          <w:tcPr>
            <w:tcW w:w="52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26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419"/>
        <w:spacing w:after="0" w:line="268" w:lineRule="auto"/>
        <w:rPr>
          <w:sz w:val="20"/>
          <w:szCs w:val="20"/>
          <w:color w:val="auto"/>
        </w:rPr>
      </w:pPr>
      <w:r>
        <w:rPr>
          <w:rFonts w:ascii="Arial" w:cs="Arial" w:eastAsia="Arial" w:hAnsi="Arial"/>
          <w:sz w:val="18"/>
          <w:szCs w:val="18"/>
          <w:color w:val="auto"/>
        </w:rPr>
        <w:t>Phil Gallagher was the PEO for all the presented years. To calculate CAP for Mr. Gallagher, the following amounts were deducted from and added to the Total Compensation reported in the Summary Compensation Table (“SCT”):</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274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Year</w:t>
            </w:r>
          </w:p>
        </w:tc>
        <w:tc>
          <w:tcPr>
            <w:tcW w:w="3000" w:type="dxa"/>
            <w:vAlign w:val="bottom"/>
            <w:shd w:val="clear" w:color="auto" w:fill="53C072"/>
          </w:tcPr>
          <w:p>
            <w:pPr>
              <w:jc w:val="right"/>
              <w:ind w:right="288"/>
              <w:spacing w:after="0"/>
              <w:rPr>
                <w:sz w:val="20"/>
                <w:szCs w:val="20"/>
                <w:color w:val="auto"/>
              </w:rPr>
            </w:pPr>
            <w:r>
              <w:rPr>
                <w:rFonts w:ascii="Arial" w:cs="Arial" w:eastAsia="Arial" w:hAnsi="Arial"/>
                <w:sz w:val="14"/>
                <w:szCs w:val="14"/>
                <w:b w:val="1"/>
                <w:bCs w:val="1"/>
                <w:color w:val="FEFEFE"/>
              </w:rPr>
              <w:t>2021</w:t>
            </w:r>
          </w:p>
        </w:tc>
        <w:tc>
          <w:tcPr>
            <w:tcW w:w="1080" w:type="dxa"/>
            <w:vAlign w:val="bottom"/>
            <w:shd w:val="clear" w:color="auto" w:fill="53C072"/>
          </w:tcPr>
          <w:p>
            <w:pPr>
              <w:jc w:val="right"/>
              <w:ind w:right="328"/>
              <w:spacing w:after="0"/>
              <w:rPr>
                <w:sz w:val="20"/>
                <w:szCs w:val="20"/>
                <w:color w:val="auto"/>
              </w:rPr>
            </w:pPr>
            <w:r>
              <w:rPr>
                <w:rFonts w:ascii="Arial" w:cs="Arial" w:eastAsia="Arial" w:hAnsi="Arial"/>
                <w:sz w:val="14"/>
                <w:szCs w:val="14"/>
                <w:b w:val="1"/>
                <w:bCs w:val="1"/>
                <w:color w:val="FEFEFE"/>
              </w:rPr>
              <w:t>2022</w:t>
            </w:r>
          </w:p>
        </w:tc>
        <w:tc>
          <w:tcPr>
            <w:tcW w:w="1120" w:type="dxa"/>
            <w:vAlign w:val="bottom"/>
            <w:shd w:val="clear" w:color="auto" w:fill="53C072"/>
          </w:tcPr>
          <w:p>
            <w:pPr>
              <w:jc w:val="right"/>
              <w:ind w:right="328"/>
              <w:spacing w:after="0"/>
              <w:rPr>
                <w:sz w:val="20"/>
                <w:szCs w:val="20"/>
                <w:color w:val="auto"/>
              </w:rPr>
            </w:pPr>
            <w:r>
              <w:rPr>
                <w:rFonts w:ascii="Arial" w:cs="Arial" w:eastAsia="Arial" w:hAnsi="Arial"/>
                <w:sz w:val="14"/>
                <w:szCs w:val="14"/>
                <w:b w:val="1"/>
                <w:bCs w:val="1"/>
                <w:color w:val="FEFEFE"/>
              </w:rPr>
              <w:t>2023</w:t>
            </w:r>
          </w:p>
        </w:tc>
        <w:tc>
          <w:tcPr>
            <w:tcW w:w="820" w:type="dxa"/>
            <w:vAlign w:val="bottom"/>
            <w:shd w:val="clear" w:color="auto" w:fill="53C072"/>
          </w:tcPr>
          <w:p>
            <w:pPr>
              <w:jc w:val="right"/>
              <w:ind w:right="48"/>
              <w:spacing w:after="0"/>
              <w:rPr>
                <w:sz w:val="20"/>
                <w:szCs w:val="20"/>
                <w:color w:val="auto"/>
              </w:rPr>
            </w:pPr>
            <w:r>
              <w:rPr>
                <w:rFonts w:ascii="Arial" w:cs="Arial" w:eastAsia="Arial" w:hAnsi="Arial"/>
                <w:sz w:val="14"/>
                <w:szCs w:val="14"/>
                <w:b w:val="1"/>
                <w:bCs w:val="1"/>
                <w:color w:val="FEFEFE"/>
              </w:rPr>
              <w:t>2024</w:t>
            </w:r>
          </w:p>
        </w:tc>
      </w:tr>
    </w:tbl>
    <w:p>
      <w:pPr>
        <w:spacing w:after="0" w:line="13" w:lineRule="exact"/>
        <w:rPr>
          <w:sz w:val="20"/>
          <w:szCs w:val="20"/>
          <w:color w:val="auto"/>
        </w:rPr>
      </w:pPr>
    </w:p>
    <w:p>
      <w:pPr>
        <w:sectPr>
          <w:pgSz w:w="11900" w:h="16838" w:orient="portrait"/>
          <w:cols w:equalWidth="0" w:num="1">
            <w:col w:w="9879"/>
          </w:cols>
          <w:pgMar w:left="580" w:top="97" w:right="1440" w:bottom="1440" w:gutter="0" w:footer="0" w:header="0"/>
        </w:sectPr>
      </w:pPr>
    </w:p>
    <w:p>
      <w:pPr>
        <w:ind w:left="1080"/>
        <w:spacing w:after="0"/>
        <w:rPr>
          <w:sz w:val="20"/>
          <w:szCs w:val="20"/>
          <w:color w:val="auto"/>
        </w:rPr>
      </w:pPr>
      <w:r>
        <w:rPr>
          <w:rFonts w:ascii="Arial" w:cs="Arial" w:eastAsia="Arial" w:hAnsi="Arial"/>
          <w:sz w:val="16"/>
          <w:szCs w:val="16"/>
          <w:color w:val="auto"/>
        </w:rPr>
        <w:t>SCT Total Compensation</w:t>
      </w:r>
    </w:p>
    <w:p>
      <w:pPr>
        <w:spacing w:after="0" w:line="7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Minus: Grant-date fair value of awards reported in the</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SCT</w:t>
      </w:r>
    </w:p>
    <w:p>
      <w:pPr>
        <w:spacing w:after="0" w:line="57" w:lineRule="exact"/>
        <w:rPr>
          <w:sz w:val="20"/>
          <w:szCs w:val="20"/>
          <w:color w:val="auto"/>
        </w:rPr>
      </w:pPr>
    </w:p>
    <w:p>
      <w:pPr>
        <w:ind w:left="1440" w:right="260"/>
        <w:spacing w:after="0" w:line="286" w:lineRule="auto"/>
        <w:rPr>
          <w:sz w:val="20"/>
          <w:szCs w:val="20"/>
          <w:color w:val="auto"/>
        </w:rPr>
      </w:pPr>
      <w:r>
        <w:rPr>
          <w:rFonts w:ascii="Arial" w:cs="Arial" w:eastAsia="Arial" w:hAnsi="Arial"/>
          <w:sz w:val="16"/>
          <w:szCs w:val="16"/>
          <w:color w:val="auto"/>
        </w:rPr>
        <w:t>Plus: Vesting-date fair value of awards granted and vested in the covered year</w:t>
      </w:r>
    </w:p>
    <w:p>
      <w:pPr>
        <w:spacing w:after="0" w:line="7" w:lineRule="exact"/>
        <w:rPr>
          <w:sz w:val="20"/>
          <w:szCs w:val="20"/>
          <w:color w:val="auto"/>
        </w:rPr>
      </w:pPr>
    </w:p>
    <w:p>
      <w:pPr>
        <w:ind w:left="1440" w:right="20"/>
        <w:spacing w:after="0" w:line="286" w:lineRule="auto"/>
        <w:rPr>
          <w:sz w:val="20"/>
          <w:szCs w:val="20"/>
          <w:color w:val="auto"/>
        </w:rPr>
      </w:pPr>
      <w:r>
        <w:rPr>
          <w:rFonts w:ascii="Arial" w:cs="Arial" w:eastAsia="Arial" w:hAnsi="Arial"/>
          <w:sz w:val="16"/>
          <w:szCs w:val="16"/>
          <w:color w:val="auto"/>
        </w:rPr>
        <w:t>Plus: Year-end fair value of awards granted but remain unvested in the covered year</w:t>
      </w:r>
    </w:p>
    <w:p>
      <w:pPr>
        <w:spacing w:after="0" w:line="7" w:lineRule="exact"/>
        <w:rPr>
          <w:sz w:val="20"/>
          <w:szCs w:val="20"/>
          <w:color w:val="auto"/>
        </w:rPr>
      </w:pPr>
    </w:p>
    <w:p>
      <w:pPr>
        <w:ind w:left="1440"/>
        <w:spacing w:after="0" w:line="286" w:lineRule="auto"/>
        <w:rPr>
          <w:sz w:val="20"/>
          <w:szCs w:val="20"/>
          <w:color w:val="auto"/>
        </w:rPr>
      </w:pPr>
      <w:r>
        <w:rPr>
          <w:rFonts w:ascii="Arial" w:cs="Arial" w:eastAsia="Arial" w:hAnsi="Arial"/>
          <w:sz w:val="16"/>
          <w:szCs w:val="16"/>
          <w:color w:val="auto"/>
        </w:rPr>
        <w:t>Plus/(Minus): Change in fair value of awards granted in prior year(s) that vested in the covered year</w:t>
      </w:r>
    </w:p>
    <w:p>
      <w:pPr>
        <w:spacing w:after="0" w:line="7" w:lineRule="exact"/>
        <w:rPr>
          <w:sz w:val="20"/>
          <w:szCs w:val="20"/>
          <w:color w:val="auto"/>
        </w:rPr>
      </w:pPr>
    </w:p>
    <w:p>
      <w:pPr>
        <w:ind w:left="1440" w:right="200"/>
        <w:spacing w:after="0" w:line="286" w:lineRule="auto"/>
        <w:rPr>
          <w:sz w:val="20"/>
          <w:szCs w:val="20"/>
          <w:color w:val="auto"/>
        </w:rPr>
      </w:pPr>
      <w:r>
        <w:rPr>
          <w:rFonts w:ascii="Arial" w:cs="Arial" w:eastAsia="Arial" w:hAnsi="Arial"/>
          <w:sz w:val="16"/>
          <w:szCs w:val="16"/>
          <w:color w:val="auto"/>
        </w:rPr>
        <w:t>Plus: Change in fair value of awards granted in prior year(s) that remain unvested in covered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000" w:type="dxa"/>
            <w:vAlign w:val="bottom"/>
            <w:gridSpan w:val="2"/>
          </w:tcPr>
          <w:p>
            <w:pPr>
              <w:jc w:val="right"/>
              <w:spacing w:after="0"/>
              <w:rPr>
                <w:sz w:val="20"/>
                <w:szCs w:val="20"/>
                <w:color w:val="auto"/>
              </w:rPr>
            </w:pPr>
            <w:r>
              <w:rPr>
                <w:rFonts w:ascii="Arial" w:cs="Arial" w:eastAsia="Arial" w:hAnsi="Arial"/>
                <w:sz w:val="16"/>
                <w:szCs w:val="16"/>
                <w:color w:val="auto"/>
              </w:rPr>
              <w:t>​ ​​$6,151,987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 ​​$8,129,900 ​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9,716,827</w:t>
            </w:r>
          </w:p>
        </w:tc>
        <w:tc>
          <w:tcPr>
            <w:tcW w:w="1040" w:type="dxa"/>
            <w:vAlign w:val="bottom"/>
            <w:gridSpan w:val="2"/>
          </w:tcPr>
          <w:p>
            <w:pPr>
              <w:ind w:left="100"/>
              <w:spacing w:after="0"/>
              <w:rPr>
                <w:sz w:val="20"/>
                <w:szCs w:val="20"/>
                <w:color w:val="auto"/>
              </w:rPr>
            </w:pPr>
            <w:r>
              <w:rPr>
                <w:rFonts w:ascii="Arial" w:cs="Arial" w:eastAsia="Arial" w:hAnsi="Arial"/>
                <w:sz w:val="16"/>
                <w:szCs w:val="16"/>
                <w:color w:val="auto"/>
              </w:rPr>
              <w:t>​$ 8,775,978</w:t>
            </w:r>
          </w:p>
        </w:tc>
      </w:tr>
      <w:tr>
        <w:trPr>
          <w:trHeight w:val="446"/>
        </w:trPr>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​​$2,858,059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 ​​$4,216,444 ​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6,078,268</w:t>
            </w:r>
          </w:p>
        </w:tc>
        <w:tc>
          <w:tcPr>
            <w:tcW w:w="1040" w:type="dxa"/>
            <w:vAlign w:val="bottom"/>
            <w:gridSpan w:val="2"/>
          </w:tcPr>
          <w:p>
            <w:pPr>
              <w:ind w:left="100"/>
              <w:spacing w:after="0"/>
              <w:rPr>
                <w:sz w:val="20"/>
                <w:szCs w:val="20"/>
                <w:color w:val="auto"/>
              </w:rPr>
            </w:pPr>
            <w:r>
              <w:rPr>
                <w:rFonts w:ascii="Arial" w:cs="Arial" w:eastAsia="Arial" w:hAnsi="Arial"/>
                <w:sz w:val="16"/>
                <w:szCs w:val="16"/>
                <w:color w:val="auto"/>
              </w:rPr>
              <w:t>​$ 6,572,830</w:t>
            </w:r>
          </w:p>
        </w:tc>
      </w:tr>
      <w:tr>
        <w:trPr>
          <w:trHeight w:val="445"/>
        </w:trPr>
        <w:tc>
          <w:tcPr>
            <w:tcW w:w="320" w:type="dxa"/>
            <w:vAlign w:val="bottom"/>
          </w:tcPr>
          <w:p>
            <w:pPr>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508,172</w:t>
            </w:r>
          </w:p>
        </w:tc>
        <w:tc>
          <w:tcPr>
            <w:tcW w:w="1020" w:type="dxa"/>
            <w:vAlign w:val="bottom"/>
          </w:tcPr>
          <w:p>
            <w:pPr>
              <w:ind w:left="20"/>
              <w:spacing w:after="0"/>
              <w:rPr>
                <w:sz w:val="20"/>
                <w:szCs w:val="20"/>
                <w:color w:val="auto"/>
              </w:rPr>
            </w:pPr>
            <w:r>
              <w:rPr>
                <w:rFonts w:ascii="Arial" w:cs="Arial" w:eastAsia="Arial" w:hAnsi="Arial"/>
                <w:sz w:val="16"/>
                <w:szCs w:val="16"/>
                <w:color w:val="auto"/>
              </w:rPr>
              <w:t>​ ​​$  624,058</w:t>
            </w:r>
          </w:p>
        </w:tc>
        <w:tc>
          <w:tcPr>
            <w:tcW w:w="340" w:type="dxa"/>
            <w:vAlign w:val="bottom"/>
          </w:tcPr>
          <w:p>
            <w:pPr>
              <w:jc w:val="right"/>
              <w:spacing w:after="0"/>
              <w:rPr>
                <w:sz w:val="20"/>
                <w:szCs w:val="20"/>
                <w:color w:val="auto"/>
              </w:rPr>
            </w:pPr>
            <w:r>
              <w:rPr>
                <w:rFonts w:ascii="Arial" w:cs="Arial" w:eastAsia="Arial" w:hAnsi="Arial"/>
                <w:sz w:val="16"/>
                <w:szCs w:val="16"/>
                <w:color w:val="auto"/>
              </w:rPr>
              <w:t>​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736,281</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857,801</w:t>
            </w:r>
          </w:p>
        </w:tc>
      </w:tr>
      <w:tr>
        <w:trPr>
          <w:trHeight w:val="446"/>
        </w:trPr>
        <w:tc>
          <w:tcPr>
            <w:tcW w:w="1000" w:type="dxa"/>
            <w:vAlign w:val="bottom"/>
            <w:gridSpan w:val="2"/>
          </w:tcPr>
          <w:p>
            <w:pPr>
              <w:jc w:val="right"/>
              <w:spacing w:after="0"/>
              <w:rPr>
                <w:sz w:val="20"/>
                <w:szCs w:val="20"/>
                <w:color w:val="auto"/>
              </w:rPr>
            </w:pPr>
            <w:r>
              <w:rPr>
                <w:rFonts w:ascii="Arial" w:cs="Arial" w:eastAsia="Arial" w:hAnsi="Arial"/>
                <w:sz w:val="16"/>
                <w:szCs w:val="16"/>
                <w:color w:val="auto"/>
              </w:rPr>
              <w:t>​ ​​$4,344,273</w:t>
            </w:r>
          </w:p>
        </w:tc>
        <w:tc>
          <w:tcPr>
            <w:tcW w:w="1020" w:type="dxa"/>
            <w:vAlign w:val="bottom"/>
          </w:tcPr>
          <w:p>
            <w:pPr>
              <w:ind w:left="20"/>
              <w:spacing w:after="0"/>
              <w:rPr>
                <w:sz w:val="20"/>
                <w:szCs w:val="20"/>
                <w:color w:val="auto"/>
              </w:rPr>
            </w:pPr>
            <w:r>
              <w:rPr>
                <w:rFonts w:ascii="Arial" w:cs="Arial" w:eastAsia="Arial" w:hAnsi="Arial"/>
                <w:sz w:val="16"/>
                <w:szCs w:val="16"/>
                <w:color w:val="auto"/>
              </w:rPr>
              <w:t>​ ​​$4,349,379</w:t>
            </w:r>
          </w:p>
        </w:tc>
        <w:tc>
          <w:tcPr>
            <w:tcW w:w="340" w:type="dxa"/>
            <w:vAlign w:val="bottom"/>
          </w:tcPr>
          <w:p>
            <w:pPr>
              <w:jc w:val="right"/>
              <w:spacing w:after="0"/>
              <w:rPr>
                <w:sz w:val="20"/>
                <w:szCs w:val="20"/>
                <w:color w:val="auto"/>
              </w:rPr>
            </w:pPr>
            <w:r>
              <w:rPr>
                <w:rFonts w:ascii="Arial" w:cs="Arial" w:eastAsia="Arial" w:hAnsi="Arial"/>
                <w:sz w:val="16"/>
                <w:szCs w:val="16"/>
                <w:color w:val="auto"/>
              </w:rPr>
              <w:t>​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6,808,722</w:t>
            </w:r>
          </w:p>
        </w:tc>
        <w:tc>
          <w:tcPr>
            <w:tcW w:w="1040" w:type="dxa"/>
            <w:vAlign w:val="bottom"/>
            <w:gridSpan w:val="2"/>
          </w:tcPr>
          <w:p>
            <w:pPr>
              <w:ind w:left="100"/>
              <w:spacing w:after="0"/>
              <w:rPr>
                <w:sz w:val="20"/>
                <w:szCs w:val="20"/>
                <w:color w:val="auto"/>
              </w:rPr>
            </w:pPr>
            <w:r>
              <w:rPr>
                <w:rFonts w:ascii="Arial" w:cs="Arial" w:eastAsia="Arial" w:hAnsi="Arial"/>
                <w:sz w:val="16"/>
                <w:szCs w:val="16"/>
                <w:color w:val="auto"/>
              </w:rPr>
              <w:t>​$ 4,405,536</w:t>
            </w:r>
          </w:p>
        </w:tc>
      </w:tr>
      <w:tr>
        <w:trPr>
          <w:trHeight w:val="445"/>
        </w:trPr>
        <w:tc>
          <w:tcPr>
            <w:tcW w:w="320" w:type="dxa"/>
            <w:vAlign w:val="bottom"/>
          </w:tcPr>
          <w:p>
            <w:pPr>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70,402</w:t>
            </w:r>
          </w:p>
        </w:tc>
        <w:tc>
          <w:tcPr>
            <w:tcW w:w="1020" w:type="dxa"/>
            <w:vAlign w:val="bottom"/>
          </w:tcPr>
          <w:p>
            <w:pPr>
              <w:ind w:left="20"/>
              <w:spacing w:after="0"/>
              <w:rPr>
                <w:sz w:val="20"/>
                <w:szCs w:val="20"/>
                <w:color w:val="auto"/>
              </w:rPr>
            </w:pPr>
            <w:r>
              <w:rPr>
                <w:rFonts w:ascii="Arial" w:cs="Arial" w:eastAsia="Arial" w:hAnsi="Arial"/>
                <w:sz w:val="16"/>
                <w:szCs w:val="16"/>
                <w:color w:val="auto"/>
              </w:rPr>
              <w:t>​ ​​$  457,714</w:t>
            </w:r>
          </w:p>
        </w:tc>
        <w:tc>
          <w:tcPr>
            <w:tcW w:w="340" w:type="dxa"/>
            <w:vAlign w:val="bottom"/>
          </w:tcPr>
          <w:p>
            <w:pPr>
              <w:jc w:val="right"/>
              <w:spacing w:after="0"/>
              <w:rPr>
                <w:sz w:val="20"/>
                <w:szCs w:val="20"/>
                <w:color w:val="auto"/>
              </w:rPr>
            </w:pPr>
            <w:r>
              <w:rPr>
                <w:rFonts w:ascii="Arial" w:cs="Arial" w:eastAsia="Arial" w:hAnsi="Arial"/>
                <w:sz w:val="16"/>
                <w:szCs w:val="16"/>
                <w:color w:val="auto"/>
              </w:rPr>
              <w:t>​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164,293</w:t>
            </w:r>
          </w:p>
        </w:tc>
        <w:tc>
          <w:tcPr>
            <w:tcW w:w="1040" w:type="dxa"/>
            <w:vAlign w:val="bottom"/>
            <w:gridSpan w:val="2"/>
          </w:tcPr>
          <w:p>
            <w:pPr>
              <w:ind w:left="100"/>
              <w:spacing w:after="0"/>
              <w:rPr>
                <w:sz w:val="20"/>
                <w:szCs w:val="20"/>
                <w:color w:val="auto"/>
              </w:rPr>
            </w:pPr>
            <w:r>
              <w:rPr>
                <w:rFonts w:ascii="Arial" w:cs="Arial" w:eastAsia="Arial" w:hAnsi="Arial"/>
                <w:sz w:val="16"/>
                <w:szCs w:val="16"/>
                <w:color w:val="auto"/>
              </w:rPr>
              <w:t>​$(1,912,696)</w:t>
            </w:r>
          </w:p>
        </w:tc>
      </w:tr>
      <w:tr>
        <w:trPr>
          <w:trHeight w:val="446"/>
        </w:trPr>
        <w:tc>
          <w:tcPr>
            <w:tcW w:w="320" w:type="dxa"/>
            <w:vAlign w:val="bottom"/>
          </w:tcPr>
          <w:p>
            <w:pPr>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363,638</w:t>
            </w:r>
          </w:p>
        </w:tc>
        <w:tc>
          <w:tcPr>
            <w:tcW w:w="1020" w:type="dxa"/>
            <w:vAlign w:val="bottom"/>
          </w:tcPr>
          <w:p>
            <w:pPr>
              <w:ind w:left="20"/>
              <w:spacing w:after="0"/>
              <w:rPr>
                <w:sz w:val="20"/>
                <w:szCs w:val="20"/>
                <w:color w:val="auto"/>
              </w:rPr>
            </w:pPr>
            <w:r>
              <w:rPr>
                <w:rFonts w:ascii="Arial" w:cs="Arial" w:eastAsia="Arial" w:hAnsi="Arial"/>
                <w:sz w:val="16"/>
                <w:szCs w:val="16"/>
                <w:color w:val="auto"/>
              </w:rPr>
              <w:t>​ ​​$  535,110</w:t>
            </w:r>
          </w:p>
        </w:tc>
        <w:tc>
          <w:tcPr>
            <w:tcW w:w="340" w:type="dxa"/>
            <w:vAlign w:val="bottom"/>
          </w:tcPr>
          <w:p>
            <w:pPr>
              <w:jc w:val="right"/>
              <w:spacing w:after="0"/>
              <w:rPr>
                <w:sz w:val="20"/>
                <w:szCs w:val="20"/>
                <w:color w:val="auto"/>
              </w:rPr>
            </w:pPr>
            <w:r>
              <w:rPr>
                <w:rFonts w:ascii="Arial" w:cs="Arial" w:eastAsia="Arial" w:hAnsi="Arial"/>
                <w:sz w:val="16"/>
                <w:szCs w:val="16"/>
                <w:color w:val="auto"/>
              </w:rPr>
              <w:t>​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2,089,549</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-1421130</wp:posOffset>
            </wp:positionV>
            <wp:extent cx="5554980" cy="2825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54980" cy="28257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-855345</wp:posOffset>
            </wp:positionV>
            <wp:extent cx="5554980" cy="2825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54980" cy="28257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-289560</wp:posOffset>
            </wp:positionV>
            <wp:extent cx="5554980" cy="283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54980" cy="28321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5300" w:space="100"/>
            <w:col w:w="4479"/>
          </w:cols>
          <w:pgMar w:left="580" w:top="97" w:right="1440" w:bottom="1440" w:gutter="0" w:footer="0" w:header="0"/>
          <w:type w:val="continuous"/>
        </w:sectPr>
      </w:pPr>
    </w:p>
    <w:p>
      <w:pPr>
        <w:ind w:left="1440" w:right="480"/>
        <w:spacing w:after="0" w:line="286" w:lineRule="auto"/>
        <w:rPr>
          <w:sz w:val="20"/>
          <w:szCs w:val="20"/>
          <w:color w:val="auto"/>
        </w:rPr>
      </w:pPr>
      <w:r>
        <w:rPr>
          <w:rFonts w:ascii="Arial" w:cs="Arial" w:eastAsia="Arial" w:hAnsi="Arial"/>
          <w:sz w:val="16"/>
          <w:szCs w:val="16"/>
          <w:color w:val="auto"/>
        </w:rPr>
        <w:t>Minus: Fair value of awards forfeited during the covered year</w:t>
      </w:r>
    </w:p>
    <w:p>
      <w:pPr>
        <w:spacing w:after="0" w:line="21" w:lineRule="exact"/>
        <w:rPr>
          <w:sz w:val="20"/>
          <w:szCs w:val="20"/>
          <w:color w:val="auto"/>
        </w:rPr>
      </w:pPr>
    </w:p>
    <w:p>
      <w:pPr>
        <w:ind w:left="1440"/>
        <w:spacing w:after="0" w:line="286" w:lineRule="auto"/>
        <w:rPr>
          <w:sz w:val="20"/>
          <w:szCs w:val="20"/>
          <w:color w:val="auto"/>
        </w:rPr>
      </w:pPr>
      <w:r>
        <w:rPr>
          <w:rFonts w:ascii="Arial" w:cs="Arial" w:eastAsia="Arial" w:hAnsi="Arial"/>
          <w:sz w:val="16"/>
          <w:szCs w:val="16"/>
          <w:color w:val="auto"/>
        </w:rPr>
        <w:t>Minus: Aggregate change in actuarial present value of accumulated benefit under pension plans</w:t>
      </w:r>
    </w:p>
    <w:p>
      <w:pPr>
        <w:spacing w:after="0" w:line="21" w:lineRule="exact"/>
        <w:rPr>
          <w:sz w:val="20"/>
          <w:szCs w:val="20"/>
          <w:color w:val="auto"/>
        </w:rPr>
      </w:pPr>
    </w:p>
    <w:p>
      <w:pPr>
        <w:ind w:left="1440" w:right="80"/>
        <w:spacing w:after="0" w:line="286" w:lineRule="auto"/>
        <w:rPr>
          <w:sz w:val="20"/>
          <w:szCs w:val="20"/>
          <w:color w:val="auto"/>
        </w:rPr>
      </w:pPr>
      <w:r>
        <w:rPr>
          <w:rFonts w:ascii="Arial" w:cs="Arial" w:eastAsia="Arial" w:hAnsi="Arial"/>
          <w:sz w:val="16"/>
          <w:szCs w:val="16"/>
          <w:color w:val="auto"/>
        </w:rPr>
        <w:t>Plus: Aggregate service costs and prior service costs for pension plans</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Compensation Actually Paid (CAP)</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20"/>
                <w:szCs w:val="20"/>
                <w:color w:val="auto"/>
              </w:rPr>
            </w:pPr>
            <w:r>
              <w:rPr>
                <w:rFonts w:ascii="Arial" w:cs="Arial" w:eastAsia="Arial" w:hAnsi="Arial"/>
                <w:sz w:val="16"/>
                <w:szCs w:val="16"/>
                <w:color w:val="auto"/>
              </w:rPr>
              <w:t>​ ​​</w:t>
            </w:r>
          </w:p>
        </w:tc>
        <w:tc>
          <w:tcPr>
            <w:tcW w:w="1040" w:type="dxa"/>
            <w:vAlign w:val="bottom"/>
            <w:gridSpan w:val="2"/>
          </w:tcPr>
          <w:p>
            <w:pPr>
              <w:ind w:left="460"/>
              <w:spacing w:after="0"/>
              <w:rPr>
                <w:sz w:val="20"/>
                <w:szCs w:val="20"/>
                <w:color w:val="auto"/>
              </w:rPr>
            </w:pPr>
            <w:r>
              <w:rPr>
                <w:rFonts w:ascii="Arial" w:cs="Arial" w:eastAsia="Arial" w:hAnsi="Arial"/>
                <w:sz w:val="16"/>
                <w:szCs w:val="16"/>
                <w:color w:val="auto"/>
              </w:rPr>
              <w:t>— ​ ​​</w:t>
            </w:r>
          </w:p>
        </w:tc>
        <w:tc>
          <w:tcPr>
            <w:tcW w:w="1060" w:type="dxa"/>
            <w:vAlign w:val="bottom"/>
            <w:gridSpan w:val="2"/>
          </w:tcPr>
          <w:p>
            <w:pPr>
              <w:ind w:left="440"/>
              <w:spacing w:after="0"/>
              <w:rPr>
                <w:sz w:val="20"/>
                <w:szCs w:val="20"/>
                <w:color w:val="auto"/>
              </w:rPr>
            </w:pPr>
            <w:r>
              <w:rPr>
                <w:rFonts w:ascii="Arial" w:cs="Arial" w:eastAsia="Arial" w:hAnsi="Arial"/>
                <w:sz w:val="16"/>
                <w:szCs w:val="16"/>
                <w:color w:val="auto"/>
              </w:rPr>
              <w:t>— ​ ​​</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23,145</w:t>
            </w:r>
          </w:p>
        </w:tc>
        <w:tc>
          <w:tcPr>
            <w:tcW w:w="400" w:type="dxa"/>
            <w:vAlign w:val="bottom"/>
          </w:tcPr>
          <w:p>
            <w:pPr>
              <w:ind w:left="20"/>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17,711</w:t>
            </w:r>
          </w:p>
        </w:tc>
        <w:tc>
          <w:tcPr>
            <w:tcW w:w="440" w:type="dxa"/>
            <w:vAlign w:val="bottom"/>
          </w:tcPr>
          <w:p>
            <w:pPr>
              <w:ind w:left="20"/>
              <w:spacing w:after="0"/>
              <w:rPr>
                <w:sz w:val="20"/>
                <w:szCs w:val="20"/>
                <w:color w:val="auto"/>
              </w:rPr>
            </w:pPr>
            <w:r>
              <w:rPr>
                <w:rFonts w:ascii="Arial" w:cs="Arial" w:eastAsia="Arial" w:hAnsi="Arial"/>
                <w:sz w:val="16"/>
                <w:szCs w:val="16"/>
                <w:color w:val="auto"/>
              </w:rPr>
              <w:t>​ ​​$</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27,780</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34,126</w:t>
            </w:r>
          </w:p>
        </w:tc>
      </w:tr>
      <w:tr>
        <w:trPr>
          <w:trHeight w:val="459"/>
        </w:trPr>
        <w:tc>
          <w:tcPr>
            <w:tcW w:w="360" w:type="dxa"/>
            <w:vAlign w:val="bottom"/>
          </w:tcPr>
          <w:p>
            <w:pPr>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20,475</w:t>
            </w:r>
          </w:p>
        </w:tc>
        <w:tc>
          <w:tcPr>
            <w:tcW w:w="400" w:type="dxa"/>
            <w:vAlign w:val="bottom"/>
          </w:tcPr>
          <w:p>
            <w:pPr>
              <w:ind w:left="20"/>
              <w:spacing w:after="0"/>
              <w:rPr>
                <w:sz w:val="20"/>
                <w:szCs w:val="20"/>
                <w:color w:val="auto"/>
              </w:rPr>
            </w:pPr>
            <w:r>
              <w:rPr>
                <w:rFonts w:ascii="Arial" w:cs="Arial" w:eastAsia="Arial" w:hAnsi="Arial"/>
                <w:sz w:val="16"/>
                <w:szCs w:val="16"/>
                <w:color w:val="auto"/>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21,504</w:t>
            </w:r>
          </w:p>
        </w:tc>
        <w:tc>
          <w:tcPr>
            <w:tcW w:w="440" w:type="dxa"/>
            <w:vAlign w:val="bottom"/>
          </w:tcPr>
          <w:p>
            <w:pPr>
              <w:ind w:left="20"/>
              <w:spacing w:after="0"/>
              <w:rPr>
                <w:sz w:val="20"/>
                <w:szCs w:val="20"/>
                <w:color w:val="auto"/>
              </w:rPr>
            </w:pPr>
            <w:r>
              <w:rPr>
                <w:rFonts w:ascii="Arial" w:cs="Arial" w:eastAsia="Arial" w:hAnsi="Arial"/>
                <w:sz w:val="16"/>
                <w:szCs w:val="16"/>
                <w:color w:val="auto"/>
              </w:rPr>
              <w:t>​ ​​$</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19,347</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20,469</w:t>
            </w:r>
          </w:p>
        </w:tc>
      </w:tr>
      <w:tr>
        <w:trPr>
          <w:trHeight w:val="406"/>
        </w:trPr>
        <w:tc>
          <w:tcPr>
            <w:tcW w:w="1000" w:type="dxa"/>
            <w:vAlign w:val="bottom"/>
            <w:gridSpan w:val="2"/>
          </w:tcPr>
          <w:p>
            <w:pPr>
              <w:spacing w:after="0"/>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$8,577,743</w:t>
            </w:r>
          </w:p>
        </w:tc>
        <w:tc>
          <w:tcPr>
            <w:tcW w:w="1020" w:type="dxa"/>
            <w:vAlign w:val="bottom"/>
            <w:gridSpan w:val="2"/>
          </w:tcPr>
          <w:p>
            <w:pPr>
              <w:jc w:val="right"/>
              <w:spacing w:after="0"/>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$9,883,510</w:t>
            </w:r>
          </w:p>
        </w:tc>
        <w:tc>
          <w:tcPr>
            <w:tcW w:w="1220" w:type="dxa"/>
            <w:vAlign w:val="bottom"/>
            <w:gridSpan w:val="2"/>
          </w:tcPr>
          <w:p>
            <w:pPr>
              <w:jc w:val="right"/>
              <w:ind w:right="39"/>
              <w:spacing w:after="0"/>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$13,428,971</w:t>
            </w:r>
          </w:p>
        </w:tc>
        <w:tc>
          <w:tcPr>
            <w:tcW w:w="1000" w:type="dxa"/>
            <w:vAlign w:val="bottom"/>
            <w:gridSpan w:val="2"/>
          </w:tcPr>
          <w:p>
            <w:pPr>
              <w:jc w:val="right"/>
              <w:spacing w:after="0"/>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$ 5,540,132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-847725</wp:posOffset>
            </wp:positionV>
            <wp:extent cx="5554980" cy="291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54980" cy="29146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-264795</wp:posOffset>
            </wp:positionV>
            <wp:extent cx="5554980" cy="1968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54980" cy="1968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40" w:space="160"/>
            <w:col w:w="4479"/>
          </w:cols>
          <w:pgMar w:left="580" w:top="97" w:right="1440" w:bottom="1440" w:gutter="0" w:footer="0" w:header="0"/>
          <w:type w:val="continuous"/>
        </w:sectPr>
      </w:pPr>
    </w:p>
    <w:p>
      <w:pPr>
        <w:ind w:left="1000" w:right="239"/>
        <w:spacing w:after="0" w:line="266" w:lineRule="auto"/>
        <w:rPr>
          <w:sz w:val="20"/>
          <w:szCs w:val="20"/>
          <w:color w:val="auto"/>
        </w:rPr>
      </w:pPr>
      <w:r>
        <w:rPr>
          <w:rFonts w:ascii="Arial" w:cs="Arial" w:eastAsia="Arial" w:hAnsi="Arial"/>
          <w:sz w:val="18"/>
          <w:szCs w:val="18"/>
          <w:color w:val="auto"/>
        </w:rPr>
        <w:t>William J. Amelio, who ceased to be the Chief Executive Officer on July 31, 2020, is the Former PEO for Fiscal 2021.</w:t>
      </w:r>
    </w:p>
    <w:p>
      <w:pPr>
        <w:spacing w:after="0" w:line="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 calculate CAP for Mr. Amelio for Fiscal 2021, the following amounts were deducted from and added to the</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Total Compensation reported in the SCT:</w:t>
      </w:r>
    </w:p>
    <w:p>
      <w:pPr>
        <w:spacing w:after="0" w:line="199"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100" w:type="dxa"/>
            <w:vAlign w:val="bottom"/>
            <w:shd w:val="clear" w:color="auto" w:fill="53C072"/>
          </w:tcPr>
          <w:p>
            <w:pPr>
              <w:spacing w:after="0"/>
              <w:rPr>
                <w:sz w:val="19"/>
                <w:szCs w:val="19"/>
                <w:color w:val="auto"/>
              </w:rPr>
            </w:pPr>
          </w:p>
        </w:tc>
        <w:tc>
          <w:tcPr>
            <w:tcW w:w="7420" w:type="dxa"/>
            <w:vAlign w:val="bottom"/>
            <w:shd w:val="clear" w:color="auto" w:fill="53C072"/>
          </w:tcPr>
          <w:p>
            <w:pPr>
              <w:spacing w:after="0"/>
              <w:rPr>
                <w:sz w:val="20"/>
                <w:szCs w:val="20"/>
                <w:color w:val="auto"/>
              </w:rPr>
            </w:pPr>
            <w:r>
              <w:rPr>
                <w:rFonts w:ascii="Arial" w:cs="Arial" w:eastAsia="Arial" w:hAnsi="Arial"/>
                <w:sz w:val="14"/>
                <w:szCs w:val="14"/>
                <w:b w:val="1"/>
                <w:bCs w:val="1"/>
                <w:color w:val="FEFEFE"/>
              </w:rPr>
              <w:t>Year</w:t>
            </w:r>
          </w:p>
        </w:tc>
        <w:tc>
          <w:tcPr>
            <w:tcW w:w="480" w:type="dxa"/>
            <w:vAlign w:val="bottom"/>
            <w:shd w:val="clear" w:color="auto" w:fill="53C072"/>
          </w:tcPr>
          <w:p>
            <w:pPr>
              <w:spacing w:after="0"/>
              <w:rPr>
                <w:sz w:val="19"/>
                <w:szCs w:val="19"/>
                <w:color w:val="auto"/>
              </w:rPr>
            </w:pPr>
          </w:p>
        </w:tc>
        <w:tc>
          <w:tcPr>
            <w:tcW w:w="760" w:type="dxa"/>
            <w:vAlign w:val="bottom"/>
            <w:shd w:val="clear" w:color="auto" w:fill="53C072"/>
          </w:tcPr>
          <w:p>
            <w:pPr>
              <w:jc w:val="right"/>
              <w:ind w:right="41"/>
              <w:spacing w:after="0"/>
              <w:rPr>
                <w:sz w:val="20"/>
                <w:szCs w:val="20"/>
                <w:color w:val="auto"/>
              </w:rPr>
            </w:pPr>
            <w:r>
              <w:rPr>
                <w:rFonts w:ascii="Arial" w:cs="Arial" w:eastAsia="Arial" w:hAnsi="Arial"/>
                <w:sz w:val="14"/>
                <w:szCs w:val="14"/>
                <w:b w:val="1"/>
                <w:bCs w:val="1"/>
                <w:color w:val="FEFEFE"/>
              </w:rPr>
              <w:t>2021</w:t>
            </w:r>
          </w:p>
        </w:tc>
      </w:tr>
      <w:tr>
        <w:trPr>
          <w:trHeight w:val="243"/>
        </w:trPr>
        <w:tc>
          <w:tcPr>
            <w:tcW w:w="7520" w:type="dxa"/>
            <w:vAlign w:val="bottom"/>
            <w:gridSpan w:val="2"/>
          </w:tcPr>
          <w:p>
            <w:pPr>
              <w:ind w:left="60"/>
              <w:spacing w:after="0"/>
              <w:rPr>
                <w:sz w:val="20"/>
                <w:szCs w:val="20"/>
                <w:color w:val="auto"/>
              </w:rPr>
            </w:pPr>
            <w:r>
              <w:rPr>
                <w:rFonts w:ascii="Arial" w:cs="Arial" w:eastAsia="Arial" w:hAnsi="Arial"/>
                <w:sz w:val="16"/>
                <w:szCs w:val="16"/>
                <w:color w:val="auto"/>
              </w:rPr>
              <w:t>​SCT Total Compensation</w:t>
            </w:r>
          </w:p>
        </w:tc>
        <w:tc>
          <w:tcPr>
            <w:tcW w:w="1240" w:type="dxa"/>
            <w:vAlign w:val="bottom"/>
            <w:gridSpan w:val="2"/>
          </w:tcPr>
          <w:p>
            <w:pPr>
              <w:jc w:val="right"/>
              <w:ind w:right="21"/>
              <w:spacing w:after="0"/>
              <w:rPr>
                <w:sz w:val="20"/>
                <w:szCs w:val="20"/>
                <w:color w:val="auto"/>
              </w:rPr>
            </w:pPr>
            <w:r>
              <w:rPr>
                <w:rFonts w:ascii="Arial" w:cs="Arial" w:eastAsia="Arial" w:hAnsi="Arial"/>
                <w:sz w:val="16"/>
                <w:szCs w:val="16"/>
                <w:color w:val="auto"/>
              </w:rPr>
              <w:t>​$2,910,076</w:t>
            </w:r>
          </w:p>
        </w:tc>
      </w:tr>
      <w:tr>
        <w:trPr>
          <w:trHeight w:val="243"/>
        </w:trPr>
        <w:tc>
          <w:tcPr>
            <w:tcW w:w="100" w:type="dxa"/>
            <w:vAlign w:val="bottom"/>
            <w:shd w:val="clear" w:color="auto" w:fill="CBECD5"/>
          </w:tcPr>
          <w:p>
            <w:pPr>
              <w:ind w:left="60"/>
              <w:spacing w:after="0"/>
              <w:rPr>
                <w:sz w:val="20"/>
                <w:szCs w:val="20"/>
                <w:color w:val="auto"/>
              </w:rPr>
            </w:pPr>
            <w:r>
              <w:rPr>
                <w:rFonts w:ascii="Arial" w:cs="Arial" w:eastAsia="Arial" w:hAnsi="Arial"/>
                <w:sz w:val="16"/>
                <w:szCs w:val="16"/>
                <w:color w:val="auto"/>
              </w:rPr>
              <w:t>​</w:t>
            </w:r>
          </w:p>
        </w:tc>
        <w:tc>
          <w:tcPr>
            <w:tcW w:w="7420" w:type="dxa"/>
            <w:vAlign w:val="bottom"/>
            <w:shd w:val="clear" w:color="auto" w:fill="CBECD5"/>
          </w:tcPr>
          <w:p>
            <w:pPr>
              <w:ind w:left="360"/>
              <w:spacing w:after="0"/>
              <w:rPr>
                <w:sz w:val="20"/>
                <w:szCs w:val="20"/>
                <w:color w:val="auto"/>
              </w:rPr>
            </w:pPr>
            <w:r>
              <w:rPr>
                <w:rFonts w:ascii="Arial" w:cs="Arial" w:eastAsia="Arial" w:hAnsi="Arial"/>
                <w:sz w:val="16"/>
                <w:szCs w:val="16"/>
                <w:color w:val="auto"/>
              </w:rPr>
              <w:t>Minus: Fair value of awards forfeited during the covered year</w:t>
            </w:r>
          </w:p>
        </w:tc>
        <w:tc>
          <w:tcPr>
            <w:tcW w:w="1240" w:type="dxa"/>
            <w:vAlign w:val="bottom"/>
            <w:gridSpan w:val="2"/>
            <w:shd w:val="clear" w:color="auto" w:fill="CBECD5"/>
          </w:tcPr>
          <w:p>
            <w:pPr>
              <w:jc w:val="right"/>
              <w:ind w:right="21"/>
              <w:spacing w:after="0"/>
              <w:rPr>
                <w:sz w:val="20"/>
                <w:szCs w:val="20"/>
                <w:color w:val="auto"/>
              </w:rPr>
            </w:pPr>
            <w:r>
              <w:rPr>
                <w:rFonts w:ascii="Arial" w:cs="Arial" w:eastAsia="Arial" w:hAnsi="Arial"/>
                <w:sz w:val="16"/>
                <w:szCs w:val="16"/>
                <w:color w:val="auto"/>
              </w:rPr>
              <w:t>​$2,641,141</w:t>
            </w:r>
          </w:p>
        </w:tc>
      </w:tr>
      <w:tr>
        <w:trPr>
          <w:trHeight w:val="243"/>
        </w:trPr>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7420" w:type="dxa"/>
            <w:vAlign w:val="bottom"/>
          </w:tcPr>
          <w:p>
            <w:pPr>
              <w:ind w:left="360"/>
              <w:spacing w:after="0"/>
              <w:rPr>
                <w:sz w:val="20"/>
                <w:szCs w:val="20"/>
                <w:color w:val="auto"/>
              </w:rPr>
            </w:pPr>
            <w:r>
              <w:rPr>
                <w:rFonts w:ascii="Arial" w:cs="Arial" w:eastAsia="Arial" w:hAnsi="Arial"/>
                <w:sz w:val="16"/>
                <w:szCs w:val="16"/>
                <w:color w:val="auto"/>
              </w:rPr>
              <w:t>Minus: Aggregate change in actuarial present value of accumulated benefit under pension plans</w:t>
            </w:r>
          </w:p>
        </w:tc>
        <w:tc>
          <w:tcPr>
            <w:tcW w:w="480" w:type="dxa"/>
            <w:vAlign w:val="bottom"/>
          </w:tcPr>
          <w:p>
            <w:pPr>
              <w:ind w:left="3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88,339</w:t>
            </w:r>
          </w:p>
        </w:tc>
      </w:tr>
      <w:tr>
        <w:trPr>
          <w:trHeight w:val="243"/>
        </w:trPr>
        <w:tc>
          <w:tcPr>
            <w:tcW w:w="100" w:type="dxa"/>
            <w:vAlign w:val="bottom"/>
            <w:shd w:val="clear" w:color="auto" w:fill="CBECD5"/>
          </w:tcPr>
          <w:p>
            <w:pPr>
              <w:ind w:left="60"/>
              <w:spacing w:after="0"/>
              <w:rPr>
                <w:sz w:val="20"/>
                <w:szCs w:val="20"/>
                <w:color w:val="auto"/>
              </w:rPr>
            </w:pPr>
            <w:r>
              <w:rPr>
                <w:rFonts w:ascii="Arial" w:cs="Arial" w:eastAsia="Arial" w:hAnsi="Arial"/>
                <w:sz w:val="16"/>
                <w:szCs w:val="16"/>
                <w:color w:val="auto"/>
              </w:rPr>
              <w:t>​</w:t>
            </w:r>
          </w:p>
        </w:tc>
        <w:tc>
          <w:tcPr>
            <w:tcW w:w="7420" w:type="dxa"/>
            <w:vAlign w:val="bottom"/>
            <w:shd w:val="clear" w:color="auto" w:fill="CBECD5"/>
          </w:tcPr>
          <w:p>
            <w:pPr>
              <w:ind w:left="360"/>
              <w:spacing w:after="0"/>
              <w:rPr>
                <w:sz w:val="20"/>
                <w:szCs w:val="20"/>
                <w:color w:val="auto"/>
              </w:rPr>
            </w:pPr>
            <w:r>
              <w:rPr>
                <w:rFonts w:ascii="Arial" w:cs="Arial" w:eastAsia="Arial" w:hAnsi="Arial"/>
                <w:sz w:val="16"/>
                <w:szCs w:val="16"/>
                <w:color w:val="auto"/>
              </w:rPr>
              <w:t>Plus: Aggregate service costs and prior service costs for pension plans</w:t>
            </w:r>
          </w:p>
        </w:tc>
        <w:tc>
          <w:tcPr>
            <w:tcW w:w="480" w:type="dxa"/>
            <w:vAlign w:val="bottom"/>
            <w:shd w:val="clear" w:color="auto" w:fill="CBECD5"/>
          </w:tcPr>
          <w:p>
            <w:pPr>
              <w:ind w:left="3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BECD5"/>
          </w:tcPr>
          <w:p>
            <w:pPr>
              <w:jc w:val="right"/>
              <w:ind w:right="21"/>
              <w:spacing w:after="0"/>
              <w:rPr>
                <w:sz w:val="20"/>
                <w:szCs w:val="20"/>
                <w:color w:val="auto"/>
              </w:rPr>
            </w:pPr>
            <w:r>
              <w:rPr>
                <w:rFonts w:ascii="Arial" w:cs="Arial" w:eastAsia="Arial" w:hAnsi="Arial"/>
                <w:sz w:val="16"/>
                <w:szCs w:val="16"/>
                <w:color w:val="auto"/>
              </w:rPr>
              <w:t>196,551</w:t>
            </w:r>
          </w:p>
        </w:tc>
      </w:tr>
      <w:tr>
        <w:trPr>
          <w:trHeight w:val="277"/>
        </w:trPr>
        <w:tc>
          <w:tcPr>
            <w:tcW w:w="7520" w:type="dxa"/>
            <w:vAlign w:val="bottom"/>
            <w:tcBorders>
              <w:bottom w:val="single" w:sz="8" w:color="53C072"/>
            </w:tcBorders>
            <w:gridSpan w:val="2"/>
          </w:tcPr>
          <w:p>
            <w:pPr>
              <w:ind w:left="60"/>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6"/>
                <w:szCs w:val="16"/>
                <w:b w:val="1"/>
                <w:bCs w:val="1"/>
                <w:color w:val="auto"/>
              </w:rPr>
              <w:t>Compensation Actually Paid (CAP)</w:t>
            </w:r>
          </w:p>
        </w:tc>
        <w:tc>
          <w:tcPr>
            <w:tcW w:w="480" w:type="dxa"/>
            <w:vAlign w:val="bottom"/>
            <w:tcBorders>
              <w:bottom w:val="single" w:sz="8" w:color="53C072"/>
            </w:tcBorders>
          </w:tcPr>
          <w:p>
            <w:pPr>
              <w:ind w:left="300"/>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6"/>
                <w:szCs w:val="16"/>
                <w:b w:val="1"/>
                <w:bCs w:val="1"/>
                <w:color w:val="auto"/>
              </w:rPr>
              <w:t>$</w:t>
            </w:r>
          </w:p>
        </w:tc>
        <w:tc>
          <w:tcPr>
            <w:tcW w:w="760" w:type="dxa"/>
            <w:vAlign w:val="bottom"/>
            <w:tcBorders>
              <w:bottom w:val="single" w:sz="8" w:color="53C072"/>
            </w:tcBorders>
          </w:tcPr>
          <w:p>
            <w:pPr>
              <w:jc w:val="right"/>
              <w:ind w:right="21"/>
              <w:spacing w:after="0"/>
              <w:rPr>
                <w:sz w:val="20"/>
                <w:szCs w:val="20"/>
                <w:color w:val="auto"/>
              </w:rPr>
            </w:pPr>
            <w:r>
              <w:rPr>
                <w:rFonts w:ascii="Arial" w:cs="Arial" w:eastAsia="Arial" w:hAnsi="Arial"/>
                <w:sz w:val="16"/>
                <w:szCs w:val="16"/>
                <w:b w:val="1"/>
                <w:bCs w:val="1"/>
                <w:color w:val="auto"/>
              </w:rPr>
              <w:t>377,147</w:t>
            </w:r>
          </w:p>
        </w:tc>
      </w:tr>
    </w:tbl>
    <w:p>
      <w:pPr>
        <w:spacing w:after="0" w:line="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are the non-PEO NEOs included for each year shown in the table:</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Fiscal 2024</w:t>
      </w:r>
      <w:r>
        <w:rPr>
          <w:rFonts w:ascii="Arial" w:cs="Arial" w:eastAsia="Arial" w:hAnsi="Arial"/>
          <w:sz w:val="18"/>
          <w:szCs w:val="18"/>
          <w:color w:val="auto"/>
        </w:rPr>
        <w:t>: Messrs. Jacobson, Arnold, Chan, and McCoy</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Fiscal 2023</w:t>
      </w:r>
      <w:r>
        <w:rPr>
          <w:rFonts w:ascii="Arial" w:cs="Arial" w:eastAsia="Arial" w:hAnsi="Arial"/>
          <w:sz w:val="18"/>
          <w:szCs w:val="18"/>
          <w:color w:val="auto"/>
        </w:rPr>
        <w:t>: Messrs. Liguori (former CFO), Jacobson, Arnold, and McCoy, and Ms. Obregon-Jimenez.</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Fiscal 2022</w:t>
      </w:r>
      <w:r>
        <w:rPr>
          <w:rFonts w:ascii="Arial" w:cs="Arial" w:eastAsia="Arial" w:hAnsi="Arial"/>
          <w:sz w:val="18"/>
          <w:szCs w:val="18"/>
          <w:color w:val="auto"/>
        </w:rPr>
        <w:t>: Messrs. Liguori, Arnold, Chan, and McCoy.</w:t>
      </w:r>
    </w:p>
    <w:p>
      <w:pPr>
        <w:spacing w:after="0" w:line="117" w:lineRule="exact"/>
        <w:rPr>
          <w:sz w:val="20"/>
          <w:szCs w:val="20"/>
          <w:color w:val="auto"/>
        </w:rPr>
      </w:pPr>
    </w:p>
    <w:p>
      <w:pPr>
        <w:jc w:val="both"/>
        <w:ind w:left="1340" w:right="159"/>
        <w:spacing w:after="0" w:line="268" w:lineRule="auto"/>
        <w:rPr>
          <w:sz w:val="20"/>
          <w:szCs w:val="20"/>
          <w:color w:val="auto"/>
        </w:rPr>
      </w:pPr>
      <w:r>
        <w:rPr>
          <w:rFonts w:ascii="Arial" w:cs="Arial" w:eastAsia="Arial" w:hAnsi="Arial"/>
          <w:sz w:val="18"/>
          <w:szCs w:val="18"/>
          <w:u w:val="single" w:color="auto"/>
          <w:color w:val="auto"/>
        </w:rPr>
        <w:t>Fiscal 2021</w:t>
      </w:r>
      <w:r>
        <w:rPr>
          <w:rFonts w:ascii="Arial" w:cs="Arial" w:eastAsia="Arial" w:hAnsi="Arial"/>
          <w:sz w:val="18"/>
          <w:szCs w:val="18"/>
          <w:color w:val="auto"/>
        </w:rPr>
        <w:t>: Messrs. Liguori, Arnold, Chan, and McCoy, as well as Peter G. Bartolotta (who ceased serving as President, Business Transformation on October 1, 2020) and MaryAnn G. Miller (who ceased serving as SVP, Chief Administrative Officer on October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68     </w:t>
      </w:r>
      <w:r>
        <w:rPr>
          <w:sz w:val="1"/>
          <w:szCs w:val="1"/>
          <w:color w:val="auto"/>
        </w:rPr>
        <w:drawing>
          <wp:inline distT="0" distB="0" distL="0" distR="0">
            <wp:extent cx="1242695" cy="24003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26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480" w:type="dxa"/>
            <w:vAlign w:val="bottom"/>
            <w:vMerge w:val="restart"/>
          </w:tcPr>
          <w:p>
            <w:pPr>
              <w:ind w:left="2920"/>
              <w:spacing w:after="0"/>
              <w:rPr>
                <w:sz w:val="20"/>
                <w:szCs w:val="20"/>
                <w:color w:val="auto"/>
              </w:rPr>
            </w:pPr>
            <w:r>
              <w:rPr>
                <w:rFonts w:ascii="Arial" w:cs="Arial" w:eastAsia="Arial" w:hAnsi="Arial"/>
                <w:sz w:val="14"/>
                <w:szCs w:val="14"/>
                <w:color w:val="auto"/>
                <w:w w:val="98"/>
              </w:rPr>
              <w:t>Pay Versus Performance</w:t>
            </w:r>
          </w:p>
        </w:tc>
        <w:tc>
          <w:tcPr>
            <w:tcW w:w="0" w:type="dxa"/>
            <w:vAlign w:val="bottom"/>
          </w:tcPr>
          <w:p>
            <w:pPr>
              <w:spacing w:after="0"/>
              <w:rPr>
                <w:sz w:val="1"/>
                <w:szCs w:val="1"/>
                <w:color w:val="auto"/>
              </w:rPr>
            </w:pPr>
          </w:p>
        </w:tc>
      </w:tr>
      <w:tr>
        <w:trPr>
          <w:trHeight w:val="89"/>
        </w:trPr>
        <w:tc>
          <w:tcPr>
            <w:tcW w:w="52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26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179"/>
        <w:spacing w:after="0" w:line="303" w:lineRule="auto"/>
        <w:rPr>
          <w:sz w:val="20"/>
          <w:szCs w:val="20"/>
          <w:color w:val="auto"/>
        </w:rPr>
      </w:pPr>
      <w:r>
        <w:rPr>
          <w:rFonts w:ascii="Arial" w:cs="Arial" w:eastAsia="Arial" w:hAnsi="Arial"/>
          <w:sz w:val="18"/>
          <w:szCs w:val="18"/>
          <w:color w:val="auto"/>
        </w:rPr>
        <w:t>To calculate the Average CAP for the non-PEO NEOs, the following amounts were deducted from and added to the average Total Compensation reported in the SCT:</w:t>
      </w:r>
    </w:p>
    <w:p>
      <w:pPr>
        <w:spacing w:after="0" w:line="131"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4480" w:type="dxa"/>
            <w:vAlign w:val="bottom"/>
            <w:shd w:val="clear" w:color="auto" w:fill="53C072"/>
          </w:tcPr>
          <w:p>
            <w:pPr>
              <w:ind w:left="100"/>
              <w:spacing w:after="0"/>
              <w:rPr>
                <w:sz w:val="20"/>
                <w:szCs w:val="20"/>
                <w:color w:val="auto"/>
              </w:rPr>
            </w:pPr>
            <w:r>
              <w:rPr>
                <w:rFonts w:ascii="Arial" w:cs="Arial" w:eastAsia="Arial" w:hAnsi="Arial"/>
                <w:sz w:val="14"/>
                <w:szCs w:val="14"/>
                <w:b w:val="1"/>
                <w:bCs w:val="1"/>
                <w:color w:val="FEFEFE"/>
              </w:rPr>
              <w:t>Year</w:t>
            </w:r>
          </w:p>
        </w:tc>
        <w:tc>
          <w:tcPr>
            <w:tcW w:w="400" w:type="dxa"/>
            <w:vAlign w:val="bottom"/>
            <w:shd w:val="clear" w:color="auto" w:fill="53C072"/>
          </w:tcPr>
          <w:p>
            <w:pPr>
              <w:spacing w:after="0"/>
              <w:rPr>
                <w:sz w:val="19"/>
                <w:szCs w:val="19"/>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2021</w:t>
            </w:r>
          </w:p>
        </w:tc>
        <w:tc>
          <w:tcPr>
            <w:tcW w:w="340" w:type="dxa"/>
            <w:vAlign w:val="bottom"/>
            <w:shd w:val="clear" w:color="auto" w:fill="53C072"/>
          </w:tcPr>
          <w:p>
            <w:pPr>
              <w:spacing w:after="0"/>
              <w:rPr>
                <w:sz w:val="19"/>
                <w:szCs w:val="19"/>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2022</w:t>
            </w:r>
          </w:p>
        </w:tc>
        <w:tc>
          <w:tcPr>
            <w:tcW w:w="340" w:type="dxa"/>
            <w:vAlign w:val="bottom"/>
            <w:shd w:val="clear" w:color="auto" w:fill="53C072"/>
          </w:tcPr>
          <w:p>
            <w:pPr>
              <w:spacing w:after="0"/>
              <w:rPr>
                <w:sz w:val="19"/>
                <w:szCs w:val="19"/>
                <w:color w:val="auto"/>
              </w:rPr>
            </w:pPr>
          </w:p>
        </w:tc>
        <w:tc>
          <w:tcPr>
            <w:tcW w:w="68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2023</w:t>
            </w:r>
          </w:p>
        </w:tc>
        <w:tc>
          <w:tcPr>
            <w:tcW w:w="340" w:type="dxa"/>
            <w:vAlign w:val="bottom"/>
            <w:shd w:val="clear" w:color="auto" w:fill="53C072"/>
          </w:tcPr>
          <w:p>
            <w:pPr>
              <w:spacing w:after="0"/>
              <w:rPr>
                <w:sz w:val="19"/>
                <w:szCs w:val="19"/>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2024</w:t>
            </w:r>
          </w:p>
        </w:tc>
        <w:tc>
          <w:tcPr>
            <w:tcW w:w="80" w:type="dxa"/>
            <w:vAlign w:val="bottom"/>
            <w:shd w:val="clear" w:color="auto" w:fill="53C072"/>
          </w:tcPr>
          <w:p>
            <w:pPr>
              <w:spacing w:after="0"/>
              <w:rPr>
                <w:sz w:val="19"/>
                <w:szCs w:val="19"/>
                <w:color w:val="auto"/>
              </w:rPr>
            </w:pPr>
          </w:p>
        </w:tc>
      </w:tr>
      <w:tr>
        <w:trPr>
          <w:trHeight w:val="243"/>
        </w:trPr>
        <w:tc>
          <w:tcPr>
            <w:tcW w:w="4480" w:type="dxa"/>
            <w:vAlign w:val="bottom"/>
          </w:tcPr>
          <w:p>
            <w:pPr>
              <w:ind w:left="100"/>
              <w:spacing w:after="0"/>
              <w:rPr>
                <w:sz w:val="20"/>
                <w:szCs w:val="20"/>
                <w:color w:val="auto"/>
              </w:rPr>
            </w:pPr>
            <w:r>
              <w:rPr>
                <w:rFonts w:ascii="Arial" w:cs="Arial" w:eastAsia="Arial" w:hAnsi="Arial"/>
                <w:sz w:val="16"/>
                <w:szCs w:val="16"/>
                <w:color w:val="auto"/>
              </w:rPr>
              <w:t>Average SCT Total Compensation</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​​$1,862,076</w:t>
            </w:r>
          </w:p>
        </w:tc>
        <w:tc>
          <w:tcPr>
            <w:tcW w:w="1020" w:type="dxa"/>
            <w:vAlign w:val="bottom"/>
            <w:gridSpan w:val="2"/>
          </w:tcPr>
          <w:p>
            <w:pPr>
              <w:ind w:left="20"/>
              <w:spacing w:after="0"/>
              <w:rPr>
                <w:sz w:val="20"/>
                <w:szCs w:val="20"/>
                <w:color w:val="auto"/>
              </w:rPr>
            </w:pPr>
            <w:r>
              <w:rPr>
                <w:rFonts w:ascii="Arial" w:cs="Arial" w:eastAsia="Arial" w:hAnsi="Arial"/>
                <w:sz w:val="16"/>
                <w:szCs w:val="16"/>
                <w:color w:val="auto"/>
              </w:rPr>
              <w:t>​ ​​$2,031,221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​​$1,928,181</w:t>
            </w:r>
          </w:p>
        </w:tc>
        <w:tc>
          <w:tcPr>
            <w:tcW w:w="340" w:type="dxa"/>
            <w:vAlign w:val="bottom"/>
          </w:tcPr>
          <w:p>
            <w:pPr>
              <w:ind w:left="40"/>
              <w:spacing w:after="0"/>
              <w:rPr>
                <w:sz w:val="20"/>
                <w:szCs w:val="20"/>
                <w:color w:val="auto"/>
              </w:rPr>
            </w:pPr>
            <w:r>
              <w:rPr>
                <w:rFonts w:ascii="Arial" w:cs="Arial" w:eastAsia="Arial" w:hAnsi="Arial"/>
                <w:sz w:val="16"/>
                <w:szCs w:val="16"/>
                <w:color w:val="auto"/>
              </w:rPr>
              <w:t>​ ​​ $</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2,041,858</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80" w:type="dxa"/>
            <w:vAlign w:val="bottom"/>
            <w:shd w:val="clear" w:color="auto" w:fill="CBECD5"/>
          </w:tcPr>
          <w:p>
            <w:pPr>
              <w:ind w:left="480"/>
              <w:spacing w:after="0"/>
              <w:rPr>
                <w:sz w:val="20"/>
                <w:szCs w:val="20"/>
                <w:color w:val="auto"/>
              </w:rPr>
            </w:pPr>
            <w:r>
              <w:rPr>
                <w:rFonts w:ascii="Arial" w:cs="Arial" w:eastAsia="Arial" w:hAnsi="Arial"/>
                <w:sz w:val="16"/>
                <w:szCs w:val="16"/>
                <w:color w:val="auto"/>
              </w:rPr>
              <w:t>Minus: Average grant-date fair value of awards reported</w:t>
            </w:r>
          </w:p>
        </w:tc>
        <w:tc>
          <w:tcPr>
            <w:tcW w:w="400" w:type="dxa"/>
            <w:vAlign w:val="bottom"/>
            <w:shd w:val="clear" w:color="auto" w:fill="CBECD5"/>
          </w:tcPr>
          <w:p>
            <w:pPr>
              <w:spacing w:after="0"/>
              <w:rPr>
                <w:sz w:val="18"/>
                <w:szCs w:val="18"/>
                <w:color w:val="auto"/>
              </w:rPr>
            </w:pPr>
          </w:p>
        </w:tc>
        <w:tc>
          <w:tcPr>
            <w:tcW w:w="680" w:type="dxa"/>
            <w:vAlign w:val="bottom"/>
            <w:shd w:val="clear" w:color="auto" w:fill="CBECD5"/>
          </w:tcPr>
          <w:p>
            <w:pPr>
              <w:spacing w:after="0"/>
              <w:rPr>
                <w:sz w:val="18"/>
                <w:szCs w:val="18"/>
                <w:color w:val="auto"/>
              </w:rPr>
            </w:pPr>
          </w:p>
        </w:tc>
        <w:tc>
          <w:tcPr>
            <w:tcW w:w="340" w:type="dxa"/>
            <w:vAlign w:val="bottom"/>
            <w:shd w:val="clear" w:color="auto" w:fill="CBECD5"/>
          </w:tcPr>
          <w:p>
            <w:pPr>
              <w:spacing w:after="0"/>
              <w:rPr>
                <w:sz w:val="18"/>
                <w:szCs w:val="18"/>
                <w:color w:val="auto"/>
              </w:rPr>
            </w:pPr>
          </w:p>
        </w:tc>
        <w:tc>
          <w:tcPr>
            <w:tcW w:w="680" w:type="dxa"/>
            <w:vAlign w:val="bottom"/>
            <w:shd w:val="clear" w:color="auto" w:fill="CBECD5"/>
          </w:tcPr>
          <w:p>
            <w:pPr>
              <w:spacing w:after="0"/>
              <w:rPr>
                <w:sz w:val="18"/>
                <w:szCs w:val="18"/>
                <w:color w:val="auto"/>
              </w:rPr>
            </w:pPr>
          </w:p>
        </w:tc>
        <w:tc>
          <w:tcPr>
            <w:tcW w:w="340" w:type="dxa"/>
            <w:vAlign w:val="bottom"/>
            <w:shd w:val="clear" w:color="auto" w:fill="CBECD5"/>
          </w:tcPr>
          <w:p>
            <w:pPr>
              <w:spacing w:after="0"/>
              <w:rPr>
                <w:sz w:val="18"/>
                <w:szCs w:val="18"/>
                <w:color w:val="auto"/>
              </w:rPr>
            </w:pPr>
          </w:p>
        </w:tc>
        <w:tc>
          <w:tcPr>
            <w:tcW w:w="680" w:type="dxa"/>
            <w:vAlign w:val="bottom"/>
            <w:shd w:val="clear" w:color="auto" w:fill="CBECD5"/>
          </w:tcPr>
          <w:p>
            <w:pPr>
              <w:spacing w:after="0"/>
              <w:rPr>
                <w:sz w:val="18"/>
                <w:szCs w:val="18"/>
                <w:color w:val="auto"/>
              </w:rPr>
            </w:pPr>
          </w:p>
        </w:tc>
        <w:tc>
          <w:tcPr>
            <w:tcW w:w="340" w:type="dxa"/>
            <w:vAlign w:val="bottom"/>
            <w:shd w:val="clear" w:color="auto" w:fill="CBECD5"/>
          </w:tcPr>
          <w:p>
            <w:pPr>
              <w:spacing w:after="0"/>
              <w:rPr>
                <w:sz w:val="18"/>
                <w:szCs w:val="18"/>
                <w:color w:val="auto"/>
              </w:rPr>
            </w:pPr>
          </w:p>
        </w:tc>
        <w:tc>
          <w:tcPr>
            <w:tcW w:w="740" w:type="dxa"/>
            <w:vAlign w:val="bottom"/>
            <w:shd w:val="clear" w:color="auto" w:fill="CBECD5"/>
          </w:tcPr>
          <w:p>
            <w:pPr>
              <w:spacing w:after="0"/>
              <w:rPr>
                <w:sz w:val="18"/>
                <w:szCs w:val="18"/>
                <w:color w:val="auto"/>
              </w:rPr>
            </w:pPr>
          </w:p>
        </w:tc>
        <w:tc>
          <w:tcPr>
            <w:tcW w:w="80" w:type="dxa"/>
            <w:vAlign w:val="bottom"/>
            <w:shd w:val="clear" w:color="auto" w:fill="CBECD5"/>
          </w:tcPr>
          <w:p>
            <w:pPr>
              <w:spacing w:after="0"/>
              <w:rPr>
                <w:sz w:val="18"/>
                <w:szCs w:val="18"/>
                <w:color w:val="auto"/>
              </w:rPr>
            </w:pPr>
          </w:p>
        </w:tc>
      </w:tr>
      <w:tr>
        <w:trPr>
          <w:trHeight w:val="230"/>
        </w:trPr>
        <w:tc>
          <w:tcPr>
            <w:tcW w:w="4480" w:type="dxa"/>
            <w:vAlign w:val="bottom"/>
            <w:shd w:val="clear" w:color="auto" w:fill="CBECD5"/>
          </w:tcPr>
          <w:p>
            <w:pPr>
              <w:ind w:left="480"/>
              <w:spacing w:after="0"/>
              <w:rPr>
                <w:sz w:val="20"/>
                <w:szCs w:val="20"/>
                <w:color w:val="auto"/>
              </w:rPr>
            </w:pPr>
            <w:r>
              <w:rPr>
                <w:rFonts w:ascii="Arial" w:cs="Arial" w:eastAsia="Arial" w:hAnsi="Arial"/>
                <w:sz w:val="16"/>
                <w:szCs w:val="16"/>
                <w:color w:val="auto"/>
              </w:rPr>
              <w:t>in the SCT</w:t>
            </w:r>
          </w:p>
        </w:tc>
        <w:tc>
          <w:tcPr>
            <w:tcW w:w="400" w:type="dxa"/>
            <w:vAlign w:val="bottom"/>
            <w:shd w:val="clear" w:color="auto" w:fill="CBECD5"/>
          </w:tcPr>
          <w:p>
            <w:pPr>
              <w:ind w:left="8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739,776</w:t>
            </w:r>
          </w:p>
        </w:tc>
        <w:tc>
          <w:tcPr>
            <w:tcW w:w="340" w:type="dxa"/>
            <w:vAlign w:val="bottom"/>
            <w:shd w:val="clear" w:color="auto" w:fill="CBECD5"/>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780,055</w:t>
            </w:r>
          </w:p>
        </w:tc>
        <w:tc>
          <w:tcPr>
            <w:tcW w:w="340" w:type="dxa"/>
            <w:vAlign w:val="bottom"/>
            <w:shd w:val="clear" w:color="auto" w:fill="CBECD5"/>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890,867</w:t>
            </w:r>
          </w:p>
        </w:tc>
        <w:tc>
          <w:tcPr>
            <w:tcW w:w="340" w:type="dxa"/>
            <w:vAlign w:val="bottom"/>
            <w:shd w:val="clear" w:color="auto" w:fill="CBECD5"/>
          </w:tcPr>
          <w:p>
            <w:pPr>
              <w:ind w:left="40"/>
              <w:spacing w:after="0"/>
              <w:rPr>
                <w:sz w:val="20"/>
                <w:szCs w:val="20"/>
                <w:color w:val="auto"/>
              </w:rPr>
            </w:pPr>
            <w:r>
              <w:rPr>
                <w:rFonts w:ascii="Arial" w:cs="Arial" w:eastAsia="Arial" w:hAnsi="Arial"/>
                <w:sz w:val="16"/>
                <w:szCs w:val="16"/>
                <w:color w:val="auto"/>
              </w:rPr>
              <w:t>​ ​​ $</w:t>
            </w:r>
          </w:p>
        </w:tc>
        <w:tc>
          <w:tcPr>
            <w:tcW w:w="740" w:type="dxa"/>
            <w:vAlign w:val="bottom"/>
            <w:shd w:val="clear" w:color="auto" w:fill="CBECD5"/>
          </w:tcPr>
          <w:p>
            <w:pPr>
              <w:jc w:val="right"/>
              <w:spacing w:after="0"/>
              <w:rPr>
                <w:sz w:val="20"/>
                <w:szCs w:val="20"/>
                <w:color w:val="auto"/>
              </w:rPr>
            </w:pPr>
            <w:r>
              <w:rPr>
                <w:rFonts w:ascii="Arial" w:cs="Arial" w:eastAsia="Arial" w:hAnsi="Arial"/>
                <w:sz w:val="16"/>
                <w:szCs w:val="16"/>
                <w:color w:val="auto"/>
                <w:w w:val="98"/>
              </w:rPr>
              <w:t>1,114,994</w:t>
            </w:r>
          </w:p>
        </w:tc>
        <w:tc>
          <w:tcPr>
            <w:tcW w:w="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80" w:type="dxa"/>
            <w:vAlign w:val="bottom"/>
          </w:tcPr>
          <w:p>
            <w:pPr>
              <w:ind w:left="480"/>
              <w:spacing w:after="0"/>
              <w:rPr>
                <w:sz w:val="20"/>
                <w:szCs w:val="20"/>
                <w:color w:val="auto"/>
              </w:rPr>
            </w:pPr>
            <w:r>
              <w:rPr>
                <w:rFonts w:ascii="Arial" w:cs="Arial" w:eastAsia="Arial" w:hAnsi="Arial"/>
                <w:sz w:val="16"/>
                <w:szCs w:val="16"/>
                <w:color w:val="auto"/>
              </w:rPr>
              <w:t>Plus: Average vesting-date fair value of awards granted</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80" w:type="dxa"/>
            <w:vAlign w:val="bottom"/>
          </w:tcPr>
          <w:p>
            <w:pPr>
              <w:ind w:left="480"/>
              <w:spacing w:after="0"/>
              <w:rPr>
                <w:sz w:val="20"/>
                <w:szCs w:val="20"/>
                <w:color w:val="auto"/>
              </w:rPr>
            </w:pPr>
            <w:r>
              <w:rPr>
                <w:rFonts w:ascii="Arial" w:cs="Arial" w:eastAsia="Arial" w:hAnsi="Arial"/>
                <w:sz w:val="16"/>
                <w:szCs w:val="16"/>
                <w:color w:val="auto"/>
              </w:rPr>
              <w:t>and vested in the covered year</w:t>
            </w:r>
          </w:p>
        </w:tc>
        <w:tc>
          <w:tcPr>
            <w:tcW w:w="400" w:type="dxa"/>
            <w:vAlign w:val="bottom"/>
          </w:tcPr>
          <w:p>
            <w:pPr>
              <w:ind w:left="8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136,771</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115,456</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124,990</w:t>
            </w:r>
          </w:p>
        </w:tc>
        <w:tc>
          <w:tcPr>
            <w:tcW w:w="340" w:type="dxa"/>
            <w:vAlign w:val="bottom"/>
          </w:tcPr>
          <w:p>
            <w:pPr>
              <w:ind w:left="40"/>
              <w:spacing w:after="0"/>
              <w:rPr>
                <w:sz w:val="20"/>
                <w:szCs w:val="20"/>
                <w:color w:val="auto"/>
              </w:rPr>
            </w:pPr>
            <w:r>
              <w:rPr>
                <w:rFonts w:ascii="Arial" w:cs="Arial" w:eastAsia="Arial" w:hAnsi="Arial"/>
                <w:sz w:val="16"/>
                <w:szCs w:val="16"/>
                <w:color w:val="auto"/>
              </w:rPr>
              <w:t>​ ​​ $</w:t>
            </w:r>
          </w:p>
        </w:tc>
        <w:tc>
          <w:tcPr>
            <w:tcW w:w="740" w:type="dxa"/>
            <w:vAlign w:val="bottom"/>
          </w:tcPr>
          <w:p>
            <w:pPr>
              <w:jc w:val="right"/>
              <w:spacing w:after="0"/>
              <w:rPr>
                <w:sz w:val="20"/>
                <w:szCs w:val="20"/>
                <w:color w:val="auto"/>
              </w:rPr>
            </w:pPr>
            <w:r>
              <w:rPr>
                <w:rFonts w:ascii="Arial" w:cs="Arial" w:eastAsia="Arial" w:hAnsi="Arial"/>
                <w:sz w:val="16"/>
                <w:szCs w:val="16"/>
                <w:color w:val="auto"/>
              </w:rPr>
              <w:t>141,777</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80" w:type="dxa"/>
            <w:vAlign w:val="bottom"/>
            <w:shd w:val="clear" w:color="auto" w:fill="CBECD5"/>
          </w:tcPr>
          <w:p>
            <w:pPr>
              <w:ind w:left="480"/>
              <w:spacing w:after="0"/>
              <w:rPr>
                <w:sz w:val="20"/>
                <w:szCs w:val="20"/>
                <w:color w:val="auto"/>
              </w:rPr>
            </w:pPr>
            <w:r>
              <w:rPr>
                <w:rFonts w:ascii="Arial" w:cs="Arial" w:eastAsia="Arial" w:hAnsi="Arial"/>
                <w:sz w:val="16"/>
                <w:szCs w:val="16"/>
                <w:color w:val="auto"/>
              </w:rPr>
              <w:t>Plus: Average year-end fair value of awards granted but</w:t>
            </w:r>
          </w:p>
        </w:tc>
        <w:tc>
          <w:tcPr>
            <w:tcW w:w="400" w:type="dxa"/>
            <w:vAlign w:val="bottom"/>
            <w:shd w:val="clear" w:color="auto" w:fill="CBECD5"/>
          </w:tcPr>
          <w:p>
            <w:pPr>
              <w:spacing w:after="0"/>
              <w:rPr>
                <w:sz w:val="18"/>
                <w:szCs w:val="18"/>
                <w:color w:val="auto"/>
              </w:rPr>
            </w:pPr>
          </w:p>
        </w:tc>
        <w:tc>
          <w:tcPr>
            <w:tcW w:w="680" w:type="dxa"/>
            <w:vAlign w:val="bottom"/>
            <w:shd w:val="clear" w:color="auto" w:fill="CBECD5"/>
          </w:tcPr>
          <w:p>
            <w:pPr>
              <w:spacing w:after="0"/>
              <w:rPr>
                <w:sz w:val="18"/>
                <w:szCs w:val="18"/>
                <w:color w:val="auto"/>
              </w:rPr>
            </w:pPr>
          </w:p>
        </w:tc>
        <w:tc>
          <w:tcPr>
            <w:tcW w:w="340" w:type="dxa"/>
            <w:vAlign w:val="bottom"/>
            <w:shd w:val="clear" w:color="auto" w:fill="CBECD5"/>
          </w:tcPr>
          <w:p>
            <w:pPr>
              <w:spacing w:after="0"/>
              <w:rPr>
                <w:sz w:val="18"/>
                <w:szCs w:val="18"/>
                <w:color w:val="auto"/>
              </w:rPr>
            </w:pPr>
          </w:p>
        </w:tc>
        <w:tc>
          <w:tcPr>
            <w:tcW w:w="680" w:type="dxa"/>
            <w:vAlign w:val="bottom"/>
            <w:shd w:val="clear" w:color="auto" w:fill="CBECD5"/>
          </w:tcPr>
          <w:p>
            <w:pPr>
              <w:spacing w:after="0"/>
              <w:rPr>
                <w:sz w:val="18"/>
                <w:szCs w:val="18"/>
                <w:color w:val="auto"/>
              </w:rPr>
            </w:pPr>
          </w:p>
        </w:tc>
        <w:tc>
          <w:tcPr>
            <w:tcW w:w="340" w:type="dxa"/>
            <w:vAlign w:val="bottom"/>
            <w:shd w:val="clear" w:color="auto" w:fill="CBECD5"/>
          </w:tcPr>
          <w:p>
            <w:pPr>
              <w:spacing w:after="0"/>
              <w:rPr>
                <w:sz w:val="18"/>
                <w:szCs w:val="18"/>
                <w:color w:val="auto"/>
              </w:rPr>
            </w:pPr>
          </w:p>
        </w:tc>
        <w:tc>
          <w:tcPr>
            <w:tcW w:w="680" w:type="dxa"/>
            <w:vAlign w:val="bottom"/>
            <w:shd w:val="clear" w:color="auto" w:fill="CBECD5"/>
          </w:tcPr>
          <w:p>
            <w:pPr>
              <w:spacing w:after="0"/>
              <w:rPr>
                <w:sz w:val="18"/>
                <w:szCs w:val="18"/>
                <w:color w:val="auto"/>
              </w:rPr>
            </w:pPr>
          </w:p>
        </w:tc>
        <w:tc>
          <w:tcPr>
            <w:tcW w:w="340" w:type="dxa"/>
            <w:vAlign w:val="bottom"/>
            <w:shd w:val="clear" w:color="auto" w:fill="CBECD5"/>
          </w:tcPr>
          <w:p>
            <w:pPr>
              <w:spacing w:after="0"/>
              <w:rPr>
                <w:sz w:val="18"/>
                <w:szCs w:val="18"/>
                <w:color w:val="auto"/>
              </w:rPr>
            </w:pPr>
          </w:p>
        </w:tc>
        <w:tc>
          <w:tcPr>
            <w:tcW w:w="740" w:type="dxa"/>
            <w:vAlign w:val="bottom"/>
            <w:shd w:val="clear" w:color="auto" w:fill="CBECD5"/>
          </w:tcPr>
          <w:p>
            <w:pPr>
              <w:spacing w:after="0"/>
              <w:rPr>
                <w:sz w:val="18"/>
                <w:szCs w:val="18"/>
                <w:color w:val="auto"/>
              </w:rPr>
            </w:pPr>
          </w:p>
        </w:tc>
        <w:tc>
          <w:tcPr>
            <w:tcW w:w="80" w:type="dxa"/>
            <w:vAlign w:val="bottom"/>
            <w:shd w:val="clear" w:color="auto" w:fill="CBECD5"/>
          </w:tcPr>
          <w:p>
            <w:pPr>
              <w:spacing w:after="0"/>
              <w:rPr>
                <w:sz w:val="18"/>
                <w:szCs w:val="18"/>
                <w:color w:val="auto"/>
              </w:rPr>
            </w:pPr>
          </w:p>
        </w:tc>
      </w:tr>
      <w:tr>
        <w:trPr>
          <w:trHeight w:val="230"/>
        </w:trPr>
        <w:tc>
          <w:tcPr>
            <w:tcW w:w="4480" w:type="dxa"/>
            <w:vAlign w:val="bottom"/>
            <w:shd w:val="clear" w:color="auto" w:fill="CBECD5"/>
          </w:tcPr>
          <w:p>
            <w:pPr>
              <w:ind w:left="480"/>
              <w:spacing w:after="0"/>
              <w:rPr>
                <w:sz w:val="20"/>
                <w:szCs w:val="20"/>
                <w:color w:val="auto"/>
              </w:rPr>
            </w:pPr>
            <w:r>
              <w:rPr>
                <w:rFonts w:ascii="Arial" w:cs="Arial" w:eastAsia="Arial" w:hAnsi="Arial"/>
                <w:sz w:val="16"/>
                <w:szCs w:val="16"/>
                <w:color w:val="auto"/>
              </w:rPr>
              <w:t>remain unvested in the covered year</w:t>
            </w:r>
          </w:p>
        </w:tc>
        <w:tc>
          <w:tcPr>
            <w:tcW w:w="400" w:type="dxa"/>
            <w:vAlign w:val="bottom"/>
            <w:shd w:val="clear" w:color="auto" w:fill="CBECD5"/>
          </w:tcPr>
          <w:p>
            <w:pPr>
              <w:ind w:left="8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591,136</w:t>
            </w:r>
          </w:p>
        </w:tc>
        <w:tc>
          <w:tcPr>
            <w:tcW w:w="340" w:type="dxa"/>
            <w:vAlign w:val="bottom"/>
            <w:shd w:val="clear" w:color="auto" w:fill="CBECD5"/>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402,321</w:t>
            </w:r>
          </w:p>
        </w:tc>
        <w:tc>
          <w:tcPr>
            <w:tcW w:w="340" w:type="dxa"/>
            <w:vAlign w:val="bottom"/>
            <w:shd w:val="clear" w:color="auto" w:fill="CBECD5"/>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555,985</w:t>
            </w:r>
          </w:p>
        </w:tc>
        <w:tc>
          <w:tcPr>
            <w:tcW w:w="340" w:type="dxa"/>
            <w:vAlign w:val="bottom"/>
            <w:shd w:val="clear" w:color="auto" w:fill="CBECD5"/>
          </w:tcPr>
          <w:p>
            <w:pPr>
              <w:ind w:left="40"/>
              <w:spacing w:after="0"/>
              <w:rPr>
                <w:sz w:val="20"/>
                <w:szCs w:val="20"/>
                <w:color w:val="auto"/>
              </w:rPr>
            </w:pPr>
            <w:r>
              <w:rPr>
                <w:rFonts w:ascii="Arial" w:cs="Arial" w:eastAsia="Arial" w:hAnsi="Arial"/>
                <w:sz w:val="16"/>
                <w:szCs w:val="16"/>
                <w:color w:val="auto"/>
              </w:rPr>
              <w:t>​ ​​ $</w:t>
            </w:r>
          </w:p>
        </w:tc>
        <w:tc>
          <w:tcPr>
            <w:tcW w:w="740" w:type="dxa"/>
            <w:vAlign w:val="bottom"/>
            <w:shd w:val="clear" w:color="auto" w:fill="CBECD5"/>
          </w:tcPr>
          <w:p>
            <w:pPr>
              <w:jc w:val="right"/>
              <w:spacing w:after="0"/>
              <w:rPr>
                <w:sz w:val="20"/>
                <w:szCs w:val="20"/>
                <w:color w:val="auto"/>
              </w:rPr>
            </w:pPr>
            <w:r>
              <w:rPr>
                <w:rFonts w:ascii="Arial" w:cs="Arial" w:eastAsia="Arial" w:hAnsi="Arial"/>
                <w:sz w:val="16"/>
                <w:szCs w:val="16"/>
                <w:color w:val="auto"/>
              </w:rPr>
              <w:t>361,411</w:t>
            </w:r>
          </w:p>
        </w:tc>
        <w:tc>
          <w:tcPr>
            <w:tcW w:w="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80" w:type="dxa"/>
            <w:vAlign w:val="bottom"/>
          </w:tcPr>
          <w:p>
            <w:pPr>
              <w:ind w:left="480"/>
              <w:spacing w:after="0"/>
              <w:rPr>
                <w:sz w:val="20"/>
                <w:szCs w:val="20"/>
                <w:color w:val="auto"/>
              </w:rPr>
            </w:pPr>
            <w:r>
              <w:rPr>
                <w:rFonts w:ascii="Arial" w:cs="Arial" w:eastAsia="Arial" w:hAnsi="Arial"/>
                <w:sz w:val="16"/>
                <w:szCs w:val="16"/>
                <w:color w:val="auto"/>
              </w:rPr>
              <w:t>Plus/(Minus): Average change in fair value of awards</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80" w:type="dxa"/>
            <w:vAlign w:val="bottom"/>
          </w:tcPr>
          <w:p>
            <w:pPr>
              <w:ind w:left="480"/>
              <w:spacing w:after="0"/>
              <w:rPr>
                <w:sz w:val="20"/>
                <w:szCs w:val="20"/>
                <w:color w:val="auto"/>
              </w:rPr>
            </w:pPr>
            <w:r>
              <w:rPr>
                <w:rFonts w:ascii="Arial" w:cs="Arial" w:eastAsia="Arial" w:hAnsi="Arial"/>
                <w:sz w:val="16"/>
                <w:szCs w:val="16"/>
                <w:color w:val="auto"/>
              </w:rPr>
              <w:t>granted in prior year(s) that vested in the covered year</w:t>
            </w:r>
          </w:p>
        </w:tc>
        <w:tc>
          <w:tcPr>
            <w:tcW w:w="400" w:type="dxa"/>
            <w:vAlign w:val="bottom"/>
          </w:tcPr>
          <w:p>
            <w:pPr>
              <w:ind w:left="8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51,740</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78,917</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17,562</w:t>
            </w:r>
          </w:p>
        </w:tc>
        <w:tc>
          <w:tcPr>
            <w:tcW w:w="340" w:type="dxa"/>
            <w:vAlign w:val="bottom"/>
          </w:tcPr>
          <w:p>
            <w:pPr>
              <w:ind w:left="40"/>
              <w:spacing w:after="0"/>
              <w:rPr>
                <w:sz w:val="20"/>
                <w:szCs w:val="20"/>
                <w:color w:val="auto"/>
              </w:rPr>
            </w:pPr>
            <w:r>
              <w:rPr>
                <w:rFonts w:ascii="Arial" w:cs="Arial" w:eastAsia="Arial" w:hAnsi="Arial"/>
                <w:sz w:val="16"/>
                <w:szCs w:val="16"/>
                <w:color w:val="auto"/>
              </w:rPr>
              <w:t>​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53,139)​</w:t>
            </w:r>
          </w:p>
        </w:tc>
      </w:tr>
      <w:tr>
        <w:trPr>
          <w:trHeight w:val="215"/>
        </w:trPr>
        <w:tc>
          <w:tcPr>
            <w:tcW w:w="4480" w:type="dxa"/>
            <w:vAlign w:val="bottom"/>
            <w:shd w:val="clear" w:color="auto" w:fill="CBECD5"/>
          </w:tcPr>
          <w:p>
            <w:pPr>
              <w:ind w:left="480"/>
              <w:spacing w:after="0"/>
              <w:rPr>
                <w:sz w:val="20"/>
                <w:szCs w:val="20"/>
                <w:color w:val="auto"/>
              </w:rPr>
            </w:pPr>
            <w:r>
              <w:rPr>
                <w:rFonts w:ascii="Arial" w:cs="Arial" w:eastAsia="Arial" w:hAnsi="Arial"/>
                <w:sz w:val="16"/>
                <w:szCs w:val="16"/>
                <w:color w:val="auto"/>
              </w:rPr>
              <w:t>Plus/(Minus): Average change in fair value of awards</w:t>
            </w:r>
          </w:p>
        </w:tc>
        <w:tc>
          <w:tcPr>
            <w:tcW w:w="400" w:type="dxa"/>
            <w:vAlign w:val="bottom"/>
            <w:shd w:val="clear" w:color="auto" w:fill="CBECD5"/>
          </w:tcPr>
          <w:p>
            <w:pPr>
              <w:spacing w:after="0"/>
              <w:rPr>
                <w:sz w:val="18"/>
                <w:szCs w:val="18"/>
                <w:color w:val="auto"/>
              </w:rPr>
            </w:pPr>
          </w:p>
        </w:tc>
        <w:tc>
          <w:tcPr>
            <w:tcW w:w="680" w:type="dxa"/>
            <w:vAlign w:val="bottom"/>
            <w:shd w:val="clear" w:color="auto" w:fill="CBECD5"/>
          </w:tcPr>
          <w:p>
            <w:pPr>
              <w:spacing w:after="0"/>
              <w:rPr>
                <w:sz w:val="18"/>
                <w:szCs w:val="18"/>
                <w:color w:val="auto"/>
              </w:rPr>
            </w:pPr>
          </w:p>
        </w:tc>
        <w:tc>
          <w:tcPr>
            <w:tcW w:w="340" w:type="dxa"/>
            <w:vAlign w:val="bottom"/>
            <w:shd w:val="clear" w:color="auto" w:fill="CBECD5"/>
          </w:tcPr>
          <w:p>
            <w:pPr>
              <w:spacing w:after="0"/>
              <w:rPr>
                <w:sz w:val="18"/>
                <w:szCs w:val="18"/>
                <w:color w:val="auto"/>
              </w:rPr>
            </w:pPr>
          </w:p>
        </w:tc>
        <w:tc>
          <w:tcPr>
            <w:tcW w:w="680" w:type="dxa"/>
            <w:vAlign w:val="bottom"/>
            <w:shd w:val="clear" w:color="auto" w:fill="CBECD5"/>
          </w:tcPr>
          <w:p>
            <w:pPr>
              <w:spacing w:after="0"/>
              <w:rPr>
                <w:sz w:val="18"/>
                <w:szCs w:val="18"/>
                <w:color w:val="auto"/>
              </w:rPr>
            </w:pPr>
          </w:p>
        </w:tc>
        <w:tc>
          <w:tcPr>
            <w:tcW w:w="340" w:type="dxa"/>
            <w:vAlign w:val="bottom"/>
            <w:shd w:val="clear" w:color="auto" w:fill="CBECD5"/>
          </w:tcPr>
          <w:p>
            <w:pPr>
              <w:spacing w:after="0"/>
              <w:rPr>
                <w:sz w:val="18"/>
                <w:szCs w:val="18"/>
                <w:color w:val="auto"/>
              </w:rPr>
            </w:pPr>
          </w:p>
        </w:tc>
        <w:tc>
          <w:tcPr>
            <w:tcW w:w="680" w:type="dxa"/>
            <w:vAlign w:val="bottom"/>
            <w:shd w:val="clear" w:color="auto" w:fill="CBECD5"/>
          </w:tcPr>
          <w:p>
            <w:pPr>
              <w:spacing w:after="0"/>
              <w:rPr>
                <w:sz w:val="18"/>
                <w:szCs w:val="18"/>
                <w:color w:val="auto"/>
              </w:rPr>
            </w:pPr>
          </w:p>
        </w:tc>
        <w:tc>
          <w:tcPr>
            <w:tcW w:w="340" w:type="dxa"/>
            <w:vAlign w:val="bottom"/>
            <w:shd w:val="clear" w:color="auto" w:fill="CBECD5"/>
          </w:tcPr>
          <w:p>
            <w:pPr>
              <w:spacing w:after="0"/>
              <w:rPr>
                <w:sz w:val="18"/>
                <w:szCs w:val="18"/>
                <w:color w:val="auto"/>
              </w:rPr>
            </w:pPr>
          </w:p>
        </w:tc>
        <w:tc>
          <w:tcPr>
            <w:tcW w:w="740" w:type="dxa"/>
            <w:vAlign w:val="bottom"/>
            <w:shd w:val="clear" w:color="auto" w:fill="CBECD5"/>
          </w:tcPr>
          <w:p>
            <w:pPr>
              <w:spacing w:after="0"/>
              <w:rPr>
                <w:sz w:val="18"/>
                <w:szCs w:val="18"/>
                <w:color w:val="auto"/>
              </w:rPr>
            </w:pPr>
          </w:p>
        </w:tc>
        <w:tc>
          <w:tcPr>
            <w:tcW w:w="80" w:type="dxa"/>
            <w:vAlign w:val="bottom"/>
            <w:shd w:val="clear" w:color="auto" w:fill="CBECD5"/>
          </w:tcPr>
          <w:p>
            <w:pPr>
              <w:spacing w:after="0"/>
              <w:rPr>
                <w:sz w:val="18"/>
                <w:szCs w:val="18"/>
                <w:color w:val="auto"/>
              </w:rPr>
            </w:pPr>
          </w:p>
        </w:tc>
      </w:tr>
      <w:tr>
        <w:trPr>
          <w:trHeight w:val="230"/>
        </w:trPr>
        <w:tc>
          <w:tcPr>
            <w:tcW w:w="4480" w:type="dxa"/>
            <w:vAlign w:val="bottom"/>
            <w:shd w:val="clear" w:color="auto" w:fill="CBECD5"/>
          </w:tcPr>
          <w:p>
            <w:pPr>
              <w:ind w:left="480"/>
              <w:spacing w:after="0"/>
              <w:rPr>
                <w:sz w:val="20"/>
                <w:szCs w:val="20"/>
                <w:color w:val="auto"/>
              </w:rPr>
            </w:pPr>
            <w:r>
              <w:rPr>
                <w:rFonts w:ascii="Arial" w:cs="Arial" w:eastAsia="Arial" w:hAnsi="Arial"/>
                <w:sz w:val="16"/>
                <w:szCs w:val="16"/>
                <w:color w:val="auto"/>
              </w:rPr>
              <w:t>granted in prior year(s) that remain unvested</w:t>
            </w:r>
          </w:p>
        </w:tc>
        <w:tc>
          <w:tcPr>
            <w:tcW w:w="400" w:type="dxa"/>
            <w:vAlign w:val="bottom"/>
            <w:shd w:val="clear" w:color="auto" w:fill="CBECD5"/>
          </w:tcPr>
          <w:p>
            <w:pPr>
              <w:ind w:left="8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155,548</w:t>
            </w:r>
          </w:p>
        </w:tc>
        <w:tc>
          <w:tcPr>
            <w:tcW w:w="340" w:type="dxa"/>
            <w:vAlign w:val="bottom"/>
            <w:shd w:val="clear" w:color="auto" w:fill="CBECD5"/>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69,871</w:t>
            </w:r>
          </w:p>
        </w:tc>
        <w:tc>
          <w:tcPr>
            <w:tcW w:w="340" w:type="dxa"/>
            <w:vAlign w:val="bottom"/>
            <w:shd w:val="clear" w:color="auto" w:fill="CBECD5"/>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224,960</w:t>
            </w:r>
          </w:p>
        </w:tc>
        <w:tc>
          <w:tcPr>
            <w:tcW w:w="340" w:type="dxa"/>
            <w:vAlign w:val="bottom"/>
            <w:shd w:val="clear" w:color="auto" w:fill="CBECD5"/>
          </w:tcPr>
          <w:p>
            <w:pPr>
              <w:ind w:left="40"/>
              <w:spacing w:after="0"/>
              <w:rPr>
                <w:sz w:val="20"/>
                <w:szCs w:val="20"/>
                <w:color w:val="auto"/>
              </w:rPr>
            </w:pPr>
            <w:r>
              <w:rPr>
                <w:rFonts w:ascii="Arial" w:cs="Arial" w:eastAsia="Arial" w:hAnsi="Arial"/>
                <w:sz w:val="16"/>
                <w:szCs w:val="16"/>
                <w:color w:val="auto"/>
              </w:rPr>
              <w:t>​ ​​($</w:t>
            </w:r>
          </w:p>
        </w:tc>
        <w:tc>
          <w:tcPr>
            <w:tcW w:w="820" w:type="dxa"/>
            <w:vAlign w:val="bottom"/>
            <w:gridSpan w:val="2"/>
            <w:shd w:val="clear" w:color="auto" w:fill="CBECD5"/>
          </w:tcPr>
          <w:p>
            <w:pPr>
              <w:jc w:val="right"/>
              <w:spacing w:after="0"/>
              <w:rPr>
                <w:sz w:val="20"/>
                <w:szCs w:val="20"/>
                <w:color w:val="auto"/>
              </w:rPr>
            </w:pPr>
            <w:r>
              <w:rPr>
                <w:rFonts w:ascii="Arial" w:cs="Arial" w:eastAsia="Arial" w:hAnsi="Arial"/>
                <w:sz w:val="16"/>
                <w:szCs w:val="16"/>
                <w:color w:val="auto"/>
              </w:rPr>
              <w:t>2,111)​</w:t>
            </w:r>
          </w:p>
        </w:tc>
      </w:tr>
      <w:tr>
        <w:trPr>
          <w:trHeight w:val="229"/>
        </w:trPr>
        <w:tc>
          <w:tcPr>
            <w:tcW w:w="4480" w:type="dxa"/>
            <w:vAlign w:val="bottom"/>
          </w:tcPr>
          <w:p>
            <w:pPr>
              <w:ind w:left="480"/>
              <w:spacing w:after="0"/>
              <w:rPr>
                <w:sz w:val="20"/>
                <w:szCs w:val="20"/>
                <w:color w:val="auto"/>
              </w:rPr>
            </w:pPr>
            <w:r>
              <w:rPr>
                <w:rFonts w:ascii="Arial" w:cs="Arial" w:eastAsia="Arial" w:hAnsi="Arial"/>
                <w:sz w:val="16"/>
                <w:szCs w:val="16"/>
                <w:color w:val="auto"/>
              </w:rPr>
              <w:t>Minus: Average fair value of awards forfeited during the</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480" w:type="dxa"/>
            <w:vAlign w:val="bottom"/>
          </w:tcPr>
          <w:p>
            <w:pPr>
              <w:ind w:left="480"/>
              <w:spacing w:after="0"/>
              <w:rPr>
                <w:sz w:val="20"/>
                <w:szCs w:val="20"/>
                <w:color w:val="auto"/>
              </w:rPr>
            </w:pPr>
            <w:r>
              <w:rPr>
                <w:rFonts w:ascii="Arial" w:cs="Arial" w:eastAsia="Arial" w:hAnsi="Arial"/>
                <w:sz w:val="16"/>
                <w:szCs w:val="16"/>
                <w:color w:val="auto"/>
              </w:rPr>
              <w:t>covered year</w:t>
            </w:r>
          </w:p>
        </w:tc>
        <w:tc>
          <w:tcPr>
            <w:tcW w:w="400" w:type="dxa"/>
            <w:vAlign w:val="bottom"/>
          </w:tcPr>
          <w:p>
            <w:pPr>
              <w:ind w:left="8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433,248</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1020" w:type="dxa"/>
            <w:vAlign w:val="bottom"/>
            <w:gridSpan w:val="2"/>
          </w:tcPr>
          <w:p>
            <w:pPr>
              <w:ind w:left="500"/>
              <w:spacing w:after="0"/>
              <w:rPr>
                <w:sz w:val="20"/>
                <w:szCs w:val="20"/>
                <w:color w:val="auto"/>
              </w:rPr>
            </w:pPr>
            <w:r>
              <w:rPr>
                <w:rFonts w:ascii="Arial" w:cs="Arial" w:eastAsia="Arial" w:hAnsi="Arial"/>
                <w:sz w:val="16"/>
                <w:szCs w:val="16"/>
                <w:color w:val="auto"/>
              </w:rPr>
              <w:t>— ​ ​​</w:t>
            </w:r>
          </w:p>
        </w:tc>
        <w:tc>
          <w:tcPr>
            <w:tcW w:w="1020" w:type="dxa"/>
            <w:vAlign w:val="bottom"/>
            <w:gridSpan w:val="2"/>
          </w:tcPr>
          <w:p>
            <w:pPr>
              <w:ind w:left="500"/>
              <w:spacing w:after="0"/>
              <w:rPr>
                <w:sz w:val="20"/>
                <w:szCs w:val="20"/>
                <w:color w:val="auto"/>
              </w:rPr>
            </w:pPr>
            <w:r>
              <w:rPr>
                <w:rFonts w:ascii="Arial" w:cs="Arial" w:eastAsia="Arial" w:hAnsi="Arial"/>
                <w:sz w:val="16"/>
                <w:szCs w:val="16"/>
                <w:color w:val="auto"/>
              </w:rPr>
              <w:t>— ​ ​​</w:t>
            </w:r>
          </w:p>
        </w:tc>
        <w:tc>
          <w:tcPr>
            <w:tcW w:w="7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480" w:type="dxa"/>
            <w:vAlign w:val="bottom"/>
            <w:shd w:val="clear" w:color="auto" w:fill="CBECD5"/>
          </w:tcPr>
          <w:p>
            <w:pPr>
              <w:ind w:left="480"/>
              <w:spacing w:after="0"/>
              <w:rPr>
                <w:sz w:val="20"/>
                <w:szCs w:val="20"/>
                <w:color w:val="auto"/>
              </w:rPr>
            </w:pPr>
            <w:r>
              <w:rPr>
                <w:rFonts w:ascii="Arial" w:cs="Arial" w:eastAsia="Arial" w:hAnsi="Arial"/>
                <w:sz w:val="16"/>
                <w:szCs w:val="16"/>
                <w:color w:val="auto"/>
              </w:rPr>
              <w:t>Minus: Average aggregate change in actuarial present</w:t>
            </w:r>
          </w:p>
        </w:tc>
        <w:tc>
          <w:tcPr>
            <w:tcW w:w="400" w:type="dxa"/>
            <w:vAlign w:val="bottom"/>
            <w:shd w:val="clear" w:color="auto" w:fill="CBECD5"/>
          </w:tcPr>
          <w:p>
            <w:pPr>
              <w:spacing w:after="0"/>
              <w:rPr>
                <w:sz w:val="19"/>
                <w:szCs w:val="19"/>
                <w:color w:val="auto"/>
              </w:rPr>
            </w:pPr>
          </w:p>
        </w:tc>
        <w:tc>
          <w:tcPr>
            <w:tcW w:w="680" w:type="dxa"/>
            <w:vAlign w:val="bottom"/>
            <w:shd w:val="clear" w:color="auto" w:fill="CBECD5"/>
          </w:tcPr>
          <w:p>
            <w:pPr>
              <w:spacing w:after="0"/>
              <w:rPr>
                <w:sz w:val="19"/>
                <w:szCs w:val="19"/>
                <w:color w:val="auto"/>
              </w:rPr>
            </w:pPr>
          </w:p>
        </w:tc>
        <w:tc>
          <w:tcPr>
            <w:tcW w:w="340" w:type="dxa"/>
            <w:vAlign w:val="bottom"/>
            <w:shd w:val="clear" w:color="auto" w:fill="CBECD5"/>
          </w:tcPr>
          <w:p>
            <w:pPr>
              <w:spacing w:after="0"/>
              <w:rPr>
                <w:sz w:val="19"/>
                <w:szCs w:val="19"/>
                <w:color w:val="auto"/>
              </w:rPr>
            </w:pPr>
          </w:p>
        </w:tc>
        <w:tc>
          <w:tcPr>
            <w:tcW w:w="680" w:type="dxa"/>
            <w:vAlign w:val="bottom"/>
            <w:shd w:val="clear" w:color="auto" w:fill="CBECD5"/>
          </w:tcPr>
          <w:p>
            <w:pPr>
              <w:spacing w:after="0"/>
              <w:rPr>
                <w:sz w:val="19"/>
                <w:szCs w:val="19"/>
                <w:color w:val="auto"/>
              </w:rPr>
            </w:pPr>
          </w:p>
        </w:tc>
        <w:tc>
          <w:tcPr>
            <w:tcW w:w="340" w:type="dxa"/>
            <w:vAlign w:val="bottom"/>
            <w:shd w:val="clear" w:color="auto" w:fill="CBECD5"/>
          </w:tcPr>
          <w:p>
            <w:pPr>
              <w:spacing w:after="0"/>
              <w:rPr>
                <w:sz w:val="19"/>
                <w:szCs w:val="19"/>
                <w:color w:val="auto"/>
              </w:rPr>
            </w:pPr>
          </w:p>
        </w:tc>
        <w:tc>
          <w:tcPr>
            <w:tcW w:w="680" w:type="dxa"/>
            <w:vAlign w:val="bottom"/>
            <w:shd w:val="clear" w:color="auto" w:fill="CBECD5"/>
          </w:tcPr>
          <w:p>
            <w:pPr>
              <w:spacing w:after="0"/>
              <w:rPr>
                <w:sz w:val="19"/>
                <w:szCs w:val="19"/>
                <w:color w:val="auto"/>
              </w:rPr>
            </w:pPr>
          </w:p>
        </w:tc>
        <w:tc>
          <w:tcPr>
            <w:tcW w:w="340" w:type="dxa"/>
            <w:vAlign w:val="bottom"/>
            <w:shd w:val="clear" w:color="auto" w:fill="CBECD5"/>
          </w:tcPr>
          <w:p>
            <w:pPr>
              <w:spacing w:after="0"/>
              <w:rPr>
                <w:sz w:val="19"/>
                <w:szCs w:val="19"/>
                <w:color w:val="auto"/>
              </w:rPr>
            </w:pPr>
          </w:p>
        </w:tc>
        <w:tc>
          <w:tcPr>
            <w:tcW w:w="740" w:type="dxa"/>
            <w:vAlign w:val="bottom"/>
            <w:shd w:val="clear" w:color="auto" w:fill="CBECD5"/>
          </w:tcPr>
          <w:p>
            <w:pPr>
              <w:spacing w:after="0"/>
              <w:rPr>
                <w:sz w:val="19"/>
                <w:szCs w:val="19"/>
                <w:color w:val="auto"/>
              </w:rPr>
            </w:pPr>
          </w:p>
        </w:tc>
        <w:tc>
          <w:tcPr>
            <w:tcW w:w="80" w:type="dxa"/>
            <w:vAlign w:val="bottom"/>
            <w:shd w:val="clear" w:color="auto" w:fill="CBECD5"/>
          </w:tcPr>
          <w:p>
            <w:pPr>
              <w:spacing w:after="0"/>
              <w:rPr>
                <w:sz w:val="19"/>
                <w:szCs w:val="19"/>
                <w:color w:val="auto"/>
              </w:rPr>
            </w:pPr>
          </w:p>
        </w:tc>
      </w:tr>
      <w:tr>
        <w:trPr>
          <w:trHeight w:val="230"/>
        </w:trPr>
        <w:tc>
          <w:tcPr>
            <w:tcW w:w="4480" w:type="dxa"/>
            <w:vAlign w:val="bottom"/>
            <w:shd w:val="clear" w:color="auto" w:fill="CBECD5"/>
          </w:tcPr>
          <w:p>
            <w:pPr>
              <w:ind w:left="480"/>
              <w:spacing w:after="0"/>
              <w:rPr>
                <w:sz w:val="20"/>
                <w:szCs w:val="20"/>
                <w:color w:val="auto"/>
              </w:rPr>
            </w:pPr>
            <w:r>
              <w:rPr>
                <w:rFonts w:ascii="Arial" w:cs="Arial" w:eastAsia="Arial" w:hAnsi="Arial"/>
                <w:sz w:val="16"/>
                <w:szCs w:val="16"/>
                <w:color w:val="auto"/>
              </w:rPr>
              <w:t>value of accumulated benefit under pension plans</w:t>
            </w:r>
          </w:p>
        </w:tc>
        <w:tc>
          <w:tcPr>
            <w:tcW w:w="400" w:type="dxa"/>
            <w:vAlign w:val="bottom"/>
            <w:shd w:val="clear" w:color="auto" w:fill="CBECD5"/>
          </w:tcPr>
          <w:p>
            <w:pPr>
              <w:ind w:left="8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136,997</w:t>
            </w:r>
          </w:p>
        </w:tc>
        <w:tc>
          <w:tcPr>
            <w:tcW w:w="340" w:type="dxa"/>
            <w:vAlign w:val="bottom"/>
            <w:shd w:val="clear" w:color="auto" w:fill="CBECD5"/>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43,134</w:t>
            </w:r>
          </w:p>
        </w:tc>
        <w:tc>
          <w:tcPr>
            <w:tcW w:w="340" w:type="dxa"/>
            <w:vAlign w:val="bottom"/>
            <w:shd w:val="clear" w:color="auto" w:fill="CBECD5"/>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63,768</w:t>
            </w:r>
          </w:p>
        </w:tc>
        <w:tc>
          <w:tcPr>
            <w:tcW w:w="340" w:type="dxa"/>
            <w:vAlign w:val="bottom"/>
            <w:shd w:val="clear" w:color="auto" w:fill="CBECD5"/>
          </w:tcPr>
          <w:p>
            <w:pPr>
              <w:ind w:left="40"/>
              <w:spacing w:after="0"/>
              <w:rPr>
                <w:sz w:val="20"/>
                <w:szCs w:val="20"/>
                <w:color w:val="auto"/>
              </w:rPr>
            </w:pPr>
            <w:r>
              <w:rPr>
                <w:rFonts w:ascii="Arial" w:cs="Arial" w:eastAsia="Arial" w:hAnsi="Arial"/>
                <w:sz w:val="16"/>
                <w:szCs w:val="16"/>
                <w:color w:val="auto"/>
              </w:rPr>
              <w:t>​ ​​ $</w:t>
            </w:r>
          </w:p>
        </w:tc>
        <w:tc>
          <w:tcPr>
            <w:tcW w:w="740" w:type="dxa"/>
            <w:vAlign w:val="bottom"/>
            <w:shd w:val="clear" w:color="auto" w:fill="CBECD5"/>
          </w:tcPr>
          <w:p>
            <w:pPr>
              <w:jc w:val="right"/>
              <w:spacing w:after="0"/>
              <w:rPr>
                <w:sz w:val="20"/>
                <w:szCs w:val="20"/>
                <w:color w:val="auto"/>
              </w:rPr>
            </w:pPr>
            <w:r>
              <w:rPr>
                <w:rFonts w:ascii="Arial" w:cs="Arial" w:eastAsia="Arial" w:hAnsi="Arial"/>
                <w:sz w:val="16"/>
                <w:szCs w:val="16"/>
                <w:color w:val="auto"/>
              </w:rPr>
              <w:t>58,509</w:t>
            </w:r>
          </w:p>
        </w:tc>
        <w:tc>
          <w:tcPr>
            <w:tcW w:w="80" w:type="dxa"/>
            <w:vAlign w:val="bottom"/>
            <w:shd w:val="clear" w:color="auto" w:fill="CBECD5"/>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480" w:type="dxa"/>
            <w:vAlign w:val="bottom"/>
          </w:tcPr>
          <w:p>
            <w:pPr>
              <w:ind w:left="480"/>
              <w:spacing w:after="0"/>
              <w:rPr>
                <w:sz w:val="20"/>
                <w:szCs w:val="20"/>
                <w:color w:val="auto"/>
              </w:rPr>
            </w:pPr>
            <w:r>
              <w:rPr>
                <w:rFonts w:ascii="Arial" w:cs="Arial" w:eastAsia="Arial" w:hAnsi="Arial"/>
                <w:sz w:val="16"/>
                <w:szCs w:val="16"/>
                <w:color w:val="auto"/>
              </w:rPr>
              <w:t>Plus: Average aggregate service costs and prior service</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480" w:type="dxa"/>
            <w:vAlign w:val="bottom"/>
          </w:tcPr>
          <w:p>
            <w:pPr>
              <w:ind w:left="480"/>
              <w:spacing w:after="0"/>
              <w:rPr>
                <w:sz w:val="20"/>
                <w:szCs w:val="20"/>
                <w:color w:val="auto"/>
              </w:rPr>
            </w:pPr>
            <w:r>
              <w:rPr>
                <w:rFonts w:ascii="Arial" w:cs="Arial" w:eastAsia="Arial" w:hAnsi="Arial"/>
                <w:sz w:val="16"/>
                <w:szCs w:val="16"/>
                <w:color w:val="auto"/>
              </w:rPr>
              <w:t>costs for pension plans</w:t>
            </w:r>
          </w:p>
        </w:tc>
        <w:tc>
          <w:tcPr>
            <w:tcW w:w="400" w:type="dxa"/>
            <w:vAlign w:val="bottom"/>
          </w:tcPr>
          <w:p>
            <w:pPr>
              <w:ind w:left="8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40,575</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37,909</w:t>
            </w:r>
          </w:p>
        </w:tc>
        <w:tc>
          <w:tcPr>
            <w:tcW w:w="34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53,442</w:t>
            </w:r>
          </w:p>
        </w:tc>
        <w:tc>
          <w:tcPr>
            <w:tcW w:w="340" w:type="dxa"/>
            <w:vAlign w:val="bottom"/>
          </w:tcPr>
          <w:p>
            <w:pPr>
              <w:ind w:left="40"/>
              <w:spacing w:after="0"/>
              <w:rPr>
                <w:sz w:val="20"/>
                <w:szCs w:val="20"/>
                <w:color w:val="auto"/>
              </w:rPr>
            </w:pPr>
            <w:r>
              <w:rPr>
                <w:rFonts w:ascii="Arial" w:cs="Arial" w:eastAsia="Arial" w:hAnsi="Arial"/>
                <w:sz w:val="16"/>
                <w:szCs w:val="16"/>
                <w:color w:val="auto"/>
              </w:rPr>
              <w:t>​ ​​ $</w:t>
            </w:r>
          </w:p>
        </w:tc>
        <w:tc>
          <w:tcPr>
            <w:tcW w:w="740" w:type="dxa"/>
            <w:vAlign w:val="bottom"/>
          </w:tcPr>
          <w:p>
            <w:pPr>
              <w:jc w:val="right"/>
              <w:spacing w:after="0"/>
              <w:rPr>
                <w:sz w:val="20"/>
                <w:szCs w:val="20"/>
                <w:color w:val="auto"/>
              </w:rPr>
            </w:pPr>
            <w:r>
              <w:rPr>
                <w:rFonts w:ascii="Arial" w:cs="Arial" w:eastAsia="Arial" w:hAnsi="Arial"/>
                <w:sz w:val="16"/>
                <w:szCs w:val="16"/>
                <w:color w:val="auto"/>
              </w:rPr>
              <w:t>38,429</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4480" w:type="dxa"/>
            <w:vAlign w:val="bottom"/>
            <w:tcBorders>
              <w:bottom w:val="single" w:sz="8" w:color="53C072"/>
            </w:tcBorders>
            <w:shd w:val="clear" w:color="auto" w:fill="CBECD5"/>
          </w:tcPr>
          <w:p>
            <w:pPr>
              <w:ind w:left="100"/>
              <w:spacing w:after="0"/>
              <w:rPr>
                <w:sz w:val="20"/>
                <w:szCs w:val="20"/>
                <w:color w:val="auto"/>
              </w:rPr>
            </w:pPr>
            <w:r>
              <w:rPr>
                <w:rFonts w:ascii="Arial" w:cs="Arial" w:eastAsia="Arial" w:hAnsi="Arial"/>
                <w:sz w:val="16"/>
                <w:szCs w:val="16"/>
                <w:b w:val="1"/>
                <w:bCs w:val="1"/>
                <w:color w:val="auto"/>
              </w:rPr>
              <w:t>Average Compensation Actually Paid</w:t>
            </w:r>
          </w:p>
        </w:tc>
        <w:tc>
          <w:tcPr>
            <w:tcW w:w="1080" w:type="dxa"/>
            <w:vAlign w:val="bottom"/>
            <w:tcBorders>
              <w:bottom w:val="single" w:sz="8" w:color="53C072"/>
            </w:tcBorders>
            <w:gridSpan w:val="2"/>
            <w:shd w:val="clear" w:color="auto" w:fill="CBECD5"/>
          </w:tcPr>
          <w:p>
            <w:pPr>
              <w:jc w:val="right"/>
              <w:spacing w:after="0" w:line="283" w:lineRule="exact"/>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$1,527,825</w:t>
            </w:r>
          </w:p>
        </w:tc>
        <w:tc>
          <w:tcPr>
            <w:tcW w:w="1020" w:type="dxa"/>
            <w:vAlign w:val="bottom"/>
            <w:tcBorders>
              <w:bottom w:val="single" w:sz="8" w:color="53C072"/>
            </w:tcBorders>
            <w:gridSpan w:val="2"/>
            <w:shd w:val="clear" w:color="auto" w:fill="CBECD5"/>
          </w:tcPr>
          <w:p>
            <w:pPr>
              <w:ind w:left="20"/>
              <w:spacing w:after="0" w:line="283" w:lineRule="exact"/>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$1,912,506</w:t>
            </w:r>
          </w:p>
        </w:tc>
        <w:tc>
          <w:tcPr>
            <w:tcW w:w="1020" w:type="dxa"/>
            <w:vAlign w:val="bottom"/>
            <w:tcBorders>
              <w:bottom w:val="single" w:sz="8" w:color="53C072"/>
            </w:tcBorders>
            <w:gridSpan w:val="2"/>
            <w:shd w:val="clear" w:color="auto" w:fill="CBECD5"/>
          </w:tcPr>
          <w:p>
            <w:pPr>
              <w:jc w:val="right"/>
              <w:spacing w:after="0" w:line="283" w:lineRule="exact"/>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6"/>
                <w:szCs w:val="16"/>
                <w:b w:val="1"/>
                <w:bCs w:val="1"/>
                <w:color w:val="auto"/>
              </w:rPr>
              <w:t>$1,950,485</w:t>
            </w:r>
          </w:p>
        </w:tc>
        <w:tc>
          <w:tcPr>
            <w:tcW w:w="340" w:type="dxa"/>
            <w:vAlign w:val="bottom"/>
            <w:tcBorders>
              <w:bottom w:val="single" w:sz="8" w:color="53C072"/>
            </w:tcBorders>
            <w:shd w:val="clear" w:color="auto" w:fill="CBECD5"/>
          </w:tcPr>
          <w:p>
            <w:pPr>
              <w:ind w:left="40"/>
              <w:spacing w:after="0" w:line="283"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2"/>
                <w:szCs w:val="32"/>
                <w:b w:val="1"/>
                <w:bCs w:val="1"/>
                <w:color w:val="auto"/>
                <w:vertAlign w:val="superscript"/>
              </w:rPr>
              <w:t>$</w:t>
            </w:r>
          </w:p>
        </w:tc>
        <w:tc>
          <w:tcPr>
            <w:tcW w:w="74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6"/>
                <w:szCs w:val="16"/>
                <w:b w:val="1"/>
                <w:bCs w:val="1"/>
                <w:color w:val="auto"/>
                <w:w w:val="98"/>
              </w:rPr>
              <w:t>1,354,722</w:t>
            </w:r>
          </w:p>
        </w:tc>
        <w:tc>
          <w:tcPr>
            <w:tcW w:w="8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174" w:lineRule="exact"/>
        <w:rPr>
          <w:sz w:val="20"/>
          <w:szCs w:val="20"/>
          <w:color w:val="auto"/>
        </w:rPr>
      </w:pPr>
    </w:p>
    <w:p>
      <w:pPr>
        <w:ind w:left="1000" w:right="479"/>
        <w:spacing w:after="0" w:line="285" w:lineRule="auto"/>
        <w:rPr>
          <w:sz w:val="20"/>
          <w:szCs w:val="20"/>
          <w:color w:val="auto"/>
        </w:rPr>
      </w:pPr>
      <w:r>
        <w:rPr>
          <w:rFonts w:ascii="Arial" w:cs="Arial" w:eastAsia="Arial" w:hAnsi="Arial"/>
          <w:sz w:val="22"/>
          <w:szCs w:val="22"/>
          <w:b w:val="1"/>
          <w:bCs w:val="1"/>
          <w:color w:val="53C072"/>
        </w:rPr>
        <w:t>RELATIONSHIP BETWEEN COMPENSATION ACTUALLY PAID AND PERFORMANCE MEASURES</w:t>
      </w:r>
    </w:p>
    <w:p>
      <w:pPr>
        <w:spacing w:after="0" w:line="57" w:lineRule="exact"/>
        <w:rPr>
          <w:sz w:val="20"/>
          <w:szCs w:val="20"/>
          <w:color w:val="auto"/>
        </w:rPr>
      </w:pPr>
    </w:p>
    <w:p>
      <w:pPr>
        <w:ind w:left="1000" w:right="619"/>
        <w:spacing w:after="0" w:line="335" w:lineRule="auto"/>
        <w:rPr>
          <w:sz w:val="20"/>
          <w:szCs w:val="20"/>
          <w:color w:val="auto"/>
        </w:rPr>
      </w:pPr>
      <w:r>
        <w:rPr>
          <w:rFonts w:ascii="Arial" w:cs="Arial" w:eastAsia="Arial" w:hAnsi="Arial"/>
          <w:sz w:val="17"/>
          <w:szCs w:val="17"/>
          <w:color w:val="auto"/>
        </w:rPr>
        <w:t>The following describes the relationship between CAP and the financial performance measures in the Pay Versus Performance Table, as well as the relationship between Company TSR and Peer Group TSR.</w:t>
      </w:r>
    </w:p>
    <w:p>
      <w:pPr>
        <w:spacing w:after="0" w:line="4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CAP vs. Company TSR</w:t>
      </w:r>
    </w:p>
    <w:p>
      <w:pPr>
        <w:spacing w:after="0" w:line="153" w:lineRule="exact"/>
        <w:rPr>
          <w:sz w:val="20"/>
          <w:szCs w:val="20"/>
          <w:color w:val="auto"/>
        </w:rPr>
      </w:pPr>
    </w:p>
    <w:p>
      <w:pPr>
        <w:ind w:left="1000" w:right="179"/>
        <w:spacing w:after="0" w:line="267" w:lineRule="auto"/>
        <w:rPr>
          <w:sz w:val="20"/>
          <w:szCs w:val="20"/>
          <w:color w:val="auto"/>
        </w:rPr>
      </w:pPr>
      <w:r>
        <w:rPr>
          <w:rFonts w:ascii="Arial" w:cs="Arial" w:eastAsia="Arial" w:hAnsi="Arial"/>
          <w:sz w:val="18"/>
          <w:szCs w:val="18"/>
          <w:color w:val="auto"/>
        </w:rPr>
        <w:t>Changes in CAP values for the PEO and non-PEO NEOs over fiscal years 2021 through 2024 generally align with changes in the Company’s TSR over this same period. CAP values declined in fiscal 2024 over the prior year due to the modest increase in the Company TSR in fiscal 2024 as compared to the significant increase in this metric in fiscal 2023. Equity awards in long-term incentive plans represent a significant portion of the NEOs’ total compensation and generally result in the alignment of the fair value of the NEOs’ equity awards with shareholders’ interest. Fluctuations in stock price over this four-year period similarly impacted the changes in fair value of the NEOs’ equity awards.</w:t>
      </w:r>
    </w:p>
    <w:p>
      <w:pPr>
        <w:spacing w:after="0" w:line="98"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CAP vs. Net Income</w:t>
      </w:r>
    </w:p>
    <w:p>
      <w:pPr>
        <w:spacing w:after="0" w:line="153" w:lineRule="exact"/>
        <w:rPr>
          <w:sz w:val="20"/>
          <w:szCs w:val="20"/>
          <w:color w:val="auto"/>
        </w:rPr>
      </w:pPr>
    </w:p>
    <w:p>
      <w:pPr>
        <w:ind w:left="1000" w:right="179"/>
        <w:spacing w:after="0" w:line="273" w:lineRule="auto"/>
        <w:rPr>
          <w:sz w:val="20"/>
          <w:szCs w:val="20"/>
          <w:color w:val="auto"/>
        </w:rPr>
      </w:pPr>
      <w:r>
        <w:rPr>
          <w:rFonts w:ascii="Arial" w:cs="Arial" w:eastAsia="Arial" w:hAnsi="Arial"/>
          <w:sz w:val="18"/>
          <w:szCs w:val="18"/>
          <w:color w:val="auto"/>
        </w:rPr>
        <w:t>The SEC requires net income to be included as a performance measure in the Pay Versus Performance Table. However, the Company does not use net income in its compensation incentive plan design or to determine compensation levels. Changes in CAP values over fiscal years 2021 through 2024 generally align with changes in the Company’s net income over this same period.</w:t>
      </w:r>
    </w:p>
    <w:p>
      <w:pPr>
        <w:spacing w:after="0" w:line="93"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CAP vs. Adjusted Operating Income Dollars</w:t>
      </w:r>
    </w:p>
    <w:p>
      <w:pPr>
        <w:spacing w:after="0" w:line="153" w:lineRule="exact"/>
        <w:rPr>
          <w:sz w:val="20"/>
          <w:szCs w:val="20"/>
          <w:color w:val="auto"/>
        </w:rPr>
      </w:pPr>
    </w:p>
    <w:p>
      <w:pPr>
        <w:ind w:left="1000" w:right="479"/>
        <w:spacing w:after="0" w:line="271" w:lineRule="auto"/>
        <w:rPr>
          <w:sz w:val="20"/>
          <w:szCs w:val="20"/>
          <w:color w:val="auto"/>
        </w:rPr>
      </w:pPr>
      <w:r>
        <w:rPr>
          <w:rFonts w:ascii="Arial" w:cs="Arial" w:eastAsia="Arial" w:hAnsi="Arial"/>
          <w:sz w:val="18"/>
          <w:szCs w:val="18"/>
          <w:color w:val="auto"/>
        </w:rPr>
        <w:t>Adjusted OI$ (the Company-Selected Measure) is a non-GAAP measure, and the achievement of certain Adjusted OI$ targets was one of the metrics used in calculating the NEOs’ annual cash incentive awards for each of the fiscal years 2021 through 2024. Changes in CAP values for the PEO and non-PEO NEOs over fiscal years 2021 through 2024 generally align with changes in the Company’s Adjusted OI$ over this same period.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26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480" w:type="dxa"/>
            <w:vAlign w:val="bottom"/>
            <w:vMerge w:val="restart"/>
          </w:tcPr>
          <w:p>
            <w:pPr>
              <w:ind w:left="2920"/>
              <w:spacing w:after="0"/>
              <w:rPr>
                <w:sz w:val="20"/>
                <w:szCs w:val="20"/>
                <w:color w:val="auto"/>
              </w:rPr>
            </w:pPr>
            <w:r>
              <w:rPr>
                <w:rFonts w:ascii="Arial" w:cs="Arial" w:eastAsia="Arial" w:hAnsi="Arial"/>
                <w:sz w:val="14"/>
                <w:szCs w:val="14"/>
                <w:color w:val="auto"/>
                <w:w w:val="98"/>
              </w:rPr>
              <w:t>Pay Versus Performance</w:t>
            </w:r>
          </w:p>
        </w:tc>
        <w:tc>
          <w:tcPr>
            <w:tcW w:w="0" w:type="dxa"/>
            <w:vAlign w:val="bottom"/>
          </w:tcPr>
          <w:p>
            <w:pPr>
              <w:spacing w:after="0"/>
              <w:rPr>
                <w:sz w:val="1"/>
                <w:szCs w:val="1"/>
                <w:color w:val="auto"/>
              </w:rPr>
            </w:pPr>
          </w:p>
        </w:tc>
      </w:tr>
      <w:tr>
        <w:trPr>
          <w:trHeight w:val="89"/>
        </w:trPr>
        <w:tc>
          <w:tcPr>
            <w:tcW w:w="52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260" w:type="dxa"/>
            <w:vAlign w:val="bottom"/>
            <w:vMerge w:val="continue"/>
          </w:tcPr>
          <w:p>
            <w:pPr>
              <w:spacing w:after="0"/>
              <w:rPr>
                <w:sz w:val="11"/>
                <w:szCs w:val="11"/>
                <w:color w:val="auto"/>
              </w:rPr>
            </w:pPr>
          </w:p>
        </w:tc>
        <w:tc>
          <w:tcPr>
            <w:tcW w:w="4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Company TSR vs. Peer Group TSR</w:t>
      </w:r>
    </w:p>
    <w:p>
      <w:pPr>
        <w:spacing w:after="0" w:line="153"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color w:val="auto"/>
        </w:rPr>
        <w:t>Both the Company TSR and Peer Group TSR generally increased over fiscal years 2021 through 2024. The design of PSU awards granted in fiscal years 2019, 2020, 2023 and 2024 included modifiers based on Company TSR against a peer group TSR to provide a level of alignment between executive compensation and TSR. However, the peer groups used under these modifiers varied between PSU awards and are different than the selected Peer Group reflected in the Pay Versus Performance Table, which consists of fewer companies. Please see the “Compensation Discussion and Analysis” section of this Proxy Statement for more information on the peer groups used under the modifiers.</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MOST IMPORTANT FINANCIAL PERFORMANCE MEASURES FOR FISCAL 2024</w:t>
      </w:r>
    </w:p>
    <w:p>
      <w:pPr>
        <w:spacing w:after="0" w:line="162" w:lineRule="exact"/>
        <w:rPr>
          <w:sz w:val="20"/>
          <w:szCs w:val="20"/>
          <w:color w:val="auto"/>
        </w:rPr>
      </w:pPr>
    </w:p>
    <w:p>
      <w:pPr>
        <w:ind w:left="1000" w:right="299"/>
        <w:spacing w:after="0" w:line="262" w:lineRule="auto"/>
        <w:rPr>
          <w:sz w:val="20"/>
          <w:szCs w:val="20"/>
          <w:color w:val="auto"/>
        </w:rPr>
      </w:pPr>
      <w:r>
        <w:rPr>
          <w:rFonts w:ascii="Arial" w:cs="Arial" w:eastAsia="Arial" w:hAnsi="Arial"/>
          <w:sz w:val="18"/>
          <w:szCs w:val="18"/>
          <w:color w:val="auto"/>
        </w:rPr>
        <w:t>Listed below are the most important financial performance measures used by the Company during fiscal 2024 to link NEO compensation to Company performance. These measures are not ranked by relative importance. Please see “Compensation Discussion and Analysis — Elements of Executive Compensation” for additional information regarding these performance measures.</w:t>
      </w:r>
    </w:p>
    <w:p>
      <w:pPr>
        <w:spacing w:after="0" w:line="155" w:lineRule="exact"/>
        <w:rPr>
          <w:sz w:val="20"/>
          <w:szCs w:val="20"/>
          <w:color w:val="auto"/>
        </w:rPr>
      </w:pPr>
    </w:p>
    <w:tbl>
      <w:tblPr>
        <w:tblLayout w:type="fixed"/>
        <w:tblInd w:w="1360" w:type="dxa"/>
        <w:tblCellMar>
          <w:top w:w="0" w:type="dxa"/>
          <w:left w:w="0" w:type="dxa"/>
          <w:bottom w:w="0" w:type="dxa"/>
          <w:right w:w="0" w:type="dxa"/>
        </w:tblCellMar>
      </w:tblPr>
      <w:tr>
        <w:trPr>
          <w:trHeight w:val="193"/>
        </w:trPr>
        <w:tc>
          <w:tcPr>
            <w:tcW w:w="360" w:type="dxa"/>
            <w:vAlign w:val="bottom"/>
            <w:shd w:val="clear" w:color="auto" w:fill="53C072"/>
          </w:tcPr>
          <w:p>
            <w:pPr>
              <w:spacing w:after="0"/>
              <w:rPr>
                <w:sz w:val="16"/>
                <w:szCs w:val="16"/>
                <w:color w:val="auto"/>
              </w:rPr>
            </w:pPr>
          </w:p>
        </w:tc>
        <w:tc>
          <w:tcPr>
            <w:tcW w:w="730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FFFFF"/>
              </w:rPr>
              <w:t>FY24 Most Important Financial Performance Measures</w:t>
            </w:r>
          </w:p>
        </w:tc>
        <w:tc>
          <w:tcPr>
            <w:tcW w:w="360" w:type="dxa"/>
            <w:vAlign w:val="bottom"/>
            <w:shd w:val="clear" w:color="auto" w:fill="53C072"/>
          </w:tcPr>
          <w:p>
            <w:pPr>
              <w:spacing w:after="0"/>
              <w:rPr>
                <w:sz w:val="16"/>
                <w:szCs w:val="16"/>
                <w:color w:val="auto"/>
              </w:rPr>
            </w:pPr>
          </w:p>
        </w:tc>
      </w:tr>
      <w:tr>
        <w:trPr>
          <w:trHeight w:val="185"/>
        </w:trPr>
        <w:tc>
          <w:tcPr>
            <w:tcW w:w="360" w:type="dxa"/>
            <w:vAlign w:val="bottom"/>
            <w:shd w:val="clear" w:color="auto" w:fill="53C072"/>
          </w:tcPr>
          <w:p>
            <w:pPr>
              <w:ind w:left="40"/>
              <w:spacing w:after="0"/>
              <w:rPr>
                <w:sz w:val="20"/>
                <w:szCs w:val="20"/>
                <w:color w:val="auto"/>
              </w:rPr>
            </w:pPr>
            <w:r>
              <w:rPr>
                <w:rFonts w:ascii="Arial" w:cs="Arial" w:eastAsia="Arial" w:hAnsi="Arial"/>
                <w:sz w:val="14"/>
                <w:szCs w:val="14"/>
                <w:b w:val="1"/>
                <w:bCs w:val="1"/>
                <w:color w:val="FFFFFF"/>
              </w:rPr>
              <w:t>​</w:t>
            </w:r>
          </w:p>
        </w:tc>
        <w:tc>
          <w:tcPr>
            <w:tcW w:w="7300" w:type="dxa"/>
            <w:vAlign w:val="bottom"/>
            <w:shd w:val="clear" w:color="auto" w:fill="53C072"/>
          </w:tcPr>
          <w:p>
            <w:pPr>
              <w:jc w:val="center"/>
              <w:spacing w:after="0"/>
              <w:rPr>
                <w:sz w:val="20"/>
                <w:szCs w:val="20"/>
                <w:color w:val="auto"/>
              </w:rPr>
            </w:pPr>
            <w:r>
              <w:rPr>
                <w:rFonts w:ascii="Arial" w:cs="Arial" w:eastAsia="Arial" w:hAnsi="Arial"/>
                <w:sz w:val="14"/>
                <w:szCs w:val="14"/>
                <w:b w:val="1"/>
                <w:bCs w:val="1"/>
                <w:color w:val="FFFFFF"/>
              </w:rPr>
              <w:t>(Unranked)</w:t>
            </w:r>
          </w:p>
        </w:tc>
        <w:tc>
          <w:tcPr>
            <w:tcW w:w="360" w:type="dxa"/>
            <w:vAlign w:val="bottom"/>
            <w:shd w:val="clear" w:color="auto" w:fill="53C072"/>
          </w:tcPr>
          <w:p>
            <w:pPr>
              <w:ind w:left="300"/>
              <w:spacing w:after="0"/>
              <w:rPr>
                <w:sz w:val="20"/>
                <w:szCs w:val="20"/>
                <w:color w:val="auto"/>
              </w:rPr>
            </w:pPr>
            <w:r>
              <w:rPr>
                <w:rFonts w:ascii="Arial" w:cs="Arial" w:eastAsia="Arial" w:hAnsi="Arial"/>
                <w:sz w:val="14"/>
                <w:szCs w:val="14"/>
                <w:b w:val="1"/>
                <w:bCs w:val="1"/>
                <w:color w:val="FFFFFF"/>
              </w:rPr>
              <w:t>​</w:t>
            </w:r>
          </w:p>
        </w:tc>
      </w:tr>
      <w:tr>
        <w:trPr>
          <w:trHeight w:val="284"/>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300" w:type="dxa"/>
            <w:vAlign w:val="bottom"/>
          </w:tcPr>
          <w:p>
            <w:pPr>
              <w:jc w:val="center"/>
              <w:spacing w:after="0"/>
              <w:rPr>
                <w:sz w:val="20"/>
                <w:szCs w:val="20"/>
                <w:color w:val="auto"/>
              </w:rPr>
            </w:pPr>
            <w:r>
              <w:rPr>
                <w:rFonts w:ascii="Arial" w:cs="Arial" w:eastAsia="Arial" w:hAnsi="Arial"/>
                <w:sz w:val="18"/>
                <w:szCs w:val="18"/>
                <w:color w:val="auto"/>
                <w:w w:val="96"/>
              </w:rPr>
              <w:t>Adjusted Operating Income Dollars</w:t>
            </w:r>
            <w:r>
              <w:rPr>
                <w:rFonts w:ascii="Arial" w:cs="Arial" w:eastAsia="Arial" w:hAnsi="Arial"/>
                <w:sz w:val="23"/>
                <w:szCs w:val="23"/>
                <w:color w:val="auto"/>
                <w:w w:val="96"/>
                <w:vertAlign w:val="superscript"/>
              </w:rPr>
              <w:t>(1)</w:t>
            </w:r>
          </w:p>
        </w:tc>
        <w:tc>
          <w:tcPr>
            <w:tcW w:w="3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83"/>
        </w:trPr>
        <w:tc>
          <w:tcPr>
            <w:tcW w:w="36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730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5"/>
              </w:rPr>
              <w:t>Return on Working Capital</w:t>
            </w:r>
            <w:r>
              <w:rPr>
                <w:rFonts w:ascii="Arial" w:cs="Arial" w:eastAsia="Arial" w:hAnsi="Arial"/>
                <w:sz w:val="23"/>
                <w:szCs w:val="23"/>
                <w:color w:val="auto"/>
                <w:w w:val="95"/>
                <w:vertAlign w:val="superscript"/>
              </w:rPr>
              <w:t>(1)</w:t>
            </w:r>
          </w:p>
        </w:tc>
        <w:tc>
          <w:tcPr>
            <w:tcW w:w="360" w:type="dxa"/>
            <w:vAlign w:val="bottom"/>
            <w:shd w:val="clear" w:color="auto" w:fill="CBECD5"/>
          </w:tcPr>
          <w:p>
            <w:pPr>
              <w:ind w:left="300"/>
              <w:spacing w:after="0"/>
              <w:rPr>
                <w:sz w:val="20"/>
                <w:szCs w:val="20"/>
                <w:color w:val="auto"/>
              </w:rPr>
            </w:pPr>
            <w:r>
              <w:rPr>
                <w:rFonts w:ascii="Arial" w:cs="Arial" w:eastAsia="Arial" w:hAnsi="Arial"/>
                <w:sz w:val="18"/>
                <w:szCs w:val="18"/>
                <w:color w:val="auto"/>
              </w:rPr>
              <w:t>​</w:t>
            </w:r>
          </w:p>
        </w:tc>
      </w:tr>
      <w:tr>
        <w:trPr>
          <w:trHeight w:val="283"/>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300" w:type="dxa"/>
            <w:vAlign w:val="bottom"/>
          </w:tcPr>
          <w:p>
            <w:pPr>
              <w:jc w:val="center"/>
              <w:spacing w:after="0"/>
              <w:rPr>
                <w:sz w:val="20"/>
                <w:szCs w:val="20"/>
                <w:color w:val="auto"/>
              </w:rPr>
            </w:pPr>
            <w:r>
              <w:rPr>
                <w:rFonts w:ascii="Arial" w:cs="Arial" w:eastAsia="Arial" w:hAnsi="Arial"/>
                <w:sz w:val="18"/>
                <w:szCs w:val="18"/>
                <w:color w:val="auto"/>
                <w:w w:val="97"/>
              </w:rPr>
              <w:t>Market Share (Relative Organic Sales Growth of AVT vs Core Business Competitor)</w:t>
            </w:r>
            <w:r>
              <w:rPr>
                <w:rFonts w:ascii="Arial" w:cs="Arial" w:eastAsia="Arial" w:hAnsi="Arial"/>
                <w:sz w:val="23"/>
                <w:szCs w:val="23"/>
                <w:color w:val="auto"/>
                <w:w w:val="97"/>
                <w:vertAlign w:val="superscript"/>
              </w:rPr>
              <w:t>(1)</w:t>
            </w:r>
          </w:p>
        </w:tc>
        <w:tc>
          <w:tcPr>
            <w:tcW w:w="3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83"/>
        </w:trPr>
        <w:tc>
          <w:tcPr>
            <w:tcW w:w="360" w:type="dxa"/>
            <w:vAlign w:val="bottom"/>
            <w:shd w:val="clear" w:color="auto" w:fill="CBECD5"/>
          </w:tcPr>
          <w:p>
            <w:pPr>
              <w:ind w:left="40"/>
              <w:spacing w:after="0"/>
              <w:rPr>
                <w:sz w:val="20"/>
                <w:szCs w:val="20"/>
                <w:color w:val="auto"/>
              </w:rPr>
            </w:pPr>
            <w:r>
              <w:rPr>
                <w:rFonts w:ascii="Arial" w:cs="Arial" w:eastAsia="Arial" w:hAnsi="Arial"/>
                <w:sz w:val="18"/>
                <w:szCs w:val="18"/>
                <w:color w:val="auto"/>
              </w:rPr>
              <w:t>​</w:t>
            </w:r>
          </w:p>
        </w:tc>
        <w:tc>
          <w:tcPr>
            <w:tcW w:w="7300" w:type="dxa"/>
            <w:vAlign w:val="bottom"/>
            <w:shd w:val="clear" w:color="auto" w:fill="CBECD5"/>
          </w:tcPr>
          <w:p>
            <w:pPr>
              <w:jc w:val="center"/>
              <w:spacing w:after="0"/>
              <w:rPr>
                <w:sz w:val="20"/>
                <w:szCs w:val="20"/>
                <w:color w:val="auto"/>
              </w:rPr>
            </w:pPr>
            <w:r>
              <w:rPr>
                <w:rFonts w:ascii="Arial" w:cs="Arial" w:eastAsia="Arial" w:hAnsi="Arial"/>
                <w:sz w:val="18"/>
                <w:szCs w:val="18"/>
                <w:color w:val="auto"/>
                <w:w w:val="96"/>
              </w:rPr>
              <w:t>Relative Adjusted Earnings Per Share Growth</w:t>
            </w:r>
            <w:r>
              <w:rPr>
                <w:rFonts w:ascii="Arial" w:cs="Arial" w:eastAsia="Arial" w:hAnsi="Arial"/>
                <w:sz w:val="23"/>
                <w:szCs w:val="23"/>
                <w:color w:val="auto"/>
                <w:w w:val="96"/>
                <w:vertAlign w:val="superscript"/>
              </w:rPr>
              <w:t>(2)</w:t>
            </w:r>
          </w:p>
        </w:tc>
        <w:tc>
          <w:tcPr>
            <w:tcW w:w="360" w:type="dxa"/>
            <w:vAlign w:val="bottom"/>
            <w:shd w:val="clear" w:color="auto" w:fill="CBECD5"/>
          </w:tcPr>
          <w:p>
            <w:pPr>
              <w:ind w:left="300"/>
              <w:spacing w:after="0"/>
              <w:rPr>
                <w:sz w:val="20"/>
                <w:szCs w:val="20"/>
                <w:color w:val="auto"/>
              </w:rPr>
            </w:pPr>
            <w:r>
              <w:rPr>
                <w:rFonts w:ascii="Arial" w:cs="Arial" w:eastAsia="Arial" w:hAnsi="Arial"/>
                <w:sz w:val="18"/>
                <w:szCs w:val="18"/>
                <w:color w:val="auto"/>
              </w:rPr>
              <w:t>​</w:t>
            </w:r>
          </w:p>
        </w:tc>
      </w:tr>
      <w:tr>
        <w:trPr>
          <w:trHeight w:val="284"/>
        </w:trPr>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7300" w:type="dxa"/>
            <w:vAlign w:val="bottom"/>
          </w:tcPr>
          <w:p>
            <w:pPr>
              <w:jc w:val="center"/>
              <w:spacing w:after="0"/>
              <w:rPr>
                <w:sz w:val="20"/>
                <w:szCs w:val="20"/>
                <w:color w:val="auto"/>
              </w:rPr>
            </w:pPr>
            <w:r>
              <w:rPr>
                <w:rFonts w:ascii="Arial" w:cs="Arial" w:eastAsia="Arial" w:hAnsi="Arial"/>
                <w:sz w:val="18"/>
                <w:szCs w:val="18"/>
                <w:color w:val="auto"/>
                <w:w w:val="97"/>
              </w:rPr>
              <w:t>Adjusted Return on Invested Capital exceeding Weighted Average Cost of Capital</w:t>
            </w:r>
            <w:r>
              <w:rPr>
                <w:rFonts w:ascii="Arial" w:cs="Arial" w:eastAsia="Arial" w:hAnsi="Arial"/>
                <w:sz w:val="23"/>
                <w:szCs w:val="23"/>
                <w:color w:val="auto"/>
                <w:w w:val="97"/>
                <w:vertAlign w:val="superscript"/>
              </w:rPr>
              <w:t>(2)</w:t>
            </w:r>
          </w:p>
        </w:tc>
        <w:tc>
          <w:tcPr>
            <w:tcW w:w="36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317"/>
        </w:trPr>
        <w:tc>
          <w:tcPr>
            <w:tcW w:w="360" w:type="dxa"/>
            <w:vAlign w:val="bottom"/>
            <w:tcBorders>
              <w:bottom w:val="single" w:sz="8" w:color="53C072"/>
            </w:tcBorders>
            <w:shd w:val="clear" w:color="auto" w:fill="CBECD5"/>
          </w:tcPr>
          <w:p>
            <w:pPr>
              <w:ind w:left="40"/>
              <w:spacing w:after="0"/>
              <w:rPr>
                <w:sz w:val="20"/>
                <w:szCs w:val="20"/>
                <w:color w:val="auto"/>
              </w:rPr>
            </w:pPr>
            <w:r>
              <w:rPr>
                <w:rFonts w:ascii="Arial" w:cs="Arial" w:eastAsia="Arial" w:hAnsi="Arial"/>
                <w:sz w:val="18"/>
                <w:szCs w:val="18"/>
                <w:color w:val="auto"/>
              </w:rPr>
              <w:t>​</w:t>
            </w:r>
          </w:p>
        </w:tc>
        <w:tc>
          <w:tcPr>
            <w:tcW w:w="7300" w:type="dxa"/>
            <w:vAlign w:val="bottom"/>
            <w:tcBorders>
              <w:bottom w:val="single" w:sz="8" w:color="53C072"/>
            </w:tcBorders>
            <w:shd w:val="clear" w:color="auto" w:fill="CBECD5"/>
          </w:tcPr>
          <w:p>
            <w:pPr>
              <w:jc w:val="center"/>
              <w:spacing w:after="0"/>
              <w:rPr>
                <w:sz w:val="20"/>
                <w:szCs w:val="20"/>
                <w:color w:val="auto"/>
              </w:rPr>
            </w:pPr>
            <w:r>
              <w:rPr>
                <w:rFonts w:ascii="Arial" w:cs="Arial" w:eastAsia="Arial" w:hAnsi="Arial"/>
                <w:sz w:val="18"/>
                <w:szCs w:val="18"/>
                <w:color w:val="auto"/>
                <w:w w:val="96"/>
              </w:rPr>
              <w:t>Relative Total Shareholder Return</w:t>
            </w:r>
            <w:r>
              <w:rPr>
                <w:rFonts w:ascii="Arial" w:cs="Arial" w:eastAsia="Arial" w:hAnsi="Arial"/>
                <w:sz w:val="23"/>
                <w:szCs w:val="23"/>
                <w:color w:val="auto"/>
                <w:w w:val="96"/>
                <w:vertAlign w:val="superscript"/>
              </w:rPr>
              <w:t>(2)</w:t>
            </w:r>
          </w:p>
        </w:tc>
        <w:tc>
          <w:tcPr>
            <w:tcW w:w="360" w:type="dxa"/>
            <w:vAlign w:val="bottom"/>
            <w:tcBorders>
              <w:bottom w:val="single" w:sz="8" w:color="53C072"/>
            </w:tcBorders>
            <w:shd w:val="clear" w:color="auto" w:fill="CBECD5"/>
          </w:tcPr>
          <w:p>
            <w:pPr>
              <w:ind w:left="300"/>
              <w:spacing w:after="0"/>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ind w:left="1780" w:hanging="718"/>
        <w:spacing w:after="0"/>
        <w:tabs>
          <w:tab w:leader="none" w:pos="1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Measure used in the fiscal 2024 annual cash incentive awards for executive officers.</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Measure used in the fiscal 2024 PSU awards for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70     </w:t>
      </w:r>
      <w:r>
        <w:rPr>
          <w:sz w:val="1"/>
          <w:szCs w:val="1"/>
          <w:color w:val="auto"/>
        </w:rPr>
        <w:drawing>
          <wp:inline distT="0" distB="0" distL="0" distR="0">
            <wp:extent cx="1242695" cy="24003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9944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549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740" w:right="280"/>
        <w:spacing w:after="0" w:line="300" w:lineRule="auto"/>
        <w:rPr>
          <w:sz w:val="20"/>
          <w:szCs w:val="20"/>
          <w:color w:val="auto"/>
        </w:rPr>
      </w:pPr>
      <w:r>
        <w:rPr>
          <w:rFonts w:ascii="Arial" w:cs="Arial" w:eastAsia="Arial" w:hAnsi="Arial"/>
          <w:sz w:val="37"/>
          <w:szCs w:val="37"/>
          <w:b w:val="1"/>
          <w:bCs w:val="1"/>
          <w:color w:val="FEFEFE"/>
        </w:rPr>
        <w:t>PROPOSAL 3: RATIFICATION OF APPOINTMENT OF INDEPENDENT REGISTERED PUBLIC ACCOUNTING FIRM</w:t>
      </w:r>
      <w:r>
        <w:rPr>
          <w:rFonts w:ascii="Times New Roman" w:cs="Times New Roman" w:eastAsia="Times New Roman" w:hAnsi="Times New Roman"/>
          <w:sz w:val="16"/>
          <w:szCs w:val="16"/>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165735</wp:posOffset>
            </wp:positionV>
            <wp:extent cx="5554980" cy="7715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54980" cy="771525"/>
                    </a:xfrm>
                    <a:prstGeom prst="rect">
                      <a:avLst/>
                    </a:prstGeom>
                    <a:noFill/>
                  </pic:spPr>
                </pic:pic>
              </a:graphicData>
            </a:graphic>
          </wp:anchor>
        </w:drawing>
      </w:r>
    </w:p>
    <w:p>
      <w:pPr>
        <w:spacing w:after="0" w:line="303"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FEFEFE"/>
        </w:rPr>
        <w:t>RECOMMENDATION OF THE BOARD</w:t>
      </w:r>
    </w:p>
    <w:p>
      <w:pPr>
        <w:spacing w:after="0" w:line="318" w:lineRule="exact"/>
        <w:rPr>
          <w:sz w:val="20"/>
          <w:szCs w:val="20"/>
          <w:color w:val="auto"/>
        </w:rPr>
      </w:pPr>
    </w:p>
    <w:p>
      <w:pPr>
        <w:jc w:val="both"/>
        <w:ind w:left="2480" w:right="479"/>
        <w:spacing w:after="0" w:line="328" w:lineRule="auto"/>
        <w:rPr>
          <w:sz w:val="20"/>
          <w:szCs w:val="20"/>
          <w:color w:val="auto"/>
        </w:rPr>
      </w:pPr>
      <w:r>
        <w:rPr>
          <w:rFonts w:ascii="Arial" w:cs="Arial" w:eastAsia="Arial" w:hAnsi="Arial"/>
          <w:sz w:val="17"/>
          <w:szCs w:val="17"/>
          <w:b w:val="1"/>
          <w:bCs w:val="1"/>
          <w:color w:val="auto"/>
        </w:rPr>
        <w:t xml:space="preserve">The Board recommends that shareholders vote </w:t>
      </w:r>
      <w:r>
        <w:rPr>
          <w:rFonts w:ascii="Arial" w:cs="Arial" w:eastAsia="Arial" w:hAnsi="Arial"/>
          <w:sz w:val="17"/>
          <w:szCs w:val="17"/>
          <w:b w:val="1"/>
          <w:bCs w:val="1"/>
          <w:color w:val="53C072"/>
        </w:rPr>
        <w:t>FOR</w:t>
      </w:r>
      <w:r>
        <w:rPr>
          <w:rFonts w:ascii="Arial" w:cs="Arial" w:eastAsia="Arial" w:hAnsi="Arial"/>
          <w:sz w:val="17"/>
          <w:szCs w:val="17"/>
          <w:b w:val="1"/>
          <w:bCs w:val="1"/>
          <w:color w:val="auto"/>
        </w:rPr>
        <w:t xml:space="preserve"> the ratification of KPMG LLP as the Company’s independent registered public accounting firm for Fiscal 2025.</w:t>
      </w:r>
    </w:p>
    <w:p>
      <w:pPr>
        <w:spacing w:after="0" w:line="28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Description of Proposal</w:t>
      </w:r>
    </w:p>
    <w:p>
      <w:pPr>
        <w:spacing w:after="0" w:line="162" w:lineRule="exact"/>
        <w:rPr>
          <w:sz w:val="20"/>
          <w:szCs w:val="20"/>
          <w:color w:val="auto"/>
        </w:rPr>
      </w:pPr>
    </w:p>
    <w:p>
      <w:pPr>
        <w:ind w:left="1000" w:right="979"/>
        <w:spacing w:after="0" w:line="287" w:lineRule="auto"/>
        <w:rPr>
          <w:sz w:val="20"/>
          <w:szCs w:val="20"/>
          <w:color w:val="auto"/>
        </w:rPr>
      </w:pPr>
      <w:r>
        <w:rPr>
          <w:rFonts w:ascii="Arial" w:cs="Arial" w:eastAsia="Arial" w:hAnsi="Arial"/>
          <w:sz w:val="18"/>
          <w:szCs w:val="18"/>
          <w:color w:val="auto"/>
        </w:rPr>
        <w:t>The Audit Committee has approved the selection of KPMG LLP (“KPMG”) to serve as the Company’s independent registered public accounting firm for the fiscal year ending June 28, 2025.</w:t>
      </w:r>
    </w:p>
    <w:p>
      <w:pPr>
        <w:spacing w:after="0" w:line="72" w:lineRule="exact"/>
        <w:rPr>
          <w:sz w:val="20"/>
          <w:szCs w:val="20"/>
          <w:color w:val="auto"/>
        </w:rPr>
      </w:pPr>
    </w:p>
    <w:p>
      <w:pPr>
        <w:ind w:left="1000" w:right="499"/>
        <w:spacing w:after="0" w:line="287" w:lineRule="auto"/>
        <w:rPr>
          <w:sz w:val="20"/>
          <w:szCs w:val="20"/>
          <w:color w:val="auto"/>
        </w:rPr>
      </w:pPr>
      <w:r>
        <w:rPr>
          <w:rFonts w:ascii="Arial" w:cs="Arial" w:eastAsia="Arial" w:hAnsi="Arial"/>
          <w:sz w:val="18"/>
          <w:szCs w:val="18"/>
          <w:color w:val="auto"/>
        </w:rPr>
        <w:t>In determining whether to reappoint the independent registered public accounting firm, the Audit Committee annually considers several factors including:</w:t>
      </w:r>
    </w:p>
    <w:p>
      <w:pPr>
        <w:spacing w:after="0" w:line="85" w:lineRule="exact"/>
        <w:rPr>
          <w:sz w:val="20"/>
          <w:szCs w:val="20"/>
          <w:color w:val="auto"/>
        </w:rPr>
      </w:pPr>
    </w:p>
    <w:p>
      <w:pPr>
        <w:ind w:left="1720" w:hanging="370"/>
        <w:spacing w:after="0"/>
        <w:tabs>
          <w:tab w:leader="none" w:pos="1720" w:val="left"/>
        </w:tabs>
        <w:numPr>
          <w:ilvl w:val="0"/>
          <w:numId w:val="67"/>
        </w:numPr>
        <w:rPr>
          <w:rFonts w:ascii="Arial" w:cs="Arial" w:eastAsia="Arial" w:hAnsi="Arial"/>
          <w:sz w:val="18"/>
          <w:szCs w:val="18"/>
          <w:color w:val="53C072"/>
        </w:rPr>
      </w:pPr>
      <w:r>
        <w:rPr>
          <w:rFonts w:ascii="Arial" w:cs="Arial" w:eastAsia="Arial" w:hAnsi="Arial"/>
          <w:sz w:val="18"/>
          <w:szCs w:val="18"/>
          <w:color w:val="auto"/>
        </w:rPr>
        <w:t>the firm’s independence and objectivity;</w:t>
      </w:r>
    </w:p>
    <w:p>
      <w:pPr>
        <w:spacing w:after="0" w:line="157" w:lineRule="exact"/>
        <w:rPr>
          <w:rFonts w:ascii="Arial" w:cs="Arial" w:eastAsia="Arial" w:hAnsi="Arial"/>
          <w:sz w:val="18"/>
          <w:szCs w:val="18"/>
          <w:color w:val="53C072"/>
        </w:rPr>
      </w:pPr>
    </w:p>
    <w:p>
      <w:pPr>
        <w:ind w:left="1720" w:right="539" w:hanging="370"/>
        <w:spacing w:after="0" w:line="287" w:lineRule="auto"/>
        <w:tabs>
          <w:tab w:leader="none" w:pos="1720" w:val="left"/>
        </w:tabs>
        <w:numPr>
          <w:ilvl w:val="0"/>
          <w:numId w:val="67"/>
        </w:numPr>
        <w:rPr>
          <w:rFonts w:ascii="Arial" w:cs="Arial" w:eastAsia="Arial" w:hAnsi="Arial"/>
          <w:sz w:val="18"/>
          <w:szCs w:val="18"/>
          <w:color w:val="53C072"/>
        </w:rPr>
      </w:pPr>
      <w:r>
        <w:rPr>
          <w:rFonts w:ascii="Arial" w:cs="Arial" w:eastAsia="Arial" w:hAnsi="Arial"/>
          <w:sz w:val="18"/>
          <w:szCs w:val="18"/>
          <w:color w:val="auto"/>
        </w:rPr>
        <w:t>the firm’s capability and expertise in handling the breadth and complexity of the Company’s global operations, including the expertise and capability of the lead audit partner;</w:t>
      </w:r>
    </w:p>
    <w:p>
      <w:pPr>
        <w:spacing w:after="0" w:line="71" w:lineRule="exact"/>
        <w:rPr>
          <w:rFonts w:ascii="Arial" w:cs="Arial" w:eastAsia="Arial" w:hAnsi="Arial"/>
          <w:sz w:val="18"/>
          <w:szCs w:val="18"/>
          <w:color w:val="53C072"/>
        </w:rPr>
      </w:pPr>
    </w:p>
    <w:p>
      <w:pPr>
        <w:ind w:left="1720" w:right="359" w:hanging="370"/>
        <w:spacing w:after="0" w:line="287" w:lineRule="auto"/>
        <w:tabs>
          <w:tab w:leader="none" w:pos="1720" w:val="left"/>
        </w:tabs>
        <w:numPr>
          <w:ilvl w:val="0"/>
          <w:numId w:val="67"/>
        </w:numPr>
        <w:rPr>
          <w:rFonts w:ascii="Arial" w:cs="Arial" w:eastAsia="Arial" w:hAnsi="Arial"/>
          <w:sz w:val="18"/>
          <w:szCs w:val="18"/>
          <w:color w:val="53C072"/>
        </w:rPr>
      </w:pPr>
      <w:r>
        <w:rPr>
          <w:rFonts w:ascii="Arial" w:cs="Arial" w:eastAsia="Arial" w:hAnsi="Arial"/>
          <w:sz w:val="18"/>
          <w:szCs w:val="18"/>
          <w:color w:val="auto"/>
        </w:rPr>
        <w:t>historical and recent performance, including the extent and quality of the firm’s communications with the Audit Committee, and management’s views of the firm’s overall performance;</w:t>
      </w:r>
    </w:p>
    <w:p>
      <w:pPr>
        <w:spacing w:after="0" w:line="85" w:lineRule="exact"/>
        <w:rPr>
          <w:rFonts w:ascii="Arial" w:cs="Arial" w:eastAsia="Arial" w:hAnsi="Arial"/>
          <w:sz w:val="18"/>
          <w:szCs w:val="18"/>
          <w:color w:val="53C072"/>
        </w:rPr>
      </w:pPr>
    </w:p>
    <w:p>
      <w:pPr>
        <w:ind w:left="1720" w:right="259" w:hanging="370"/>
        <w:spacing w:after="0" w:line="287" w:lineRule="auto"/>
        <w:tabs>
          <w:tab w:leader="none" w:pos="1720" w:val="left"/>
        </w:tabs>
        <w:numPr>
          <w:ilvl w:val="0"/>
          <w:numId w:val="67"/>
        </w:numPr>
        <w:rPr>
          <w:rFonts w:ascii="Arial" w:cs="Arial" w:eastAsia="Arial" w:hAnsi="Arial"/>
          <w:sz w:val="18"/>
          <w:szCs w:val="18"/>
          <w:color w:val="53C072"/>
        </w:rPr>
      </w:pPr>
      <w:r>
        <w:rPr>
          <w:rFonts w:ascii="Arial" w:cs="Arial" w:eastAsia="Arial" w:hAnsi="Arial"/>
          <w:sz w:val="18"/>
          <w:szCs w:val="18"/>
          <w:color w:val="auto"/>
        </w:rPr>
        <w:t>data related to audit quality and performance, including recent Public Company Accounting Oversight Board inspection reports on the firm; and</w:t>
      </w:r>
    </w:p>
    <w:p>
      <w:pPr>
        <w:spacing w:after="0" w:line="85" w:lineRule="exact"/>
        <w:rPr>
          <w:rFonts w:ascii="Arial" w:cs="Arial" w:eastAsia="Arial" w:hAnsi="Arial"/>
          <w:sz w:val="18"/>
          <w:szCs w:val="18"/>
          <w:color w:val="53C072"/>
        </w:rPr>
      </w:pPr>
    </w:p>
    <w:p>
      <w:pPr>
        <w:ind w:left="1720" w:hanging="370"/>
        <w:spacing w:after="0"/>
        <w:tabs>
          <w:tab w:leader="none" w:pos="1720" w:val="left"/>
        </w:tabs>
        <w:numPr>
          <w:ilvl w:val="0"/>
          <w:numId w:val="67"/>
        </w:numPr>
        <w:rPr>
          <w:rFonts w:ascii="Arial" w:cs="Arial" w:eastAsia="Arial" w:hAnsi="Arial"/>
          <w:sz w:val="18"/>
          <w:szCs w:val="18"/>
          <w:color w:val="53C072"/>
        </w:rPr>
      </w:pPr>
      <w:r>
        <w:rPr>
          <w:rFonts w:ascii="Arial" w:cs="Arial" w:eastAsia="Arial" w:hAnsi="Arial"/>
          <w:sz w:val="18"/>
          <w:szCs w:val="18"/>
          <w:color w:val="auto"/>
        </w:rPr>
        <w:t>the appropriateness of the firm’s fees, both on an absolute basis and as compared with its peers.</w:t>
      </w:r>
    </w:p>
    <w:p>
      <w:pPr>
        <w:spacing w:after="0" w:line="144" w:lineRule="exact"/>
        <w:rPr>
          <w:sz w:val="20"/>
          <w:szCs w:val="20"/>
          <w:color w:val="auto"/>
        </w:rPr>
      </w:pPr>
    </w:p>
    <w:p>
      <w:pPr>
        <w:ind w:left="1000" w:right="799"/>
        <w:spacing w:after="0" w:line="287" w:lineRule="auto"/>
        <w:rPr>
          <w:sz w:val="20"/>
          <w:szCs w:val="20"/>
          <w:color w:val="auto"/>
        </w:rPr>
      </w:pPr>
      <w:r>
        <w:rPr>
          <w:rFonts w:ascii="Arial" w:cs="Arial" w:eastAsia="Arial" w:hAnsi="Arial"/>
          <w:sz w:val="18"/>
          <w:szCs w:val="18"/>
          <w:color w:val="auto"/>
        </w:rPr>
        <w:t>For a summary of the fees that were paid to KPMG in fiscal years 2023 and 2024, please see “Principal Accounting Firm Fees.”</w:t>
      </w:r>
    </w:p>
    <w:p>
      <w:pPr>
        <w:spacing w:after="0" w:line="85" w:lineRule="exact"/>
        <w:rPr>
          <w:sz w:val="20"/>
          <w:szCs w:val="20"/>
          <w:color w:val="auto"/>
        </w:rPr>
      </w:pPr>
    </w:p>
    <w:p>
      <w:pPr>
        <w:ind w:left="1000" w:right="759"/>
        <w:spacing w:after="0" w:line="268" w:lineRule="auto"/>
        <w:rPr>
          <w:sz w:val="20"/>
          <w:szCs w:val="20"/>
          <w:color w:val="auto"/>
        </w:rPr>
      </w:pPr>
      <w:r>
        <w:rPr>
          <w:rFonts w:ascii="Arial" w:cs="Arial" w:eastAsia="Arial" w:hAnsi="Arial"/>
          <w:sz w:val="18"/>
          <w:szCs w:val="18"/>
          <w:color w:val="auto"/>
        </w:rPr>
        <w:t>The Company expects that representatives of KPMG will be present at the Annual Meeting. The representatives will have an opportunity to make a statement as they may desire and will be available to respond to appropriate questions from shareholders.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Vote Required For Approval</w:t>
      </w:r>
    </w:p>
    <w:p>
      <w:pPr>
        <w:spacing w:after="0" w:line="148" w:lineRule="exact"/>
        <w:rPr>
          <w:sz w:val="20"/>
          <w:szCs w:val="20"/>
          <w:color w:val="auto"/>
        </w:rPr>
      </w:pPr>
    </w:p>
    <w:p>
      <w:pPr>
        <w:ind w:left="1000" w:right="419"/>
        <w:spacing w:after="0" w:line="262" w:lineRule="auto"/>
        <w:rPr>
          <w:sz w:val="20"/>
          <w:szCs w:val="20"/>
          <w:color w:val="auto"/>
        </w:rPr>
      </w:pPr>
      <w:r>
        <w:rPr>
          <w:rFonts w:ascii="Arial" w:cs="Arial" w:eastAsia="Arial" w:hAnsi="Arial"/>
          <w:sz w:val="18"/>
          <w:szCs w:val="18"/>
          <w:color w:val="auto"/>
        </w:rPr>
        <w:t>For approval, this proposal must receive affirmative votes from a simple majority of shareholder votes cast at the Annual Meeting. Abstentions are not counted in determining the votes cast. Brokers who hold shares of Common Stock as nominees will have discretionary authority to vote such shares if they have not received timely voting instructions from the beneficial owners.</w:t>
      </w:r>
    </w:p>
    <w:p>
      <w:pPr>
        <w:spacing w:after="0" w:line="16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Proxy</w:t>
      </w:r>
    </w:p>
    <w:p>
      <w:pPr>
        <w:spacing w:after="0" w:line="162" w:lineRule="exact"/>
        <w:rPr>
          <w:sz w:val="20"/>
          <w:szCs w:val="20"/>
          <w:color w:val="auto"/>
        </w:rPr>
      </w:pPr>
    </w:p>
    <w:p>
      <w:pPr>
        <w:ind w:left="1000" w:right="359"/>
        <w:spacing w:after="0" w:line="268"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the ratification of KPMG LLP as the Company’s independent registered public accounting firm for Fiscal 2025.</w:t>
      </w:r>
    </w:p>
    <w:p>
      <w:pPr>
        <w:sectPr>
          <w:pgSz w:w="11900" w:h="16838" w:orient="portrait"/>
          <w:cols w:equalWidth="0" w:num="1">
            <w:col w:w="9879"/>
          </w:cols>
          <w:pgMar w:left="580" w:top="97" w:right="1440" w:bottom="1440" w:gutter="0" w:footer="0" w:header="0"/>
        </w:sectPr>
      </w:pPr>
    </w:p>
    <w:p>
      <w:pPr>
        <w:spacing w:after="0" w:line="29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80"/>
        <w:spacing w:after="0"/>
        <w:rPr>
          <w:sz w:val="20"/>
          <w:szCs w:val="20"/>
          <w:color w:val="auto"/>
        </w:rPr>
      </w:pPr>
      <w:r>
        <w:rPr>
          <w:rFonts w:ascii="Arial" w:cs="Arial" w:eastAsia="Arial" w:hAnsi="Arial"/>
          <w:sz w:val="40"/>
          <w:szCs w:val="40"/>
          <w:b w:val="1"/>
          <w:bCs w:val="1"/>
          <w:color w:val="FEFEFE"/>
        </w:rPr>
        <w:t>PRINCIPAL ACCOUNTING FIRM FEES</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199"/>
        <w:spacing w:after="0" w:line="262" w:lineRule="auto"/>
        <w:rPr>
          <w:sz w:val="20"/>
          <w:szCs w:val="20"/>
          <w:color w:val="auto"/>
        </w:rPr>
      </w:pPr>
      <w:r>
        <w:rPr>
          <w:rFonts w:ascii="Arial" w:cs="Arial" w:eastAsia="Arial" w:hAnsi="Arial"/>
          <w:sz w:val="18"/>
          <w:szCs w:val="18"/>
          <w:color w:val="auto"/>
        </w:rPr>
        <w:t>The table below provides information relating to fees charged for services performed by KPMG, the Company’s independent registered public accounting firm, in both fiscal 2024 and fiscal 2023. All the services described in the table were approved in conformity with the Audit Committee’s pre-approval process for independent registered public accounting firm fees.</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6460" w:type="dxa"/>
            <w:vAlign w:val="bottom"/>
            <w:shd w:val="clear" w:color="auto" w:fill="53C072"/>
          </w:tcPr>
          <w:p>
            <w:pPr>
              <w:spacing w:after="0"/>
              <w:rPr>
                <w:sz w:val="19"/>
                <w:szCs w:val="19"/>
                <w:color w:val="auto"/>
              </w:rPr>
            </w:pPr>
          </w:p>
        </w:tc>
        <w:tc>
          <w:tcPr>
            <w:tcW w:w="260" w:type="dxa"/>
            <w:vAlign w:val="bottom"/>
            <w:shd w:val="clear" w:color="auto" w:fill="53C072"/>
          </w:tcPr>
          <w:p>
            <w:pPr>
              <w:spacing w:after="0"/>
              <w:rPr>
                <w:sz w:val="19"/>
                <w:szCs w:val="19"/>
                <w:color w:val="auto"/>
              </w:rPr>
            </w:pPr>
          </w:p>
        </w:tc>
        <w:tc>
          <w:tcPr>
            <w:tcW w:w="900" w:type="dxa"/>
            <w:vAlign w:val="bottom"/>
            <w:shd w:val="clear" w:color="auto" w:fill="53C072"/>
          </w:tcPr>
          <w:p>
            <w:pPr>
              <w:jc w:val="right"/>
              <w:ind w:right="36"/>
              <w:spacing w:after="0"/>
              <w:rPr>
                <w:sz w:val="20"/>
                <w:szCs w:val="20"/>
                <w:color w:val="auto"/>
              </w:rPr>
            </w:pPr>
            <w:r>
              <w:rPr>
                <w:rFonts w:ascii="Arial" w:cs="Arial" w:eastAsia="Arial" w:hAnsi="Arial"/>
                <w:sz w:val="14"/>
                <w:szCs w:val="14"/>
                <w:b w:val="1"/>
                <w:bCs w:val="1"/>
                <w:color w:val="FEFEFE"/>
              </w:rPr>
              <w:t>Fiscal 2023</w:t>
            </w:r>
          </w:p>
        </w:tc>
        <w:tc>
          <w:tcPr>
            <w:tcW w:w="1140" w:type="dxa"/>
            <w:vAlign w:val="bottom"/>
            <w:shd w:val="clear" w:color="auto" w:fill="53C072"/>
          </w:tcPr>
          <w:p>
            <w:pPr>
              <w:ind w:left="260"/>
              <w:spacing w:after="0"/>
              <w:rPr>
                <w:sz w:val="20"/>
                <w:szCs w:val="20"/>
                <w:color w:val="auto"/>
              </w:rPr>
            </w:pPr>
            <w:r>
              <w:rPr>
                <w:rFonts w:ascii="Arial" w:cs="Arial" w:eastAsia="Arial" w:hAnsi="Arial"/>
                <w:sz w:val="14"/>
                <w:szCs w:val="14"/>
                <w:b w:val="1"/>
                <w:bCs w:val="1"/>
                <w:color w:val="FEFEFE"/>
              </w:rPr>
              <w:t>Fiscal 2024</w:t>
            </w:r>
          </w:p>
        </w:tc>
      </w:tr>
      <w:tr>
        <w:trPr>
          <w:trHeight w:val="257"/>
        </w:trPr>
        <w:tc>
          <w:tcPr>
            <w:tcW w:w="6460" w:type="dxa"/>
            <w:vAlign w:val="bottom"/>
          </w:tcPr>
          <w:p>
            <w:pPr>
              <w:ind w:left="60"/>
              <w:spacing w:after="0"/>
              <w:rPr>
                <w:sz w:val="20"/>
                <w:szCs w:val="20"/>
                <w:color w:val="auto"/>
              </w:rPr>
            </w:pPr>
            <w:r>
              <w:rPr>
                <w:rFonts w:ascii="Arial" w:cs="Arial" w:eastAsia="Arial" w:hAnsi="Arial"/>
                <w:sz w:val="18"/>
                <w:szCs w:val="18"/>
                <w:color w:val="auto"/>
              </w:rPr>
              <w:t>​Audit Fees</w:t>
            </w:r>
          </w:p>
        </w:tc>
        <w:tc>
          <w:tcPr>
            <w:tcW w:w="1160" w:type="dxa"/>
            <w:vAlign w:val="bottom"/>
            <w:gridSpan w:val="2"/>
          </w:tcPr>
          <w:p>
            <w:pPr>
              <w:jc w:val="right"/>
              <w:ind w:right="36"/>
              <w:spacing w:after="0"/>
              <w:rPr>
                <w:sz w:val="20"/>
                <w:szCs w:val="20"/>
                <w:color w:val="auto"/>
              </w:rPr>
            </w:pPr>
            <w:r>
              <w:rPr>
                <w:rFonts w:ascii="Arial" w:cs="Arial" w:eastAsia="Arial" w:hAnsi="Arial"/>
                <w:sz w:val="18"/>
                <w:szCs w:val="18"/>
                <w:color w:val="auto"/>
              </w:rPr>
              <w:t>​$6,359,000</w:t>
            </w:r>
          </w:p>
        </w:tc>
        <w:tc>
          <w:tcPr>
            <w:tcW w:w="1140" w:type="dxa"/>
            <w:vAlign w:val="bottom"/>
          </w:tcPr>
          <w:p>
            <w:pPr>
              <w:ind w:left="100"/>
              <w:spacing w:after="0"/>
              <w:rPr>
                <w:sz w:val="20"/>
                <w:szCs w:val="20"/>
                <w:color w:val="auto"/>
              </w:rPr>
            </w:pPr>
            <w:r>
              <w:rPr>
                <w:rFonts w:ascii="Arial" w:cs="Arial" w:eastAsia="Arial" w:hAnsi="Arial"/>
                <w:sz w:val="18"/>
                <w:szCs w:val="18"/>
                <w:color w:val="auto"/>
              </w:rPr>
              <w:t>​$6,400,000</w:t>
            </w:r>
          </w:p>
        </w:tc>
      </w:tr>
      <w:tr>
        <w:trPr>
          <w:trHeight w:val="257"/>
        </w:trPr>
        <w:tc>
          <w:tcPr>
            <w:tcW w:w="6460" w:type="dxa"/>
            <w:vAlign w:val="bottom"/>
            <w:shd w:val="clear" w:color="auto" w:fill="CBECD5"/>
          </w:tcPr>
          <w:p>
            <w:pPr>
              <w:ind w:left="60"/>
              <w:spacing w:after="0"/>
              <w:rPr>
                <w:sz w:val="20"/>
                <w:szCs w:val="20"/>
                <w:color w:val="auto"/>
              </w:rPr>
            </w:pPr>
            <w:r>
              <w:rPr>
                <w:rFonts w:ascii="Arial" w:cs="Arial" w:eastAsia="Arial" w:hAnsi="Arial"/>
                <w:sz w:val="18"/>
                <w:szCs w:val="18"/>
                <w:color w:val="auto"/>
              </w:rPr>
              <w:t>​Audit-Related Fees</w:t>
            </w:r>
          </w:p>
        </w:tc>
        <w:tc>
          <w:tcPr>
            <w:tcW w:w="260" w:type="dxa"/>
            <w:vAlign w:val="bottom"/>
            <w:shd w:val="clear" w:color="auto" w:fill="CBECD5"/>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BECD5"/>
          </w:tcPr>
          <w:p>
            <w:pPr>
              <w:jc w:val="right"/>
              <w:ind w:right="36"/>
              <w:spacing w:after="0"/>
              <w:rPr>
                <w:sz w:val="20"/>
                <w:szCs w:val="20"/>
                <w:color w:val="auto"/>
              </w:rPr>
            </w:pPr>
            <w:r>
              <w:rPr>
                <w:rFonts w:ascii="Arial" w:cs="Arial" w:eastAsia="Arial" w:hAnsi="Arial"/>
                <w:sz w:val="18"/>
                <w:szCs w:val="18"/>
                <w:color w:val="auto"/>
              </w:rPr>
              <w:t>261,000</w:t>
            </w:r>
          </w:p>
        </w:tc>
        <w:tc>
          <w:tcPr>
            <w:tcW w:w="1140" w:type="dxa"/>
            <w:vAlign w:val="bottom"/>
            <w:shd w:val="clear" w:color="auto" w:fill="CBECD5"/>
          </w:tcPr>
          <w:p>
            <w:pPr>
              <w:ind w:left="100"/>
              <w:spacing w:after="0"/>
              <w:rPr>
                <w:sz w:val="20"/>
                <w:szCs w:val="20"/>
                <w:color w:val="auto"/>
              </w:rPr>
            </w:pPr>
            <w:r>
              <w:rPr>
                <w:rFonts w:ascii="Arial" w:cs="Arial" w:eastAsia="Arial" w:hAnsi="Arial"/>
                <w:sz w:val="18"/>
                <w:szCs w:val="18"/>
                <w:color w:val="auto"/>
              </w:rPr>
              <w:t>​$2,572,000</w:t>
            </w:r>
          </w:p>
        </w:tc>
      </w:tr>
      <w:tr>
        <w:trPr>
          <w:trHeight w:val="270"/>
        </w:trPr>
        <w:tc>
          <w:tcPr>
            <w:tcW w:w="6460" w:type="dxa"/>
            <w:vAlign w:val="bottom"/>
            <w:tcBorders>
              <w:bottom w:val="single" w:sz="8" w:color="CBECD5"/>
            </w:tcBorders>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Tax Fees</w:t>
            </w:r>
          </w:p>
        </w:tc>
        <w:tc>
          <w:tcPr>
            <w:tcW w:w="260" w:type="dxa"/>
            <w:vAlign w:val="bottom"/>
            <w:tcBorders>
              <w:bottom w:val="single" w:sz="8" w:color="auto"/>
            </w:tcBorders>
          </w:tcPr>
          <w:p>
            <w:pPr>
              <w:ind w:left="120"/>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perscript"/>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235,000</w:t>
            </w:r>
          </w:p>
        </w:tc>
        <w:tc>
          <w:tcPr>
            <w:tcW w:w="1140" w:type="dxa"/>
            <w:vAlign w:val="bottom"/>
            <w:tcBorders>
              <w:bottom w:val="single" w:sz="8" w:color="auto"/>
            </w:tcBorders>
          </w:tcPr>
          <w:p>
            <w:pPr>
              <w:ind w:left="1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332,000</w:t>
            </w:r>
          </w:p>
        </w:tc>
      </w:tr>
      <w:tr>
        <w:trPr>
          <w:trHeight w:val="298"/>
        </w:trPr>
        <w:tc>
          <w:tcPr>
            <w:tcW w:w="6460" w:type="dxa"/>
            <w:vAlign w:val="bottom"/>
            <w:tcBorders>
              <w:bottom w:val="single" w:sz="8" w:color="53C072"/>
            </w:tcBorders>
            <w:shd w:val="clear" w:color="auto" w:fill="CBECD5"/>
          </w:tcPr>
          <w:p>
            <w:pPr>
              <w:ind w:left="60"/>
              <w:spacing w:after="0" w:line="290"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TOTAL</w:t>
            </w:r>
          </w:p>
        </w:tc>
        <w:tc>
          <w:tcPr>
            <w:tcW w:w="1160" w:type="dxa"/>
            <w:vAlign w:val="bottom"/>
            <w:tcBorders>
              <w:bottom w:val="single" w:sz="8" w:color="53C072"/>
            </w:tcBorders>
            <w:gridSpan w:val="2"/>
            <w:shd w:val="clear" w:color="auto" w:fill="CBECD5"/>
          </w:tcPr>
          <w:p>
            <w:pPr>
              <w:jc w:val="right"/>
              <w:ind w:right="36"/>
              <w:spacing w:after="0" w:line="290"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$6,855,000</w:t>
            </w:r>
          </w:p>
        </w:tc>
        <w:tc>
          <w:tcPr>
            <w:tcW w:w="1140" w:type="dxa"/>
            <w:vAlign w:val="bottom"/>
            <w:tcBorders>
              <w:bottom w:val="single" w:sz="8" w:color="53C072"/>
            </w:tcBorders>
            <w:shd w:val="clear" w:color="auto" w:fill="CBECD5"/>
          </w:tcPr>
          <w:p>
            <w:pPr>
              <w:ind w:left="100"/>
              <w:spacing w:after="0" w:line="290"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$9,304,000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-213995</wp:posOffset>
            </wp:positionV>
            <wp:extent cx="40976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150" w:lineRule="exact"/>
        <w:rPr>
          <w:sz w:val="20"/>
          <w:szCs w:val="20"/>
          <w:color w:val="auto"/>
        </w:rPr>
      </w:pPr>
    </w:p>
    <w:p>
      <w:pPr>
        <w:ind w:left="1000" w:right="299"/>
        <w:spacing w:after="0" w:line="257" w:lineRule="auto"/>
        <w:rPr>
          <w:sz w:val="20"/>
          <w:szCs w:val="20"/>
          <w:color w:val="auto"/>
        </w:rPr>
      </w:pPr>
      <w:r>
        <w:rPr>
          <w:rFonts w:ascii="Arial" w:cs="Arial" w:eastAsia="Arial" w:hAnsi="Arial"/>
          <w:sz w:val="18"/>
          <w:szCs w:val="18"/>
          <w:b w:val="1"/>
          <w:bCs w:val="1"/>
          <w:color w:val="53C072"/>
        </w:rPr>
        <w:t xml:space="preserve">Audit Fees. </w:t>
      </w:r>
      <w:r>
        <w:rPr>
          <w:rFonts w:ascii="Arial" w:cs="Arial" w:eastAsia="Arial" w:hAnsi="Arial"/>
          <w:sz w:val="18"/>
          <w:szCs w:val="18"/>
          <w:color w:val="000000"/>
        </w:rPr>
        <w:t>In both fiscal years, Audit Fees consisted of fees incurred for work performed by KPMG</w:t>
      </w:r>
      <w:r>
        <w:rPr>
          <w:rFonts w:ascii="Arial" w:cs="Arial" w:eastAsia="Arial" w:hAnsi="Arial"/>
          <w:sz w:val="18"/>
          <w:szCs w:val="18"/>
          <w:b w:val="1"/>
          <w:bCs w:val="1"/>
          <w:color w:val="53C072"/>
        </w:rPr>
        <w:t xml:space="preserve"> </w:t>
      </w:r>
      <w:r>
        <w:rPr>
          <w:rFonts w:ascii="Arial" w:cs="Arial" w:eastAsia="Arial" w:hAnsi="Arial"/>
          <w:sz w:val="18"/>
          <w:szCs w:val="18"/>
          <w:color w:val="000000"/>
        </w:rPr>
        <w:t>associated with the audit of the Company’s consolidated financial statements, including reviews performed on the Company’s Form 10-Q filings, certain statutory audits required for the Company’s subsidiaries, and fees in connection with the audit of internal controls over financial reporting pursuant to Section 404 of the Sarbanes-Oxley Act of 2002. Audit fees also included fees in connection with registration statements filed by the Company, including consents.</w:t>
      </w:r>
    </w:p>
    <w:p>
      <w:pPr>
        <w:spacing w:after="0" w:line="101" w:lineRule="exact"/>
        <w:rPr>
          <w:sz w:val="20"/>
          <w:szCs w:val="20"/>
          <w:color w:val="auto"/>
        </w:rPr>
      </w:pPr>
    </w:p>
    <w:p>
      <w:pPr>
        <w:ind w:left="1000" w:right="379"/>
        <w:spacing w:after="0" w:line="268" w:lineRule="auto"/>
        <w:rPr>
          <w:sz w:val="20"/>
          <w:szCs w:val="20"/>
          <w:color w:val="auto"/>
        </w:rPr>
      </w:pPr>
      <w:r>
        <w:rPr>
          <w:rFonts w:ascii="Arial" w:cs="Arial" w:eastAsia="Arial" w:hAnsi="Arial"/>
          <w:sz w:val="18"/>
          <w:szCs w:val="18"/>
          <w:b w:val="1"/>
          <w:bCs w:val="1"/>
          <w:color w:val="53C072"/>
        </w:rPr>
        <w:t xml:space="preserve">Audit-Related Fees. </w:t>
      </w:r>
      <w:r>
        <w:rPr>
          <w:rFonts w:ascii="Arial" w:cs="Arial" w:eastAsia="Arial" w:hAnsi="Arial"/>
          <w:sz w:val="18"/>
          <w:szCs w:val="18"/>
          <w:color w:val="000000"/>
        </w:rPr>
        <w:t>In both fiscal years, Audit-Related Fees included fees in connection with certain</w:t>
      </w:r>
      <w:r>
        <w:rPr>
          <w:rFonts w:ascii="Arial" w:cs="Arial" w:eastAsia="Arial" w:hAnsi="Arial"/>
          <w:sz w:val="18"/>
          <w:szCs w:val="18"/>
          <w:b w:val="1"/>
          <w:bCs w:val="1"/>
          <w:color w:val="53C072"/>
        </w:rPr>
        <w:t xml:space="preserve"> </w:t>
      </w:r>
      <w:r>
        <w:rPr>
          <w:rFonts w:ascii="Arial" w:cs="Arial" w:eastAsia="Arial" w:hAnsi="Arial"/>
          <w:sz w:val="18"/>
          <w:szCs w:val="18"/>
          <w:color w:val="000000"/>
        </w:rPr>
        <w:t>compliance-related services. In fiscal 2024, Audit-Related Fees also included due diligence services to assist with evaluating potential transactions.</w:t>
      </w:r>
    </w:p>
    <w:p>
      <w:pPr>
        <w:spacing w:after="0" w:line="103" w:lineRule="exact"/>
        <w:rPr>
          <w:sz w:val="20"/>
          <w:szCs w:val="20"/>
          <w:color w:val="auto"/>
        </w:rPr>
      </w:pPr>
    </w:p>
    <w:p>
      <w:pPr>
        <w:ind w:left="1000" w:right="159"/>
        <w:spacing w:after="0" w:line="291" w:lineRule="auto"/>
        <w:rPr>
          <w:sz w:val="20"/>
          <w:szCs w:val="20"/>
          <w:color w:val="auto"/>
        </w:rPr>
      </w:pPr>
      <w:r>
        <w:rPr>
          <w:rFonts w:ascii="Arial" w:cs="Arial" w:eastAsia="Arial" w:hAnsi="Arial"/>
          <w:sz w:val="17"/>
          <w:szCs w:val="17"/>
          <w:b w:val="1"/>
          <w:bCs w:val="1"/>
          <w:color w:val="53C072"/>
        </w:rPr>
        <w:t xml:space="preserve">Tax Fees. </w:t>
      </w:r>
      <w:r>
        <w:rPr>
          <w:rFonts w:ascii="Arial" w:cs="Arial" w:eastAsia="Arial" w:hAnsi="Arial"/>
          <w:sz w:val="17"/>
          <w:szCs w:val="17"/>
          <w:color w:val="000000"/>
        </w:rPr>
        <w:t>In both fiscal years, Tax Fees consisted of fees primarily for assistance with global tax compliance</w:t>
      </w:r>
      <w:r>
        <w:rPr>
          <w:rFonts w:ascii="Arial" w:cs="Arial" w:eastAsia="Arial" w:hAnsi="Arial"/>
          <w:sz w:val="17"/>
          <w:szCs w:val="17"/>
          <w:b w:val="1"/>
          <w:bCs w:val="1"/>
          <w:color w:val="53C072"/>
        </w:rPr>
        <w:t xml:space="preserve"> </w:t>
      </w:r>
      <w:r>
        <w:rPr>
          <w:rFonts w:ascii="Arial" w:cs="Arial" w:eastAsia="Arial" w:hAnsi="Arial"/>
          <w:sz w:val="17"/>
          <w:szCs w:val="17"/>
          <w:color w:val="000000"/>
        </w:rPr>
        <w:t>(federal, international, state, and local), tax audits, and tax advice. All services to be provided by the Company’s independent registered public accounting firm are subject to pre-approval by the Audit Committee.</w:t>
      </w:r>
    </w:p>
    <w:p>
      <w:pPr>
        <w:spacing w:after="0" w:line="85" w:lineRule="exact"/>
        <w:rPr>
          <w:sz w:val="20"/>
          <w:szCs w:val="20"/>
          <w:color w:val="auto"/>
        </w:rPr>
      </w:pPr>
    </w:p>
    <w:p>
      <w:pPr>
        <w:ind w:left="1000" w:right="159"/>
        <w:spacing w:after="0" w:line="257" w:lineRule="auto"/>
        <w:rPr>
          <w:sz w:val="20"/>
          <w:szCs w:val="20"/>
          <w:color w:val="auto"/>
        </w:rPr>
      </w:pPr>
      <w:r>
        <w:rPr>
          <w:rFonts w:ascii="Arial" w:cs="Arial" w:eastAsia="Arial" w:hAnsi="Arial"/>
          <w:sz w:val="18"/>
          <w:szCs w:val="18"/>
          <w:color w:val="auto"/>
        </w:rPr>
        <w:t>The Audit Committee has adopted an External Auditor Scope of Services Policy (“Scope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Audit Committee by the next Audit Committee meeting.</w:t>
      </w:r>
    </w:p>
    <w:p>
      <w:pPr>
        <w:spacing w:after="0" w:line="101" w:lineRule="exact"/>
        <w:rPr>
          <w:sz w:val="20"/>
          <w:szCs w:val="20"/>
          <w:color w:val="auto"/>
        </w:rPr>
      </w:pPr>
    </w:p>
    <w:p>
      <w:pPr>
        <w:ind w:left="1000" w:right="279"/>
        <w:spacing w:after="0" w:line="254" w:lineRule="auto"/>
        <w:rPr>
          <w:sz w:val="20"/>
          <w:szCs w:val="20"/>
          <w:color w:val="auto"/>
        </w:rPr>
      </w:pPr>
      <w:r>
        <w:rPr>
          <w:rFonts w:ascii="Arial" w:cs="Arial" w:eastAsia="Arial" w:hAnsi="Arial"/>
          <w:sz w:val="18"/>
          <w:szCs w:val="18"/>
          <w:color w:val="auto"/>
        </w:rPr>
        <w:t>As permitted by the SEC, the Audit Committee has also adopted a pre-approval policy (“Pre-Approval Policy”), whereby certain types of services up to specified cost levels have been pre-approved by the Audit Committee. Management monitors service requests to ensure they are consistent with the types of services approved by the Audit Committee and that the fee limits are not exceeded. Types of services not covered by the Pre-Approval Policy or services exceeding the pre-approved cost levels continue to be subject to pre-approval by the Audit Committee under the Scope Policy. Management provides quarterly reports to the Audit Committee regarding pre-approval requests related to the fees for projects requiring services by KPMG covered by the Scope Policy and regarding the nature and fee amounts for all pre-approved services under the Pre-Approval Policy. All services performed and related fees billed by KPMG during fiscal years 2023 and 2024 were pre-approved by the Audit Committee pursuant to regulations of the SEC.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72     </w:t>
      </w:r>
      <w:r>
        <w:rPr>
          <w:sz w:val="1"/>
          <w:szCs w:val="1"/>
          <w:color w:val="auto"/>
        </w:rPr>
        <w:drawing>
          <wp:inline distT="0" distB="0" distL="0" distR="0">
            <wp:extent cx="1242695" cy="24003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269875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00"/>
        <w:spacing w:after="0"/>
        <w:rPr>
          <w:sz w:val="20"/>
          <w:szCs w:val="20"/>
          <w:color w:val="auto"/>
        </w:rPr>
      </w:pPr>
      <w:r>
        <w:rPr>
          <w:rFonts w:ascii="Arial" w:cs="Arial" w:eastAsia="Arial" w:hAnsi="Arial"/>
          <w:sz w:val="40"/>
          <w:szCs w:val="40"/>
          <w:b w:val="1"/>
          <w:bCs w:val="1"/>
          <w:color w:val="FEFEFE"/>
        </w:rPr>
        <w:t>AUDIT COMMITTEE REPORT</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219"/>
        <w:spacing w:after="0" w:line="255"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The Audit Committee operates under a written charter, which sets forth its purpose, member qualifications, authority, and responsibilities. The Audit Committee evaluates and assesses the effectiveness of the Audit Committee and the adequacy of its charter on an annual basis. The charter is available on the Company’s website at </w:t>
      </w:r>
      <w:r>
        <w:rPr>
          <w:rFonts w:ascii="Arial" w:cs="Arial" w:eastAsia="Arial" w:hAnsi="Arial"/>
          <w:sz w:val="18"/>
          <w:szCs w:val="18"/>
          <w:u w:val="single" w:color="auto"/>
          <w:color w:val="auto"/>
        </w:rPr>
        <w:t>https://ir.avnet.com/corporate-governance/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governance-documents</w:t>
      </w:r>
      <w:r>
        <w:rPr>
          <w:rFonts w:ascii="Arial" w:cs="Arial" w:eastAsia="Arial" w:hAnsi="Arial"/>
          <w:sz w:val="18"/>
          <w:szCs w:val="18"/>
          <w:color w:val="auto"/>
        </w:rPr>
        <w:t>.</w:t>
      </w:r>
    </w:p>
    <w:p>
      <w:pPr>
        <w:spacing w:after="0" w:line="50" w:lineRule="exact"/>
        <w:rPr>
          <w:sz w:val="20"/>
          <w:szCs w:val="20"/>
          <w:color w:val="auto"/>
        </w:rPr>
      </w:pPr>
    </w:p>
    <w:p>
      <w:pPr>
        <w:ind w:left="1000" w:right="139"/>
        <w:spacing w:after="0" w:line="255" w:lineRule="auto"/>
        <w:rPr>
          <w:sz w:val="20"/>
          <w:szCs w:val="20"/>
          <w:color w:val="auto"/>
        </w:rPr>
      </w:pPr>
      <w:r>
        <w:rPr>
          <w:rFonts w:ascii="Arial" w:cs="Arial" w:eastAsia="Arial" w:hAnsi="Arial"/>
          <w:sz w:val="18"/>
          <w:szCs w:val="18"/>
          <w:color w:val="auto"/>
        </w:rPr>
        <w:t>The Audit Committee monitors the activities and performance of the Company’s internal audit function, including scope of reviews, department staffing levels, and reporting and follow-up procedures. The Audit Committee also oversees policies and results with respect to risk assessment and risk management, including risks related to data protection and cybersecurity. In addition, the Audit Committee oversees the Company’s internal ethics and compliance program and receives quarterly reports from the General Counsel or Chief Ethics and Compliance Officer. The Audit Committee also meets regularly with KPMG LLP, the Company’s independent registered public accounting firm (“KPMG”), in executive sessions. Management has responsibility for the preparation, presentation, and integrity of the Company’s financial statements and the reporting process, including the system of internal controls.</w:t>
      </w:r>
    </w:p>
    <w:p>
      <w:pPr>
        <w:spacing w:after="0" w:line="46" w:lineRule="exact"/>
        <w:rPr>
          <w:sz w:val="20"/>
          <w:szCs w:val="20"/>
          <w:color w:val="auto"/>
        </w:rPr>
      </w:pPr>
    </w:p>
    <w:p>
      <w:pPr>
        <w:ind w:left="1000" w:right="139"/>
        <w:spacing w:after="0" w:line="254" w:lineRule="auto"/>
        <w:rPr>
          <w:sz w:val="20"/>
          <w:szCs w:val="20"/>
          <w:color w:val="auto"/>
        </w:rPr>
      </w:pPr>
      <w:r>
        <w:rPr>
          <w:rFonts w:ascii="Arial" w:cs="Arial" w:eastAsia="Arial" w:hAnsi="Arial"/>
          <w:sz w:val="18"/>
          <w:szCs w:val="18"/>
          <w:color w:val="auto"/>
        </w:rPr>
        <w:t>The Audit Committee meets with KPMG and management to review the Company’s financial results before publication of the Company’s quarterly earnings press releases and the filing of the Company’s quarterly reports on Form 10-Q and annual report on Form 10-K. The Audit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As permitted by the SEC, the Audit Committee has approved a pre-approval policy, whereby certain types of services up to specified cost levels have been pre-approved by the Committee and approval has been delegated to management. Types of services not covered by the policy or services exceeding the pre-approved cost levels continue to be subject to pre-approval by the Audit Committee. Management provides quarterly reports to the Audit Committee on the nature and fee amounts for all such pre-approved services.</w:t>
      </w:r>
    </w:p>
    <w:p>
      <w:pPr>
        <w:spacing w:after="0" w:line="47" w:lineRule="exact"/>
        <w:rPr>
          <w:sz w:val="20"/>
          <w:szCs w:val="20"/>
          <w:color w:val="auto"/>
        </w:rPr>
      </w:pPr>
    </w:p>
    <w:p>
      <w:pPr>
        <w:ind w:left="1000" w:right="159"/>
        <w:spacing w:after="0" w:line="269" w:lineRule="auto"/>
        <w:rPr>
          <w:sz w:val="20"/>
          <w:szCs w:val="20"/>
          <w:color w:val="auto"/>
        </w:rPr>
      </w:pPr>
      <w:r>
        <w:rPr>
          <w:rFonts w:ascii="Arial" w:cs="Arial" w:eastAsia="Arial" w:hAnsi="Arial"/>
          <w:sz w:val="17"/>
          <w:szCs w:val="17"/>
          <w:color w:val="auto"/>
        </w:rPr>
        <w:t>The Audit Committee has reviewed and discussed the audited financial statements for fiscal 2024 with management and KPMG. This review included a discussion with KPMG and management of the Company’s accounting principles, the reasonableness of significant estimates and judgments, including disclosure of critical accounting policies, and the conduct of the audit. The Audit Committee has discussed with KPMG the matters required to be discussed under the applicable requirements of the Public Company Accounting Oversight Board (“PCAOB”) and the SEC. The Audit Committee received the written disclosures and the letter from KPMG required by the applicable requirements of the PCAOB regarding KPMG’s communications with the Audit Committee concerning independence and the Audit Committee discussed with KPMG its independence. The Audit Committee has concluded that KPMG is independent from the Company and its management. KPMG also discussed with the Audit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June 29, 2024, for filing with the Securities and Exchange Commission.</w:t>
      </w:r>
    </w:p>
    <w:p>
      <w:pPr>
        <w:sectPr>
          <w:pgSz w:w="11900" w:h="16838" w:orient="portrait"/>
          <w:cols w:equalWidth="0" w:num="1">
            <w:col w:w="9879"/>
          </w:cols>
          <w:pgMar w:left="580" w:top="97" w:right="1440" w:bottom="1440" w:gutter="0" w:footer="0" w:header="0"/>
        </w:sectPr>
      </w:pPr>
    </w:p>
    <w:p>
      <w:pPr>
        <w:spacing w:after="0" w:line="8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Ernest E. Maddock, Chair</w:t>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Carlo Bozotti</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Brenda L. Freeman</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Helmut Gassel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Virginia L. Henkels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Oleg Khaykin</w:t>
      </w:r>
    </w:p>
    <w:p>
      <w:pPr>
        <w:spacing w:after="0" w:line="200"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spacing w:after="0" w:line="338"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6858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60"/>
        <w:spacing w:after="0"/>
        <w:rPr>
          <w:sz w:val="20"/>
          <w:szCs w:val="20"/>
          <w:color w:val="auto"/>
        </w:rPr>
      </w:pPr>
      <w:r>
        <w:rPr>
          <w:rFonts w:ascii="Arial" w:cs="Arial" w:eastAsia="Arial" w:hAnsi="Arial"/>
          <w:sz w:val="40"/>
          <w:szCs w:val="40"/>
          <w:b w:val="1"/>
          <w:bCs w:val="1"/>
          <w:color w:val="FEFEFE"/>
        </w:rPr>
        <w:t>SHAREHOLDER PROPOSALS AND</w:t>
      </w:r>
    </w:p>
    <w:p>
      <w:pPr>
        <w:spacing w:after="0" w:line="53" w:lineRule="exact"/>
        <w:rPr>
          <w:sz w:val="20"/>
          <w:szCs w:val="20"/>
          <w:color w:val="auto"/>
        </w:rPr>
      </w:pPr>
    </w:p>
    <w:p>
      <w:pPr>
        <w:jc w:val="center"/>
        <w:ind w:right="-900"/>
        <w:spacing w:after="0"/>
        <w:rPr>
          <w:sz w:val="20"/>
          <w:szCs w:val="20"/>
          <w:color w:val="auto"/>
        </w:rPr>
      </w:pPr>
      <w:r>
        <w:rPr>
          <w:rFonts w:ascii="Arial" w:cs="Arial" w:eastAsia="Arial" w:hAnsi="Arial"/>
          <w:sz w:val="40"/>
          <w:szCs w:val="40"/>
          <w:b w:val="1"/>
          <w:bCs w:val="1"/>
          <w:color w:val="FEFEFE"/>
        </w:rPr>
        <w:t>NOMINATIONS</w:t>
      </w:r>
      <w:r>
        <w:rPr>
          <w:rFonts w:ascii="Times New Roman" w:cs="Times New Roman" w:eastAsia="Times New Roman" w:hAnsi="Times New Roman"/>
          <w:sz w:val="17"/>
          <w:szCs w:val="17"/>
          <w:color w:val="FEFEFE"/>
        </w:rPr>
        <w:t>​</w:t>
      </w:r>
    </w:p>
    <w:p>
      <w:pPr>
        <w:spacing w:after="0" w:line="379" w:lineRule="exact"/>
        <w:rPr>
          <w:sz w:val="20"/>
          <w:szCs w:val="20"/>
          <w:color w:val="auto"/>
        </w:rPr>
      </w:pPr>
    </w:p>
    <w:p>
      <w:pPr>
        <w:ind w:left="1000" w:right="459"/>
        <w:spacing w:after="0" w:line="268" w:lineRule="auto"/>
        <w:rPr>
          <w:sz w:val="20"/>
          <w:szCs w:val="20"/>
          <w:color w:val="auto"/>
        </w:rPr>
      </w:pPr>
      <w:r>
        <w:rPr>
          <w:rFonts w:ascii="Arial" w:cs="Arial" w:eastAsia="Arial" w:hAnsi="Arial"/>
          <w:sz w:val="18"/>
          <w:szCs w:val="18"/>
          <w:color w:val="auto"/>
        </w:rPr>
        <w:t>The Company did not receive any requests from shareholders for a matter or a Director nominee to be submitted to a vote at the 2024 Annual Meeting or to be included in the Company’s 2024 proxy statement or proxy card.</w:t>
      </w:r>
    </w:p>
    <w:p>
      <w:pPr>
        <w:spacing w:after="0" w:line="103" w:lineRule="exact"/>
        <w:rPr>
          <w:sz w:val="20"/>
          <w:szCs w:val="20"/>
          <w:color w:val="auto"/>
        </w:rPr>
      </w:pPr>
    </w:p>
    <w:p>
      <w:pPr>
        <w:ind w:left="1000" w:right="339"/>
        <w:spacing w:after="0" w:line="262" w:lineRule="auto"/>
        <w:rPr>
          <w:sz w:val="20"/>
          <w:szCs w:val="20"/>
          <w:color w:val="auto"/>
        </w:rPr>
      </w:pPr>
      <w:r>
        <w:rPr>
          <w:rFonts w:ascii="Arial" w:cs="Arial" w:eastAsia="Arial" w:hAnsi="Arial"/>
          <w:sz w:val="18"/>
          <w:szCs w:val="18"/>
          <w:color w:val="auto"/>
        </w:rPr>
        <w:t>Under SEC rules or pursuant to the Company’s By-laws, shareholders may submit proposals or director nominations that they believe should be voted on at an annual shareholder meeting or may recommend persons for nomination to the Board of Directors. There are several alternatives a shareholder may use and a summary of those alternatives follows.</w:t>
      </w:r>
    </w:p>
    <w:p>
      <w:pPr>
        <w:spacing w:after="0" w:line="95" w:lineRule="exact"/>
        <w:rPr>
          <w:sz w:val="20"/>
          <w:szCs w:val="20"/>
          <w:color w:val="auto"/>
        </w:rPr>
      </w:pPr>
    </w:p>
    <w:p>
      <w:pPr>
        <w:ind w:left="1000" w:right="199"/>
        <w:spacing w:after="0" w:line="259" w:lineRule="auto"/>
        <w:rPr>
          <w:sz w:val="20"/>
          <w:szCs w:val="20"/>
          <w:color w:val="auto"/>
        </w:rPr>
      </w:pPr>
      <w:r>
        <w:rPr>
          <w:rFonts w:ascii="Arial" w:cs="Arial" w:eastAsia="Arial" w:hAnsi="Arial"/>
          <w:sz w:val="18"/>
          <w:szCs w:val="18"/>
          <w:color w:val="auto"/>
        </w:rPr>
        <w:t>Under Rule 14a-8 of the Exchange Act, certain shareholder proposals may be eligible to be included in the Company’s 2025 proxy statement. Such shareholder proposals must be submitted, along with proof of ownership of the Company’s Common Stock and other required materials, in accordance with Rule 14a-8(b), to the Company’s Corporate Secretary at: Avnet, Inc., 2211 South 47th Street, Phoenix, Arizona 85034. All shareholder proposals submitted pursuant to Rule 14a-8 must be received by June 10, 2025.</w:t>
      </w:r>
    </w:p>
    <w:p>
      <w:pPr>
        <w:spacing w:after="0" w:line="112" w:lineRule="exact"/>
        <w:rPr>
          <w:sz w:val="20"/>
          <w:szCs w:val="20"/>
          <w:color w:val="auto"/>
        </w:rPr>
      </w:pPr>
    </w:p>
    <w:p>
      <w:pPr>
        <w:ind w:left="1000" w:right="179"/>
        <w:spacing w:after="0" w:line="301" w:lineRule="auto"/>
        <w:rPr>
          <w:sz w:val="20"/>
          <w:szCs w:val="20"/>
          <w:color w:val="auto"/>
        </w:rPr>
      </w:pPr>
      <w:r>
        <w:rPr>
          <w:rFonts w:ascii="Arial" w:cs="Arial" w:eastAsia="Arial" w:hAnsi="Arial"/>
          <w:sz w:val="17"/>
          <w:szCs w:val="17"/>
          <w:color w:val="auto"/>
        </w:rPr>
        <w:t>For information regarding how to nominate a Director candidate for consideration by the Corporate Governance Committee, please see “Corporate Governance — Director Nominations” in this Proxy Statement.</w:t>
      </w:r>
    </w:p>
    <w:p>
      <w:pPr>
        <w:spacing w:after="0" w:line="63" w:lineRule="exact"/>
        <w:rPr>
          <w:sz w:val="20"/>
          <w:szCs w:val="20"/>
          <w:color w:val="auto"/>
        </w:rPr>
      </w:pPr>
    </w:p>
    <w:p>
      <w:pPr>
        <w:ind w:left="1000" w:right="159"/>
        <w:spacing w:after="0" w:line="254" w:lineRule="auto"/>
        <w:rPr>
          <w:sz w:val="20"/>
          <w:szCs w:val="20"/>
          <w:color w:val="auto"/>
        </w:rPr>
      </w:pPr>
      <w:r>
        <w:rPr>
          <w:rFonts w:ascii="Arial" w:cs="Arial" w:eastAsia="Arial" w:hAnsi="Arial"/>
          <w:sz w:val="18"/>
          <w:szCs w:val="18"/>
          <w:color w:val="auto"/>
        </w:rPr>
        <w:t>Alternatively, under the Company’s By-laws, any shareholder wishing to appear at the 2025 Annual Meeting and submit a proposal or nominate a person as a Director candidate must submit the proposal or nomination to the Company’s Corporate Secretary not earlier than June 18, 2025, and not later than July 21, 2025 and comply with the requirements of the Company’s By-laws. Any such shareholder proposal or Director nomination will not appear in the Company’s proxy statement. However, Director nominations may be included on the Company’s proxy card if the additional requirements under Rule 14a-19 of the Exchange Act, known as the Universal Proxy Rule, and the By-laws are complied with. If notice is received by the Company after July 21, 2025, then such notice will be considered untimely. The Company reserves the right to reject, rule out of order, or take other appropriate action with respect to any proposal that does not comply with these and other applicable requirements.</w:t>
      </w:r>
    </w:p>
    <w:p>
      <w:pPr>
        <w:spacing w:after="0" w:line="118" w:lineRule="exact"/>
        <w:rPr>
          <w:sz w:val="20"/>
          <w:szCs w:val="20"/>
          <w:color w:val="auto"/>
        </w:rPr>
      </w:pPr>
    </w:p>
    <w:p>
      <w:pPr>
        <w:ind w:left="1000" w:right="859"/>
        <w:spacing w:after="0" w:line="287" w:lineRule="auto"/>
        <w:rPr>
          <w:sz w:val="20"/>
          <w:szCs w:val="20"/>
          <w:color w:val="auto"/>
        </w:rPr>
      </w:pPr>
      <w:r>
        <w:rPr>
          <w:rFonts w:ascii="Arial" w:cs="Arial" w:eastAsia="Arial" w:hAnsi="Arial"/>
          <w:sz w:val="18"/>
          <w:szCs w:val="18"/>
          <w:color w:val="auto"/>
        </w:rPr>
        <w:t>The persons named as proxies in the proxy materials relating to the 2025 Annual Meeting will use their discretion in voting the proxies when these matters are raised at the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74     </w:t>
      </w:r>
      <w:r>
        <w:rPr>
          <w:sz w:val="1"/>
          <w:szCs w:val="1"/>
          <w:color w:val="auto"/>
        </w:rPr>
        <w:drawing>
          <wp:inline distT="0" distB="0" distL="0" distR="0">
            <wp:extent cx="1242695" cy="24003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9944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5549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1580" w:right="380"/>
        <w:spacing w:after="0" w:line="269" w:lineRule="auto"/>
        <w:rPr>
          <w:sz w:val="20"/>
          <w:szCs w:val="20"/>
          <w:color w:val="auto"/>
        </w:rPr>
      </w:pPr>
      <w:r>
        <w:rPr>
          <w:rFonts w:ascii="Arial" w:cs="Arial" w:eastAsia="Arial" w:hAnsi="Arial"/>
          <w:sz w:val="40"/>
          <w:szCs w:val="40"/>
          <w:b w:val="1"/>
          <w:bCs w:val="1"/>
          <w:color w:val="FEFEFE"/>
        </w:rPr>
        <w:t>DELIVERY OF DOCUMENTS TO SHAREHOLDERS WITH SAME LAST NAME AND ADDRESS</w:t>
      </w:r>
      <w:r>
        <w:rPr>
          <w:rFonts w:ascii="Times New Roman" w:cs="Times New Roman" w:eastAsia="Times New Roman" w:hAnsi="Times New Roman"/>
          <w:sz w:val="17"/>
          <w:szCs w:val="17"/>
          <w:color w:val="FEFEFE"/>
        </w:rPr>
        <w:t>​</w:t>
      </w:r>
    </w:p>
    <w:p>
      <w:pPr>
        <w:spacing w:after="0" w:line="291" w:lineRule="exact"/>
        <w:rPr>
          <w:sz w:val="20"/>
          <w:szCs w:val="20"/>
          <w:color w:val="auto"/>
        </w:rPr>
      </w:pPr>
    </w:p>
    <w:p>
      <w:pPr>
        <w:ind w:left="1000" w:right="179"/>
        <w:spacing w:after="0" w:line="259" w:lineRule="auto"/>
        <w:rPr>
          <w:sz w:val="20"/>
          <w:szCs w:val="20"/>
          <w:color w:val="auto"/>
        </w:rPr>
      </w:pPr>
      <w:r>
        <w:rPr>
          <w:rFonts w:ascii="Arial" w:cs="Arial" w:eastAsia="Arial" w:hAnsi="Arial"/>
          <w:sz w:val="18"/>
          <w:szCs w:val="18"/>
          <w:color w:val="auto"/>
        </w:rPr>
        <w:t>Pursuant to SEC rules, the Company is sending only a single copy of its proxy materials or Notice of Availability of Proxy Materials, as applicable, to shareholders who share the same last name and address, unless they have notified the Company that they want to continue receiving multiple copies. This practice, known as “householding,” is designed to reduce duplicate mailings and save significant printing and postage costs as well as natural resources.</w:t>
      </w:r>
    </w:p>
    <w:p>
      <w:pPr>
        <w:spacing w:after="0" w:line="112" w:lineRule="exact"/>
        <w:rPr>
          <w:sz w:val="20"/>
          <w:szCs w:val="20"/>
          <w:color w:val="auto"/>
        </w:rPr>
      </w:pPr>
    </w:p>
    <w:p>
      <w:pPr>
        <w:ind w:left="1000" w:right="279"/>
        <w:spacing w:after="0" w:line="262" w:lineRule="auto"/>
        <w:rPr>
          <w:sz w:val="20"/>
          <w:szCs w:val="20"/>
          <w:color w:val="auto"/>
        </w:rPr>
      </w:pPr>
      <w:r>
        <w:rPr>
          <w:rFonts w:ascii="Arial" w:cs="Arial" w:eastAsia="Arial" w:hAnsi="Arial"/>
          <w:sz w:val="18"/>
          <w:szCs w:val="18"/>
          <w:color w:val="auto"/>
        </w:rPr>
        <w:t>Householding for bank and brokerage accounts is limited to accounts within the same bank or brokerage firm. For example, if you and your spouse share the same last name and address, and you and your spouse each have two accounts containing the Company’s Common Stock at two different brokerage firms, your household will receive two copies of the Company’s proxy materials, one from each brokerage firm.</w:t>
      </w:r>
    </w:p>
    <w:p>
      <w:pPr>
        <w:spacing w:after="0" w:line="95" w:lineRule="exact"/>
        <w:rPr>
          <w:sz w:val="20"/>
          <w:szCs w:val="20"/>
          <w:color w:val="auto"/>
        </w:rPr>
      </w:pPr>
    </w:p>
    <w:p>
      <w:pPr>
        <w:ind w:left="1000" w:right="199"/>
        <w:spacing w:after="0" w:line="259" w:lineRule="auto"/>
        <w:rPr>
          <w:sz w:val="20"/>
          <w:szCs w:val="20"/>
          <w:color w:val="auto"/>
        </w:rPr>
      </w:pPr>
      <w:r>
        <w:rPr>
          <w:rFonts w:ascii="Arial" w:cs="Arial" w:eastAsia="Arial" w:hAnsi="Arial"/>
          <w:sz w:val="18"/>
          <w:szCs w:val="18"/>
          <w:color w:val="auto"/>
        </w:rPr>
        <w:t xml:space="preserve">If you received a household mailing this year and you would like to have separate proxy materials mailed to you, or you would like to opt out of this practice for future mailings, please submit your request by mail to Corporate Secretary, Avnet, Inc., 2211 South 47th Street, Phoenix, Arizona 85034 or by email to </w:t>
      </w:r>
      <w:r>
        <w:rPr>
          <w:rFonts w:ascii="Arial" w:cs="Arial" w:eastAsia="Arial" w:hAnsi="Arial"/>
          <w:sz w:val="18"/>
          <w:szCs w:val="18"/>
          <w:u w:val="single" w:color="auto"/>
          <w:color w:val="auto"/>
        </w:rPr>
        <w:t>corporatesecretary@avnet.com</w:t>
      </w:r>
      <w:r>
        <w:rPr>
          <w:rFonts w:ascii="Arial" w:cs="Arial" w:eastAsia="Arial" w:hAnsi="Arial"/>
          <w:sz w:val="18"/>
          <w:szCs w:val="18"/>
          <w:color w:val="auto"/>
        </w:rPr>
        <w:t>. Similarly, you may also contact the Company if you received multiple copies of the proxy materials and would prefer to receive a single copy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151765</wp:posOffset>
            </wp:positionV>
            <wp:extent cx="5554980" cy="3257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39" w:lineRule="exact"/>
        <w:rPr>
          <w:sz w:val="20"/>
          <w:szCs w:val="20"/>
          <w:color w:val="auto"/>
        </w:rPr>
      </w:pPr>
    </w:p>
    <w:p>
      <w:pPr>
        <w:ind w:left="4420"/>
        <w:spacing w:after="0"/>
        <w:rPr>
          <w:sz w:val="20"/>
          <w:szCs w:val="20"/>
          <w:color w:val="auto"/>
        </w:rPr>
      </w:pPr>
      <w:r>
        <w:rPr>
          <w:rFonts w:ascii="Arial" w:cs="Arial" w:eastAsia="Arial" w:hAnsi="Arial"/>
          <w:sz w:val="40"/>
          <w:szCs w:val="40"/>
          <w:b w:val="1"/>
          <w:bCs w:val="1"/>
          <w:color w:val="FEFEFE"/>
        </w:rPr>
        <w:t>GENERAL</w:t>
      </w:r>
      <w:r>
        <w:rPr>
          <w:rFonts w:ascii="Times New Roman" w:cs="Times New Roman" w:eastAsia="Times New Roman" w:hAnsi="Times New Roman"/>
          <w:sz w:val="17"/>
          <w:szCs w:val="17"/>
          <w:color w:val="FEFEFE"/>
        </w:rPr>
        <w:t>​</w:t>
      </w:r>
    </w:p>
    <w:p>
      <w:pPr>
        <w:spacing w:after="0" w:line="338" w:lineRule="exact"/>
        <w:rPr>
          <w:sz w:val="20"/>
          <w:szCs w:val="20"/>
          <w:color w:val="auto"/>
        </w:rPr>
      </w:pPr>
    </w:p>
    <w:p>
      <w:pPr>
        <w:ind w:left="1000" w:right="159"/>
        <w:spacing w:after="0" w:line="257" w:lineRule="auto"/>
        <w:rPr>
          <w:sz w:val="20"/>
          <w:szCs w:val="20"/>
          <w:color w:val="auto"/>
        </w:rPr>
      </w:pPr>
      <w:r>
        <w:rPr>
          <w:rFonts w:ascii="Arial" w:cs="Arial" w:eastAsia="Arial" w:hAnsi="Arial"/>
          <w:sz w:val="18"/>
          <w:szCs w:val="18"/>
          <w:color w:val="auto"/>
        </w:rPr>
        <w:t>Upon written request of any shareholder entitled to receive this Proxy Statement, the Company will provide, without charge, a copy of its Annual Report on Form 10-K, including the consolidated financial statements, the notes thereto and financial statement schedules, as filed with the SEC. Any such request should be addressed to the Corporate Secretary, Avnet, Inc., 2211 South 47th Street, Phoenix, Arizona 85034. This request must include a representation by the shareholder that as of September 23, 2024, the shareholder is entitled to vote at the Annual Meeting.</w:t>
      </w:r>
    </w:p>
    <w:p>
      <w:pPr>
        <w:spacing w:after="0" w:line="11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128" w:lineRule="exact"/>
        <w:rPr>
          <w:sz w:val="20"/>
          <w:szCs w:val="20"/>
          <w:color w:val="auto"/>
        </w:rPr>
      </w:pPr>
    </w:p>
    <w:p>
      <w:pPr>
        <w:ind w:left="2800"/>
        <w:spacing w:after="0"/>
        <w:rPr>
          <w:sz w:val="20"/>
          <w:szCs w:val="20"/>
          <w:color w:val="auto"/>
        </w:rPr>
      </w:pPr>
      <w:r>
        <w:rPr>
          <w:rFonts w:ascii="Arial" w:cs="Arial" w:eastAsia="Arial" w:hAnsi="Arial"/>
          <w:sz w:val="18"/>
          <w:szCs w:val="18"/>
          <w:b w:val="1"/>
          <w:bCs w:val="1"/>
          <w:i w:val="1"/>
          <w:iCs w:val="1"/>
          <w:color w:val="auto"/>
        </w:rPr>
        <w:t>THE COMPANY APPRECIATES YOUR PROMPT RESPONSE!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2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5554980" cy="3257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80"/>
        <w:spacing w:after="0"/>
        <w:rPr>
          <w:sz w:val="20"/>
          <w:szCs w:val="20"/>
          <w:color w:val="auto"/>
        </w:rPr>
      </w:pPr>
      <w:r>
        <w:rPr>
          <w:rFonts w:ascii="Arial" w:cs="Arial" w:eastAsia="Arial" w:hAnsi="Arial"/>
          <w:sz w:val="40"/>
          <w:szCs w:val="40"/>
          <w:b w:val="1"/>
          <w:bCs w:val="1"/>
          <w:color w:val="FEFEFE"/>
        </w:rPr>
        <w:t>APPENDIX A</w:t>
      </w:r>
      <w:r>
        <w:rPr>
          <w:rFonts w:ascii="Times New Roman" w:cs="Times New Roman" w:eastAsia="Times New Roman" w:hAnsi="Times New Roman"/>
          <w:sz w:val="17"/>
          <w:szCs w:val="17"/>
          <w:color w:val="FEFEFE"/>
        </w:rPr>
        <w:t>​</w:t>
      </w:r>
    </w:p>
    <w:p>
      <w:pPr>
        <w:spacing w:after="0" w:line="22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3C072"/>
        </w:rPr>
        <w:t>RECONCILIATION OF NON-GAAP MEASURES</w:t>
      </w:r>
    </w:p>
    <w:p>
      <w:pPr>
        <w:spacing w:after="0" w:line="148" w:lineRule="exact"/>
        <w:rPr>
          <w:sz w:val="20"/>
          <w:szCs w:val="20"/>
          <w:color w:val="auto"/>
        </w:rPr>
      </w:pPr>
    </w:p>
    <w:p>
      <w:pPr>
        <w:ind w:left="1000" w:right="139"/>
        <w:spacing w:after="0" w:line="287" w:lineRule="auto"/>
        <w:rPr>
          <w:sz w:val="20"/>
          <w:szCs w:val="20"/>
          <w:color w:val="auto"/>
        </w:rPr>
      </w:pPr>
      <w:r>
        <w:rPr>
          <w:rFonts w:ascii="Arial" w:cs="Arial" w:eastAsia="Arial" w:hAnsi="Arial"/>
          <w:sz w:val="18"/>
          <w:szCs w:val="18"/>
          <w:color w:val="auto"/>
        </w:rPr>
        <w:t>The table below presents a reconciliation of each non-GAAP financial measure included in this Proxy Statement to the most comparable GAAP financial measure for the fiscal years 2022 through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92075</wp:posOffset>
            </wp:positionV>
            <wp:extent cx="5554980" cy="6172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54980" cy="617220"/>
                    </a:xfrm>
                    <a:prstGeom prst="rect">
                      <a:avLst/>
                    </a:prstGeom>
                    <a:noFill/>
                  </pic:spPr>
                </pic:pic>
              </a:graphicData>
            </a:graphic>
          </wp:anchor>
        </w:drawing>
      </w:r>
    </w:p>
    <w:p>
      <w:pPr>
        <w:spacing w:after="0" w:line="156"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FEFEFE"/>
        </w:rPr>
        <w:t>Fiscal Year 2024</w:t>
      </w:r>
    </w:p>
    <w:p>
      <w:pPr>
        <w:spacing w:after="0" w:line="35"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5860" w:type="dxa"/>
            <w:vAlign w:val="bottom"/>
            <w:tcBorders>
              <w:top w:val="single" w:sz="8" w:color="53C072"/>
            </w:tcBorders>
            <w:shd w:val="clear" w:color="auto" w:fill="53C072"/>
          </w:tcPr>
          <w:p>
            <w:pPr>
              <w:spacing w:after="0"/>
              <w:rPr>
                <w:sz w:val="15"/>
                <w:szCs w:val="15"/>
                <w:color w:val="auto"/>
              </w:rPr>
            </w:pPr>
          </w:p>
        </w:tc>
        <w:tc>
          <w:tcPr>
            <w:tcW w:w="1020" w:type="dxa"/>
            <w:vAlign w:val="bottom"/>
            <w:tcBorders>
              <w:top w:val="single" w:sz="8" w:color="auto"/>
            </w:tcBorders>
            <w:shd w:val="clear" w:color="auto" w:fill="53C072"/>
          </w:tcPr>
          <w:p>
            <w:pPr>
              <w:spacing w:after="0"/>
              <w:rPr>
                <w:sz w:val="15"/>
                <w:szCs w:val="15"/>
                <w:color w:val="auto"/>
              </w:rPr>
            </w:pPr>
          </w:p>
        </w:tc>
        <w:tc>
          <w:tcPr>
            <w:tcW w:w="880" w:type="dxa"/>
            <w:vAlign w:val="bottom"/>
            <w:tcBorders>
              <w:top w:val="single" w:sz="8" w:color="auto"/>
            </w:tcBorders>
            <w:shd w:val="clear" w:color="auto" w:fill="53C072"/>
          </w:tcPr>
          <w:p>
            <w:pPr>
              <w:spacing w:after="0"/>
              <w:rPr>
                <w:sz w:val="15"/>
                <w:szCs w:val="15"/>
                <w:color w:val="auto"/>
              </w:rPr>
            </w:pPr>
          </w:p>
        </w:tc>
        <w:tc>
          <w:tcPr>
            <w:tcW w:w="780" w:type="dxa"/>
            <w:vAlign w:val="bottom"/>
            <w:tcBorders>
              <w:top w:val="single" w:sz="8" w:color="auto"/>
            </w:tcBorders>
            <w:shd w:val="clear" w:color="auto" w:fill="53C072"/>
          </w:tcPr>
          <w:p>
            <w:pPr>
              <w:jc w:val="right"/>
              <w:spacing w:after="0"/>
              <w:rPr>
                <w:sz w:val="20"/>
                <w:szCs w:val="20"/>
                <w:color w:val="auto"/>
              </w:rPr>
            </w:pPr>
            <w:r>
              <w:rPr>
                <w:rFonts w:ascii="Arial" w:cs="Arial" w:eastAsia="Arial" w:hAnsi="Arial"/>
                <w:sz w:val="14"/>
                <w:szCs w:val="14"/>
                <w:b w:val="1"/>
                <w:bCs w:val="1"/>
                <w:color w:val="FEFEFE"/>
              </w:rPr>
              <w:t>Diluted</w:t>
            </w:r>
          </w:p>
        </w:tc>
        <w:tc>
          <w:tcPr>
            <w:tcW w:w="120" w:type="dxa"/>
            <w:vAlign w:val="bottom"/>
            <w:tcBorders>
              <w:top w:val="single" w:sz="8" w:color="53C072"/>
            </w:tcBorders>
            <w:shd w:val="clear" w:color="auto" w:fill="53C072"/>
          </w:tcPr>
          <w:p>
            <w:pPr>
              <w:spacing w:after="0"/>
              <w:rPr>
                <w:sz w:val="15"/>
                <w:szCs w:val="15"/>
                <w:color w:val="auto"/>
              </w:rPr>
            </w:pPr>
          </w:p>
        </w:tc>
      </w:tr>
      <w:tr>
        <w:trPr>
          <w:trHeight w:val="162"/>
        </w:trPr>
        <w:tc>
          <w:tcPr>
            <w:tcW w:w="5860" w:type="dxa"/>
            <w:vAlign w:val="bottom"/>
            <w:shd w:val="clear" w:color="auto" w:fill="53C072"/>
          </w:tcPr>
          <w:p>
            <w:pPr>
              <w:spacing w:after="0"/>
              <w:rPr>
                <w:sz w:val="14"/>
                <w:szCs w:val="14"/>
                <w:color w:val="auto"/>
              </w:rPr>
            </w:pPr>
          </w:p>
        </w:tc>
        <w:tc>
          <w:tcPr>
            <w:tcW w:w="1020" w:type="dxa"/>
            <w:vAlign w:val="bottom"/>
            <w:shd w:val="clear" w:color="auto" w:fill="53C072"/>
          </w:tcPr>
          <w:p>
            <w:pPr>
              <w:ind w:left="60"/>
              <w:spacing w:after="0"/>
              <w:rPr>
                <w:sz w:val="20"/>
                <w:szCs w:val="20"/>
                <w:color w:val="auto"/>
              </w:rPr>
            </w:pPr>
            <w:r>
              <w:rPr>
                <w:rFonts w:ascii="Arial" w:cs="Arial" w:eastAsia="Arial" w:hAnsi="Arial"/>
                <w:sz w:val="14"/>
                <w:szCs w:val="14"/>
                <w:b w:val="1"/>
                <w:bCs w:val="1"/>
                <w:color w:val="FEFEFE"/>
              </w:rPr>
              <w:t>Operating</w:t>
            </w:r>
          </w:p>
        </w:tc>
        <w:tc>
          <w:tcPr>
            <w:tcW w:w="880" w:type="dxa"/>
            <w:vAlign w:val="bottom"/>
            <w:shd w:val="clear" w:color="auto" w:fill="53C072"/>
          </w:tcPr>
          <w:p>
            <w:pPr>
              <w:ind w:left="480"/>
              <w:spacing w:after="0"/>
              <w:rPr>
                <w:sz w:val="20"/>
                <w:szCs w:val="20"/>
                <w:color w:val="auto"/>
              </w:rPr>
            </w:pPr>
            <w:r>
              <w:rPr>
                <w:rFonts w:ascii="Arial" w:cs="Arial" w:eastAsia="Arial" w:hAnsi="Arial"/>
                <w:sz w:val="14"/>
                <w:szCs w:val="14"/>
                <w:b w:val="1"/>
                <w:bCs w:val="1"/>
                <w:color w:val="FEFEFE"/>
              </w:rPr>
              <w:t>Net</w:t>
            </w:r>
          </w:p>
        </w:tc>
        <w:tc>
          <w:tcPr>
            <w:tcW w:w="90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Earnings</w:t>
            </w:r>
          </w:p>
        </w:tc>
      </w:tr>
      <w:tr>
        <w:trPr>
          <w:trHeight w:val="171"/>
        </w:trPr>
        <w:tc>
          <w:tcPr>
            <w:tcW w:w="5860" w:type="dxa"/>
            <w:vAlign w:val="bottom"/>
            <w:shd w:val="clear" w:color="auto" w:fill="53C072"/>
          </w:tcPr>
          <w:p>
            <w:pPr>
              <w:spacing w:after="0"/>
              <w:rPr>
                <w:sz w:val="14"/>
                <w:szCs w:val="14"/>
                <w:color w:val="auto"/>
              </w:rPr>
            </w:pPr>
          </w:p>
        </w:tc>
        <w:tc>
          <w:tcPr>
            <w:tcW w:w="1020" w:type="dxa"/>
            <w:vAlign w:val="bottom"/>
            <w:shd w:val="clear" w:color="auto" w:fill="53C072"/>
          </w:tcPr>
          <w:p>
            <w:pPr>
              <w:ind w:left="280"/>
              <w:spacing w:after="0"/>
              <w:rPr>
                <w:sz w:val="20"/>
                <w:szCs w:val="20"/>
                <w:color w:val="auto"/>
              </w:rPr>
            </w:pPr>
            <w:r>
              <w:rPr>
                <w:rFonts w:ascii="Arial" w:cs="Arial" w:eastAsia="Arial" w:hAnsi="Arial"/>
                <w:sz w:val="14"/>
                <w:szCs w:val="14"/>
                <w:b w:val="1"/>
                <w:bCs w:val="1"/>
                <w:color w:val="FEFEFE"/>
              </w:rPr>
              <w:t>Income</w:t>
            </w:r>
          </w:p>
        </w:tc>
        <w:tc>
          <w:tcPr>
            <w:tcW w:w="880" w:type="dxa"/>
            <w:vAlign w:val="bottom"/>
            <w:shd w:val="clear" w:color="auto" w:fill="53C072"/>
          </w:tcPr>
          <w:p>
            <w:pPr>
              <w:ind w:left="260"/>
              <w:spacing w:after="0"/>
              <w:rPr>
                <w:sz w:val="20"/>
                <w:szCs w:val="20"/>
                <w:color w:val="auto"/>
              </w:rPr>
            </w:pPr>
            <w:r>
              <w:rPr>
                <w:rFonts w:ascii="Arial" w:cs="Arial" w:eastAsia="Arial" w:hAnsi="Arial"/>
                <w:sz w:val="14"/>
                <w:szCs w:val="14"/>
                <w:b w:val="1"/>
                <w:bCs w:val="1"/>
                <w:color w:val="FEFEFE"/>
              </w:rPr>
              <w:t>Income</w:t>
            </w:r>
          </w:p>
        </w:tc>
        <w:tc>
          <w:tcPr>
            <w:tcW w:w="900" w:type="dxa"/>
            <w:vAlign w:val="bottom"/>
            <w:gridSpan w:val="2"/>
            <w:shd w:val="clear" w:color="auto" w:fill="53C072"/>
          </w:tcPr>
          <w:p>
            <w:pPr>
              <w:ind w:left="120"/>
              <w:spacing w:after="0"/>
              <w:rPr>
                <w:sz w:val="20"/>
                <w:szCs w:val="20"/>
                <w:color w:val="auto"/>
              </w:rPr>
            </w:pPr>
            <w:r>
              <w:rPr>
                <w:rFonts w:ascii="Arial" w:cs="Arial" w:eastAsia="Arial" w:hAnsi="Arial"/>
                <w:sz w:val="14"/>
                <w:szCs w:val="14"/>
                <w:b w:val="1"/>
                <w:bCs w:val="1"/>
                <w:color w:val="FEFEFE"/>
              </w:rPr>
              <w:t>Per Share</w:t>
            </w:r>
          </w:p>
        </w:tc>
      </w:tr>
    </w:tbl>
    <w:p>
      <w:pPr>
        <w:spacing w:after="0" w:line="31"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FEFEFE"/>
        </w:rPr>
        <w:t>(thousands except per share data)</w:t>
      </w:r>
    </w:p>
    <w:p>
      <w:pPr>
        <w:sectPr>
          <w:pgSz w:w="11900" w:h="16838" w:orient="portrait"/>
          <w:cols w:equalWidth="0" w:num="1">
            <w:col w:w="9879"/>
          </w:cols>
          <w:pgMar w:left="580" w:top="97" w:right="1440" w:bottom="1440" w:gutter="0" w:footer="0" w:header="0"/>
        </w:sectPr>
      </w:pPr>
    </w:p>
    <w:p>
      <w:pPr>
        <w:spacing w:after="0" w:line="4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8890</wp:posOffset>
            </wp:positionV>
            <wp:extent cx="555498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54980" cy="154305"/>
                    </a:xfrm>
                    <a:prstGeom prst="rect">
                      <a:avLst/>
                    </a:prstGeom>
                    <a:noFill/>
                  </pic:spPr>
                </pic:pic>
              </a:graphicData>
            </a:graphic>
          </wp:anchor>
        </w:drawing>
      </w:r>
    </w:p>
    <w:p>
      <w:pPr>
        <w:spacing w:after="0" w:line="33" w:lineRule="exact"/>
        <w:rPr>
          <w:sz w:val="20"/>
          <w:szCs w:val="20"/>
          <w:color w:val="auto"/>
        </w:rPr>
      </w:pPr>
    </w:p>
    <w:p>
      <w:pPr>
        <w:ind w:left="1040" w:right="1580"/>
        <w:spacing w:after="0" w:line="303" w:lineRule="auto"/>
        <w:rPr>
          <w:sz w:val="20"/>
          <w:szCs w:val="20"/>
          <w:color w:val="auto"/>
        </w:rPr>
      </w:pPr>
      <w:r>
        <w:rPr>
          <w:rFonts w:ascii="Arial" w:cs="Arial" w:eastAsia="Arial" w:hAnsi="Arial"/>
          <w:sz w:val="18"/>
          <w:szCs w:val="18"/>
          <w:color w:val="auto"/>
        </w:rPr>
        <w:t>​Restructuring, integration and other expenses ​Amortization of intangible assets and other ​Gain on legal settlements and other ​Foreign currency loss and other, net ​Income tax adjustments ​Total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-545465</wp:posOffset>
            </wp:positionV>
            <wp:extent cx="5554980" cy="1631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54980" cy="16319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-219710</wp:posOffset>
            </wp:positionV>
            <wp:extent cx="5554980" cy="162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54980" cy="162560"/>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105410</wp:posOffset>
            </wp:positionV>
            <wp:extent cx="5554980" cy="2057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54980" cy="205740"/>
                    </a:xfrm>
                    <a:prstGeom prst="rect">
                      <a:avLst/>
                    </a:prstGeom>
                    <a:noFill/>
                  </pic:spPr>
                </pic:pic>
              </a:graphicData>
            </a:graphic>
          </wp:anchor>
        </w:drawing>
      </w:r>
    </w:p>
    <w:p>
      <w:pPr>
        <w:spacing w:after="0" w:line="80" w:lineRule="exact"/>
        <w:rPr>
          <w:sz w:val="20"/>
          <w:szCs w:val="20"/>
          <w:color w:val="auto"/>
        </w:rPr>
      </w:pPr>
    </w:p>
    <w:p>
      <w:pPr>
        <w:ind w:left="104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Adjusted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78105</wp:posOffset>
            </wp:positionV>
            <wp:extent cx="5554980" cy="6172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54980" cy="617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​$844,367</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​$498,699</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$5.43</w:t>
            </w:r>
          </w:p>
        </w:tc>
      </w:tr>
      <w:tr>
        <w:trPr>
          <w:trHeight w:val="24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52,550</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39,550</w:t>
            </w:r>
          </w:p>
        </w:tc>
        <w:tc>
          <w:tcPr>
            <w:tcW w:w="64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5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3,130</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2,430</w:t>
            </w:r>
          </w:p>
        </w:tc>
        <w:tc>
          <w:tcPr>
            <w:tcW w:w="64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5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(66,065)</w:t>
            </w:r>
          </w:p>
        </w:tc>
        <w:tc>
          <w:tcPr>
            <w:tcW w:w="64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57"/>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20,357</w:t>
            </w:r>
          </w:p>
        </w:tc>
        <w:tc>
          <w:tcPr>
            <w:tcW w:w="64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57"/>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(4,992)</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57"/>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55,680</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(8,720)</w:t>
            </w:r>
          </w:p>
        </w:tc>
        <w:tc>
          <w:tcPr>
            <w:tcW w:w="64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473"/>
        </w:trPr>
        <w:tc>
          <w:tcPr>
            <w:tcW w:w="880" w:type="dxa"/>
            <w:vAlign w:val="bottom"/>
            <w:gridSpan w:val="2"/>
          </w:tcPr>
          <w:p>
            <w:pPr>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$900,047</w:t>
            </w:r>
          </w:p>
        </w:tc>
        <w:tc>
          <w:tcPr>
            <w:tcW w:w="1140" w:type="dxa"/>
            <w:vAlign w:val="bottom"/>
            <w:gridSpan w:val="2"/>
          </w:tcPr>
          <w:p>
            <w:pPr>
              <w:jc w:val="right"/>
              <w:ind w:right="17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$489,979</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$5.34</w:t>
            </w:r>
          </w:p>
        </w:tc>
      </w:tr>
    </w:tbl>
    <w:p>
      <w:pPr>
        <w:spacing w:after="0" w:line="1" w:lineRule="exact"/>
        <w:rPr>
          <w:sz w:val="20"/>
          <w:szCs w:val="20"/>
          <w:color w:val="auto"/>
        </w:rPr>
      </w:pPr>
    </w:p>
    <w:p>
      <w:pPr>
        <w:sectPr>
          <w:pgSz w:w="11900" w:h="16838" w:orient="portrait"/>
          <w:cols w:equalWidth="0" w:num="2">
            <w:col w:w="6240" w:space="720"/>
            <w:col w:w="2919"/>
          </w:cols>
          <w:pgMar w:left="580" w:top="97" w:right="1440" w:bottom="1440" w:gutter="0" w:footer="0" w:header="0"/>
          <w:type w:val="continuous"/>
        </w:sectPr>
      </w:pPr>
    </w:p>
    <w:p>
      <w:pPr>
        <w:ind w:left="7660"/>
        <w:spacing w:after="0"/>
        <w:rPr>
          <w:sz w:val="20"/>
          <w:szCs w:val="20"/>
          <w:color w:val="auto"/>
        </w:rPr>
      </w:pPr>
      <w:r>
        <w:rPr>
          <w:rFonts w:ascii="Arial" w:cs="Arial" w:eastAsia="Arial" w:hAnsi="Arial"/>
          <w:sz w:val="14"/>
          <w:szCs w:val="14"/>
          <w:b w:val="1"/>
          <w:bCs w:val="1"/>
          <w:color w:val="FEFEFE"/>
        </w:rPr>
        <w:t>Fiscal Year 2023</w:t>
      </w:r>
    </w:p>
    <w:p>
      <w:pPr>
        <w:spacing w:after="0" w:line="21"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5720" w:type="dxa"/>
            <w:vAlign w:val="bottom"/>
            <w:tcBorders>
              <w:top w:val="single" w:sz="8" w:color="53C072"/>
            </w:tcBorders>
            <w:shd w:val="clear" w:color="auto" w:fill="53C072"/>
          </w:tcPr>
          <w:p>
            <w:pPr>
              <w:spacing w:after="0"/>
              <w:rPr>
                <w:sz w:val="15"/>
                <w:szCs w:val="15"/>
                <w:color w:val="auto"/>
              </w:rPr>
            </w:pPr>
          </w:p>
        </w:tc>
        <w:tc>
          <w:tcPr>
            <w:tcW w:w="1160" w:type="dxa"/>
            <w:vAlign w:val="bottom"/>
            <w:tcBorders>
              <w:top w:val="single" w:sz="8" w:color="auto"/>
            </w:tcBorders>
            <w:shd w:val="clear" w:color="auto" w:fill="53C072"/>
          </w:tcPr>
          <w:p>
            <w:pPr>
              <w:spacing w:after="0"/>
              <w:rPr>
                <w:sz w:val="15"/>
                <w:szCs w:val="15"/>
                <w:color w:val="auto"/>
              </w:rPr>
            </w:pPr>
          </w:p>
        </w:tc>
        <w:tc>
          <w:tcPr>
            <w:tcW w:w="880" w:type="dxa"/>
            <w:vAlign w:val="bottom"/>
            <w:tcBorders>
              <w:top w:val="single" w:sz="8" w:color="auto"/>
            </w:tcBorders>
            <w:shd w:val="clear" w:color="auto" w:fill="53C072"/>
          </w:tcPr>
          <w:p>
            <w:pPr>
              <w:spacing w:after="0"/>
              <w:rPr>
                <w:sz w:val="15"/>
                <w:szCs w:val="15"/>
                <w:color w:val="auto"/>
              </w:rPr>
            </w:pPr>
          </w:p>
        </w:tc>
        <w:tc>
          <w:tcPr>
            <w:tcW w:w="780" w:type="dxa"/>
            <w:vAlign w:val="bottom"/>
            <w:tcBorders>
              <w:top w:val="single" w:sz="8" w:color="auto"/>
            </w:tcBorders>
            <w:shd w:val="clear" w:color="auto" w:fill="53C072"/>
          </w:tcPr>
          <w:p>
            <w:pPr>
              <w:jc w:val="right"/>
              <w:spacing w:after="0"/>
              <w:rPr>
                <w:sz w:val="20"/>
                <w:szCs w:val="20"/>
                <w:color w:val="auto"/>
              </w:rPr>
            </w:pPr>
            <w:r>
              <w:rPr>
                <w:rFonts w:ascii="Arial" w:cs="Arial" w:eastAsia="Arial" w:hAnsi="Arial"/>
                <w:sz w:val="14"/>
                <w:szCs w:val="14"/>
                <w:b w:val="1"/>
                <w:bCs w:val="1"/>
                <w:color w:val="FEFEFE"/>
              </w:rPr>
              <w:t>Diluted</w:t>
            </w:r>
          </w:p>
        </w:tc>
        <w:tc>
          <w:tcPr>
            <w:tcW w:w="120" w:type="dxa"/>
            <w:vAlign w:val="bottom"/>
            <w:tcBorders>
              <w:top w:val="single" w:sz="8" w:color="53C072"/>
            </w:tcBorders>
            <w:shd w:val="clear" w:color="auto" w:fill="53C072"/>
          </w:tcPr>
          <w:p>
            <w:pPr>
              <w:spacing w:after="0"/>
              <w:rPr>
                <w:sz w:val="15"/>
                <w:szCs w:val="15"/>
                <w:color w:val="auto"/>
              </w:rPr>
            </w:pPr>
          </w:p>
        </w:tc>
      </w:tr>
      <w:tr>
        <w:trPr>
          <w:trHeight w:val="162"/>
        </w:trPr>
        <w:tc>
          <w:tcPr>
            <w:tcW w:w="5720" w:type="dxa"/>
            <w:vAlign w:val="bottom"/>
            <w:shd w:val="clear" w:color="auto" w:fill="53C072"/>
          </w:tcPr>
          <w:p>
            <w:pPr>
              <w:spacing w:after="0"/>
              <w:rPr>
                <w:sz w:val="14"/>
                <w:szCs w:val="14"/>
                <w:color w:val="auto"/>
              </w:rPr>
            </w:pPr>
          </w:p>
        </w:tc>
        <w:tc>
          <w:tcPr>
            <w:tcW w:w="1160" w:type="dxa"/>
            <w:vAlign w:val="bottom"/>
            <w:shd w:val="clear" w:color="auto" w:fill="53C072"/>
          </w:tcPr>
          <w:p>
            <w:pPr>
              <w:ind w:left="200"/>
              <w:spacing w:after="0"/>
              <w:rPr>
                <w:sz w:val="20"/>
                <w:szCs w:val="20"/>
                <w:color w:val="auto"/>
              </w:rPr>
            </w:pPr>
            <w:r>
              <w:rPr>
                <w:rFonts w:ascii="Arial" w:cs="Arial" w:eastAsia="Arial" w:hAnsi="Arial"/>
                <w:sz w:val="14"/>
                <w:szCs w:val="14"/>
                <w:b w:val="1"/>
                <w:bCs w:val="1"/>
                <w:color w:val="FEFEFE"/>
              </w:rPr>
              <w:t>Operating</w:t>
            </w:r>
          </w:p>
        </w:tc>
        <w:tc>
          <w:tcPr>
            <w:tcW w:w="880" w:type="dxa"/>
            <w:vAlign w:val="bottom"/>
            <w:shd w:val="clear" w:color="auto" w:fill="53C072"/>
          </w:tcPr>
          <w:p>
            <w:pPr>
              <w:ind w:left="480"/>
              <w:spacing w:after="0"/>
              <w:rPr>
                <w:sz w:val="20"/>
                <w:szCs w:val="20"/>
                <w:color w:val="auto"/>
              </w:rPr>
            </w:pPr>
            <w:r>
              <w:rPr>
                <w:rFonts w:ascii="Arial" w:cs="Arial" w:eastAsia="Arial" w:hAnsi="Arial"/>
                <w:sz w:val="14"/>
                <w:szCs w:val="14"/>
                <w:b w:val="1"/>
                <w:bCs w:val="1"/>
                <w:color w:val="FEFEFE"/>
              </w:rPr>
              <w:t>Net</w:t>
            </w:r>
          </w:p>
        </w:tc>
        <w:tc>
          <w:tcPr>
            <w:tcW w:w="90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Earnings</w:t>
            </w:r>
          </w:p>
        </w:tc>
      </w:tr>
      <w:tr>
        <w:trPr>
          <w:trHeight w:val="171"/>
        </w:trPr>
        <w:tc>
          <w:tcPr>
            <w:tcW w:w="5720" w:type="dxa"/>
            <w:vAlign w:val="bottom"/>
            <w:shd w:val="clear" w:color="auto" w:fill="53C072"/>
          </w:tcPr>
          <w:p>
            <w:pPr>
              <w:spacing w:after="0"/>
              <w:rPr>
                <w:sz w:val="14"/>
                <w:szCs w:val="14"/>
                <w:color w:val="auto"/>
              </w:rPr>
            </w:pPr>
          </w:p>
        </w:tc>
        <w:tc>
          <w:tcPr>
            <w:tcW w:w="1160" w:type="dxa"/>
            <w:vAlign w:val="bottom"/>
            <w:shd w:val="clear" w:color="auto" w:fill="53C072"/>
          </w:tcPr>
          <w:p>
            <w:pPr>
              <w:ind w:left="420"/>
              <w:spacing w:after="0"/>
              <w:rPr>
                <w:sz w:val="20"/>
                <w:szCs w:val="20"/>
                <w:color w:val="auto"/>
              </w:rPr>
            </w:pPr>
            <w:r>
              <w:rPr>
                <w:rFonts w:ascii="Arial" w:cs="Arial" w:eastAsia="Arial" w:hAnsi="Arial"/>
                <w:sz w:val="14"/>
                <w:szCs w:val="14"/>
                <w:b w:val="1"/>
                <w:bCs w:val="1"/>
                <w:color w:val="FEFEFE"/>
              </w:rPr>
              <w:t>Income</w:t>
            </w:r>
          </w:p>
        </w:tc>
        <w:tc>
          <w:tcPr>
            <w:tcW w:w="880" w:type="dxa"/>
            <w:vAlign w:val="bottom"/>
            <w:shd w:val="clear" w:color="auto" w:fill="53C072"/>
          </w:tcPr>
          <w:p>
            <w:pPr>
              <w:ind w:left="260"/>
              <w:spacing w:after="0"/>
              <w:rPr>
                <w:sz w:val="20"/>
                <w:szCs w:val="20"/>
                <w:color w:val="auto"/>
              </w:rPr>
            </w:pPr>
            <w:r>
              <w:rPr>
                <w:rFonts w:ascii="Arial" w:cs="Arial" w:eastAsia="Arial" w:hAnsi="Arial"/>
                <w:sz w:val="14"/>
                <w:szCs w:val="14"/>
                <w:b w:val="1"/>
                <w:bCs w:val="1"/>
                <w:color w:val="FEFEFE"/>
              </w:rPr>
              <w:t>Income</w:t>
            </w:r>
          </w:p>
        </w:tc>
        <w:tc>
          <w:tcPr>
            <w:tcW w:w="900" w:type="dxa"/>
            <w:vAlign w:val="bottom"/>
            <w:gridSpan w:val="2"/>
            <w:shd w:val="clear" w:color="auto" w:fill="53C072"/>
          </w:tcPr>
          <w:p>
            <w:pPr>
              <w:ind w:left="120"/>
              <w:spacing w:after="0"/>
              <w:rPr>
                <w:sz w:val="20"/>
                <w:szCs w:val="20"/>
                <w:color w:val="auto"/>
              </w:rPr>
            </w:pPr>
            <w:r>
              <w:rPr>
                <w:rFonts w:ascii="Arial" w:cs="Arial" w:eastAsia="Arial" w:hAnsi="Arial"/>
                <w:sz w:val="14"/>
                <w:szCs w:val="14"/>
                <w:b w:val="1"/>
                <w:bCs w:val="1"/>
                <w:color w:val="FEFEFE"/>
              </w:rPr>
              <w:t>Per Share</w:t>
            </w:r>
          </w:p>
        </w:tc>
      </w:tr>
    </w:tbl>
    <w:p>
      <w:pPr>
        <w:spacing w:after="0" w:line="31"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FEFEFE"/>
        </w:rPr>
        <w:t>(thousands except per share data)</w:t>
      </w:r>
    </w:p>
    <w:p>
      <w:pPr>
        <w:sectPr>
          <w:pgSz w:w="11900" w:h="16838" w:orient="portrait"/>
          <w:cols w:equalWidth="0" w:num="1">
            <w:col w:w="9879"/>
          </w:cols>
          <w:pgMar w:left="580" w:top="97" w:right="1440" w:bottom="1440" w:gutter="0" w:footer="0" w:header="0"/>
          <w:type w:val="continuous"/>
        </w:sectPr>
      </w:pPr>
    </w:p>
    <w:p>
      <w:pPr>
        <w:spacing w:after="0" w:line="4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8890</wp:posOffset>
            </wp:positionV>
            <wp:extent cx="555498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554980" cy="154305"/>
                    </a:xfrm>
                    <a:prstGeom prst="rect">
                      <a:avLst/>
                    </a:prstGeom>
                    <a:noFill/>
                  </pic:spPr>
                </pic:pic>
              </a:graphicData>
            </a:graphic>
          </wp:anchor>
        </w:drawing>
      </w:r>
    </w:p>
    <w:p>
      <w:pPr>
        <w:spacing w:after="0" w:line="33" w:lineRule="exact"/>
        <w:rPr>
          <w:sz w:val="20"/>
          <w:szCs w:val="20"/>
          <w:color w:val="auto"/>
        </w:rPr>
      </w:pPr>
    </w:p>
    <w:p>
      <w:pPr>
        <w:ind w:left="1040" w:right="1420"/>
        <w:spacing w:after="0" w:line="279" w:lineRule="auto"/>
        <w:rPr>
          <w:sz w:val="20"/>
          <w:szCs w:val="20"/>
          <w:color w:val="auto"/>
        </w:rPr>
      </w:pPr>
      <w:r>
        <w:rPr>
          <w:rFonts w:ascii="Arial" w:cs="Arial" w:eastAsia="Arial" w:hAnsi="Arial"/>
          <w:sz w:val="18"/>
          <w:szCs w:val="18"/>
          <w:color w:val="auto"/>
        </w:rPr>
        <w:t>​Restructuring, integration and other expenses ​Amortization of intangible assets and other ​Gain on legal settlements and other ​Income tax adjustments ​Total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-479425</wp:posOffset>
            </wp:positionV>
            <wp:extent cx="555498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554980" cy="15430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-170815</wp:posOffset>
            </wp:positionV>
            <wp:extent cx="555498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54980" cy="154305"/>
                    </a:xfrm>
                    <a:prstGeom prst="rect">
                      <a:avLst/>
                    </a:prstGeom>
                    <a:noFill/>
                  </pic:spPr>
                </pic:pic>
              </a:graphicData>
            </a:graphic>
          </wp:anchor>
        </w:drawing>
      </w:r>
    </w:p>
    <w:p>
      <w:pPr>
        <w:ind w:left="1040"/>
        <w:spacing w:after="0" w:line="181" w:lineRule="auto"/>
        <w:rPr>
          <w:sz w:val="20"/>
          <w:szCs w:val="20"/>
          <w:color w:val="auto"/>
        </w:rPr>
      </w:pPr>
      <w:r>
        <w:rPr>
          <w:rFonts w:ascii="Arial" w:cs="Arial" w:eastAsia="Arial" w:hAnsi="Arial"/>
          <w:sz w:val="34"/>
          <w:szCs w:val="34"/>
          <w:b w:val="1"/>
          <w:bCs w:val="1"/>
          <w:color w:val="auto"/>
          <w:vertAlign w:val="subscript"/>
        </w:rPr>
        <w:t>​</w:t>
      </w:r>
      <w:r>
        <w:rPr>
          <w:rFonts w:ascii="Arial" w:cs="Arial" w:eastAsia="Arial" w:hAnsi="Arial"/>
          <w:sz w:val="18"/>
          <w:szCs w:val="18"/>
          <w:b w:val="1"/>
          <w:bCs w:val="1"/>
          <w:color w:val="auto"/>
        </w:rPr>
        <w:t>Adjusted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-23495</wp:posOffset>
            </wp:positionV>
            <wp:extent cx="555498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0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​$1,186,800</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​$770,828</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$8.26</w:t>
            </w:r>
          </w:p>
        </w:tc>
      </w:tr>
      <w:tr>
        <w:trPr>
          <w:trHeight w:val="24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28,038</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22,031</w:t>
            </w:r>
          </w:p>
        </w:tc>
        <w:tc>
          <w:tcPr>
            <w:tcW w:w="64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4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6,053</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4,693</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4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(28,325)</w:t>
            </w:r>
          </w:p>
        </w:tc>
        <w:tc>
          <w:tcPr>
            <w:tcW w:w="64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4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(16,453)</w:t>
            </w:r>
          </w:p>
        </w:tc>
        <w:tc>
          <w:tcPr>
            <w:tcW w:w="64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34,091</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(18,054)</w:t>
            </w:r>
          </w:p>
        </w:tc>
        <w:tc>
          <w:tcPr>
            <w:tcW w:w="64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437"/>
        </w:trPr>
        <w:tc>
          <w:tcPr>
            <w:tcW w:w="1040" w:type="dxa"/>
            <w:vAlign w:val="bottom"/>
            <w:gridSpan w:val="2"/>
          </w:tcPr>
          <w:p>
            <w:pPr>
              <w:jc w:val="right"/>
              <w:ind w:right="30"/>
              <w:spacing w:after="0"/>
              <w:rPr>
                <w:sz w:val="20"/>
                <w:szCs w:val="20"/>
                <w:color w:val="auto"/>
              </w:rPr>
            </w:pPr>
            <w:r>
              <w:rPr>
                <w:rFonts w:ascii="Arial" w:cs="Arial" w:eastAsia="Arial" w:hAnsi="Arial"/>
                <w:sz w:val="35"/>
                <w:szCs w:val="35"/>
                <w:b w:val="1"/>
                <w:bCs w:val="1"/>
                <w:color w:val="auto"/>
                <w:w w:val="99"/>
                <w:vertAlign w:val="subscript"/>
              </w:rPr>
              <w:t>​</w:t>
            </w:r>
            <w:r>
              <w:rPr>
                <w:rFonts w:ascii="Arial" w:cs="Arial" w:eastAsia="Arial" w:hAnsi="Arial"/>
                <w:sz w:val="18"/>
                <w:szCs w:val="18"/>
                <w:b w:val="1"/>
                <w:bCs w:val="1"/>
                <w:color w:val="auto"/>
                <w:w w:val="99"/>
              </w:rPr>
              <w:t>$1,220,891</w:t>
            </w:r>
          </w:p>
        </w:tc>
        <w:tc>
          <w:tcPr>
            <w:tcW w:w="1140" w:type="dxa"/>
            <w:vAlign w:val="bottom"/>
            <w:gridSpan w:val="2"/>
          </w:tcPr>
          <w:p>
            <w:pPr>
              <w:jc w:val="right"/>
              <w:ind w:right="17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$752,774</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$8.06</w:t>
            </w:r>
          </w:p>
        </w:tc>
      </w:tr>
    </w:tbl>
    <w:p>
      <w:pPr>
        <w:spacing w:after="0" w:line="20" w:lineRule="exact"/>
        <w:rPr>
          <w:sz w:val="20"/>
          <w:szCs w:val="20"/>
          <w:color w:val="auto"/>
        </w:rPr>
      </w:pPr>
    </w:p>
    <w:p>
      <w:pPr>
        <w:sectPr>
          <w:pgSz w:w="11900" w:h="16838" w:orient="portrait"/>
          <w:cols w:equalWidth="0" w:num="2">
            <w:col w:w="6080" w:space="720"/>
            <w:col w:w="3079"/>
          </w:cols>
          <w:pgMar w:left="580" w:top="97" w:right="1440" w:bottom="1440" w:gutter="0" w:footer="0" w:header="0"/>
          <w:type w:val="continuous"/>
        </w:sectPr>
      </w:pPr>
    </w:p>
    <w:tbl>
      <w:tblPr>
        <w:tblLayout w:type="fixed"/>
        <w:tblInd w:w="980" w:type="dxa"/>
        <w:tblCellMar>
          <w:top w:w="0" w:type="dxa"/>
          <w:left w:w="0" w:type="dxa"/>
          <w:bottom w:w="0" w:type="dxa"/>
          <w:right w:w="0" w:type="dxa"/>
        </w:tblCellMar>
      </w:tblPr>
      <w:tr>
        <w:trPr>
          <w:trHeight w:val="210"/>
        </w:trPr>
        <w:tc>
          <w:tcPr>
            <w:tcW w:w="5680" w:type="dxa"/>
            <w:vAlign w:val="bottom"/>
            <w:tcBorders>
              <w:bottom w:val="single" w:sz="8" w:color="53C072"/>
            </w:tcBorders>
            <w:shd w:val="clear" w:color="auto" w:fill="53C072"/>
          </w:tcPr>
          <w:p>
            <w:pPr>
              <w:spacing w:after="0"/>
              <w:rPr>
                <w:sz w:val="18"/>
                <w:szCs w:val="18"/>
                <w:color w:val="auto"/>
              </w:rPr>
            </w:pPr>
          </w:p>
        </w:tc>
        <w:tc>
          <w:tcPr>
            <w:tcW w:w="160" w:type="dxa"/>
            <w:vAlign w:val="bottom"/>
            <w:tcBorders>
              <w:bottom w:val="single" w:sz="8" w:color="auto"/>
            </w:tcBorders>
            <w:shd w:val="clear" w:color="auto" w:fill="53C072"/>
          </w:tcPr>
          <w:p>
            <w:pPr>
              <w:spacing w:after="0"/>
              <w:rPr>
                <w:sz w:val="18"/>
                <w:szCs w:val="18"/>
                <w:color w:val="auto"/>
              </w:rPr>
            </w:pPr>
          </w:p>
        </w:tc>
        <w:tc>
          <w:tcPr>
            <w:tcW w:w="760" w:type="dxa"/>
            <w:vAlign w:val="bottom"/>
            <w:tcBorders>
              <w:bottom w:val="single" w:sz="8" w:color="auto"/>
            </w:tcBorders>
            <w:shd w:val="clear" w:color="auto" w:fill="53C072"/>
          </w:tcPr>
          <w:p>
            <w:pPr>
              <w:spacing w:after="0"/>
              <w:rPr>
                <w:sz w:val="18"/>
                <w:szCs w:val="18"/>
                <w:color w:val="auto"/>
              </w:rPr>
            </w:pPr>
          </w:p>
        </w:tc>
        <w:tc>
          <w:tcPr>
            <w:tcW w:w="1280" w:type="dxa"/>
            <w:vAlign w:val="bottom"/>
            <w:tcBorders>
              <w:bottom w:val="single" w:sz="8" w:color="auto"/>
            </w:tcBorders>
            <w:gridSpan w:val="2"/>
            <w:shd w:val="clear" w:color="auto" w:fill="53C072"/>
          </w:tcPr>
          <w:p>
            <w:pPr>
              <w:jc w:val="right"/>
              <w:ind w:right="74"/>
              <w:spacing w:after="0"/>
              <w:rPr>
                <w:sz w:val="20"/>
                <w:szCs w:val="20"/>
                <w:color w:val="auto"/>
              </w:rPr>
            </w:pPr>
            <w:r>
              <w:rPr>
                <w:rFonts w:ascii="Arial" w:cs="Arial" w:eastAsia="Arial" w:hAnsi="Arial"/>
                <w:sz w:val="14"/>
                <w:szCs w:val="14"/>
                <w:b w:val="1"/>
                <w:bCs w:val="1"/>
                <w:color w:val="FEFEFE"/>
              </w:rPr>
              <w:t>Fiscal Year 2022</w:t>
            </w:r>
          </w:p>
        </w:tc>
        <w:tc>
          <w:tcPr>
            <w:tcW w:w="760" w:type="dxa"/>
            <w:vAlign w:val="bottom"/>
            <w:tcBorders>
              <w:bottom w:val="single" w:sz="8" w:color="auto"/>
            </w:tcBorders>
            <w:shd w:val="clear" w:color="auto" w:fill="53C072"/>
          </w:tcPr>
          <w:p>
            <w:pPr>
              <w:spacing w:after="0"/>
              <w:rPr>
                <w:sz w:val="18"/>
                <w:szCs w:val="18"/>
                <w:color w:val="auto"/>
              </w:rPr>
            </w:pPr>
          </w:p>
        </w:tc>
        <w:tc>
          <w:tcPr>
            <w:tcW w:w="120" w:type="dxa"/>
            <w:vAlign w:val="bottom"/>
            <w:tcBorders>
              <w:bottom w:val="single" w:sz="8" w:color="53C072"/>
            </w:tcBorders>
            <w:shd w:val="clear" w:color="auto" w:fill="53C072"/>
          </w:tcPr>
          <w:p>
            <w:pPr>
              <w:spacing w:after="0"/>
              <w:rPr>
                <w:sz w:val="18"/>
                <w:szCs w:val="18"/>
                <w:color w:val="auto"/>
              </w:rPr>
            </w:pPr>
          </w:p>
        </w:tc>
      </w:tr>
      <w:tr>
        <w:trPr>
          <w:trHeight w:val="173"/>
        </w:trPr>
        <w:tc>
          <w:tcPr>
            <w:tcW w:w="5680" w:type="dxa"/>
            <w:vAlign w:val="bottom"/>
            <w:shd w:val="clear" w:color="auto" w:fill="53C072"/>
          </w:tcPr>
          <w:p>
            <w:pPr>
              <w:spacing w:after="0"/>
              <w:rPr>
                <w:sz w:val="15"/>
                <w:szCs w:val="15"/>
                <w:color w:val="auto"/>
              </w:rPr>
            </w:pPr>
          </w:p>
        </w:tc>
        <w:tc>
          <w:tcPr>
            <w:tcW w:w="160" w:type="dxa"/>
            <w:vAlign w:val="bottom"/>
            <w:shd w:val="clear" w:color="auto" w:fill="53C072"/>
          </w:tcPr>
          <w:p>
            <w:pPr>
              <w:spacing w:after="0"/>
              <w:rPr>
                <w:sz w:val="15"/>
                <w:szCs w:val="15"/>
                <w:color w:val="auto"/>
              </w:rPr>
            </w:pPr>
          </w:p>
        </w:tc>
        <w:tc>
          <w:tcPr>
            <w:tcW w:w="760" w:type="dxa"/>
            <w:vAlign w:val="bottom"/>
            <w:shd w:val="clear" w:color="auto" w:fill="53C072"/>
          </w:tcPr>
          <w:p>
            <w:pPr>
              <w:spacing w:after="0"/>
              <w:rPr>
                <w:sz w:val="15"/>
                <w:szCs w:val="15"/>
                <w:color w:val="auto"/>
              </w:rPr>
            </w:pPr>
          </w:p>
        </w:tc>
        <w:tc>
          <w:tcPr>
            <w:tcW w:w="420" w:type="dxa"/>
            <w:vAlign w:val="bottom"/>
            <w:shd w:val="clear" w:color="auto" w:fill="53C072"/>
          </w:tcPr>
          <w:p>
            <w:pPr>
              <w:spacing w:after="0"/>
              <w:rPr>
                <w:sz w:val="15"/>
                <w:szCs w:val="15"/>
                <w:color w:val="auto"/>
              </w:rPr>
            </w:pPr>
          </w:p>
        </w:tc>
        <w:tc>
          <w:tcPr>
            <w:tcW w:w="860" w:type="dxa"/>
            <w:vAlign w:val="bottom"/>
            <w:shd w:val="clear" w:color="auto" w:fill="53C072"/>
          </w:tcPr>
          <w:p>
            <w:pPr>
              <w:spacing w:after="0"/>
              <w:rPr>
                <w:sz w:val="15"/>
                <w:szCs w:val="15"/>
                <w:color w:val="auto"/>
              </w:rPr>
            </w:pPr>
          </w:p>
        </w:tc>
        <w:tc>
          <w:tcPr>
            <w:tcW w:w="88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Diluted</w:t>
            </w:r>
          </w:p>
        </w:tc>
      </w:tr>
      <w:tr>
        <w:trPr>
          <w:trHeight w:val="162"/>
        </w:trPr>
        <w:tc>
          <w:tcPr>
            <w:tcW w:w="5680" w:type="dxa"/>
            <w:vAlign w:val="bottom"/>
            <w:shd w:val="clear" w:color="auto" w:fill="53C072"/>
          </w:tcPr>
          <w:p>
            <w:pPr>
              <w:spacing w:after="0"/>
              <w:rPr>
                <w:sz w:val="14"/>
                <w:szCs w:val="14"/>
                <w:color w:val="auto"/>
              </w:rPr>
            </w:pPr>
          </w:p>
        </w:tc>
        <w:tc>
          <w:tcPr>
            <w:tcW w:w="160" w:type="dxa"/>
            <w:vAlign w:val="bottom"/>
            <w:shd w:val="clear" w:color="auto" w:fill="53C072"/>
          </w:tcPr>
          <w:p>
            <w:pPr>
              <w:spacing w:after="0"/>
              <w:rPr>
                <w:sz w:val="14"/>
                <w:szCs w:val="14"/>
                <w:color w:val="auto"/>
              </w:rPr>
            </w:pPr>
          </w:p>
        </w:tc>
        <w:tc>
          <w:tcPr>
            <w:tcW w:w="7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Operating</w:t>
            </w:r>
          </w:p>
        </w:tc>
        <w:tc>
          <w:tcPr>
            <w:tcW w:w="420" w:type="dxa"/>
            <w:vAlign w:val="bottom"/>
            <w:shd w:val="clear" w:color="auto" w:fill="53C072"/>
          </w:tcPr>
          <w:p>
            <w:pPr>
              <w:spacing w:after="0"/>
              <w:rPr>
                <w:sz w:val="14"/>
                <w:szCs w:val="14"/>
                <w:color w:val="auto"/>
              </w:rPr>
            </w:pPr>
          </w:p>
        </w:tc>
        <w:tc>
          <w:tcPr>
            <w:tcW w:w="860" w:type="dxa"/>
            <w:vAlign w:val="bottom"/>
            <w:shd w:val="clear" w:color="auto" w:fill="53C072"/>
          </w:tcPr>
          <w:p>
            <w:pPr>
              <w:jc w:val="right"/>
              <w:ind w:right="94"/>
              <w:spacing w:after="0"/>
              <w:rPr>
                <w:sz w:val="20"/>
                <w:szCs w:val="20"/>
                <w:color w:val="auto"/>
              </w:rPr>
            </w:pPr>
            <w:r>
              <w:rPr>
                <w:rFonts w:ascii="Arial" w:cs="Arial" w:eastAsia="Arial" w:hAnsi="Arial"/>
                <w:sz w:val="14"/>
                <w:szCs w:val="14"/>
                <w:b w:val="1"/>
                <w:bCs w:val="1"/>
                <w:color w:val="FEFEFE"/>
              </w:rPr>
              <w:t>Net</w:t>
            </w:r>
          </w:p>
        </w:tc>
        <w:tc>
          <w:tcPr>
            <w:tcW w:w="880" w:type="dxa"/>
            <w:vAlign w:val="bottom"/>
            <w:gridSpan w:val="2"/>
            <w:shd w:val="clear" w:color="auto" w:fill="53C072"/>
          </w:tcPr>
          <w:p>
            <w:pPr>
              <w:jc w:val="right"/>
              <w:ind w:right="160"/>
              <w:spacing w:after="0"/>
              <w:rPr>
                <w:sz w:val="20"/>
                <w:szCs w:val="20"/>
                <w:color w:val="auto"/>
              </w:rPr>
            </w:pPr>
            <w:r>
              <w:rPr>
                <w:rFonts w:ascii="Arial" w:cs="Arial" w:eastAsia="Arial" w:hAnsi="Arial"/>
                <w:sz w:val="14"/>
                <w:szCs w:val="14"/>
                <w:b w:val="1"/>
                <w:bCs w:val="1"/>
                <w:color w:val="FEFEFE"/>
              </w:rPr>
              <w:t>Earnings</w:t>
            </w:r>
          </w:p>
        </w:tc>
      </w:tr>
      <w:tr>
        <w:trPr>
          <w:trHeight w:val="171"/>
        </w:trPr>
        <w:tc>
          <w:tcPr>
            <w:tcW w:w="5680" w:type="dxa"/>
            <w:vAlign w:val="bottom"/>
            <w:shd w:val="clear" w:color="auto" w:fill="53C072"/>
          </w:tcPr>
          <w:p>
            <w:pPr>
              <w:spacing w:after="0"/>
              <w:rPr>
                <w:sz w:val="14"/>
                <w:szCs w:val="14"/>
                <w:color w:val="auto"/>
              </w:rPr>
            </w:pPr>
          </w:p>
        </w:tc>
        <w:tc>
          <w:tcPr>
            <w:tcW w:w="160" w:type="dxa"/>
            <w:vAlign w:val="bottom"/>
            <w:shd w:val="clear" w:color="auto" w:fill="53C072"/>
          </w:tcPr>
          <w:p>
            <w:pPr>
              <w:spacing w:after="0"/>
              <w:rPr>
                <w:sz w:val="14"/>
                <w:szCs w:val="14"/>
                <w:color w:val="auto"/>
              </w:rPr>
            </w:pPr>
          </w:p>
        </w:tc>
        <w:tc>
          <w:tcPr>
            <w:tcW w:w="760" w:type="dxa"/>
            <w:vAlign w:val="bottom"/>
            <w:shd w:val="clear" w:color="auto" w:fill="53C072"/>
          </w:tcPr>
          <w:p>
            <w:pPr>
              <w:jc w:val="right"/>
              <w:spacing w:after="0"/>
              <w:rPr>
                <w:sz w:val="20"/>
                <w:szCs w:val="20"/>
                <w:color w:val="auto"/>
              </w:rPr>
            </w:pPr>
            <w:r>
              <w:rPr>
                <w:rFonts w:ascii="Arial" w:cs="Arial" w:eastAsia="Arial" w:hAnsi="Arial"/>
                <w:sz w:val="14"/>
                <w:szCs w:val="14"/>
                <w:b w:val="1"/>
                <w:bCs w:val="1"/>
                <w:color w:val="FEFEFE"/>
              </w:rPr>
              <w:t>Income</w:t>
            </w:r>
          </w:p>
        </w:tc>
        <w:tc>
          <w:tcPr>
            <w:tcW w:w="420" w:type="dxa"/>
            <w:vAlign w:val="bottom"/>
            <w:shd w:val="clear" w:color="auto" w:fill="53C072"/>
          </w:tcPr>
          <w:p>
            <w:pPr>
              <w:spacing w:after="0"/>
              <w:rPr>
                <w:sz w:val="14"/>
                <w:szCs w:val="14"/>
                <w:color w:val="auto"/>
              </w:rPr>
            </w:pPr>
          </w:p>
        </w:tc>
        <w:tc>
          <w:tcPr>
            <w:tcW w:w="860" w:type="dxa"/>
            <w:vAlign w:val="bottom"/>
            <w:shd w:val="clear" w:color="auto" w:fill="53C072"/>
          </w:tcPr>
          <w:p>
            <w:pPr>
              <w:jc w:val="right"/>
              <w:ind w:right="54"/>
              <w:spacing w:after="0"/>
              <w:rPr>
                <w:sz w:val="20"/>
                <w:szCs w:val="20"/>
                <w:color w:val="auto"/>
              </w:rPr>
            </w:pPr>
            <w:r>
              <w:rPr>
                <w:rFonts w:ascii="Arial" w:cs="Arial" w:eastAsia="Arial" w:hAnsi="Arial"/>
                <w:sz w:val="14"/>
                <w:szCs w:val="14"/>
                <w:b w:val="1"/>
                <w:bCs w:val="1"/>
                <w:color w:val="FEFEFE"/>
              </w:rPr>
              <w:t>Income</w:t>
            </w:r>
          </w:p>
        </w:tc>
        <w:tc>
          <w:tcPr>
            <w:tcW w:w="880" w:type="dxa"/>
            <w:vAlign w:val="bottom"/>
            <w:gridSpan w:val="2"/>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Per Share</w:t>
            </w:r>
          </w:p>
        </w:tc>
      </w:tr>
      <w:tr>
        <w:trPr>
          <w:trHeight w:val="216"/>
        </w:trPr>
        <w:tc>
          <w:tcPr>
            <w:tcW w:w="5680" w:type="dxa"/>
            <w:vAlign w:val="bottom"/>
            <w:shd w:val="clear" w:color="auto" w:fill="53C072"/>
          </w:tcPr>
          <w:p>
            <w:pPr>
              <w:spacing w:after="0"/>
              <w:rPr>
                <w:sz w:val="18"/>
                <w:szCs w:val="18"/>
                <w:color w:val="auto"/>
              </w:rPr>
            </w:pPr>
          </w:p>
        </w:tc>
        <w:tc>
          <w:tcPr>
            <w:tcW w:w="160" w:type="dxa"/>
            <w:vAlign w:val="bottom"/>
            <w:shd w:val="clear" w:color="auto" w:fill="53C072"/>
          </w:tcPr>
          <w:p>
            <w:pPr>
              <w:spacing w:after="0"/>
              <w:rPr>
                <w:sz w:val="18"/>
                <w:szCs w:val="18"/>
                <w:color w:val="auto"/>
              </w:rPr>
            </w:pPr>
          </w:p>
        </w:tc>
        <w:tc>
          <w:tcPr>
            <w:tcW w:w="2920" w:type="dxa"/>
            <w:vAlign w:val="bottom"/>
            <w:gridSpan w:val="5"/>
            <w:shd w:val="clear" w:color="auto" w:fill="53C072"/>
          </w:tcPr>
          <w:p>
            <w:pPr>
              <w:jc w:val="right"/>
              <w:ind w:right="120"/>
              <w:spacing w:after="0"/>
              <w:rPr>
                <w:sz w:val="20"/>
                <w:szCs w:val="20"/>
                <w:color w:val="auto"/>
              </w:rPr>
            </w:pPr>
            <w:r>
              <w:rPr>
                <w:rFonts w:ascii="Arial" w:cs="Arial" w:eastAsia="Arial" w:hAnsi="Arial"/>
                <w:sz w:val="14"/>
                <w:szCs w:val="14"/>
                <w:b w:val="1"/>
                <w:bCs w:val="1"/>
                <w:color w:val="FEFEFE"/>
              </w:rPr>
              <w:t>(thousands except per share data)</w:t>
            </w:r>
          </w:p>
        </w:tc>
      </w:tr>
      <w:tr>
        <w:trPr>
          <w:trHeight w:val="243"/>
        </w:trPr>
        <w:tc>
          <w:tcPr>
            <w:tcW w:w="5680" w:type="dxa"/>
            <w:vAlign w:val="bottom"/>
          </w:tcPr>
          <w:p>
            <w:pPr>
              <w:ind w:left="120"/>
              <w:spacing w:after="0"/>
              <w:rPr>
                <w:sz w:val="20"/>
                <w:szCs w:val="20"/>
                <w:color w:val="auto"/>
              </w:rPr>
            </w:pPr>
            <w:r>
              <w:rPr>
                <w:rFonts w:ascii="Arial" w:cs="Arial" w:eastAsia="Arial" w:hAnsi="Arial"/>
                <w:sz w:val="18"/>
                <w:szCs w:val="18"/>
                <w:b w:val="1"/>
                <w:bCs w:val="1"/>
                <w:color w:val="auto"/>
              </w:rPr>
              <w:t>GAAP results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939,011</w:t>
            </w:r>
          </w:p>
        </w:tc>
        <w:tc>
          <w:tcPr>
            <w:tcW w:w="4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b w:val="1"/>
                <w:bCs w:val="1"/>
                <w:color w:val="auto"/>
              </w:rPr>
              <w:t>692,379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6.94</w:t>
            </w:r>
          </w:p>
        </w:tc>
        <w:tc>
          <w:tcPr>
            <w:tcW w:w="120" w:type="dxa"/>
            <w:vAlign w:val="bottom"/>
          </w:tcPr>
          <w:p>
            <w:pPr>
              <w:spacing w:after="0"/>
              <w:rPr>
                <w:sz w:val="21"/>
                <w:szCs w:val="21"/>
                <w:color w:val="auto"/>
              </w:rPr>
            </w:pPr>
          </w:p>
        </w:tc>
      </w:tr>
      <w:tr>
        <w:trPr>
          <w:trHeight w:val="243"/>
        </w:trPr>
        <w:tc>
          <w:tcPr>
            <w:tcW w:w="5680" w:type="dxa"/>
            <w:vAlign w:val="bottom"/>
            <w:shd w:val="clear" w:color="auto" w:fill="CBECD5"/>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16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5,272</w:t>
            </w:r>
          </w:p>
        </w:tc>
        <w:tc>
          <w:tcPr>
            <w:tcW w:w="420" w:type="dxa"/>
            <w:vAlign w:val="bottom"/>
            <w:shd w:val="clear" w:color="auto" w:fill="CBECD5"/>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54"/>
              <w:spacing w:after="0"/>
              <w:rPr>
                <w:sz w:val="20"/>
                <w:szCs w:val="20"/>
                <w:color w:val="auto"/>
              </w:rPr>
            </w:pPr>
            <w:r>
              <w:rPr>
                <w:rFonts w:ascii="Arial" w:cs="Arial" w:eastAsia="Arial" w:hAnsi="Arial"/>
                <w:sz w:val="18"/>
                <w:szCs w:val="18"/>
                <w:color w:val="auto"/>
              </w:rPr>
              <w:t>4,260</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BECD5"/>
          </w:tcPr>
          <w:p>
            <w:pPr>
              <w:spacing w:after="0"/>
              <w:rPr>
                <w:sz w:val="21"/>
                <w:szCs w:val="21"/>
                <w:color w:val="auto"/>
              </w:rPr>
            </w:pPr>
          </w:p>
        </w:tc>
      </w:tr>
      <w:tr>
        <w:trPr>
          <w:trHeight w:val="243"/>
        </w:trPr>
        <w:tc>
          <w:tcPr>
            <w:tcW w:w="5680" w:type="dxa"/>
            <w:vAlign w:val="bottom"/>
          </w:tcPr>
          <w:p>
            <w:pPr>
              <w:ind w:left="120"/>
              <w:spacing w:after="0"/>
              <w:rPr>
                <w:sz w:val="20"/>
                <w:szCs w:val="20"/>
                <w:color w:val="auto"/>
              </w:rPr>
            </w:pPr>
            <w:r>
              <w:rPr>
                <w:rFonts w:ascii="Arial" w:cs="Arial" w:eastAsia="Arial" w:hAnsi="Arial"/>
                <w:sz w:val="18"/>
                <w:szCs w:val="18"/>
                <w:color w:val="auto"/>
              </w:rPr>
              <w:t>Amortization of intangible assets and other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15,038</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11,958</w:t>
            </w:r>
          </w:p>
        </w:tc>
        <w:tc>
          <w:tcPr>
            <w:tcW w:w="7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r>
      <w:tr>
        <w:trPr>
          <w:trHeight w:val="256"/>
        </w:trPr>
        <w:tc>
          <w:tcPr>
            <w:tcW w:w="5680" w:type="dxa"/>
            <w:vAlign w:val="bottom"/>
            <w:shd w:val="clear" w:color="auto" w:fill="CBECD5"/>
          </w:tcPr>
          <w:p>
            <w:pPr>
              <w:ind w:left="120"/>
              <w:spacing w:after="0"/>
              <w:rPr>
                <w:sz w:val="20"/>
                <w:szCs w:val="20"/>
                <w:color w:val="auto"/>
              </w:rPr>
            </w:pPr>
            <w:r>
              <w:rPr>
                <w:rFonts w:ascii="Arial" w:cs="Arial" w:eastAsia="Arial" w:hAnsi="Arial"/>
                <w:sz w:val="18"/>
                <w:szCs w:val="18"/>
                <w:color w:val="auto"/>
              </w:rPr>
              <w:t>Russia-Ukraine conflict related expenses</w:t>
            </w:r>
          </w:p>
        </w:tc>
        <w:tc>
          <w:tcPr>
            <w:tcW w:w="16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26,261</w:t>
            </w:r>
          </w:p>
        </w:tc>
        <w:tc>
          <w:tcPr>
            <w:tcW w:w="420" w:type="dxa"/>
            <w:vAlign w:val="bottom"/>
            <w:shd w:val="clear" w:color="auto" w:fill="CBECD5"/>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ind w:right="54"/>
              <w:spacing w:after="0"/>
              <w:rPr>
                <w:sz w:val="20"/>
                <w:szCs w:val="20"/>
                <w:color w:val="auto"/>
              </w:rPr>
            </w:pPr>
            <w:r>
              <w:rPr>
                <w:rFonts w:ascii="Arial" w:cs="Arial" w:eastAsia="Arial" w:hAnsi="Arial"/>
                <w:sz w:val="18"/>
                <w:szCs w:val="18"/>
                <w:color w:val="auto"/>
              </w:rPr>
              <w:t>19,425</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BECD5"/>
          </w:tcPr>
          <w:p>
            <w:pPr>
              <w:spacing w:after="0"/>
              <w:rPr>
                <w:sz w:val="22"/>
                <w:szCs w:val="22"/>
                <w:color w:val="auto"/>
              </w:rPr>
            </w:pPr>
          </w:p>
        </w:tc>
      </w:tr>
      <w:tr>
        <w:trPr>
          <w:trHeight w:val="257"/>
        </w:trPr>
        <w:tc>
          <w:tcPr>
            <w:tcW w:w="5680" w:type="dxa"/>
            <w:vAlign w:val="bottom"/>
          </w:tcPr>
          <w:p>
            <w:pPr>
              <w:ind w:left="120"/>
              <w:spacing w:after="0"/>
              <w:rPr>
                <w:sz w:val="20"/>
                <w:szCs w:val="20"/>
                <w:color w:val="auto"/>
              </w:rPr>
            </w:pPr>
            <w:r>
              <w:rPr>
                <w:rFonts w:ascii="Arial" w:cs="Arial" w:eastAsia="Arial" w:hAnsi="Arial"/>
                <w:sz w:val="18"/>
                <w:szCs w:val="18"/>
                <w:color w:val="auto"/>
              </w:rPr>
              <w:t>Other special charge expenses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3,843</w:t>
            </w:r>
          </w:p>
        </w:tc>
        <w:tc>
          <w:tcPr>
            <w:tcW w:w="76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2"/>
                <w:szCs w:val="22"/>
                <w:color w:val="auto"/>
              </w:rPr>
            </w:pPr>
          </w:p>
        </w:tc>
      </w:tr>
      <w:tr>
        <w:trPr>
          <w:trHeight w:val="256"/>
        </w:trPr>
        <w:tc>
          <w:tcPr>
            <w:tcW w:w="5680" w:type="dxa"/>
            <w:vAlign w:val="bottom"/>
            <w:shd w:val="clear" w:color="auto" w:fill="CBECD5"/>
          </w:tcPr>
          <w:p>
            <w:pPr>
              <w:ind w:left="120"/>
              <w:spacing w:after="0"/>
              <w:rPr>
                <w:sz w:val="20"/>
                <w:szCs w:val="20"/>
                <w:color w:val="auto"/>
              </w:rPr>
            </w:pPr>
            <w:r>
              <w:rPr>
                <w:rFonts w:ascii="Arial" w:cs="Arial" w:eastAsia="Arial" w:hAnsi="Arial"/>
                <w:sz w:val="18"/>
                <w:szCs w:val="18"/>
                <w:color w:val="auto"/>
              </w:rPr>
              <w:t>Income tax adjustments</w:t>
            </w:r>
          </w:p>
        </w:tc>
        <w:tc>
          <w:tcPr>
            <w:tcW w:w="160" w:type="dxa"/>
            <w:vAlign w:val="bottom"/>
            <w:shd w:val="clear" w:color="auto" w:fill="CBECD5"/>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BECD5"/>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(40,376)</w:t>
            </w:r>
          </w:p>
        </w:tc>
        <w:tc>
          <w:tcPr>
            <w:tcW w:w="760" w:type="dxa"/>
            <w:vAlign w:val="bottom"/>
            <w:shd w:val="clear" w:color="auto" w:fill="CBECD5"/>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BECD5"/>
          </w:tcPr>
          <w:p>
            <w:pPr>
              <w:spacing w:after="0"/>
              <w:rPr>
                <w:sz w:val="22"/>
                <w:szCs w:val="22"/>
                <w:color w:val="auto"/>
              </w:rPr>
            </w:pPr>
          </w:p>
        </w:tc>
      </w:tr>
      <w:tr>
        <w:trPr>
          <w:trHeight w:val="256"/>
        </w:trPr>
        <w:tc>
          <w:tcPr>
            <w:tcW w:w="5680" w:type="dxa"/>
            <w:vAlign w:val="bottom"/>
          </w:tcPr>
          <w:p>
            <w:pPr>
              <w:ind w:left="120"/>
              <w:spacing w:after="0"/>
              <w:rPr>
                <w:sz w:val="20"/>
                <w:szCs w:val="20"/>
                <w:color w:val="auto"/>
              </w:rPr>
            </w:pPr>
            <w:r>
              <w:rPr>
                <w:rFonts w:ascii="Arial" w:cs="Arial" w:eastAsia="Arial" w:hAnsi="Arial"/>
                <w:sz w:val="18"/>
                <w:szCs w:val="18"/>
                <w:color w:val="auto"/>
              </w:rPr>
              <w:t>Total adjustments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46,571</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(890)</w:t>
            </w: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2"/>
                <w:szCs w:val="22"/>
                <w:color w:val="auto"/>
              </w:rPr>
            </w:pPr>
          </w:p>
        </w:tc>
      </w:tr>
      <w:tr>
        <w:trPr>
          <w:trHeight w:val="304"/>
        </w:trPr>
        <w:tc>
          <w:tcPr>
            <w:tcW w:w="5680" w:type="dxa"/>
            <w:vAlign w:val="bottom"/>
            <w:tcBorders>
              <w:bottom w:val="single" w:sz="8" w:color="53C072"/>
            </w:tcBorders>
            <w:shd w:val="clear" w:color="auto" w:fill="CBECD5"/>
          </w:tcPr>
          <w:p>
            <w:pPr>
              <w:ind w:left="120"/>
              <w:spacing w:after="0"/>
              <w:rPr>
                <w:sz w:val="20"/>
                <w:szCs w:val="20"/>
                <w:color w:val="auto"/>
              </w:rPr>
            </w:pPr>
            <w:r>
              <w:rPr>
                <w:rFonts w:ascii="Arial" w:cs="Arial" w:eastAsia="Arial" w:hAnsi="Arial"/>
                <w:sz w:val="18"/>
                <w:szCs w:val="18"/>
                <w:b w:val="1"/>
                <w:bCs w:val="1"/>
                <w:color w:val="auto"/>
              </w:rPr>
              <w:t>Adjusted non-GAAP results</w:t>
            </w:r>
          </w:p>
        </w:tc>
        <w:tc>
          <w:tcPr>
            <w:tcW w:w="160" w:type="dxa"/>
            <w:vAlign w:val="bottom"/>
            <w:tcBorders>
              <w:bottom w:val="single" w:sz="8" w:color="53C072"/>
            </w:tcBorders>
            <w:shd w:val="clear" w:color="auto" w:fill="CBECD5"/>
          </w:tcPr>
          <w:p>
            <w:pPr>
              <w:spacing w:after="0" w:line="297" w:lineRule="exact"/>
              <w:rPr>
                <w:sz w:val="20"/>
                <w:szCs w:val="20"/>
                <w:color w:val="auto"/>
              </w:rPr>
            </w:pPr>
            <w:r>
              <w:rPr>
                <w:rFonts w:ascii="Arial" w:cs="Arial" w:eastAsia="Arial" w:hAnsi="Arial"/>
                <w:sz w:val="34"/>
                <w:szCs w:val="34"/>
                <w:b w:val="1"/>
                <w:bCs w:val="1"/>
                <w:color w:val="auto"/>
                <w:vertAlign w:val="subscript"/>
              </w:rPr>
              <w:t>​</w:t>
            </w:r>
            <w:r>
              <w:rPr>
                <w:rFonts w:ascii="Arial" w:cs="Arial" w:eastAsia="Arial" w:hAnsi="Arial"/>
                <w:sz w:val="18"/>
                <w:szCs w:val="18"/>
                <w:b w:val="1"/>
                <w:bCs w:val="1"/>
                <w:color w:val="auto"/>
              </w:rPr>
              <w:t>$</w:t>
            </w:r>
          </w:p>
        </w:tc>
        <w:tc>
          <w:tcPr>
            <w:tcW w:w="76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985,582</w:t>
            </w:r>
          </w:p>
        </w:tc>
        <w:tc>
          <w:tcPr>
            <w:tcW w:w="420" w:type="dxa"/>
            <w:vAlign w:val="bottom"/>
            <w:tcBorders>
              <w:bottom w:val="single" w:sz="8" w:color="53C072"/>
            </w:tcBorders>
            <w:shd w:val="clear" w:color="auto" w:fill="CBECD5"/>
          </w:tcPr>
          <w:p>
            <w:pPr>
              <w:ind w:left="220"/>
              <w:spacing w:after="0" w:line="297" w:lineRule="exact"/>
              <w:rPr>
                <w:sz w:val="20"/>
                <w:szCs w:val="20"/>
                <w:color w:val="auto"/>
              </w:rPr>
            </w:pPr>
            <w:r>
              <w:rPr>
                <w:rFonts w:ascii="Arial" w:cs="Arial" w:eastAsia="Arial" w:hAnsi="Arial"/>
                <w:sz w:val="34"/>
                <w:szCs w:val="34"/>
                <w:b w:val="1"/>
                <w:bCs w:val="1"/>
                <w:color w:val="auto"/>
                <w:vertAlign w:val="subscript"/>
              </w:rPr>
              <w:t>​</w:t>
            </w:r>
            <w:r>
              <w:rPr>
                <w:rFonts w:ascii="Arial" w:cs="Arial" w:eastAsia="Arial" w:hAnsi="Arial"/>
                <w:sz w:val="18"/>
                <w:szCs w:val="18"/>
                <w:b w:val="1"/>
                <w:bCs w:val="1"/>
                <w:color w:val="auto"/>
              </w:rPr>
              <w:t>$</w:t>
            </w:r>
          </w:p>
        </w:tc>
        <w:tc>
          <w:tcPr>
            <w:tcW w:w="860" w:type="dxa"/>
            <w:vAlign w:val="bottom"/>
            <w:tcBorders>
              <w:bottom w:val="single" w:sz="8" w:color="53C072"/>
            </w:tcBorders>
            <w:shd w:val="clear" w:color="auto" w:fill="CBECD5"/>
          </w:tcPr>
          <w:p>
            <w:pPr>
              <w:jc w:val="right"/>
              <w:ind w:right="54"/>
              <w:spacing w:after="0"/>
              <w:rPr>
                <w:sz w:val="20"/>
                <w:szCs w:val="20"/>
                <w:color w:val="auto"/>
              </w:rPr>
            </w:pPr>
            <w:r>
              <w:rPr>
                <w:rFonts w:ascii="Arial" w:cs="Arial" w:eastAsia="Arial" w:hAnsi="Arial"/>
                <w:sz w:val="18"/>
                <w:szCs w:val="18"/>
                <w:b w:val="1"/>
                <w:bCs w:val="1"/>
                <w:color w:val="auto"/>
              </w:rPr>
              <w:t>691,489</w:t>
            </w:r>
          </w:p>
        </w:tc>
        <w:tc>
          <w:tcPr>
            <w:tcW w:w="760" w:type="dxa"/>
            <w:vAlign w:val="bottom"/>
            <w:tcBorders>
              <w:bottom w:val="single" w:sz="8" w:color="53C072"/>
            </w:tcBorders>
            <w:shd w:val="clear" w:color="auto" w:fill="CBECD5"/>
          </w:tcPr>
          <w:p>
            <w:pPr>
              <w:jc w:val="right"/>
              <w:spacing w:after="0"/>
              <w:rPr>
                <w:sz w:val="20"/>
                <w:szCs w:val="20"/>
                <w:color w:val="auto"/>
              </w:rPr>
            </w:pPr>
            <w:r>
              <w:rPr>
                <w:rFonts w:ascii="Arial" w:cs="Arial" w:eastAsia="Arial" w:hAnsi="Arial"/>
                <w:sz w:val="18"/>
                <w:szCs w:val="18"/>
                <w:b w:val="1"/>
                <w:bCs w:val="1"/>
                <w:color w:val="auto"/>
              </w:rPr>
              <w:t>$6.93</w:t>
            </w:r>
          </w:p>
        </w:tc>
        <w:tc>
          <w:tcPr>
            <w:tcW w:w="120" w:type="dxa"/>
            <w:vAlign w:val="bottom"/>
            <w:tcBorders>
              <w:bottom w:val="single" w:sz="8" w:color="53C072"/>
            </w:tcBorders>
            <w:shd w:val="clear" w:color="auto" w:fill="CBECD5"/>
          </w:tcPr>
          <w:p>
            <w:pPr>
              <w:spacing w:after="0"/>
              <w:rPr>
                <w:sz w:val="24"/>
                <w:szCs w:val="24"/>
                <w:color w:val="auto"/>
              </w:rPr>
            </w:pPr>
          </w:p>
        </w:tc>
      </w:tr>
    </w:tbl>
    <w:p>
      <w:pPr>
        <w:spacing w:after="0" w:line="200" w:lineRule="exact"/>
        <w:rPr>
          <w:sz w:val="20"/>
          <w:szCs w:val="20"/>
          <w:color w:val="auto"/>
        </w:rPr>
      </w:pPr>
    </w:p>
    <w:p>
      <w:pPr>
        <w:spacing w:after="0" w:line="3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76     </w:t>
      </w:r>
      <w:r>
        <w:rPr>
          <w:sz w:val="1"/>
          <w:szCs w:val="1"/>
          <w:color w:val="auto"/>
        </w:rPr>
        <w:drawing>
          <wp:inline distT="0" distB="0" distL="0" distR="0">
            <wp:extent cx="1242695" cy="24003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4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5680" w:type="dxa"/>
            <w:vAlign w:val="bottom"/>
          </w:tcPr>
          <w:p>
            <w:pPr>
              <w:ind w:left="1000"/>
              <w:spacing w:after="0"/>
              <w:rPr>
                <w:sz w:val="20"/>
                <w:szCs w:val="20"/>
                <w:color w:val="auto"/>
              </w:rPr>
            </w:pPr>
            <w:r>
              <w:rPr>
                <w:rFonts w:ascii="Arial" w:cs="Arial" w:eastAsia="Arial" w:hAnsi="Arial"/>
                <w:sz w:val="14"/>
                <w:szCs w:val="14"/>
                <w:b w:val="1"/>
                <w:bCs w:val="1"/>
                <w:color w:val="53C072"/>
              </w:rPr>
              <w:t>2024 ANNUAL</w:t>
            </w:r>
            <w:r>
              <w:rPr>
                <w:rFonts w:ascii="Arial" w:cs="Arial" w:eastAsia="Arial" w:hAnsi="Arial"/>
                <w:sz w:val="14"/>
                <w:szCs w:val="14"/>
                <w:b w:val="1"/>
                <w:bCs w:val="1"/>
                <w:color w:val="000000"/>
              </w:rPr>
              <w:t xml:space="preserve"> </w:t>
            </w:r>
          </w:p>
        </w:tc>
        <w:tc>
          <w:tcPr>
            <w:tcW w:w="4060" w:type="dxa"/>
            <w:vAlign w:val="bottom"/>
            <w:vMerge w:val="restart"/>
          </w:tcPr>
          <w:p>
            <w:pPr>
              <w:ind w:left="3340"/>
              <w:spacing w:after="0"/>
              <w:rPr>
                <w:sz w:val="20"/>
                <w:szCs w:val="20"/>
                <w:color w:val="auto"/>
              </w:rPr>
            </w:pPr>
            <w:r>
              <w:rPr>
                <w:rFonts w:ascii="Arial" w:cs="Arial" w:eastAsia="Arial" w:hAnsi="Arial"/>
                <w:sz w:val="14"/>
                <w:szCs w:val="14"/>
                <w:color w:val="auto"/>
                <w:w w:val="97"/>
              </w:rPr>
              <w:t>Appendix A</w:t>
            </w:r>
          </w:p>
        </w:tc>
        <w:tc>
          <w:tcPr>
            <w:tcW w:w="0" w:type="dxa"/>
            <w:vAlign w:val="bottom"/>
          </w:tcPr>
          <w:p>
            <w:pPr>
              <w:spacing w:after="0"/>
              <w:rPr>
                <w:sz w:val="1"/>
                <w:szCs w:val="1"/>
                <w:color w:val="auto"/>
              </w:rPr>
            </w:pPr>
          </w:p>
        </w:tc>
      </w:tr>
      <w:tr>
        <w:trPr>
          <w:trHeight w:val="88"/>
        </w:trPr>
        <w:tc>
          <w:tcPr>
            <w:tcW w:w="56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PROXY STATEMENT</w:t>
            </w:r>
          </w:p>
        </w:tc>
        <w:tc>
          <w:tcPr>
            <w:tcW w:w="4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680" w:type="dxa"/>
            <w:vAlign w:val="bottom"/>
            <w:vMerge w:val="continue"/>
          </w:tcPr>
          <w:p>
            <w:pPr>
              <w:spacing w:after="0"/>
              <w:rPr>
                <w:sz w:val="11"/>
                <w:szCs w:val="11"/>
                <w:color w:val="auto"/>
              </w:rPr>
            </w:pPr>
          </w:p>
        </w:tc>
        <w:tc>
          <w:tcPr>
            <w:tcW w:w="4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1000" w:right="239"/>
        <w:spacing w:after="0" w:line="257" w:lineRule="auto"/>
        <w:rPr>
          <w:sz w:val="20"/>
          <w:szCs w:val="20"/>
          <w:color w:val="auto"/>
        </w:rPr>
      </w:pPr>
      <w:r>
        <w:rPr>
          <w:rFonts w:ascii="Arial" w:cs="Arial" w:eastAsia="Arial" w:hAnsi="Arial"/>
          <w:sz w:val="18"/>
          <w:szCs w:val="18"/>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the Company’s normal operating results or non-cash in nature. The Company analyzes operating income without the impact of these items as an indicator of ongoing margin performance and underlying trends in the business.</w:t>
      </w:r>
    </w:p>
    <w:p>
      <w:pPr>
        <w:spacing w:after="0" w:line="115" w:lineRule="exact"/>
        <w:rPr>
          <w:sz w:val="20"/>
          <w:szCs w:val="20"/>
          <w:color w:val="auto"/>
        </w:rPr>
      </w:pPr>
    </w:p>
    <w:p>
      <w:pPr>
        <w:ind w:left="1000" w:right="179"/>
        <w:spacing w:after="0" w:line="257" w:lineRule="auto"/>
        <w:rPr>
          <w:sz w:val="20"/>
          <w:szCs w:val="20"/>
          <w:color w:val="auto"/>
        </w:rPr>
      </w:pPr>
      <w:r>
        <w:rPr>
          <w:rFonts w:ascii="Arial" w:cs="Arial" w:eastAsia="Arial" w:hAnsi="Arial"/>
          <w:sz w:val="18"/>
          <w:szCs w:val="18"/>
          <w:color w:val="auto"/>
        </w:rPr>
        <w:t>The Company believes income and diluted earnings per share, as adjusted for the impact of the items identified above, are useful measures to shareholders because they provide a measure of the Company’s net profitability on a more comparable basis to historical periods. Additionally, because of management’s focus on generating shareholder value, of which net profitability is a primary driver, management believes income and diluted earnings per share, excluding the impact of these items, provide an important measure of the Company’s net results of operations.</w:t>
      </w:r>
    </w:p>
    <w:p>
      <w:pPr>
        <w:spacing w:after="0" w:line="115" w:lineRule="exact"/>
        <w:rPr>
          <w:sz w:val="20"/>
          <w:szCs w:val="20"/>
          <w:color w:val="auto"/>
        </w:rPr>
      </w:pPr>
    </w:p>
    <w:p>
      <w:pPr>
        <w:ind w:left="1000" w:right="299"/>
        <w:spacing w:after="0" w:line="262" w:lineRule="auto"/>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Annual Report on Form 10-K filed with the Securities and Exchange Commission. Any analysis of results on a non-GAAP basis should be used as a complement to, and in conjunction with, data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-81280</wp:posOffset>
            </wp:positionV>
            <wp:extent cx="6711950" cy="86925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11950" cy="86925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-20320</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4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bullet"/>
      <w:start w:val="1"/>
    </w:lvl>
  </w:abstractNum>
  <w:abstractNum w:abstractNumId="5">
    <w:nsid w:val="3804823E"/>
    <w:multiLevelType w:val="hybridMultilevel"/>
    <w:lvl w:ilvl="0">
      <w:lvlJc w:val="left"/>
      <w:lvlText w:val="2"/>
      <w:numFmt w:val="bullet"/>
      <w:start w:val="1"/>
    </w:lvl>
  </w:abstractNum>
  <w:abstractNum w:abstractNumId="6">
    <w:nsid w:val="77465F01"/>
    <w:multiLevelType w:val="hybridMultilevel"/>
    <w:lvl w:ilvl="0">
      <w:lvlJc w:val="left"/>
      <w:lvlText w:val="3"/>
      <w:numFmt w:val="bullet"/>
      <w:start w:val="1"/>
    </w:lvl>
  </w:abstractNum>
  <w:abstractNum w:abstractNumId="7">
    <w:nsid w:val="7724C67E"/>
    <w:multiLevelType w:val="hybridMultilevel"/>
    <w:lvl w:ilvl="0">
      <w:lvlJc w:val="left"/>
      <w:lvlText w:val="1"/>
      <w:numFmt w:val="bullet"/>
      <w:start w:val="1"/>
    </w:lvl>
  </w:abstractNum>
  <w:abstractNum w:abstractNumId="8">
    <w:nsid w:val="5C482A97"/>
    <w:multiLevelType w:val="hybridMultilevel"/>
    <w:lvl w:ilvl="0">
      <w:lvlJc w:val="left"/>
      <w:lvlText w:val="2"/>
      <w:numFmt w:val="bullet"/>
      <w:start w:val="1"/>
    </w:lvl>
    <w:lvl w:ilvl="1">
      <w:lvlJc w:val="left"/>
      <w:lvlText w:val="​"/>
      <w:numFmt w:val="bullet"/>
      <w:start w:val="1"/>
    </w:lvl>
  </w:abstractNum>
  <w:abstractNum w:abstractNumId="9">
    <w:nsid w:val="2463B9EA"/>
    <w:multiLevelType w:val="hybridMultilevel"/>
    <w:lvl w:ilvl="0">
      <w:lvlJc w:val="left"/>
      <w:lvlText w:val="3"/>
      <w:numFmt w:val="bullet"/>
      <w:start w:val="1"/>
    </w:lvl>
    <w:lvl w:ilvl="1">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amp;"/>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lvl w:ilvl="1">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lvl w:ilvl="1">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lvl w:ilvl="1">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1"/>
    </w:lvl>
    <w:lvl w:ilvl="1">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lowerRoman"/>
      <w:start w:val="3"/>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decimal"/>
      <w:start w:val="4"/>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2024-10-08T15:11:59Z</dcterms:created>
  <dcterms:modified xsi:type="dcterms:W3CDTF">2024-10-08T15:11:59Z</dcterms:modified>
</cp:coreProperties>
</file>