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8"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-629920</wp:posOffset>
            </wp:positionV>
            <wp:extent cx="58420" cy="643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255"/>
                    </a:xfrm>
                    <a:prstGeom prst="rect">
                      <a:avLst/>
                    </a:prstGeom>
                    <a:noFill/>
                  </pic:spPr>
                </pic:pic>
              </a:graphicData>
            </a:graphic>
          </wp:anchor>
        </w:drawing>
        <w:drawing>
          <wp:anchor simplePos="0" relativeHeight="251657728" behindDoc="1" locked="0" layoutInCell="0" allowOverlap="1">
            <wp:simplePos x="0" y="0"/>
            <wp:positionH relativeFrom="column">
              <wp:posOffset>3989070</wp:posOffset>
            </wp:positionH>
            <wp:positionV relativeFrom="paragraph">
              <wp:posOffset>-629920</wp:posOffset>
            </wp:positionV>
            <wp:extent cx="58420" cy="643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25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748665</wp:posOffset>
            </wp:positionV>
            <wp:extent cx="7045960" cy="47777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777740"/>
                    </a:xfrm>
                    <a:prstGeom prst="rect">
                      <a:avLst/>
                    </a:prstGeom>
                    <a:noFill/>
                  </pic:spPr>
                </pic:pic>
              </a:graphicData>
            </a:graphic>
          </wp:anchor>
        </w:drawing>
      </w:r>
    </w:p>
    <w:p>
      <w:pPr>
        <w:spacing w:after="0" w:line="1190"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2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KHAYKIN OLEG</w:t>
              </w:r>
            </w:hyperlink>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20" w:type="dxa"/>
            <w:vAlign w:val="bottom"/>
            <w:gridSpan w:val="3"/>
          </w:tcPr>
          <w:p>
            <w:pPr>
              <w:ind w:left="60"/>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AVNET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AVT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260" w:type="dxa"/>
            <w:vAlign w:val="bottom"/>
            <w:gridSpan w:val="4"/>
            <w:vMerge w:val="continue"/>
          </w:tcPr>
          <w:p>
            <w:pPr>
              <w:spacing w:after="0"/>
              <w:rPr>
                <w:sz w:val="5"/>
                <w:szCs w:val="5"/>
                <w:color w:val="auto"/>
              </w:rPr>
            </w:pPr>
          </w:p>
        </w:tc>
        <w:tc>
          <w:tcPr>
            <w:tcW w:w="14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100" w:type="dxa"/>
            <w:vAlign w:val="bottom"/>
            <w:tcBorders>
              <w:top w:val="single" w:sz="8" w:color="0000EE"/>
            </w:tcBorders>
          </w:tcPr>
          <w:p>
            <w:pPr>
              <w:spacing w:after="0"/>
              <w:rPr>
                <w:sz w:val="5"/>
                <w:szCs w:val="5"/>
                <w:color w:val="auto"/>
              </w:rPr>
            </w:pPr>
          </w:p>
        </w:tc>
        <w:tc>
          <w:tcPr>
            <w:tcW w:w="26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80" w:type="dxa"/>
            <w:vAlign w:val="bottom"/>
          </w:tcPr>
          <w:p>
            <w:pPr>
              <w:spacing w:after="0"/>
              <w:rPr>
                <w:sz w:val="6"/>
                <w:szCs w:val="6"/>
                <w:color w:val="auto"/>
              </w:rPr>
            </w:pPr>
          </w:p>
        </w:tc>
        <w:tc>
          <w:tcPr>
            <w:tcW w:w="14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6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80" w:type="dxa"/>
            <w:vAlign w:val="bottom"/>
            <w:tcBorders>
              <w:top w:val="single" w:sz="8" w:color="EEEEEE"/>
            </w:tcBorders>
          </w:tcPr>
          <w:p>
            <w:pPr>
              <w:spacing w:after="0"/>
              <w:rPr>
                <w:sz w:val="2"/>
                <w:szCs w:val="2"/>
                <w:color w:val="auto"/>
              </w:rPr>
            </w:pPr>
          </w:p>
        </w:tc>
        <w:tc>
          <w:tcPr>
            <w:tcW w:w="14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382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4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00" w:type="dxa"/>
            <w:vAlign w:val="bottom"/>
            <w:vMerge w:val="restart"/>
          </w:tcPr>
          <w:p>
            <w:pPr>
              <w:ind w:left="2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20" w:type="dxa"/>
            <w:vAlign w:val="bottom"/>
            <w:gridSpan w:val="3"/>
            <w:vMerge w:val="continue"/>
          </w:tcPr>
          <w:p>
            <w:pPr>
              <w:spacing w:after="0"/>
              <w:rPr>
                <w:sz w:val="11"/>
                <w:szCs w:val="11"/>
                <w:color w:val="auto"/>
              </w:rPr>
            </w:pPr>
          </w:p>
        </w:tc>
        <w:tc>
          <w:tcPr>
            <w:tcW w:w="1860" w:type="dxa"/>
            <w:vAlign w:val="bottom"/>
          </w:tcPr>
          <w:p>
            <w:pPr>
              <w:ind w:left="60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1460" w:type="dxa"/>
            <w:vAlign w:val="bottom"/>
            <w:gridSpan w:val="2"/>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124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06/17/2026</w:t>
            </w:r>
          </w:p>
        </w:tc>
        <w:tc>
          <w:tcPr>
            <w:tcW w:w="26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2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AVNET, INC.</w:t>
            </w:r>
          </w:p>
        </w:tc>
        <w:tc>
          <w:tcPr>
            <w:tcW w:w="140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266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260" w:type="dxa"/>
            <w:vAlign w:val="bottom"/>
            <w:gridSpan w:val="4"/>
            <w:vMerge w:val="continue"/>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2211 SOUTH 47TH STREET</w:t>
            </w: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2660" w:type="dxa"/>
            <w:vAlign w:val="bottom"/>
            <w:tcBorders>
              <w:bottom w:val="single" w:sz="8" w:color="2C2C2C"/>
            </w:tcBorders>
          </w:tcPr>
          <w:p>
            <w:pPr>
              <w:spacing w:after="0"/>
              <w:rPr>
                <w:sz w:val="11"/>
                <w:szCs w:val="11"/>
                <w:color w:val="auto"/>
              </w:rPr>
            </w:pPr>
          </w:p>
        </w:tc>
        <w:tc>
          <w:tcPr>
            <w:tcW w:w="186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260" w:type="dxa"/>
            <w:vAlign w:val="bottom"/>
            <w:gridSpan w:val="4"/>
            <w:vMerge w:val="continue"/>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2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20" w:type="dxa"/>
            <w:vAlign w:val="bottom"/>
            <w:gridSpan w:val="3"/>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0" w:lineRule="exact"/>
        <w:rPr>
          <w:sz w:val="20"/>
          <w:szCs w:val="20"/>
          <w:color w:val="auto"/>
        </w:rPr>
      </w:pPr>
    </w:p>
    <w:tbl>
      <w:tblPr>
        <w:tblLayout w:type="fixed"/>
        <w:tblInd w:w="80" w:type="dxa"/>
        <w:tblCellMar>
          <w:top w:w="0" w:type="dxa"/>
          <w:left w:w="0" w:type="dxa"/>
          <w:bottom w:w="0" w:type="dxa"/>
          <w:right w:w="0" w:type="dxa"/>
        </w:tblCellMar>
      </w:tblPr>
      <w:tr>
        <w:trPr>
          <w:trHeight w:val="17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PHOENIX</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AZ</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85034</w:t>
            </w:r>
          </w:p>
        </w:tc>
      </w:tr>
      <w:tr>
        <w:trPr>
          <w:trHeight w:val="150"/>
        </w:trPr>
        <w:tc>
          <w:tcPr>
            <w:tcW w:w="2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1"/>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7"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6"/>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vMerge w:val="restart"/>
          </w:tcPr>
          <w:p>
            <w:pPr>
              <w:ind w:left="80"/>
              <w:spacing w:after="0"/>
              <w:rPr>
                <w:sz w:val="20"/>
                <w:szCs w:val="20"/>
                <w:color w:val="auto"/>
              </w:rPr>
            </w:pPr>
            <w:r>
              <w:rPr>
                <w:rFonts w:ascii="Times New Roman" w:cs="Times New Roman" w:eastAsia="Times New Roman" w:hAnsi="Times New Roman"/>
                <w:sz w:val="25"/>
                <w:szCs w:val="25"/>
                <w:color w:val="0000FF"/>
                <w:vertAlign w:val="subscript"/>
              </w:rPr>
              <w:t>219</w:t>
            </w:r>
            <w:r>
              <w:rPr>
                <w:rFonts w:ascii="Times New Roman" w:cs="Times New Roman" w:eastAsia="Times New Roman" w:hAnsi="Times New Roman"/>
                <w:sz w:val="11"/>
                <w:szCs w:val="11"/>
                <w:color w:val="008000"/>
              </w:rPr>
              <w:t>(2)</w:t>
            </w: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219</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8"/>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vMerge w:val="restart"/>
          </w:tcPr>
          <w:p>
            <w:pPr>
              <w:jc w:val="right"/>
              <w:ind w:right="180"/>
              <w:spacing w:after="0" w:line="143" w:lineRule="exact"/>
              <w:rPr>
                <w:sz w:val="20"/>
                <w:szCs w:val="20"/>
                <w:color w:val="auto"/>
              </w:rPr>
            </w:pPr>
            <w:r>
              <w:rPr>
                <w:rFonts w:ascii="Times New Roman" w:cs="Times New Roman" w:eastAsia="Times New Roman" w:hAnsi="Times New Roman"/>
                <w:sz w:val="13"/>
                <w:szCs w:val="13"/>
                <w:color w:val="0000FF"/>
              </w:rPr>
              <w:t>06/17/2026</w:t>
            </w:r>
          </w:p>
        </w:tc>
        <w:tc>
          <w:tcPr>
            <w:tcW w:w="1100" w:type="dxa"/>
            <w:vAlign w:val="bottom"/>
          </w:tcPr>
          <w:p>
            <w:pPr>
              <w:spacing w:after="0"/>
              <w:rPr>
                <w:sz w:val="6"/>
                <w:szCs w:val="6"/>
                <w:color w:val="auto"/>
              </w:rPr>
            </w:pPr>
          </w:p>
        </w:tc>
        <w:tc>
          <w:tcPr>
            <w:tcW w:w="80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90.91</w:t>
            </w:r>
          </w:p>
        </w:tc>
        <w:tc>
          <w:tcPr>
            <w:tcW w:w="940" w:type="dxa"/>
            <w:vAlign w:val="bottom"/>
            <w:vMerge w:val="restart"/>
          </w:tcPr>
          <w:p>
            <w:pPr>
              <w:ind w:left="300"/>
              <w:spacing w:after="0" w:line="143" w:lineRule="exact"/>
              <w:rPr>
                <w:sz w:val="20"/>
                <w:szCs w:val="20"/>
                <w:color w:val="auto"/>
              </w:rPr>
            </w:pPr>
            <w:r>
              <w:rPr>
                <w:rFonts w:ascii="Times New Roman" w:cs="Times New Roman" w:eastAsia="Times New Roman" w:hAnsi="Times New Roman"/>
                <w:sz w:val="13"/>
                <w:szCs w:val="13"/>
                <w:color w:val="0000FF"/>
              </w:rPr>
              <w:t>57,083</w:t>
            </w:r>
          </w:p>
        </w:tc>
        <w:tc>
          <w:tcPr>
            <w:tcW w:w="74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(1)</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70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50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Phantom Stock Unit ("PSU") equals one share of the Issuer's common stock, and will be settled in the Issuer's common stock after the reporting person leaves the Issuer's Board or upon change of control of the Issuer.</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Additional PSUs acquired as a result of the quarterly dividend.</w:t>
      </w:r>
    </w:p>
    <w:p>
      <w:pPr>
        <w:ind w:left="6600"/>
        <w:spacing w:after="0" w:line="187" w:lineRule="auto"/>
        <w:rPr>
          <w:sz w:val="20"/>
          <w:szCs w:val="20"/>
          <w:color w:val="auto"/>
        </w:rPr>
      </w:pPr>
      <w:r>
        <w:rPr>
          <w:rFonts w:ascii="Times New Roman" w:cs="Times New Roman" w:eastAsia="Times New Roman" w:hAnsi="Times New Roman"/>
          <w:sz w:val="17"/>
          <w:szCs w:val="17"/>
          <w:color w:val="0000FF"/>
        </w:rPr>
        <w:t xml:space="preserve">/s/ Darrel S. Jackson, Attorney- </w:t>
      </w:r>
      <w:r>
        <w:rPr>
          <w:rFonts w:ascii="Times New Roman" w:cs="Times New Roman" w:eastAsia="Times New Roman" w:hAnsi="Times New Roman"/>
          <w:sz w:val="33"/>
          <w:szCs w:val="33"/>
          <w:color w:val="0000FF"/>
          <w:vertAlign w:val="subscript"/>
        </w:rPr>
        <w:t>06/19/2026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4185920</wp:posOffset>
            </wp:positionH>
            <wp:positionV relativeFrom="paragraph">
              <wp:posOffset>-26670</wp:posOffset>
            </wp:positionV>
            <wp:extent cx="13500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4185920</wp:posOffset>
            </wp:positionH>
            <wp:positionV relativeFrom="paragraph">
              <wp:posOffset>-19685</wp:posOffset>
            </wp:positionV>
            <wp:extent cx="3092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09245" cy="825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-85725</wp:posOffset>
            </wp:positionV>
            <wp:extent cx="4876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7680" cy="8255"/>
                    </a:xfrm>
                    <a:prstGeom prst="rect">
                      <a:avLst/>
                    </a:prstGeom>
                    <a:noFill/>
                  </pic:spPr>
                </pic:pic>
              </a:graphicData>
            </a:graphic>
          </wp:anchor>
        </w:drawing>
      </w:r>
    </w:p>
    <w:p>
      <w:pPr>
        <w:spacing w:after="0" w:line="2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6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278725" TargetMode="External"/><Relationship Id="rId14" Type="http://schemas.openxmlformats.org/officeDocument/2006/relationships/hyperlink" Target="http://www.sec.gov/cgi-bin/browse-edgar?action=getcompany&amp;CIK=0000008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2026-06-22T16:56:14Z</dcterms:created>
  <dcterms:modified xsi:type="dcterms:W3CDTF">2026-06-22T16:56:14Z</dcterms:modified>
</cp:coreProperties>
</file>