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7045960" cy="4777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7740"/>
                    </a:xfrm>
                    <a:prstGeom prst="rect">
                      <a:avLst/>
                    </a:prstGeom>
                    <a:noFill/>
                  </pic:spPr>
                </pic:pic>
              </a:graphicData>
            </a:graphic>
          </wp:anchor>
        </w:drawing>
      </w:r>
    </w:p>
    <w:p>
      <w:pPr>
        <w:spacing w:after="0" w:line="119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Freeman Brenda</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40" w:type="dxa"/>
            <w:vAlign w:val="bottom"/>
            <w:gridSpan w:val="4"/>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06/17/2026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AVNET, INC.</w:t>
            </w: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2211 S. 47TH STREET</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50"/>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139</w:t>
            </w: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139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90.91</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36,193</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Phantom Stock Units ("PSUs") acquired as a result of the quarterly dividend. Each PSU is the economic equivalent of one share of the Issuer's common stock, and is to be settled in the Issuer's common stock on a one-for-one basis after cessation of the reporting person's membership on the Issuer's Board or upon change in control of the Issuer.</w:t>
      </w:r>
    </w:p>
    <w:p>
      <w:pPr>
        <w:ind w:left="6600"/>
        <w:spacing w:after="0" w:line="180" w:lineRule="auto"/>
        <w:rPr>
          <w:sz w:val="20"/>
          <w:szCs w:val="20"/>
          <w:color w:val="auto"/>
        </w:rPr>
      </w:pPr>
      <w:r>
        <w:rPr>
          <w:rFonts w:ascii="Times New Roman" w:cs="Times New Roman" w:eastAsia="Times New Roman" w:hAnsi="Times New Roman"/>
          <w:sz w:val="17"/>
          <w:szCs w:val="17"/>
          <w:color w:val="0000FF"/>
        </w:rPr>
        <w:t xml:space="preserve">/s/ Darrel S. Jackson, Attorney- </w:t>
      </w:r>
      <w:r>
        <w:rPr>
          <w:rFonts w:ascii="Times New Roman" w:cs="Times New Roman" w:eastAsia="Times New Roman" w:hAnsi="Times New Roman"/>
          <w:sz w:val="32"/>
          <w:szCs w:val="32"/>
          <w:color w:val="0000FF"/>
          <w:vertAlign w:val="subscript"/>
        </w:rPr>
        <w:t>06/19/2026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-26670</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-19685</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87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3153"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2026-06-22T16:46:45Z</dcterms:created>
  <dcterms:modified xsi:type="dcterms:W3CDTF">2026-06-22T16:46:45Z</dcterms:modified>
</cp:coreProperties>
</file>