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9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492125</wp:posOffset>
            </wp:positionH>
            <wp:positionV relativeFrom="page">
              <wp:posOffset>157480</wp:posOffset>
            </wp:positionV>
            <wp:extent cx="6577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183515</wp:posOffset>
            </wp:positionV>
            <wp:extent cx="6577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7965" cy="8890"/>
                    </a:xfrm>
                    <a:prstGeom prst="rect">
                      <a:avLst/>
                    </a:prstGeom>
                    <a:noFill/>
                  </pic:spPr>
                </pic:pic>
              </a:graphicData>
            </a:graphic>
          </wp:anchor>
        </w:drawing>
        <w:t>UNITED STATES</w:t>
      </w:r>
    </w:p>
    <w:p>
      <w:pPr>
        <w:ind w:left="2470"/>
        <w:spacing w:after="0" w:line="234" w:lineRule="auto"/>
        <w:rPr>
          <w:sz w:val="20"/>
          <w:szCs w:val="20"/>
          <w:color w:val="auto"/>
        </w:rPr>
      </w:pPr>
      <w:r>
        <w:rPr>
          <w:rFonts w:ascii="Arial" w:cs="Arial" w:eastAsia="Arial" w:hAnsi="Arial"/>
          <w:sz w:val="25"/>
          <w:szCs w:val="25"/>
          <w:b w:val="1"/>
          <w:bCs w:val="1"/>
          <w:color w:val="auto"/>
        </w:rPr>
        <w:t>SECURITIES AND EXCHANGE COMMISSION</w:t>
      </w:r>
    </w:p>
    <w:p>
      <w:pPr>
        <w:jc w:val="center"/>
        <w:ind w:right="-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2472690</wp:posOffset>
            </wp:positionH>
            <wp:positionV relativeFrom="paragraph">
              <wp:posOffset>277495</wp:posOffset>
            </wp:positionV>
            <wp:extent cx="1637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9"/>
        <w:spacing w:after="0"/>
        <w:rPr>
          <w:sz w:val="20"/>
          <w:szCs w:val="20"/>
          <w:color w:val="auto"/>
        </w:rPr>
      </w:pPr>
      <w:r>
        <w:rPr>
          <w:rFonts w:ascii="Arial" w:cs="Arial" w:eastAsia="Arial" w:hAnsi="Arial"/>
          <w:sz w:val="32"/>
          <w:szCs w:val="32"/>
          <w:b w:val="1"/>
          <w:bCs w:val="1"/>
          <w:color w:val="auto"/>
        </w:rPr>
        <w:t>FORM SD</w:t>
      </w:r>
    </w:p>
    <w:p>
      <w:pPr>
        <w:spacing w:after="0" w:line="136"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2472690</wp:posOffset>
            </wp:positionH>
            <wp:positionV relativeFrom="paragraph">
              <wp:posOffset>72390</wp:posOffset>
            </wp:positionV>
            <wp:extent cx="16376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40"/>
          <w:szCs w:val="40"/>
          <w:b w:val="1"/>
          <w:bCs w:val="1"/>
          <w:color w:val="auto"/>
        </w:rPr>
        <w:t>AVNET, INC.</w:t>
      </w:r>
    </w:p>
    <w:p>
      <w:pPr>
        <w:jc w:val="center"/>
        <w:ind w:right="-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350"/>
          </w:cols>
          <w:pgMar w:left="770" w:top="414" w:right="7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270"/>
        <w:spacing w:after="0"/>
        <w:rPr>
          <w:sz w:val="20"/>
          <w:szCs w:val="20"/>
          <w:color w:val="auto"/>
        </w:rPr>
      </w:pPr>
      <w:r>
        <w:rPr>
          <w:rFonts w:ascii="Arial" w:cs="Arial" w:eastAsia="Arial" w:hAnsi="Arial"/>
          <w:sz w:val="18"/>
          <w:szCs w:val="18"/>
          <w:b w:val="1"/>
          <w:bCs w:val="1"/>
          <w:color w:val="auto"/>
        </w:rPr>
        <w:t>New York</w:t>
      </w:r>
    </w:p>
    <w:p>
      <w:pPr>
        <w:ind w:left="710"/>
        <w:spacing w:after="0" w:line="229" w:lineRule="auto"/>
        <w:rPr>
          <w:sz w:val="20"/>
          <w:szCs w:val="20"/>
          <w:color w:val="auto"/>
        </w:rPr>
      </w:pPr>
      <w:r>
        <w:rPr>
          <w:rFonts w:ascii="Arial" w:cs="Arial" w:eastAsia="Arial" w:hAnsi="Arial"/>
          <w:sz w:val="16"/>
          <w:szCs w:val="16"/>
          <w:color w:val="auto"/>
        </w:rPr>
        <w:t>(State or other jurisdiction</w:t>
      </w:r>
    </w:p>
    <w:p>
      <w:pPr>
        <w:ind w:left="105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1-4224</w:t>
      </w:r>
    </w:p>
    <w:p>
      <w:pPr>
        <w:jc w:val="center"/>
        <w:ind w:right="11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11-1890605</w:t>
      </w:r>
    </w:p>
    <w:p>
      <w:pPr>
        <w:jc w:val="center"/>
        <w:ind w:right="880"/>
        <w:spacing w:after="0" w:line="203" w:lineRule="auto"/>
        <w:rPr>
          <w:sz w:val="20"/>
          <w:szCs w:val="20"/>
          <w:color w:val="auto"/>
        </w:rPr>
      </w:pPr>
      <w:r>
        <w:rPr>
          <w:rFonts w:ascii="Arial" w:cs="Arial" w:eastAsia="Arial" w:hAnsi="Arial"/>
          <w:sz w:val="18"/>
          <w:szCs w:val="18"/>
          <w:color w:val="auto"/>
        </w:rPr>
        <w:t>(IRS Employer</w:t>
      </w:r>
    </w:p>
    <w:p>
      <w:pPr>
        <w:jc w:val="center"/>
        <w:ind w:right="88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3">
            <w:col w:w="3610" w:space="720"/>
            <w:col w:w="3080" w:space="720"/>
            <w:col w:w="2220"/>
          </w:cols>
          <w:pgMar w:left="770" w:top="414" w:right="779" w:bottom="1440" w:gutter="0" w:footer="0" w:header="0"/>
          <w:type w:val="continuous"/>
        </w:sectPr>
      </w:pPr>
    </w:p>
    <w:p>
      <w:pPr>
        <w:spacing w:after="0" w:line="12" w:lineRule="exact"/>
        <w:rPr>
          <w:sz w:val="24"/>
          <w:szCs w:val="24"/>
          <w:color w:val="auto"/>
        </w:rPr>
      </w:pPr>
    </w:p>
    <w:p>
      <w:pPr>
        <w:jc w:val="center"/>
        <w:ind w:right="167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7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8"/>
          <w:szCs w:val="18"/>
          <w:b w:val="1"/>
          <w:bCs w:val="1"/>
          <w:color w:val="auto"/>
        </w:rPr>
        <w:t>85034</w:t>
      </w:r>
    </w:p>
    <w:p>
      <w:pPr>
        <w:jc w:val="center"/>
        <w:ind w:right="20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6750" w:space="720"/>
            <w:col w:w="2880"/>
          </w:cols>
          <w:pgMar w:left="770" w:top="414" w:right="779" w:bottom="1440" w:gutter="0" w:footer="0" w:header="0"/>
          <w:type w:val="continuous"/>
        </w:sectPr>
      </w:pPr>
    </w:p>
    <w:p>
      <w:pPr>
        <w:spacing w:after="0" w:line="21" w:lineRule="exact"/>
        <w:rPr>
          <w:sz w:val="24"/>
          <w:szCs w:val="24"/>
          <w:color w:val="auto"/>
        </w:rPr>
      </w:pPr>
    </w:p>
    <w:p>
      <w:pPr>
        <w:jc w:val="center"/>
        <w:ind w:right="-29"/>
        <w:spacing w:after="0"/>
        <w:rPr>
          <w:sz w:val="20"/>
          <w:szCs w:val="20"/>
          <w:color w:val="auto"/>
        </w:rPr>
      </w:pPr>
      <w:r>
        <w:rPr>
          <w:rFonts w:ascii="Arial" w:cs="Arial" w:eastAsia="Arial" w:hAnsi="Arial"/>
          <w:sz w:val="18"/>
          <w:szCs w:val="18"/>
          <w:b w:val="1"/>
          <w:bCs w:val="1"/>
          <w:color w:val="auto"/>
        </w:rPr>
        <w:t>Joy Newborg</w:t>
      </w:r>
    </w:p>
    <w:p>
      <w:pPr>
        <w:jc w:val="center"/>
        <w:ind w:right="-29"/>
        <w:spacing w:after="0" w:line="203" w:lineRule="auto"/>
        <w:rPr>
          <w:sz w:val="20"/>
          <w:szCs w:val="20"/>
          <w:color w:val="auto"/>
        </w:rPr>
      </w:pPr>
      <w:r>
        <w:rPr>
          <w:rFonts w:ascii="Arial" w:cs="Arial" w:eastAsia="Arial" w:hAnsi="Arial"/>
          <w:sz w:val="18"/>
          <w:szCs w:val="18"/>
          <w:b w:val="1"/>
          <w:bCs w:val="1"/>
          <w:color w:val="auto"/>
        </w:rPr>
        <w:t>Associate General Counsel</w:t>
      </w:r>
    </w:p>
    <w:p>
      <w:pPr>
        <w:jc w:val="center"/>
        <w:ind w:right="-29"/>
        <w:spacing w:after="0" w:line="204" w:lineRule="auto"/>
        <w:rPr>
          <w:sz w:val="20"/>
          <w:szCs w:val="20"/>
          <w:color w:val="auto"/>
        </w:rPr>
      </w:pPr>
      <w:r>
        <w:rPr>
          <w:rFonts w:ascii="Arial" w:cs="Arial" w:eastAsia="Arial" w:hAnsi="Arial"/>
          <w:sz w:val="18"/>
          <w:szCs w:val="18"/>
          <w:b w:val="1"/>
          <w:bCs w:val="1"/>
          <w:color w:val="auto"/>
        </w:rPr>
        <w:t>(480) 643-2000</w:t>
      </w:r>
    </w:p>
    <w:p>
      <w:pPr>
        <w:jc w:val="center"/>
        <w:ind w:right="-29"/>
        <w:spacing w:after="0" w:line="203" w:lineRule="auto"/>
        <w:rPr>
          <w:sz w:val="20"/>
          <w:szCs w:val="20"/>
          <w:color w:val="auto"/>
        </w:rPr>
      </w:pPr>
      <w:r>
        <w:rPr>
          <w:rFonts w:ascii="Arial" w:cs="Arial" w:eastAsia="Arial" w:hAnsi="Arial"/>
          <w:sz w:val="18"/>
          <w:szCs w:val="18"/>
          <w:color w:val="auto"/>
        </w:rPr>
        <w:t>(Name and telephone number, including area code,</w:t>
      </w:r>
    </w:p>
    <w:p>
      <w:pPr>
        <w:spacing w:after="0" w:line="1" w:lineRule="exact"/>
        <w:rPr>
          <w:sz w:val="24"/>
          <w:szCs w:val="24"/>
          <w:color w:val="auto"/>
        </w:rPr>
      </w:pPr>
    </w:p>
    <w:p>
      <w:pPr>
        <w:jc w:val="center"/>
        <w:ind w:right="-29"/>
        <w:spacing w:after="0"/>
        <w:rPr>
          <w:sz w:val="20"/>
          <w:szCs w:val="20"/>
          <w:color w:val="auto"/>
        </w:rPr>
      </w:pPr>
      <w:r>
        <w:rPr>
          <w:rFonts w:ascii="Arial" w:cs="Arial" w:eastAsia="Arial" w:hAnsi="Arial"/>
          <w:sz w:val="18"/>
          <w:szCs w:val="18"/>
          <w:color w:val="auto"/>
        </w:rPr>
        <w:t>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2472690</wp:posOffset>
            </wp:positionH>
            <wp:positionV relativeFrom="paragraph">
              <wp:posOffset>279400</wp:posOffset>
            </wp:positionV>
            <wp:extent cx="1637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65779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605155</wp:posOffset>
            </wp:positionV>
            <wp:extent cx="65779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10"/>
        <w:spacing w:after="0" w:line="235"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330" w:right="2120" w:hanging="330"/>
        <w:spacing w:after="0" w:line="277" w:lineRule="auto"/>
        <w:tabs>
          <w:tab w:leader="none" w:pos="3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820420</wp:posOffset>
            </wp:positionV>
            <wp:extent cx="65779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26035"/>
                    </a:xfrm>
                    <a:prstGeom prst="rect">
                      <a:avLst/>
                    </a:prstGeom>
                    <a:noFill/>
                  </pic:spPr>
                </pic:pic>
              </a:graphicData>
            </a:graphic>
          </wp:anchor>
        </w:drawing>
      </w:r>
    </w:p>
    <w:p>
      <w:pPr>
        <w:sectPr>
          <w:pgSz w:w="11900" w:h="16838" w:orient="portrait"/>
          <w:cols w:equalWidth="0" w:num="1">
            <w:col w:w="10350"/>
          </w:cols>
          <w:pgMar w:left="770" w:top="414" w:right="779" w:bottom="1440" w:gutter="0" w:footer="0" w:header="0"/>
          <w:type w:val="continuous"/>
        </w:sectPr>
      </w:pPr>
    </w:p>
    <w:bookmarkStart w:id="1" w:name="page2"/>
    <w:bookmarkEnd w:id="1"/>
    <w:p>
      <w:pPr>
        <w:ind w:left="160"/>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48"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This Form SD is filed by Avnet, Inc. (collectively with its consolidated subsidiaries, the “Company”) pursuant to Rule 13p-1 under the Securities Exchange Act of 1934, as amended (“Conflict Minerals Rule”), for the calendar year ended December 31, 2018.</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8"/>
          <w:szCs w:val="18"/>
          <w:color w:val="auto"/>
        </w:rPr>
        <w:t>The Conflict Minerals Rule mandates certain reporting obligations for publicly reporting companies who manufacture or contract to manufacture any products that contain conflict minerals that are “necessary to the functionality or production” of such products. The Securities and Exchange Commission defines conflict minerals as columbite-tantalite (coltan), cassiterite, gold, wolframite, or their derivatives, which are limited to tantalum, tin, and tungsten (collectively, “CMs”).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Company overview</w:t>
      </w:r>
    </w:p>
    <w:p>
      <w:pPr>
        <w:spacing w:after="0" w:line="148" w:lineRule="exact"/>
        <w:rPr>
          <w:sz w:val="20"/>
          <w:szCs w:val="20"/>
          <w:color w:val="auto"/>
        </w:rPr>
      </w:pPr>
    </w:p>
    <w:p>
      <w:pPr>
        <w:jc w:val="both"/>
        <w:ind w:left="160" w:right="139"/>
        <w:spacing w:after="0" w:line="244" w:lineRule="auto"/>
        <w:rPr>
          <w:sz w:val="20"/>
          <w:szCs w:val="20"/>
          <w:color w:val="auto"/>
        </w:rPr>
      </w:pPr>
      <w:r>
        <w:rPr>
          <w:rFonts w:ascii="Arial" w:cs="Arial" w:eastAsia="Arial" w:hAnsi="Arial"/>
          <w:sz w:val="16"/>
          <w:szCs w:val="16"/>
          <w:color w:val="auto"/>
        </w:rPr>
        <w:t>The Company is a global technology solutions provider with an extensive ecosystem delivering design, product, marketing and supply chain expertise for customers at every stage of the product lifecycle. A core part of its business is as a global value-added distributor of electronic components and embedded subsystems. The Company distributes electronic components, as received from its suppliers or through a customized solution, and offers assembly and other value-added products and services. CMs are used in many electronic components and computer products.</w:t>
      </w:r>
    </w:p>
    <w:p>
      <w:pPr>
        <w:spacing w:after="0" w:line="118"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8"/>
          <w:szCs w:val="18"/>
          <w:color w:val="auto"/>
        </w:rPr>
        <w:t>A significant percentage of the Company’s operations are out of scope of the Conflict Minerals Rule. However, during calendar year 2018, the Company manufactured and contracted to manufacture certain products in which CMs were necessary to the functionality or production of those products. The Company is a downstream consumer of CMs. It does not purchase the necessary CMs contained in its in-scope products directly from mines, smelters or refiners and is generally many levels removed from such market participants.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Conflict Minerals Program Overview</w:t>
      </w:r>
    </w:p>
    <w:p>
      <w:pPr>
        <w:spacing w:after="0" w:line="148"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8"/>
          <w:szCs w:val="18"/>
          <w:color w:val="auto"/>
        </w:rPr>
        <w:t>The Company’s 2018 Conflict Minerals Program (“2018 Program”) utilized the internationally recognized framework OECD Due Diligence Guidance for Responsible Supply Chains of Minerals from Conflict-Affected and High-Risk Areas (“OECD Framework”) to develop its process to identify the country of origin and chain of custody of the CMs. Due to its “downstream” position in the supply chain, it followed the principles outlined in the OECD Framework for downstream companies with no direct relationships to smelters or refiners.</w:t>
      </w:r>
    </w:p>
    <w:p>
      <w:pPr>
        <w:spacing w:after="0" w:line="122" w:lineRule="exact"/>
        <w:rPr>
          <w:sz w:val="20"/>
          <w:szCs w:val="20"/>
          <w:color w:val="auto"/>
        </w:rPr>
      </w:pPr>
    </w:p>
    <w:p>
      <w:pPr>
        <w:jc w:val="both"/>
        <w:ind w:left="160" w:right="139"/>
        <w:spacing w:after="0" w:line="241" w:lineRule="auto"/>
        <w:rPr>
          <w:sz w:val="20"/>
          <w:szCs w:val="20"/>
          <w:color w:val="auto"/>
        </w:rPr>
      </w:pPr>
      <w:r>
        <w:rPr>
          <w:rFonts w:ascii="Arial" w:cs="Arial" w:eastAsia="Arial" w:hAnsi="Arial"/>
          <w:sz w:val="16"/>
          <w:szCs w:val="16"/>
          <w:color w:val="auto"/>
        </w:rPr>
        <w:t>In conducting its reasonable country of origin inquiry and due diligence for the 2018 Program, the Company utilized the then current Conflict Minerals Reporting Template (“CMRT”) developed by the Responsible Minerals Initiative (RMI) to identify smelters and refiners in its supply chain. The CMRT requires suppliers to provide information concerning the usage and source of CMs in their products as well as information concerning their related compliance efforts. Due to its downstream position, the Company must rely, in good faith, on its direct suppliers to provide it with information regarding the country of origin and chain of custody of the CMs included in its in-scope products.</w:t>
      </w:r>
    </w:p>
    <w:p>
      <w:pPr>
        <w:spacing w:after="0" w:line="120" w:lineRule="exact"/>
        <w:rPr>
          <w:sz w:val="20"/>
          <w:szCs w:val="20"/>
          <w:color w:val="auto"/>
        </w:rPr>
      </w:pPr>
    </w:p>
    <w:p>
      <w:pPr>
        <w:jc w:val="both"/>
        <w:ind w:left="160" w:right="139"/>
        <w:spacing w:after="0" w:line="226" w:lineRule="auto"/>
        <w:rPr>
          <w:sz w:val="20"/>
          <w:szCs w:val="20"/>
          <w:color w:val="auto"/>
        </w:rPr>
      </w:pPr>
      <w:r>
        <w:rPr>
          <w:rFonts w:ascii="Arial" w:cs="Arial" w:eastAsia="Arial" w:hAnsi="Arial"/>
          <w:sz w:val="17"/>
          <w:szCs w:val="17"/>
          <w:color w:val="auto"/>
        </w:rPr>
        <w:t>To support its commitment to responsible sourcing of CMs and promote traceability of CMs and transparency of the supply chain, the Company is an affiliate member of the Responsible Business Alliance (“RBA”) and has adopted a Conflict Minerals Policy, which notifies suppliers of its expectations that suppliers only source CMs from responsible sources and assist the Company’s in its Conflict Minerals Program by properly verifying the country of origin and source of the CMs they provide to the Company for its in-scope products. This policy is available on the Company’s website at https://www.avnet.com/wps/portal/us/about-avnet/human-rights/conflict-minerals.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697230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 w:name="page3"/>
    <w:bookmarkEnd w:id="2"/>
    <w:p>
      <w:pPr>
        <w:ind w:left="480"/>
        <w:spacing w:after="0"/>
        <w:rPr>
          <w:sz w:val="20"/>
          <w:szCs w:val="20"/>
          <w:color w:val="auto"/>
        </w:rPr>
      </w:pPr>
      <w:r>
        <w:rPr>
          <w:rFonts w:ascii="Arial" w:cs="Arial" w:eastAsia="Arial" w:hAnsi="Arial"/>
          <w:sz w:val="18"/>
          <w:szCs w:val="18"/>
          <w:b w:val="1"/>
          <w:bCs w:val="1"/>
          <w:color w:val="auto"/>
        </w:rPr>
        <w:t>Conflict Minerals Disclosure</w:t>
      </w:r>
    </w:p>
    <w:p>
      <w:pPr>
        <w:spacing w:after="0" w:line="148"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A Conflict Minerals Report is provided as an exhibit to this Form SD. The Form SD and the Conflict Minerals Report are publicly available on the Company’s website at https://www.avnet.com/wps/portal/us/about-avnet/human-rights/conflict-minerals.</w:t>
      </w:r>
    </w:p>
    <w:p>
      <w:pPr>
        <w:spacing w:after="0" w:line="123" w:lineRule="exact"/>
        <w:rPr>
          <w:sz w:val="20"/>
          <w:szCs w:val="20"/>
          <w:color w:val="auto"/>
        </w:rPr>
      </w:pPr>
    </w:p>
    <w:p>
      <w:pPr>
        <w:jc w:val="both"/>
        <w:ind w:left="160" w:right="139"/>
        <w:spacing w:after="0" w:line="235" w:lineRule="auto"/>
        <w:rPr>
          <w:sz w:val="20"/>
          <w:szCs w:val="20"/>
          <w:color w:val="auto"/>
        </w:rPr>
      </w:pPr>
      <w:r>
        <w:rPr>
          <w:rFonts w:ascii="Arial" w:cs="Arial" w:eastAsia="Arial" w:hAnsi="Arial"/>
          <w:sz w:val="18"/>
          <w:szCs w:val="18"/>
          <w:color w:val="auto"/>
        </w:rPr>
        <w:t>Information contained on, or accessible through, the Company’s website is neither part of nor incorporated by reference into this Form SD or the Conflict Minerals Report.</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1.02 Exhibit</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Conflict Minerals Report described in Item 1.01 is filed as Exhibit 1.01 to this Form SD.</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 – Exhibits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2.01 Exhibits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ind w:left="160"/>
        <w:spacing w:after="0"/>
        <w:tabs>
          <w:tab w:leader="none" w:pos="10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-12065</wp:posOffset>
            </wp:positionV>
            <wp:extent cx="49568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122"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Conflict Minerals Report for the calendar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821055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62" w:lineRule="exact"/>
        <w:rPr>
          <w:sz w:val="20"/>
          <w:szCs w:val="20"/>
          <w:color w:val="auto"/>
        </w:rPr>
      </w:pPr>
    </w:p>
    <w:p>
      <w:pPr>
        <w:ind w:left="160" w:right="539"/>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160"/>
        <w:spacing w:after="0"/>
        <w:tabs>
          <w:tab w:leader="none" w:pos="4160" w:val="left"/>
        </w:tabs>
        <w:rPr>
          <w:sz w:val="20"/>
          <w:szCs w:val="20"/>
          <w:color w:val="auto"/>
        </w:rPr>
      </w:pPr>
      <w:r>
        <w:rPr>
          <w:rFonts w:ascii="Arial" w:cs="Arial" w:eastAsia="Arial" w:hAnsi="Arial"/>
          <w:sz w:val="18"/>
          <w:szCs w:val="18"/>
          <w:color w:val="auto"/>
        </w:rPr>
        <w:t>Date: May 24, 2019</w:t>
      </w:r>
      <w:r>
        <w:rPr>
          <w:sz w:val="20"/>
          <w:szCs w:val="20"/>
          <w:color w:val="auto"/>
        </w:rPr>
        <w:tab/>
      </w:r>
      <w:r>
        <w:rPr>
          <w:rFonts w:ascii="Arial" w:cs="Arial" w:eastAsia="Arial" w:hAnsi="Arial"/>
          <w:sz w:val="16"/>
          <w:szCs w:val="16"/>
          <w:color w:val="auto"/>
        </w:rPr>
        <w:t>By: /s/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6350</wp:posOffset>
            </wp:positionV>
            <wp:extent cx="2889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Thomas Liguori</w:t>
      </w:r>
    </w:p>
    <w:p>
      <w:pPr>
        <w:ind w:left="4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1025525</wp:posOffset>
            </wp:positionV>
            <wp:extent cx="55486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289560</wp:posOffset>
            </wp:positionV>
            <wp:extent cx="156908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90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CONFLICT MINERALS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to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This is the Conflict Minerals Report of Avnet, Inc. for the calendar year 2018 (“Report”), which has been filed as an exhibit to the Company’s Form SD as provided for in Rule 13p-1 under the Securities Exchange Act of 1934 (the “Conflict Minerals Rule”) and is posted on the Company’s website at </w:t>
      </w:r>
      <w:r>
        <w:rPr>
          <w:rFonts w:ascii="Arial" w:cs="Arial" w:eastAsia="Arial" w:hAnsi="Arial"/>
          <w:sz w:val="17"/>
          <w:szCs w:val="17"/>
          <w:u w:val="single" w:color="auto"/>
          <w:color w:val="0000EE"/>
        </w:rPr>
        <w:t>https://www.avnet.com/wps/portal/us/about-avnet/human-rights/conflict-minerals</w:t>
      </w:r>
      <w:r>
        <w:rPr>
          <w:rFonts w:ascii="Arial" w:cs="Arial" w:eastAsia="Arial" w:hAnsi="Arial"/>
          <w:sz w:val="17"/>
          <w:szCs w:val="17"/>
          <w:color w:val="000000"/>
        </w:rPr>
        <w:t>. Information contained on, or accessible through, the Company’s website is neither part of nor incorporated by</w:t>
      </w:r>
      <w:r>
        <w:rPr>
          <w:rFonts w:ascii="Arial" w:cs="Arial" w:eastAsia="Arial" w:hAnsi="Arial"/>
          <w:sz w:val="17"/>
          <w:szCs w:val="17"/>
          <w:color w:val="0000EE"/>
        </w:rPr>
        <w:t xml:space="preserve"> </w:t>
      </w:r>
      <w:r>
        <w:rPr>
          <w:rFonts w:ascii="Arial" w:cs="Arial" w:eastAsia="Arial" w:hAnsi="Arial"/>
          <w:sz w:val="17"/>
          <w:szCs w:val="17"/>
          <w:color w:val="000000"/>
        </w:rPr>
        <w:t>reference into this Report. The date of filing of this Report is May 24, 2018.</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in this Report to “the Company,” “Avnet,” “we,” “our,” or “us” means Avnet, Inc. together with its subsidiaries, except where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Applicability of the Conflict Minerals Rule to Avnet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Avnet is a global technology solutions provider with an extensive ecosystem delivering design, product, marketing and supply chain expertise for customers at every stage of the product lifecycle. Avnet transforms ideas into intelligent solutions, reducing the time, cost and complexities of bringing products to market. A core part of its business is as a global value-added distributor of electronic components and embedded subsystems. It generates revenues from the distribution and sale of electronic components including semiconductors, interconnect, passive and eletromechanical (IP&amp;E) devices and other integrated electronic components from the world’s leading electronic component manufacturers. It creates a vital link in the technology supply chain that connects such manufacturers with a global customer base of original equipment manufacturers, electronic manufacturing services providers and original design manufacturers. Avnet also sells integrated solutions including the assembly or manufacture of embedded electronic component products and systems, touch and passive displays and standard or specialized boards.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Conflict Minerals Rule requires that the Company disclose in an annual Form SD and associated Conflict Minerals Report information regarding any conflict minerals that are “necessary to the functionality or production” of any product that it manufactures or contracts to be manufactured. The Securities and Exchange Commission (“SEC”) defines conflict minerals as columbite-tantalite (coltan), cassiterite, gold, wolframite, or their derivatives, which are limited to tantalum, tin, and tungsten (collectively, “CMs”). The Democratic Republic of Congo and its adjoining countries have extensive reserves of CMs, some of which are illegally sourced and traded by armed groups who are responsible for significant human rights violations. The purpose of the Conflict Minerals Rule is to encourage companies whose products contain CMs to endeavor to source from suppliers who do not directly or indirectly support such armed groups through their purchasing decisions. The term CM refers to the named minerals and their derivatives, and does not infer that the procurement of such minerals or derivatives directly or indirectly financed or benefitted armed groups in the Democratic Republic of Congo or an adjoining country. CMs are used in many electronic components and computer products.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Avnet’s revenues for 2018 were largely from distribution and services that were not in-scope for purposes of compliance with the Conflict Minerals Rule. However, it manufactured and contracted to manufacture certain products in which CMs were necessary to the functionality or production of those products during 2018 (collectively, “Covered Products”). Therefore, the Company conducted a reasonable country of origin inquiry (“RCOI”) to determine whether any of the CMs in the Covered Products: (1) originated in the Democratic Republic of Congo or an adjoining country, including Angola, Burundi, Central African Republic, Republic of the Congo, Rwanda, South Sudan, Tanzania, Uganda and Zambia (collectively, the “Covered Countries”); or (2) are from recycled or scrap sources. Please see “Conflict Minerals Program – Reasonable Country of Origin Inquiry” for more information on the RCOI.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The Company conducted further due diligence on the source and chain of custody of such CMs that conformed to an internationally recognized due diligence framework as required by the Conflict Minerals Rule. Please see “Conflict Minerals Program – Design of Conflict Minerals Program” for more information on the design of the due diligence program and “Conflict Minerals Program – Due Diligence Efforts” for more information the due diligence conducted.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Avnet is a downstream consumer of CMs. It does not purchase the necessary CMs contained in its Covered Products directly from mines, smelters or refiners and is generally many levels removed from such market participants. Through the efforts described in this Report, Avnet seeks to ensure that its sourcing practices are consistent with its Conflict Minerals Policy and to encourage conflict free sourcing in its supply chain.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Policy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Avnet is committed to responsible sourcing of CMs and promotes traceability of CMs and transparency of the supply chain. As an affiliate member of the Responsible Business Alliance (“RBA,” formerly the Electronic Industry Citizen Coalition), it supports RBA’s due diligence and reporting processes that seek to ensure supply chain transparency.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furtherance of this, Avnet has adopted a Conflict Minerals Policy, which has been communicated to Avnet’s suppliers and the public. The policy includes the following:</w:t>
      </w:r>
    </w:p>
    <w:p>
      <w:pPr>
        <w:spacing w:after="0" w:line="170" w:lineRule="exact"/>
        <w:rPr>
          <w:sz w:val="20"/>
          <w:szCs w:val="20"/>
          <w:color w:val="auto"/>
        </w:rPr>
      </w:pPr>
    </w:p>
    <w:p>
      <w:pPr>
        <w:jc w:val="both"/>
        <w:ind w:left="320" w:right="320"/>
        <w:spacing w:after="0" w:line="276" w:lineRule="auto"/>
        <w:rPr>
          <w:sz w:val="20"/>
          <w:szCs w:val="20"/>
          <w:color w:val="auto"/>
        </w:rPr>
      </w:pPr>
      <w:r>
        <w:rPr>
          <w:rFonts w:ascii="Arial" w:cs="Arial" w:eastAsia="Arial" w:hAnsi="Arial"/>
          <w:sz w:val="17"/>
          <w:szCs w:val="17"/>
          <w:color w:val="auto"/>
        </w:rPr>
        <w:t>“As a global value-added distributor of electronic components and embedded subsystems, Avnet promotes the traceability of these minerals and the transparency of the supply chain. Avnet firmly believes that its customers should be fully informed about the products they purchase. While Avnet, as a distributor, is not able to certify as to the country of origin of the minerals contained in the products manufactured by Avnet’s suppliers, Avnet is committed to working with its customers to supply products that meet the customer’s specifications.</w:t>
      </w:r>
    </w:p>
    <w:p>
      <w:pPr>
        <w:spacing w:after="0" w:line="173" w:lineRule="exact"/>
        <w:rPr>
          <w:sz w:val="20"/>
          <w:szCs w:val="20"/>
          <w:color w:val="auto"/>
        </w:rPr>
      </w:pPr>
    </w:p>
    <w:p>
      <w:pPr>
        <w:jc w:val="both"/>
        <w:ind w:left="320" w:right="320"/>
        <w:spacing w:after="0" w:line="288" w:lineRule="auto"/>
        <w:rPr>
          <w:sz w:val="20"/>
          <w:szCs w:val="20"/>
          <w:color w:val="auto"/>
        </w:rPr>
      </w:pPr>
      <w:r>
        <w:rPr>
          <w:rFonts w:ascii="Arial" w:cs="Arial" w:eastAsia="Arial" w:hAnsi="Arial"/>
          <w:sz w:val="16"/>
          <w:szCs w:val="16"/>
          <w:color w:val="auto"/>
        </w:rPr>
        <w:t>With respect to those limited aspects of Avnet’s business that manufacture or contract to manufacture products that contain conflict minerals that are necessary to the functionality or production of the product, Avnet does not directly purchase any conflict minerals from any source and endeavors not to purchase products that contain conflict minerals that directly or indirectly finance or benefit armed groups in the [Democratic Republic of the Congo] or adjoining countries. Avnet expects its suppliers to these aspects of its business to only source minerals from responsible sources and provide Avnet with proper verification of the country of origin and source of the materials used in the products they supply to it. Avnet fully understands the importance of this issue to its customers and is committed to supply chain initiatives and overall corporate social responsibility and sustainability efforts that work towards a conflict free supply chain. Avnet is encouraging all of its suppliers to likewise support these efforts and make information on the origin of their product components easily accessible on their websites.”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Conflict Minerals Policy is available on the Company’s website at </w:t>
      </w:r>
      <w:r>
        <w:rPr>
          <w:rFonts w:ascii="Arial" w:cs="Arial" w:eastAsia="Arial" w:hAnsi="Arial"/>
          <w:sz w:val="18"/>
          <w:szCs w:val="18"/>
          <w:u w:val="single" w:color="auto"/>
          <w:color w:val="0000EE"/>
        </w:rPr>
        <w:t>https://www.avnet.com/wps/portal/us/about-avnet/human-rights/conflict-minerals</w:t>
      </w:r>
      <w:r>
        <w:rPr>
          <w:rFonts w:ascii="Arial" w:cs="Arial" w:eastAsia="Arial" w:hAnsi="Arial"/>
          <w:sz w:val="18"/>
          <w:szCs w:val="18"/>
          <w:color w:val="00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Program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Design of Conflict Minerals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Avnet’s 2018 Conflict Minerals Program (“2018 Program”) utilized the internationally recognized framework </w:t>
      </w:r>
      <w:r>
        <w:rPr>
          <w:rFonts w:ascii="Arial" w:cs="Arial" w:eastAsia="Arial" w:hAnsi="Arial"/>
          <w:sz w:val="18"/>
          <w:szCs w:val="18"/>
          <w:i w:val="1"/>
          <w:iCs w:val="1"/>
          <w:color w:val="auto"/>
        </w:rPr>
        <w:t>OECD Due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Diligence Guidance for Responsible Supply Chains of Minerals from Conflict-Affected and High-Risk Areas </w:t>
      </w:r>
      <w:r>
        <w:rPr>
          <w:rFonts w:ascii="Arial" w:cs="Arial" w:eastAsia="Arial" w:hAnsi="Arial"/>
          <w:sz w:val="18"/>
          <w:szCs w:val="18"/>
          <w:color w:val="auto"/>
        </w:rPr>
        <w:t>(“OECD</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to develop its process to identify the country of origin and chain of custody of the CMs.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Avnet does not purchase CMs directly from any mine, refiner or smelter, its supply chain with respect to the CMs in its Covered Products is highly complex and there are many parties in the supply chain between Avnet’s direct supplier and the mine from which the CM originated. Due to the Company’s “downstream” position in the supply chain, it followed the principles outlined in the OECD Framework for downstream companies with no direct relationships to smelters or refiners. Therefore, Avnet must rely, in good faith, on its direct suppliers to provide it with information regarding the country of origin and chain of custody of the CMs included in the Covered Products. It is likely that years of engagement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and propagation of expectations through many tiers of the supply chain will be necessary before information returned to downstream companies, such as Avnet, may be considered accurate and complete.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Covered Products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Avnet determined that the following products it manufactured or contracted to manufacture in 2018 contained CMs necessary to the functionality or production of those products, which are referred to as the Covered Products:</w:t>
      </w:r>
    </w:p>
    <w:p>
      <w:pPr>
        <w:spacing w:after="0" w:line="147" w:lineRule="exact"/>
        <w:rPr>
          <w:sz w:val="20"/>
          <w:szCs w:val="20"/>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Kits manufactured or contracted to be manufactured by Avnet, Inc.</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 boards manufactured or contracted to be manufactured by Avnet Silica and EBV</w:t>
      </w:r>
    </w:p>
    <w:p>
      <w:pPr>
        <w:spacing w:after="0" w:line="9" w:lineRule="exact"/>
        <w:rPr>
          <w:rFonts w:ascii="Arial" w:cs="Arial" w:eastAsia="Arial" w:hAnsi="Arial"/>
          <w:sz w:val="18"/>
          <w:szCs w:val="18"/>
          <w:color w:val="auto"/>
        </w:rPr>
      </w:pPr>
    </w:p>
    <w:p>
      <w:pPr>
        <w:ind w:left="660" w:hanging="333"/>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 boards, hardware and accessories manufactured or contracted to be manufactured by Shenzhen Embest Technology</w:t>
      </w:r>
    </w:p>
    <w:p>
      <w:pPr>
        <w:ind w:left="660" w:hanging="333"/>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Development boards and display solutions manufactured or contracted to be manufactured by MSC Technologies</w:t>
      </w:r>
    </w:p>
    <w:p>
      <w:pPr>
        <w:spacing w:after="0" w:line="32" w:lineRule="exact"/>
        <w:rPr>
          <w:rFonts w:ascii="Arial" w:cs="Arial" w:eastAsia="Arial" w:hAnsi="Arial"/>
          <w:sz w:val="16"/>
          <w:szCs w:val="16"/>
          <w:color w:val="auto"/>
        </w:rPr>
      </w:pPr>
    </w:p>
    <w:p>
      <w:pPr>
        <w:ind w:left="660" w:hanging="333"/>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Development boards and other customer products manufactured or contracted to be manufactured by Avnet, Inc.</w:t>
      </w:r>
    </w:p>
    <w:p>
      <w:pPr>
        <w:spacing w:after="0" w:line="32" w:lineRule="exact"/>
        <w:rPr>
          <w:rFonts w:ascii="Arial" w:cs="Arial" w:eastAsia="Arial" w:hAnsi="Arial"/>
          <w:sz w:val="16"/>
          <w:szCs w:val="16"/>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Electromechanical solutions manufactured or contracted to be manufactured by DEM Manufacturing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Covered Products do not include products that were not entered into the stream of commerce in 2018, and do not include products manufactured or contracted to be manufactured by entities acquired by Avnet after April 2018, as provided by the Rule.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Reasonable Country of Origin Inquiry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Rule, Avnet conducted a RCOI on the source and chain of custody of the CMs in its Covered Products, to determine whether any of the necessary CMs in its Covered Products originated in any of the Covered Countries and may not have come from recycled or scrap sources.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applicable, Avnet conducted its RCOI utilizing the same processes and procedures that it established for conducting its due diligence, in particular Steps 1 and 2 of the OECD Framework, which are described under “Due Diligence Efforts” below.</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2018 RCOI included 912 suppliers (“Suppliers”) that Avnet identified as having provided it with components, parts or products that contained the necessary CMs for its Covered Products. Approximately 77.4% of such Suppliers provided responses. These Suppliers identified validated smelters and refiners that may have processed the necessary CMs contained in the Covered Products, as reflected in the table below and listed in </w:t>
      </w:r>
      <w:r>
        <w:rPr>
          <w:rFonts w:ascii="Arial" w:cs="Arial" w:eastAsia="Arial" w:hAnsi="Arial"/>
          <w:sz w:val="18"/>
          <w:szCs w:val="18"/>
          <w:u w:val="single" w:color="auto"/>
          <w:color w:val="auto"/>
        </w:rPr>
        <w:t>Appendix A</w:t>
      </w:r>
      <w:r>
        <w:rPr>
          <w:rFonts w:ascii="Arial" w:cs="Arial" w:eastAsia="Arial" w:hAnsi="Arial"/>
          <w:sz w:val="18"/>
          <w:szCs w:val="18"/>
          <w:color w:val="auto"/>
        </w:rPr>
        <w:t>. Avnet utilized the data its Suppliers provided on their Conflict Minerals Reporting Templates (“CMRTs”) along with RBA’s Responsible Minerals Initiative’s (“RMI”) due diligence of smelters and refiners.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226060</wp:posOffset>
            </wp:positionV>
            <wp:extent cx="5128260" cy="184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28260" cy="18440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Smelter and Refiner Country of Origin Information (1)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00" w:type="dxa"/>
            <w:vAlign w:val="bottom"/>
          </w:tcPr>
          <w:p>
            <w:pPr>
              <w:spacing w:after="0"/>
              <w:rPr>
                <w:sz w:val="24"/>
                <w:szCs w:val="24"/>
                <w:color w:val="auto"/>
              </w:rPr>
            </w:pPr>
          </w:p>
        </w:tc>
        <w:tc>
          <w:tcPr>
            <w:tcW w:w="2540" w:type="dxa"/>
            <w:vAlign w:val="bottom"/>
            <w:tcBorders>
              <w:top w:val="single" w:sz="8" w:color="auto"/>
              <w:right w:val="single" w:sz="8" w:color="auto"/>
            </w:tcBorders>
            <w:gridSpan w:val="2"/>
            <w:shd w:val="clear" w:color="auto" w:fill="D9D9D9"/>
          </w:tcPr>
          <w:p>
            <w:pPr>
              <w:ind w:left="980"/>
              <w:spacing w:after="0"/>
              <w:rPr>
                <w:sz w:val="20"/>
                <w:szCs w:val="20"/>
                <w:color w:val="auto"/>
              </w:rPr>
            </w:pPr>
            <w:r>
              <w:rPr>
                <w:rFonts w:ascii="Arial" w:cs="Arial" w:eastAsia="Arial" w:hAnsi="Arial"/>
                <w:sz w:val="18"/>
                <w:szCs w:val="18"/>
                <w:color w:val="auto"/>
              </w:rPr>
              <w:t>Mineral</w:t>
            </w:r>
          </w:p>
        </w:tc>
        <w:tc>
          <w:tcPr>
            <w:tcW w:w="2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Covered Country</w:t>
            </w:r>
          </w:p>
        </w:tc>
        <w:tc>
          <w:tcPr>
            <w:tcW w:w="276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Non-Covered Country</w:t>
            </w:r>
          </w:p>
        </w:tc>
        <w:tc>
          <w:tcPr>
            <w:tcW w:w="20" w:type="dxa"/>
            <w:vAlign w:val="bottom"/>
            <w:tcBorders>
              <w:top w:val="single" w:sz="8" w:color="auto"/>
            </w:tcBorders>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320" w:type="dxa"/>
            <w:vAlign w:val="bottom"/>
            <w:shd w:val="clear" w:color="auto" w:fill="D9D9D9"/>
          </w:tcPr>
          <w:p>
            <w:pPr>
              <w:spacing w:after="0"/>
              <w:rPr>
                <w:sz w:val="20"/>
                <w:szCs w:val="20"/>
                <w:color w:val="auto"/>
              </w:rPr>
            </w:pPr>
          </w:p>
        </w:tc>
        <w:tc>
          <w:tcPr>
            <w:tcW w:w="1220" w:type="dxa"/>
            <w:vAlign w:val="bottom"/>
            <w:tcBorders>
              <w:right w:val="single" w:sz="8" w:color="auto"/>
            </w:tcBorders>
            <w:shd w:val="clear" w:color="auto" w:fill="D9D9D9"/>
          </w:tcPr>
          <w:p>
            <w:pPr>
              <w:spacing w:after="0"/>
              <w:rPr>
                <w:sz w:val="20"/>
                <w:szCs w:val="20"/>
                <w:color w:val="auto"/>
              </w:rPr>
            </w:pPr>
          </w:p>
        </w:tc>
        <w:tc>
          <w:tcPr>
            <w:tcW w:w="27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6"/>
              </w:rPr>
              <w:t>Sourced</w:t>
            </w:r>
          </w:p>
        </w:tc>
        <w:tc>
          <w:tcPr>
            <w:tcW w:w="27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Sourced</w:t>
            </w:r>
          </w:p>
        </w:tc>
        <w:tc>
          <w:tcPr>
            <w:tcW w:w="20" w:type="dxa"/>
            <w:vAlign w:val="bottom"/>
          </w:tcPr>
          <w:p>
            <w:pPr>
              <w:spacing w:after="0"/>
              <w:rPr>
                <w:sz w:val="20"/>
                <w:szCs w:val="20"/>
                <w:color w:val="auto"/>
              </w:rPr>
            </w:pPr>
          </w:p>
        </w:tc>
      </w:tr>
      <w:tr>
        <w:trPr>
          <w:trHeight w:val="108"/>
        </w:trPr>
        <w:tc>
          <w:tcPr>
            <w:tcW w:w="500" w:type="dxa"/>
            <w:vAlign w:val="bottom"/>
          </w:tcPr>
          <w:p>
            <w:pPr>
              <w:spacing w:after="0"/>
              <w:rPr>
                <w:sz w:val="9"/>
                <w:szCs w:val="9"/>
                <w:color w:val="auto"/>
              </w:rPr>
            </w:pPr>
          </w:p>
        </w:tc>
        <w:tc>
          <w:tcPr>
            <w:tcW w:w="1320" w:type="dxa"/>
            <w:vAlign w:val="bottom"/>
            <w:tcBorders>
              <w:bottom w:val="single" w:sz="8" w:color="auto"/>
            </w:tcBorders>
            <w:shd w:val="clear" w:color="auto" w:fill="D9D9D9"/>
          </w:tcPr>
          <w:p>
            <w:pPr>
              <w:spacing w:after="0"/>
              <w:rPr>
                <w:sz w:val="9"/>
                <w:szCs w:val="9"/>
                <w:color w:val="auto"/>
              </w:rPr>
            </w:pPr>
          </w:p>
        </w:tc>
        <w:tc>
          <w:tcPr>
            <w:tcW w:w="1220" w:type="dxa"/>
            <w:vAlign w:val="bottom"/>
            <w:tcBorders>
              <w:bottom w:val="single" w:sz="8" w:color="auto"/>
              <w:right w:val="single" w:sz="8" w:color="auto"/>
            </w:tcBorders>
            <w:shd w:val="clear" w:color="auto" w:fill="D9D9D9"/>
          </w:tcPr>
          <w:p>
            <w:pPr>
              <w:spacing w:after="0"/>
              <w:rPr>
                <w:sz w:val="9"/>
                <w:szCs w:val="9"/>
                <w:color w:val="auto"/>
              </w:rPr>
            </w:pPr>
          </w:p>
        </w:tc>
        <w:tc>
          <w:tcPr>
            <w:tcW w:w="2760" w:type="dxa"/>
            <w:vAlign w:val="bottom"/>
            <w:tcBorders>
              <w:bottom w:val="single" w:sz="8" w:color="auto"/>
              <w:right w:val="single" w:sz="8" w:color="auto"/>
            </w:tcBorders>
            <w:shd w:val="clear" w:color="auto" w:fill="D9D9D9"/>
          </w:tcPr>
          <w:p>
            <w:pPr>
              <w:spacing w:after="0"/>
              <w:rPr>
                <w:sz w:val="9"/>
                <w:szCs w:val="9"/>
                <w:color w:val="auto"/>
              </w:rPr>
            </w:pPr>
          </w:p>
        </w:tc>
        <w:tc>
          <w:tcPr>
            <w:tcW w:w="2760" w:type="dxa"/>
            <w:vAlign w:val="bottom"/>
            <w:tcBorders>
              <w:bottom w:val="single" w:sz="8" w:color="auto"/>
            </w:tcBorders>
            <w:shd w:val="clear" w:color="auto" w:fill="D9D9D9"/>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8"/>
        </w:trPr>
        <w:tc>
          <w:tcPr>
            <w:tcW w:w="500" w:type="dxa"/>
            <w:vAlign w:val="bottom"/>
          </w:tcPr>
          <w:p>
            <w:pPr>
              <w:spacing w:after="0"/>
              <w:rPr>
                <w:sz w:val="24"/>
                <w:szCs w:val="24"/>
                <w:color w:val="auto"/>
              </w:rPr>
            </w:pPr>
          </w:p>
        </w:tc>
        <w:tc>
          <w:tcPr>
            <w:tcW w:w="25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Gold (158 Smelters)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60" w:type="dxa"/>
            <w:vAlign w:val="bottom"/>
          </w:tcPr>
          <w:p>
            <w:pPr>
              <w:jc w:val="center"/>
              <w:spacing w:after="0"/>
              <w:rPr>
                <w:sz w:val="20"/>
                <w:szCs w:val="20"/>
                <w:color w:val="auto"/>
              </w:rPr>
            </w:pPr>
            <w:r>
              <w:rPr>
                <w:rFonts w:ascii="Arial" w:cs="Arial" w:eastAsia="Arial" w:hAnsi="Arial"/>
                <w:sz w:val="18"/>
                <w:szCs w:val="18"/>
                <w:color w:val="auto"/>
                <w:w w:val="93"/>
              </w:rPr>
              <w:t>155</w:t>
            </w:r>
          </w:p>
        </w:tc>
        <w:tc>
          <w:tcPr>
            <w:tcW w:w="20" w:type="dxa"/>
            <w:vAlign w:val="bottom"/>
          </w:tcPr>
          <w:p>
            <w:pPr>
              <w:spacing w:after="0"/>
              <w:rPr>
                <w:sz w:val="24"/>
                <w:szCs w:val="24"/>
                <w:color w:val="auto"/>
              </w:rPr>
            </w:pPr>
          </w:p>
        </w:tc>
      </w:tr>
      <w:tr>
        <w:trPr>
          <w:trHeight w:val="108"/>
        </w:trPr>
        <w:tc>
          <w:tcPr>
            <w:tcW w:w="5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8"/>
        </w:trPr>
        <w:tc>
          <w:tcPr>
            <w:tcW w:w="500" w:type="dxa"/>
            <w:vAlign w:val="bottom"/>
          </w:tcPr>
          <w:p>
            <w:pPr>
              <w:spacing w:after="0"/>
              <w:rPr>
                <w:sz w:val="24"/>
                <w:szCs w:val="24"/>
                <w:color w:val="auto"/>
              </w:rPr>
            </w:pPr>
          </w:p>
        </w:tc>
        <w:tc>
          <w:tcPr>
            <w:tcW w:w="25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Tantalum (41 Smelters)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r>
      <w:tr>
        <w:trPr>
          <w:trHeight w:val="108"/>
        </w:trPr>
        <w:tc>
          <w:tcPr>
            <w:tcW w:w="5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8"/>
        </w:trPr>
        <w:tc>
          <w:tcPr>
            <w:tcW w:w="500" w:type="dxa"/>
            <w:vAlign w:val="bottom"/>
          </w:tcPr>
          <w:p>
            <w:pPr>
              <w:spacing w:after="0"/>
              <w:rPr>
                <w:sz w:val="24"/>
                <w:szCs w:val="24"/>
                <w:color w:val="auto"/>
              </w:rPr>
            </w:pPr>
          </w:p>
        </w:tc>
        <w:tc>
          <w:tcPr>
            <w:tcW w:w="25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Tin (93 Smelters)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20" w:type="dxa"/>
            <w:vAlign w:val="bottom"/>
          </w:tcPr>
          <w:p>
            <w:pPr>
              <w:spacing w:after="0"/>
              <w:rPr>
                <w:sz w:val="24"/>
                <w:szCs w:val="24"/>
                <w:color w:val="auto"/>
              </w:rPr>
            </w:pPr>
          </w:p>
        </w:tc>
      </w:tr>
      <w:tr>
        <w:trPr>
          <w:trHeight w:val="108"/>
        </w:trPr>
        <w:tc>
          <w:tcPr>
            <w:tcW w:w="5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8"/>
        </w:trPr>
        <w:tc>
          <w:tcPr>
            <w:tcW w:w="500" w:type="dxa"/>
            <w:vAlign w:val="bottom"/>
          </w:tcPr>
          <w:p>
            <w:pPr>
              <w:spacing w:after="0"/>
              <w:rPr>
                <w:sz w:val="24"/>
                <w:szCs w:val="24"/>
                <w:color w:val="auto"/>
              </w:rPr>
            </w:pPr>
          </w:p>
        </w:tc>
        <w:tc>
          <w:tcPr>
            <w:tcW w:w="25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Tungsten (47 Smelters)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 w:type="dxa"/>
            <w:vAlign w:val="bottom"/>
          </w:tcPr>
          <w:p>
            <w:pPr>
              <w:spacing w:after="0"/>
              <w:rPr>
                <w:sz w:val="24"/>
                <w:szCs w:val="24"/>
                <w:color w:val="auto"/>
              </w:rPr>
            </w:pPr>
          </w:p>
        </w:tc>
      </w:tr>
      <w:tr>
        <w:trPr>
          <w:trHeight w:val="108"/>
        </w:trPr>
        <w:tc>
          <w:tcPr>
            <w:tcW w:w="5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76"/>
        </w:trPr>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98" w:lineRule="exact"/>
        <w:rPr>
          <w:sz w:val="20"/>
          <w:szCs w:val="20"/>
          <w:color w:val="auto"/>
        </w:rPr>
      </w:pPr>
    </w:p>
    <w:p>
      <w:pPr>
        <w:jc w:val="both"/>
        <w:ind w:firstLine="3"/>
        <w:spacing w:after="0" w:line="305" w:lineRule="auto"/>
        <w:tabs>
          <w:tab w:leader="none" w:pos="235"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smelters and refiners reflected in the table were identified by the Suppliers as potentially being part of Avnet’s 2018 supply chain. However, not all of the included smelters and refiners may have processed the necessary CMs contained in Avnet’s Covered Products because: (i) many Suppliers reported at a “company level,” meaning reported for all CMs contained in all of their products,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jc w:val="both"/>
        <w:spacing w:after="0" w:line="278" w:lineRule="auto"/>
        <w:rPr>
          <w:sz w:val="20"/>
          <w:szCs w:val="20"/>
          <w:color w:val="auto"/>
        </w:rPr>
      </w:pPr>
      <w:r>
        <w:rPr>
          <w:rFonts w:ascii="Arial" w:cs="Arial" w:eastAsia="Arial" w:hAnsi="Arial"/>
          <w:sz w:val="16"/>
          <w:szCs w:val="16"/>
          <w:color w:val="auto"/>
        </w:rPr>
        <w:t>not just the CMs contained in the products sold to Avnet; and (ii) some Suppliers may have been over-inclusive due to information received from their suppliers. In addition, the list may not be complete for a variety of reasons, including because not all Suppliers responded to the 2018 Program and some Suppliers provided incomplete responses on their CMRTs.</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Due Diligence Efforts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Rule and under its 2018 Program, Avnet conducted further due diligence on the source and chain of custody of the CMs in its Covered Products. The OECD Framework utilized contains a five-step structure for due diligence as a basis for responsible global supply chain management of CMs from conflict-affected and high-risk areas.</w:t>
      </w:r>
    </w:p>
    <w:p>
      <w:pPr>
        <w:spacing w:after="0" w:line="162" w:lineRule="exact"/>
        <w:rPr>
          <w:sz w:val="20"/>
          <w:szCs w:val="20"/>
          <w:color w:val="auto"/>
        </w:rPr>
      </w:pPr>
    </w:p>
    <w:p>
      <w:pPr>
        <w:ind w:left="680" w:hanging="353"/>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29" w:lineRule="exact"/>
        <w:rPr>
          <w:sz w:val="20"/>
          <w:szCs w:val="20"/>
          <w:color w:val="auto"/>
        </w:rPr>
      </w:pPr>
    </w:p>
    <w:p>
      <w:pPr>
        <w:jc w:val="both"/>
        <w:ind w:left="660" w:hanging="333"/>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Avnet created a governance team and a working team to carry out its Conflict Minerals Program. The governance team is responsible for ensuring that the program meets regulatory requirements and enterprise goals and provides direction to the working team. The working team is responsible for the day-to-day execution of the program, diligence efforts and risk mitigation strategy.</w:t>
      </w:r>
    </w:p>
    <w:p>
      <w:pPr>
        <w:spacing w:after="0" w:line="186" w:lineRule="exact"/>
        <w:rPr>
          <w:rFonts w:ascii="Arial" w:cs="Arial" w:eastAsia="Arial" w:hAnsi="Arial"/>
          <w:sz w:val="18"/>
          <w:szCs w:val="18"/>
          <w:color w:val="auto"/>
        </w:rPr>
      </w:pPr>
    </w:p>
    <w:p>
      <w:pPr>
        <w:jc w:val="both"/>
        <w:ind w:left="660" w:hanging="333"/>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Avnet adopted a Conflict Minerals Policy, as discussed earlier in this Report. Pursuant to this policy, Avnet expects its Suppliers to only source CMs from responsible sources and to provide proper verification of the country of origin and source of the materials used in the products they supply to Avnet. Suppliers either receive a copy of the policy or are notified of this policy. In addition, the policy is posted on Avnet’s website.</w:t>
      </w:r>
    </w:p>
    <w:p>
      <w:pPr>
        <w:spacing w:after="0" w:line="171" w:lineRule="exact"/>
        <w:rPr>
          <w:rFonts w:ascii="Arial" w:cs="Arial" w:eastAsia="Arial" w:hAnsi="Arial"/>
          <w:sz w:val="17"/>
          <w:szCs w:val="17"/>
          <w:color w:val="auto"/>
        </w:rPr>
      </w:pPr>
    </w:p>
    <w:p>
      <w:pPr>
        <w:jc w:val="both"/>
        <w:ind w:left="660" w:hanging="333"/>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Avnet seeks to include CM related provisions in new or amended supplier agreements with respect to the Covered Products. Its current form of supplier agreement contains a CM provision that requires a Supplier to warrant that any products it supplies containing CMs either does not finance or benefit armed groups in the Covered Countries or are from recycled or scrap sources.</w:t>
      </w:r>
    </w:p>
    <w:p>
      <w:pPr>
        <w:spacing w:after="0" w:line="186" w:lineRule="exact"/>
        <w:rPr>
          <w:rFonts w:ascii="Arial" w:cs="Arial" w:eastAsia="Arial" w:hAnsi="Arial"/>
          <w:sz w:val="18"/>
          <w:szCs w:val="18"/>
          <w:color w:val="auto"/>
        </w:rPr>
      </w:pPr>
    </w:p>
    <w:p>
      <w:pPr>
        <w:jc w:val="both"/>
        <w:ind w:left="660" w:hanging="333"/>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Avnet utilized the then current CMRT developed by RMI to identify smelters and refiners in its supply chain. The CMRT requires Suppliers to provide information concerning the usage and source of CMs in their components, parts and products, as well as information concerning their related compliance efforts, including whether they have a policy on conflict-free sourcing and required their own suppliers to source CMs from responsible sources.</w:t>
      </w:r>
    </w:p>
    <w:p>
      <w:pPr>
        <w:spacing w:after="0" w:line="154"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Employees can confidentially report concerns regarding Avnet’s business operations through the Ethics Alertline, via phone or internet.</w:t>
      </w:r>
    </w:p>
    <w:p>
      <w:pPr>
        <w:spacing w:after="0" w:line="166" w:lineRule="exact"/>
        <w:rPr>
          <w:sz w:val="20"/>
          <w:szCs w:val="20"/>
          <w:color w:val="auto"/>
        </w:rPr>
      </w:pPr>
    </w:p>
    <w:p>
      <w:pPr>
        <w:ind w:left="680" w:hanging="353"/>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 in the supply chain</w:t>
      </w:r>
    </w:p>
    <w:p>
      <w:pPr>
        <w:spacing w:after="0" w:line="229" w:lineRule="exact"/>
        <w:rPr>
          <w:sz w:val="20"/>
          <w:szCs w:val="20"/>
          <w:color w:val="auto"/>
        </w:rPr>
      </w:pPr>
    </w:p>
    <w:p>
      <w:pPr>
        <w:jc w:val="both"/>
        <w:ind w:left="660" w:hanging="333"/>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Avnet identified the business segments that manufactured or contracted to manufacture products reasonably believed to contain CMs and determined the Covered Products subject to the Conflict Minerals Rule. As a global value-added distributor, a significant percentage of Avnet’s operations are out of scope of the Conflict Minerals Rule.</w:t>
      </w:r>
    </w:p>
    <w:p>
      <w:pPr>
        <w:spacing w:after="0" w:line="146"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Avnet identified the active Suppliers of materials, components, parts and products that may contain CMs for the Covered Products.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Supplier was requested to complete the then latest revision of the CMRT, in some cases at the “product level.” Avnet expects its direct Suppliers to survey their suppliers.</w:t>
      </w:r>
    </w:p>
    <w:p>
      <w:pPr>
        <w:spacing w:after="0" w:line="170" w:lineRule="exact"/>
        <w:rPr>
          <w:rFonts w:ascii="Arial" w:cs="Arial" w:eastAsia="Arial" w:hAnsi="Arial"/>
          <w:sz w:val="18"/>
          <w:szCs w:val="18"/>
          <w:color w:val="auto"/>
        </w:rPr>
      </w:pPr>
    </w:p>
    <w:p>
      <w:pPr>
        <w:jc w:val="both"/>
        <w:ind w:left="660" w:hanging="333"/>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Avnet and a consultant track Supplier responses on the CMRTs, and evaluate responses for plausibility, completion and predetermined red flags. To the extent that a CMRT is not completed or other relevant information is not provided by a Supplier, there are follow-up procedures undertaken to request compliance with the request. Follow-up continued with unresponsive Suppliers during calendar year 2018 and into 2019.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8" w:name="page9"/>
    <w:bookmarkEnd w:id="8"/>
    <w:p>
      <w:pPr>
        <w:ind w:left="660" w:hanging="333"/>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Smelters and refiners identified in the CMRTs are compared against the Smelter Look-up tab of the CMRT and the list of Conformant smelters and refiners and country of origin information published by the RMI.</w:t>
      </w:r>
    </w:p>
    <w:p>
      <w:pPr>
        <w:spacing w:after="0" w:line="143" w:lineRule="exact"/>
        <w:rPr>
          <w:sz w:val="20"/>
          <w:szCs w:val="20"/>
          <w:color w:val="auto"/>
        </w:rPr>
      </w:pPr>
    </w:p>
    <w:p>
      <w:pPr>
        <w:ind w:left="680" w:hanging="353"/>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Design and implement a strategy to respond to identified risks</w:t>
      </w:r>
    </w:p>
    <w:p>
      <w:pPr>
        <w:spacing w:after="0" w:line="229"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team leaders monitor and report on risk to certain members of senior management.</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Avnet designed a risk mitigation approach to manage Suppliers that may potentially not be deemed “conflict free” pursuant to the Conflict Minerals Rule.</w:t>
      </w:r>
    </w:p>
    <w:p>
      <w:pPr>
        <w:spacing w:after="0" w:line="62"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Avnet’s Conflict Minerals Policy publicly announces its expectations that Suppliers participate in Avnet’s due diligence process by providing proper verification of the country of origin and source of the materials used in the products they supply to Avnet. The policy also states that Suppliers are expected to only source CMs from responsible sources.</w:t>
      </w:r>
    </w:p>
    <w:p>
      <w:pPr>
        <w:spacing w:after="0" w:line="78"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Avnet seeks to include CM related provisions in new or amended supplier agreements with respect to the Covered Products and include CM related diligence in acquisition activities.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Avnet works with Suppliers on an as-needed basis to assist with understanding the requirements of the Conflict Minerals Rule.</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Avnet has implemented processes for new product introductions and changes to the bill of materials for the Covered Products to help ensure compliance with the Conflict Minerals Program.</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Avnet has established methods for employees, shareholders, Suppliers, and customers to communicate concerns about Avnet’s policies.</w:t>
      </w:r>
    </w:p>
    <w:p>
      <w:pPr>
        <w:spacing w:after="0" w:line="166" w:lineRule="exact"/>
        <w:rPr>
          <w:sz w:val="20"/>
          <w:szCs w:val="20"/>
          <w:color w:val="auto"/>
        </w:rPr>
      </w:pPr>
    </w:p>
    <w:p>
      <w:pPr>
        <w:ind w:left="680" w:hanging="353"/>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supply chain due diligence</w:t>
      </w:r>
    </w:p>
    <w:p>
      <w:pPr>
        <w:spacing w:after="0" w:line="229" w:lineRule="exact"/>
        <w:rPr>
          <w:sz w:val="20"/>
          <w:szCs w:val="20"/>
          <w:color w:val="auto"/>
        </w:rPr>
      </w:pPr>
    </w:p>
    <w:p>
      <w:pPr>
        <w:jc w:val="both"/>
        <w:ind w:left="660" w:hanging="333"/>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Avnet is a downstream consumer of CMs and is generally many steps removed from smelters and refiners which provide minerals and ores, Avnet is not positioned to conduct direct audits of smelters and refiners’ due diligence practices. Instead, it relies on initiatives such as those led by RBA, including RMI, to conduct smelter and refinery due diligence audits.</w:t>
      </w:r>
    </w:p>
    <w:p>
      <w:pPr>
        <w:spacing w:after="0" w:line="183" w:lineRule="exact"/>
        <w:rPr>
          <w:sz w:val="20"/>
          <w:szCs w:val="20"/>
          <w:color w:val="auto"/>
        </w:rPr>
      </w:pPr>
    </w:p>
    <w:p>
      <w:pPr>
        <w:ind w:left="680" w:hanging="353"/>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Report on supply chain due diligence</w:t>
      </w:r>
    </w:p>
    <w:p>
      <w:pPr>
        <w:spacing w:after="0" w:line="229" w:lineRule="exact"/>
        <w:rPr>
          <w:sz w:val="20"/>
          <w:szCs w:val="20"/>
          <w:color w:val="auto"/>
        </w:rPr>
      </w:pPr>
    </w:p>
    <w:p>
      <w:pPr>
        <w:ind w:left="660" w:hanging="333"/>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Avnet annually files a Form SD and a Conflict Minerals Report with the SEC and makes them available to the public on its website at </w:t>
      </w:r>
      <w:r>
        <w:rPr>
          <w:rFonts w:ascii="Arial" w:cs="Arial" w:eastAsia="Arial" w:hAnsi="Arial"/>
          <w:sz w:val="17"/>
          <w:szCs w:val="17"/>
          <w:u w:val="single" w:color="auto"/>
          <w:color w:val="0000EE"/>
        </w:rPr>
        <w:t>https://www.avnet.com/wps/portal/us/about-avnet/human-rights/conflict-minerals</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2018 Conflict Minerals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downstream purchaser of components, parts and products that may contain CMs, Avnet’s 2018 Program can provide only reasonable, but not absolute, assurance regarding the country of origin and chain of custody of the necessary CMs in its Covered Products.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due diligence process is based on Avnet requesting information from its direct Suppliers, with those Suppliers requesting similar information from their suppliers and so on, up the supply chain, to eventually identify the original sources of the necessary CMs. In addition, a significant percentage of Suppliers’ CMRTs provided information at the company level, with a small percentage at the product level. Therefore, Avnet must rely, in good faith, on its direct Suppliers to provide it with valid and complete information. Finally, not all Suppliers completed CMRTs or completed CMRTs in full for the 2018 Program.</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After conducting its 2018 Program, and in light of the limitations explained above, including limited information specific to the components, parts and products provided by the Suppliers for the Covered Products, Avnet concludes that it is unable to determine the origin of the CMs contained in its Covered Products and unable to determine whether its Covered Products are DRC conflict free. Based on the information provided on the Suppliers’ CMRTs, Avnet believes that the facilities that may have been used to process the necessary CMs contained in the Covered Products include the smelters and refiners listed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 the end of the Report.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Steps to be taken in Calendar 2019</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Avnet endeavors not to purchase products that contain CMs that directly or indirectly finance or benefit armed groups in the Covered Countries, and in order to mitigate the risk of purchasing such products, it has continued with its Conflict Minerals Program discussed above during calendar year 2019. Specifically, Avnet plans to pursue the following steps:</w:t>
      </w:r>
    </w:p>
    <w:p>
      <w:pPr>
        <w:spacing w:after="0" w:line="166" w:lineRule="exact"/>
        <w:rPr>
          <w:sz w:val="20"/>
          <w:szCs w:val="20"/>
          <w:color w:val="auto"/>
        </w:rPr>
      </w:pPr>
    </w:p>
    <w:p>
      <w:pPr>
        <w:ind w:left="660" w:right="4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with Suppliers that provided incomplete responses or no responses for 2018 to help ensure that they provide requested information for 2019;</w:t>
      </w:r>
    </w:p>
    <w:p>
      <w:pPr>
        <w:spacing w:after="0" w:line="170" w:lineRule="exact"/>
        <w:rPr>
          <w:rFonts w:ascii="Arial" w:cs="Arial" w:eastAsia="Arial" w:hAnsi="Arial"/>
          <w:sz w:val="18"/>
          <w:szCs w:val="18"/>
          <w:color w:val="auto"/>
        </w:rPr>
      </w:pPr>
    </w:p>
    <w:p>
      <w:pPr>
        <w:ind w:left="660" w:right="42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request selected Suppliers that provided company level information for 2018 provide product level information for 2019;</w:t>
      </w:r>
    </w:p>
    <w:p>
      <w:pPr>
        <w:spacing w:after="0" w:line="170" w:lineRule="exact"/>
        <w:rPr>
          <w:rFonts w:ascii="Arial" w:cs="Arial" w:eastAsia="Arial" w:hAnsi="Arial"/>
          <w:sz w:val="18"/>
          <w:szCs w:val="18"/>
          <w:color w:val="auto"/>
        </w:rPr>
      </w:pPr>
    </w:p>
    <w:p>
      <w:pPr>
        <w:jc w:val="both"/>
        <w:ind w:left="660" w:right="160" w:hanging="333"/>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Communicate to new in-scope suppliers Avnet’s sourcing expectations, including through the dissemination of the Conflict Minerals Policy and require adherence to contractual sourcing requirements. In addition, as new suppliers are added, work with such suppliers to ensure that they understand the requirements of the Conflict Minerals Rule and the OECD Framework.</w:t>
      </w:r>
    </w:p>
    <w:p>
      <w:pPr>
        <w:spacing w:after="0" w:line="186" w:lineRule="exact"/>
        <w:rPr>
          <w:rFonts w:ascii="Arial" w:cs="Arial" w:eastAsia="Arial" w:hAnsi="Arial"/>
          <w:sz w:val="18"/>
          <w:szCs w:val="18"/>
          <w:color w:val="auto"/>
        </w:rPr>
      </w:pPr>
    </w:p>
    <w:p>
      <w:pPr>
        <w:ind w:left="660" w:right="26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Proactively analyze whether any CMs are present in future products that it develops or in existing products to the extent the materials included in such existing products are revised;</w:t>
      </w:r>
    </w:p>
    <w:p>
      <w:pPr>
        <w:spacing w:after="0" w:line="170" w:lineRule="exact"/>
        <w:rPr>
          <w:rFonts w:ascii="Arial" w:cs="Arial" w:eastAsia="Arial" w:hAnsi="Arial"/>
          <w:sz w:val="18"/>
          <w:szCs w:val="18"/>
          <w:color w:val="auto"/>
        </w:rPr>
      </w:pPr>
    </w:p>
    <w:p>
      <w:pPr>
        <w:ind w:left="660" w:right="54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Proactively seek to include CM related provisions in new or amended supplier agreements with respect to the Covered Products;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monitor its ethics alertline for issues related to the Company’s conflict minerals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Certain statements in this Report may be “forward-looking statements” within the meaning of Section 27A of the Securities Act of 1933, as amended, and Section 21E of the Securities Exchange Act of 1934, as amended. Words such as “expects,” “intends,” “plans,” “believes,” “anticipates” and similar expressions, or the use of future tense, are used to identify these forward-looking statements. Examples of forward-looking statements include statements relating to the Company’s future plans, additional steps it intends to take to mitigate the risk that the Company’s necessary CMs benefit armed groups and other statements that do not relate to historical or current facts.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Forward-looking statements are based on the Company’s current expectations and assumptions, which may not prove to be accurate. These statements are not guarantees and are subject to risks, uncertainties and changes in circumstances that are difficult to predict, including: (1) the continued implementation of satisfactory traceability and other compliance measures by Avnet’s direct and indirect suppliers on a timely basis or at all, (2) whether smelters, refiners and other market participants responsibly source CMs and (3) political and regulatory developments regarding CMs. Actual outcomes and results may differ materially from these forward-looking statements. As a result, these statements speak only as of the date they are made and the Company undertakes no obligation to update or revise any forward-looking statement, except as required by federal securities law.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u w:val="single" w:color="auto"/>
          <w:color w:val="auto"/>
        </w:rPr>
        <w:t>APPENDIX A</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Smelters and Refiners</w:t>
      </w:r>
    </w:p>
    <w:p>
      <w:pPr>
        <w:spacing w:after="0" w:line="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Avnet utilized data its Suppliers provided on their CMRTs for the 2018 Program along with RBA’s RMI due diligence of smelters and refiners to prepare the blow list. The list: (1) may not include all of the smelters and refiners that processed CMs in the Covered Products and (2) may include smelters and refiners which processed CMs which were not contained in the products provided by the Suppliers for the Covered Products.</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4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20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4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4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200" w:type="dxa"/>
            <w:vAlign w:val="bottom"/>
            <w:tcBorders>
              <w:bottom w:val="single" w:sz="8" w:color="D9D9D9"/>
              <w:right w:val="single" w:sz="8" w:color="auto"/>
            </w:tcBorders>
            <w:shd w:val="clear" w:color="auto" w:fill="D9D9D9"/>
          </w:tcPr>
          <w:p>
            <w:pPr>
              <w:spacing w:after="0"/>
              <w:rPr>
                <w:sz w:val="24"/>
                <w:szCs w:val="24"/>
                <w:color w:val="auto"/>
              </w:rPr>
            </w:pPr>
          </w:p>
        </w:tc>
        <w:tc>
          <w:tcPr>
            <w:tcW w:w="184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Location</w:t>
            </w:r>
          </w:p>
        </w:tc>
      </w:tr>
      <w:tr>
        <w:trPr>
          <w:trHeight w:val="247"/>
        </w:trPr>
        <w:tc>
          <w:tcPr>
            <w:tcW w:w="12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CID000015</w:t>
            </w:r>
          </w:p>
        </w:tc>
        <w:tc>
          <w:tcPr>
            <w:tcW w:w="42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Advanced Chemical Company</w:t>
            </w:r>
          </w:p>
        </w:tc>
        <w:tc>
          <w:tcPr>
            <w:tcW w:w="18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United States</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CID000019</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Aida Chemical Industries Co., Ltd.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Japan</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CID000035</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6"/>
              </w:rPr>
              <w:t>Allgemeine Gold-und Silberscheideanstalt A.G.</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Germany</w:t>
            </w:r>
          </w:p>
        </w:tc>
      </w:tr>
      <w:tr>
        <w:trPr>
          <w:trHeight w:val="209"/>
        </w:trPr>
        <w:tc>
          <w:tcPr>
            <w:tcW w:w="120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4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CID000041</w:t>
            </w:r>
          </w:p>
        </w:tc>
        <w:tc>
          <w:tcPr>
            <w:tcW w:w="42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Almalyk Mining and Metallurgical Complex</w:t>
            </w:r>
          </w:p>
        </w:tc>
        <w:tc>
          <w:tcPr>
            <w:tcW w:w="184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Uzbekistan</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(AMMC)</w:t>
            </w:r>
          </w:p>
        </w:tc>
        <w:tc>
          <w:tcPr>
            <w:tcW w:w="1840" w:type="dxa"/>
            <w:vAlign w:val="bottom"/>
            <w:tcBorders>
              <w:bottom w:val="single" w:sz="8" w:color="auto"/>
              <w:right w:val="single" w:sz="8" w:color="auto"/>
            </w:tcBorders>
          </w:tcPr>
          <w:p>
            <w:pPr>
              <w:spacing w:after="0"/>
              <w:rPr>
                <w:sz w:val="21"/>
                <w:szCs w:val="21"/>
                <w:color w:val="auto"/>
              </w:rPr>
            </w:pPr>
          </w:p>
        </w:tc>
      </w:tr>
      <w:tr>
        <w:trPr>
          <w:trHeight w:val="247"/>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CID000058</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7"/>
              </w:rPr>
              <w:t>AngloGold Ashanti Córrego do Sítio Mineração</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Brazil</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CID000077</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Argor-Heraeus S.A.</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Switzerland</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CID000082</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Asahi Pretec Corp.</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Japan</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CID000090</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Asaka Riken Co., Ltd.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Japan</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CID000103</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Atasay Kuyumculuk Sanayi Ve Ticaret A.S.</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Turkey</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CID000113</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Aurubis AG</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Germany</w:t>
            </w:r>
          </w:p>
        </w:tc>
      </w:tr>
      <w:tr>
        <w:trPr>
          <w:trHeight w:val="209"/>
        </w:trPr>
        <w:tc>
          <w:tcPr>
            <w:tcW w:w="120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4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CID000128</w:t>
            </w:r>
          </w:p>
        </w:tc>
        <w:tc>
          <w:tcPr>
            <w:tcW w:w="42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4"/>
              </w:rPr>
              <w:t>Bangko Sentral ng Pilipinas (Central Bank of the</w:t>
            </w:r>
          </w:p>
        </w:tc>
        <w:tc>
          <w:tcPr>
            <w:tcW w:w="184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Philippines</w:t>
            </w:r>
          </w:p>
        </w:tc>
      </w:tr>
      <w:tr>
        <w:trPr>
          <w:trHeight w:val="250"/>
        </w:trPr>
        <w:tc>
          <w:tcPr>
            <w:tcW w:w="1200" w:type="dxa"/>
            <w:vAlign w:val="bottom"/>
            <w:tcBorders>
              <w:left w:val="single" w:sz="8" w:color="auto"/>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42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Philippines)</w:t>
            </w:r>
          </w:p>
        </w:tc>
        <w:tc>
          <w:tcPr>
            <w:tcW w:w="1840" w:type="dxa"/>
            <w:vAlign w:val="bottom"/>
            <w:tcBorders>
              <w:right w:val="single" w:sz="8" w:color="auto"/>
            </w:tcBorders>
          </w:tcPr>
          <w:p>
            <w:pPr>
              <w:spacing w:after="0"/>
              <w:rPr>
                <w:sz w:val="21"/>
                <w:szCs w:val="21"/>
                <w:color w:val="auto"/>
              </w:rPr>
            </w:pPr>
          </w:p>
        </w:tc>
      </w:tr>
      <w:tr>
        <w:trPr>
          <w:trHeight w:val="64"/>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r>
      <w:tr>
        <w:trPr>
          <w:trHeight w:val="247"/>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CID000157</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Boliden AB</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Sweden</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CID000176</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 Hafner GmbH + Co. KG</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Germany</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CID000180</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Caridad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Mexico</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CID000185</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CCR Refinery - Glencore Canada Corporation</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Canada</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CID000189</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Cendres + Métaux S.A.</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Switzerland</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CID000197</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Yunnan Copper Industry Co., Ltd.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China</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CID000233</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Chimet S.p.A.</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Italy</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CID000264</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Chugai Mining</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Japan</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CID000328</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Daejin Indus Co., Ltd.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Korea, Republic of</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CID000343</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Daye Non-Ferrous Metals Mining Ltd.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China</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CID000359</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DSC (Do Sung Corporation)</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Korea, Republic of</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CID000362</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DODUCO Contacts and Refining GmbH</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Germany</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CID000401</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Dowa</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Japan</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CID000425</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Eco-System Recycling Co., Ltd.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Japan</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CID000493</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OJSC Novosibirsk Refinery</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8"/>
              </w:rPr>
              <w:t>Russian Federation</w:t>
            </w:r>
          </w:p>
        </w:tc>
      </w:tr>
      <w:tr>
        <w:trPr>
          <w:trHeight w:val="250"/>
        </w:trPr>
        <w:tc>
          <w:tcPr>
            <w:tcW w:w="1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CID000522</w:t>
            </w:r>
          </w:p>
        </w:tc>
        <w:tc>
          <w:tcPr>
            <w:tcW w:w="4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Refinery of Seemine Gold Co., Ltd.</w:t>
            </w: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China</w:t>
            </w:r>
          </w:p>
        </w:tc>
      </w:tr>
      <w:tr>
        <w:trPr>
          <w:trHeight w:val="429"/>
        </w:trPr>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0" w:type="dxa"/>
            <w:vAlign w:val="bottom"/>
          </w:tcPr>
          <w:p>
            <w:pPr>
              <w:ind w:left="1440"/>
              <w:spacing w:after="0"/>
              <w:rPr>
                <w:sz w:val="20"/>
                <w:szCs w:val="20"/>
                <w:color w:val="auto"/>
              </w:rPr>
            </w:pPr>
            <w:r>
              <w:rPr>
                <w:rFonts w:ascii="Arial" w:cs="Arial" w:eastAsia="Arial" w:hAnsi="Arial"/>
                <w:sz w:val="18"/>
                <w:szCs w:val="18"/>
                <w:color w:val="auto"/>
              </w:rPr>
              <w:t>7</w:t>
            </w:r>
          </w:p>
        </w:tc>
        <w:tc>
          <w:tcPr>
            <w:tcW w:w="1840" w:type="dxa"/>
            <w:vAlign w:val="bottom"/>
          </w:tcPr>
          <w:p>
            <w:pPr>
              <w:spacing w:after="0"/>
              <w:rPr>
                <w:sz w:val="24"/>
                <w:szCs w:val="24"/>
                <w:color w:val="auto"/>
              </w:rPr>
            </w:pPr>
          </w:p>
        </w:tc>
      </w:tr>
      <w:tr>
        <w:trPr>
          <w:trHeight w:val="777"/>
        </w:trPr>
        <w:tc>
          <w:tcPr>
            <w:tcW w:w="1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337" w:right="139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6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10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6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10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06"/>
        </w:trPr>
        <w:tc>
          <w:tcPr>
            <w:tcW w:w="1240" w:type="dxa"/>
            <w:vAlign w:val="bottom"/>
            <w:tcBorders>
              <w:top w:val="single" w:sz="8" w:color="auto"/>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Gold</w:t>
            </w:r>
          </w:p>
        </w:tc>
        <w:tc>
          <w:tcPr>
            <w:tcW w:w="1860" w:type="dxa"/>
            <w:vAlign w:val="bottom"/>
            <w:tcBorders>
              <w:top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CID000651</w:t>
            </w:r>
          </w:p>
        </w:tc>
        <w:tc>
          <w:tcPr>
            <w:tcW w:w="4100" w:type="dxa"/>
            <w:vAlign w:val="bottom"/>
            <w:tcBorders>
              <w:top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Guoda Safina High-Tech Environmental</w:t>
            </w:r>
          </w:p>
        </w:tc>
        <w:tc>
          <w:tcPr>
            <w:tcW w:w="1880" w:type="dxa"/>
            <w:vAlign w:val="bottom"/>
            <w:tcBorders>
              <w:top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Refinery 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CID000671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Hangzhou Fuchunjiang Smelting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CID000689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HeeSung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CID000694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Heimerle + Meule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CID000707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Heraeus Metals Hong Kong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CID000711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Heraeus Precious Metals GmbH &amp; Co. KG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CID000767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Hunan Chenzhou Mining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CID000773</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9"/>
              </w:rPr>
              <w:t>Hunan Guiyang yinxing Nonferrous Smelting</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CID000778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Hwasung CJ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CID000801</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Inner Mongolia Qiankun Gold and Silver</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Refinery Share Co., Ltd.</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CID000807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Ishifuku Metal Industry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CID000814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Istanbul Gold Refinery</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Turkey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CID000823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 Mint</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CID000855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Jiangxi Copper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CID000920</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Asahi Refining USA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CID000924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Asahi Refining Canada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Canada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CID000927</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JSC Ekaterinburg Non-Ferrous Metal</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9"/>
              </w:rPr>
              <w:t>Russian Federation</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Processing Plant</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CID000929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JSC Uralelectromed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Russian Federation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CID000937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JX Nippon Mining &amp; Metals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CID000956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Kazakhmys Smelting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Kazakhstan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CID000957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Kazzinc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Kazakhstan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CID000969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Kennecott Utah Copper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CID000981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Kojima Chemicals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CID000988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Metal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CID001029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Kyrgyzaltyn JSC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Kyrgyzstan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CID001032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L'azurde Company For Jewelry</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Saudi Arabia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CID001056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Lingbao Gold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CID001058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Lingbao Jinyuan Tonghui Refinery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CID001078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LS-NIKKO Copper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CID001093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Luoyang Zijin Yinhui Gold Refinery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CID001113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Materion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CID001119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Matsuda Sangyo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CID001147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Metalor Technologies (Suzhou)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CID001149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Metalor Technologies (Hong Kong)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CID001152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Metalor Technologies (Singapore) Pte.,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Singapore</w:t>
            </w:r>
          </w:p>
        </w:tc>
      </w:tr>
      <w:tr>
        <w:trPr>
          <w:trHeight w:val="429"/>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00" w:type="dxa"/>
            <w:vAlign w:val="bottom"/>
          </w:tcPr>
          <w:p>
            <w:pPr>
              <w:ind w:left="1380"/>
              <w:spacing w:after="0"/>
              <w:rPr>
                <w:sz w:val="20"/>
                <w:szCs w:val="20"/>
                <w:color w:val="auto"/>
              </w:rPr>
            </w:pPr>
            <w:r>
              <w:rPr>
                <w:rFonts w:ascii="Arial" w:cs="Arial" w:eastAsia="Arial" w:hAnsi="Arial"/>
                <w:sz w:val="18"/>
                <w:szCs w:val="18"/>
                <w:color w:val="auto"/>
              </w:rPr>
              <w:t>8</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0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08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47"/>
        </w:trPr>
        <w:tc>
          <w:tcPr>
            <w:tcW w:w="12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CID001153</w:t>
            </w: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Metalor Technologies S.A.</w:t>
            </w:r>
          </w:p>
        </w:tc>
        <w:tc>
          <w:tcPr>
            <w:tcW w:w="18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Switzerland</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CID001157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Metalor USA Refining Corporation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CID001161</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Metalúrgica Met-Mex Peñoles S.A. De C.V.</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Mexico</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CID001188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Mitsubishi Materials Corporation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CID001193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Mitsui Mining and Smelting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CID001204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Moscow Special Alloys Processing Plant</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Russian Federation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CID001220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Nadir Metal Rafineri San. Ve Tic. A.Ş.</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Turkey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CID001236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Navoi Mining and Metallurgical Combinat</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Uzbekistan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CID001259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Nihon Material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CID001322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Elemetal Refining,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CID001325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Ohura Precious Metal Industry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CID001326</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w w:val="96"/>
              </w:rPr>
              <w:t>OJSC "The Gulidov Krasnoyarsk Non-Ferrous</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9"/>
              </w:rPr>
              <w:t>Russian Federation</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Metals Plant" (OJSC Krastsvetmet)</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CID001352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PAMP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Switzerland</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CID001362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Penglai Penggang Gold Industry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CID001386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Prioksky Plant of Non-Ferrous Metals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Russian Federation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CID001397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Aneka Tambang (Persero) Tbk</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CID001498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PX Précinox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Switzerland</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CID001512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Rand Refinery (Pty)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South Africa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CID001534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Royal Canadian Mint</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Canada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CID001546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Sabin Metal Corp.</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CID001555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Samduck Precious Metals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CID001562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SAMWON Metals Corp.</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CID001573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Schone Edelmetaal B.V.</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Netherlands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CID001585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SEMPSA Joyería Platería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Spain</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CID001619</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w w:val="94"/>
              </w:rPr>
              <w:t>Shandong Tiancheng Biological Gold Industrial</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206"/>
        </w:trPr>
        <w:tc>
          <w:tcPr>
            <w:tcW w:w="124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CID001622</w:t>
            </w:r>
          </w:p>
        </w:tc>
        <w:tc>
          <w:tcPr>
            <w:tcW w:w="4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6"/>
              </w:rPr>
              <w:t>Shandong Zhaojin Gold &amp; Silver Refinery Co.,</w:t>
            </w:r>
          </w:p>
        </w:tc>
        <w:tc>
          <w:tcPr>
            <w:tcW w:w="18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CID001736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Sichuan Tianze Precious Metals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CID001754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So Accurate Group,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CID001756</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SOE Shyolkovsky Factory of Secondary</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9"/>
              </w:rPr>
              <w:t>Russian Federation</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Precious Metals</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CID001761</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Solar Applied Materials Technology Corp.</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Taiwan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CID001798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Sumitomo Metal Mining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CID001875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Tanaka Kikinzoku Kogyo K.K.</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CID001909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6"/>
              </w:rPr>
              <w:t>Great Wall Precious Metals Co., Ltd. of CBPM</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CID001916</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The Refinery of Shandong Gold Mining Co.,</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CID001938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Tokuriki Honten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429"/>
        </w:trPr>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80" w:type="dxa"/>
            <w:vAlign w:val="bottom"/>
          </w:tcPr>
          <w:p>
            <w:pPr>
              <w:ind w:left="1360"/>
              <w:spacing w:after="0"/>
              <w:rPr>
                <w:sz w:val="20"/>
                <w:szCs w:val="20"/>
                <w:color w:val="auto"/>
              </w:rPr>
            </w:pPr>
            <w:r>
              <w:rPr>
                <w:rFonts w:ascii="Arial" w:cs="Arial" w:eastAsia="Arial" w:hAnsi="Arial"/>
                <w:sz w:val="18"/>
                <w:szCs w:val="18"/>
                <w:color w:val="auto"/>
              </w:rPr>
              <w:t>9</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2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6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c>
          <w:tcPr>
            <w:tcW w:w="414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6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2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6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CID</w:t>
            </w:r>
          </w:p>
        </w:tc>
        <w:tc>
          <w:tcPr>
            <w:tcW w:w="4140" w:type="dxa"/>
            <w:vAlign w:val="bottom"/>
            <w:tcBorders>
              <w:bottom w:val="single" w:sz="8" w:color="D9D9D9"/>
              <w:right w:val="single" w:sz="8" w:color="auto"/>
            </w:tcBorders>
            <w:shd w:val="clear" w:color="auto" w:fill="D9D9D9"/>
          </w:tcPr>
          <w:p>
            <w:pPr>
              <w:spacing w:after="0"/>
              <w:rPr>
                <w:sz w:val="24"/>
                <w:szCs w:val="24"/>
                <w:color w:val="auto"/>
              </w:rPr>
            </w:pPr>
          </w:p>
        </w:tc>
        <w:tc>
          <w:tcPr>
            <w:tcW w:w="186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47"/>
        </w:trPr>
        <w:tc>
          <w:tcPr>
            <w:tcW w:w="12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CID001947</w:t>
            </w:r>
          </w:p>
        </w:tc>
        <w:tc>
          <w:tcPr>
            <w:tcW w:w="41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Tongling Nonferrous Metals Group Co., Ltd.</w:t>
            </w:r>
          </w:p>
        </w:tc>
        <w:tc>
          <w:tcPr>
            <w:tcW w:w="1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CID001955</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Torecom</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CID001977</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Umicore Brasil Ltda.</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09"/>
        </w:trPr>
        <w:tc>
          <w:tcPr>
            <w:tcW w:w="122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CID001980</w:t>
            </w:r>
          </w:p>
        </w:tc>
        <w:tc>
          <w:tcPr>
            <w:tcW w:w="414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Umicore S.A. Business Unit Precious Metals</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Belgium</w:t>
            </w:r>
          </w:p>
        </w:tc>
      </w:tr>
      <w:tr>
        <w:trPr>
          <w:trHeight w:val="246"/>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Refining</w:t>
            </w:r>
          </w:p>
        </w:tc>
        <w:tc>
          <w:tcPr>
            <w:tcW w:w="1860" w:type="dxa"/>
            <w:vAlign w:val="bottom"/>
            <w:tcBorders>
              <w:bottom w:val="single" w:sz="8" w:color="auto"/>
              <w:right w:val="single" w:sz="8" w:color="auto"/>
            </w:tcBorders>
          </w:tcPr>
          <w:p>
            <w:pPr>
              <w:spacing w:after="0"/>
              <w:rPr>
                <w:sz w:val="21"/>
                <w:szCs w:val="21"/>
                <w:color w:val="auto"/>
              </w:rPr>
            </w:pPr>
          </w:p>
        </w:tc>
      </w:tr>
      <w:tr>
        <w:trPr>
          <w:trHeight w:val="247"/>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CID001993</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Precious Metal Refining, Inc.</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CID002003</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Valcambi S.A.</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Switzerland</w:t>
            </w:r>
          </w:p>
        </w:tc>
      </w:tr>
      <w:tr>
        <w:trPr>
          <w:trHeight w:val="209"/>
        </w:trPr>
        <w:tc>
          <w:tcPr>
            <w:tcW w:w="122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CID002030</w:t>
            </w:r>
          </w:p>
        </w:tc>
        <w:tc>
          <w:tcPr>
            <w:tcW w:w="414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9"/>
              </w:rPr>
              <w:t>Western Australian Mint trading as The Perth</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Australia</w:t>
            </w:r>
          </w:p>
        </w:tc>
      </w:tr>
      <w:tr>
        <w:trPr>
          <w:trHeight w:val="246"/>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Mint</w:t>
            </w:r>
          </w:p>
        </w:tc>
        <w:tc>
          <w:tcPr>
            <w:tcW w:w="1860" w:type="dxa"/>
            <w:vAlign w:val="bottom"/>
            <w:tcBorders>
              <w:bottom w:val="single" w:sz="8" w:color="auto"/>
              <w:right w:val="single" w:sz="8" w:color="auto"/>
            </w:tcBorders>
          </w:tcPr>
          <w:p>
            <w:pPr>
              <w:spacing w:after="0"/>
              <w:rPr>
                <w:sz w:val="21"/>
                <w:szCs w:val="21"/>
                <w:color w:val="auto"/>
              </w:rPr>
            </w:pPr>
          </w:p>
        </w:tc>
      </w:tr>
      <w:tr>
        <w:trPr>
          <w:trHeight w:val="247"/>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CID002100</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Yamamoto Precious Metal Co., Ltd.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CID002129</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Yokohama Metal Co., Ltd.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09"/>
        </w:trPr>
        <w:tc>
          <w:tcPr>
            <w:tcW w:w="122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CID002224</w:t>
            </w:r>
          </w:p>
        </w:tc>
        <w:tc>
          <w:tcPr>
            <w:tcW w:w="414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Zhongyuan Gold Smelter of Zhongjin Gold</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Corporation</w:t>
            </w:r>
          </w:p>
        </w:tc>
        <w:tc>
          <w:tcPr>
            <w:tcW w:w="1860" w:type="dxa"/>
            <w:vAlign w:val="bottom"/>
            <w:tcBorders>
              <w:bottom w:val="single" w:sz="8" w:color="auto"/>
              <w:right w:val="single" w:sz="8" w:color="auto"/>
            </w:tcBorders>
          </w:tcPr>
          <w:p>
            <w:pPr>
              <w:spacing w:after="0"/>
              <w:rPr>
                <w:sz w:val="21"/>
                <w:szCs w:val="21"/>
                <w:color w:val="auto"/>
              </w:rPr>
            </w:pPr>
          </w:p>
        </w:tc>
      </w:tr>
      <w:tr>
        <w:trPr>
          <w:trHeight w:val="247"/>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CID002243</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Gold Refinery of Zijin Mining Group Co., Ltd.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CID002282</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Morris and Watson</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New Zealand</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CID002290</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SAFINA A.S.</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Czech Republic</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CID002312</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Guangdong Jinding Gold Limited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CID002314</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Umicore Precious Metals Thailand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Thailand</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CID002459</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Geib Refining Corporation</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CID002509</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MMTC-PAMP India Pvt., Ltd.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India</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CID002510</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Republic Metals Corporation</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CID002511</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KGHM Polska Miedz Spolka Akcyjna</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Poland</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CID002515</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Fidelity Printers and Refiners Ltd.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Zimbabwe</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CID002516</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Singway Technology Co., Ltd.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Taiwan</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CID002525</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Shangdong Humon Smelting Co., Ltd.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2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CID002560</w:t>
            </w:r>
          </w:p>
        </w:tc>
        <w:tc>
          <w:tcPr>
            <w:tcW w:w="414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Al Etihad Gold LLC</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United Arab</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Emirates</w:t>
            </w:r>
          </w:p>
        </w:tc>
      </w:tr>
      <w:tr>
        <w:trPr>
          <w:trHeight w:val="64"/>
        </w:trPr>
        <w:tc>
          <w:tcPr>
            <w:tcW w:w="122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06"/>
        </w:trPr>
        <w:tc>
          <w:tcPr>
            <w:tcW w:w="122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CID002561</w:t>
            </w:r>
          </w:p>
        </w:tc>
        <w:tc>
          <w:tcPr>
            <w:tcW w:w="414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Emirates Gold DMCC</w:t>
            </w:r>
          </w:p>
        </w:tc>
        <w:tc>
          <w:tcPr>
            <w:tcW w:w="18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United Arab</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Emirates</w:t>
            </w:r>
          </w:p>
        </w:tc>
      </w:tr>
      <w:tr>
        <w:trPr>
          <w:trHeight w:val="64"/>
        </w:trPr>
        <w:tc>
          <w:tcPr>
            <w:tcW w:w="122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06"/>
        </w:trPr>
        <w:tc>
          <w:tcPr>
            <w:tcW w:w="122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CID002562</w:t>
            </w:r>
          </w:p>
        </w:tc>
        <w:tc>
          <w:tcPr>
            <w:tcW w:w="414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International Precious Metal Refiners</w:t>
            </w:r>
          </w:p>
        </w:tc>
        <w:tc>
          <w:tcPr>
            <w:tcW w:w="18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United Arab</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Emirates</w:t>
            </w:r>
          </w:p>
        </w:tc>
      </w:tr>
      <w:tr>
        <w:trPr>
          <w:trHeight w:val="64"/>
        </w:trPr>
        <w:tc>
          <w:tcPr>
            <w:tcW w:w="122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06"/>
        </w:trPr>
        <w:tc>
          <w:tcPr>
            <w:tcW w:w="122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CID002563</w:t>
            </w:r>
          </w:p>
        </w:tc>
        <w:tc>
          <w:tcPr>
            <w:tcW w:w="414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Kaloti Precious Metals</w:t>
            </w:r>
          </w:p>
        </w:tc>
        <w:tc>
          <w:tcPr>
            <w:tcW w:w="18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United Arab</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Emirates</w:t>
            </w:r>
          </w:p>
        </w:tc>
      </w:tr>
      <w:tr>
        <w:trPr>
          <w:trHeight w:val="64"/>
        </w:trPr>
        <w:tc>
          <w:tcPr>
            <w:tcW w:w="122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47"/>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CID002567</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Sudan Gold Refinery</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Sudan</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CID002580</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T.C.A S.p.A</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Italy</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CID002582</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Remondis Argentia B.V.</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Netherlands</w:t>
            </w:r>
          </w:p>
        </w:tc>
      </w:tr>
      <w:tr>
        <w:trPr>
          <w:trHeight w:val="209"/>
        </w:trPr>
        <w:tc>
          <w:tcPr>
            <w:tcW w:w="122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CID002584</w:t>
            </w:r>
          </w:p>
        </w:tc>
        <w:tc>
          <w:tcPr>
            <w:tcW w:w="414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Fujairah Gold FZE</w:t>
            </w:r>
          </w:p>
        </w:tc>
        <w:tc>
          <w:tcPr>
            <w:tcW w:w="186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United Arab</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Emirates</w:t>
            </w:r>
          </w:p>
        </w:tc>
      </w:tr>
      <w:tr>
        <w:trPr>
          <w:trHeight w:val="64"/>
        </w:trPr>
        <w:tc>
          <w:tcPr>
            <w:tcW w:w="122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47"/>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CID002587</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Tony Goetz NV</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Belgium</w:t>
            </w:r>
          </w:p>
        </w:tc>
      </w:tr>
      <w:tr>
        <w:trPr>
          <w:trHeight w:val="250"/>
        </w:trPr>
        <w:tc>
          <w:tcPr>
            <w:tcW w:w="1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CID002605</w:t>
            </w:r>
          </w:p>
        </w:tc>
        <w:tc>
          <w:tcPr>
            <w:tcW w:w="4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Zinc Co., Ltd.</w:t>
            </w:r>
          </w:p>
        </w:tc>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429"/>
        </w:trPr>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40" w:type="dxa"/>
            <w:vAlign w:val="bottom"/>
          </w:tcPr>
          <w:p>
            <w:pPr>
              <w:ind w:left="1360"/>
              <w:spacing w:after="0"/>
              <w:rPr>
                <w:sz w:val="20"/>
                <w:szCs w:val="20"/>
                <w:color w:val="auto"/>
              </w:rPr>
            </w:pPr>
            <w:r>
              <w:rPr>
                <w:rFonts w:ascii="Arial" w:cs="Arial" w:eastAsia="Arial" w:hAnsi="Arial"/>
                <w:sz w:val="18"/>
                <w:szCs w:val="18"/>
                <w:color w:val="auto"/>
              </w:rPr>
              <w:t>10</w:t>
            </w:r>
          </w:p>
        </w:tc>
        <w:tc>
          <w:tcPr>
            <w:tcW w:w="1860" w:type="dxa"/>
            <w:vAlign w:val="bottom"/>
          </w:tcPr>
          <w:p>
            <w:pPr>
              <w:spacing w:after="0"/>
              <w:rPr>
                <w:sz w:val="24"/>
                <w:szCs w:val="24"/>
                <w:color w:val="auto"/>
              </w:rPr>
            </w:pPr>
          </w:p>
        </w:tc>
      </w:tr>
      <w:tr>
        <w:trPr>
          <w:trHeight w:val="777"/>
        </w:trPr>
        <w:tc>
          <w:tcPr>
            <w:tcW w:w="1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0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08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47"/>
        </w:trPr>
        <w:tc>
          <w:tcPr>
            <w:tcW w:w="12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CID002606</w:t>
            </w: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Marsam Metals</w:t>
            </w:r>
          </w:p>
        </w:tc>
        <w:tc>
          <w:tcPr>
            <w:tcW w:w="18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CID002615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TOO Tau-Ken-Altyn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Kazakhstan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CID002708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Abington Reldan Metals,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CID002761</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SAAMP</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France</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CID002762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L'Orfebre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Andorra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CID002763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8853 S.p.A.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Italy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CID002765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Italpreziosi</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Italy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CID002777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SAXONIA Edelmetalle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CID002778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WIELAND Edelmetalle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CID002779</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Ögussa Österreichische Gold- und Silber-</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Austria</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Scheideanstalt GmbH</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CID002850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AU Traders and Refiners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South Africa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CID002852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GCC Gujrat Gold Centre Pvt.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CID002853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Sai Refinery</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CID002854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Universal Precious Metals Refining Zambia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Zambia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CID002857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Modeltech Sdn Bhd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Malaysia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CID002863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Bangalore Refinery</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India</w:t>
            </w:r>
          </w:p>
        </w:tc>
      </w:tr>
      <w:tr>
        <w:trPr>
          <w:trHeight w:val="247"/>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CID002865</w:t>
            </w: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Kyshtym Copper-Electrolytic Plant ZAO</w:t>
            </w:r>
          </w:p>
        </w:tc>
        <w:tc>
          <w:tcPr>
            <w:tcW w:w="1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9"/>
              </w:rPr>
              <w:t>Russian Federation</w:t>
            </w:r>
          </w:p>
        </w:tc>
      </w:tr>
      <w:tr>
        <w:trPr>
          <w:trHeight w:val="276"/>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CID002866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Morris and Watson Gold Coast</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Australia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CID002867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Degussa Sonne / Mond Goldhandel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CID002872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Pease &amp; Curren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CID002918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SungEel HiTech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CID002919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Planta Recuperadora de Metales SpA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Chile</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CID002973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Safimet S.p.A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Italy</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CID003153</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State Research Institute Center for Physical</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Lithuania</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Sciences and Technology</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CID003185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African Gold Refinery</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Uganda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CID003189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NH Recytech Company</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CID003195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DS PRETECH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CID003324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QG Refining,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Gold</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CID003348</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Dijllah Gold Refinery FZC</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United Arab</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Emirates</w:t>
            </w: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CID000988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Korea Metal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CID001322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Elemetal Refining,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CID001573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Schone Edelmetaal B.V.</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Netherlands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Gold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CID001754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So Accurate Group,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CID000092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Asaka Riken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CID000211</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8"/>
              </w:rPr>
              <w:t>Changsha South Tantalum Niobium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429"/>
        </w:trPr>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80" w:type="dxa"/>
            <w:vAlign w:val="bottom"/>
          </w:tcPr>
          <w:p>
            <w:pPr>
              <w:ind w:left="1320"/>
              <w:spacing w:after="0"/>
              <w:rPr>
                <w:sz w:val="20"/>
                <w:szCs w:val="20"/>
                <w:color w:val="auto"/>
              </w:rPr>
            </w:pPr>
            <w:r>
              <w:rPr>
                <w:rFonts w:ascii="Arial" w:cs="Arial" w:eastAsia="Arial" w:hAnsi="Arial"/>
                <w:sz w:val="18"/>
                <w:szCs w:val="18"/>
                <w:color w:val="auto"/>
              </w:rPr>
              <w:t>11</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0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08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06"/>
        </w:trPr>
        <w:tc>
          <w:tcPr>
            <w:tcW w:w="1240" w:type="dxa"/>
            <w:vAlign w:val="bottom"/>
            <w:tcBorders>
              <w:top w:val="single" w:sz="8" w:color="auto"/>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Tantalum</w:t>
            </w:r>
          </w:p>
        </w:tc>
        <w:tc>
          <w:tcPr>
            <w:tcW w:w="1880" w:type="dxa"/>
            <w:vAlign w:val="bottom"/>
            <w:tcBorders>
              <w:top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CID000291</w:t>
            </w:r>
          </w:p>
        </w:tc>
        <w:tc>
          <w:tcPr>
            <w:tcW w:w="4080" w:type="dxa"/>
            <w:vAlign w:val="bottom"/>
            <w:tcBorders>
              <w:top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8"/>
              </w:rPr>
              <w:t>Guangdong Rising Rare Metals-EO Materials</w:t>
            </w:r>
          </w:p>
        </w:tc>
        <w:tc>
          <w:tcPr>
            <w:tcW w:w="1880" w:type="dxa"/>
            <w:vAlign w:val="bottom"/>
            <w:tcBorders>
              <w:top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CID000456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Exotech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CID000460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F&amp;X Electro-Materials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CID000616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Guangdong Zhiyuan New Material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CID000731</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Hi-Temp Specialty Metals,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CID000914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JiuJiang JinXin Nonferrous Metals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CID000917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Jiujiang Tanbre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CID001076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LSM Brasil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CID001163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Metallurgical Products India Pvt.,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CID001175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Mineracao Taboca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CID001192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Mitsui Mining and Smelting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CID001200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NPM Silmet AS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Estonia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CID001277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Ningxia Orient Tantalum Industry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CID001508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QuantumClean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CID001522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RFH Tantalum Smeltry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CID001769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Solikamsk Magnesium Works OAO</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Russian Federation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CID001869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Taki Chemicals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CID001891</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Telex Metals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CID001969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Ulba Metallurgical Plant JSC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Kazakhstan</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Tantalum</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CID002492</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Hengyang King Xing Lifeng New Materials</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CID002504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 Block Metals,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CID002505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FIR Metals &amp; Resource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Tantalum</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CID002506</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Jiujiang Zhongao Tantalum &amp; Niobium Co.,</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CID002508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6"/>
              </w:rPr>
              <w:t>XinXing HaoRong Electronic Material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CID002512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7"/>
              </w:rPr>
              <w:t>Jiangxi Dinghai Tantalum &amp; Niobium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CID002539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KEMET Blue Metals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Mexico</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CID002544</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H.C. Starck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Thailand</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CID002545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H.C. Starck Tantalum and Niobium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CID002547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H.C. Starck Hermsdorf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CID002548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H.C. Starck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CID002549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H.C. Starck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CID002550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H.C. Starck Smelting GmbH &amp; Co. KG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CID002557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Global Advanced Metals Boyertown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CID002558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Global Advanced Metals Aizu</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CID002568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KEMET Blue Powder</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CID002707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Resind Industria e Comercio Ltda.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CID002842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Jiangxi Tuohong New Raw Material</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CID002847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Power Resources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Macedonia</w:t>
            </w:r>
          </w:p>
        </w:tc>
      </w:tr>
      <w:tr>
        <w:trPr>
          <w:trHeight w:val="429"/>
        </w:trPr>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80" w:type="dxa"/>
            <w:vAlign w:val="bottom"/>
          </w:tcPr>
          <w:p>
            <w:pPr>
              <w:ind w:left="1320"/>
              <w:spacing w:after="0"/>
              <w:rPr>
                <w:sz w:val="20"/>
                <w:szCs w:val="20"/>
                <w:color w:val="auto"/>
              </w:rPr>
            </w:pPr>
            <w:r>
              <w:rPr>
                <w:rFonts w:ascii="Arial" w:cs="Arial" w:eastAsia="Arial" w:hAnsi="Arial"/>
                <w:sz w:val="18"/>
                <w:szCs w:val="18"/>
                <w:color w:val="auto"/>
              </w:rPr>
              <w:t>12</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6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10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6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10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47"/>
        </w:trPr>
        <w:tc>
          <w:tcPr>
            <w:tcW w:w="12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CID003191</w:t>
            </w:r>
          </w:p>
        </w:tc>
        <w:tc>
          <w:tcPr>
            <w:tcW w:w="4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Jiujiang Janny New Material Co., Ltd.</w:t>
            </w:r>
          </w:p>
        </w:tc>
        <w:tc>
          <w:tcPr>
            <w:tcW w:w="18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Tantalum</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CID000731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Hi-Temp Specialty Metals,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Tin</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CID000228</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Chenzhou Yunxiang Mining and Metallurgy</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CID000292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Alpha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CID000295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Cooperativa Metalurgica de Rondonia Ltda.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CID000306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CV Gita Pesona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CID000307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Justindo</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CID000309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Aries Kencana Sejahtera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CID000313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Premium Tin Indonesia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CID000315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CV United Smelting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CID000402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Dowa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CID000438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EM Vinto</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Bolivia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CID000448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Estanho de Rondônia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CID000466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Feinhutte Halsbrucke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CID000468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Fenix Metals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Poland</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CID000538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7"/>
              </w:rPr>
              <w:t>Gejiu Non-Ferrous Metal Processing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CID000555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Gejiu Zili Mining And Metallurgy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CID000760</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Huichang Jinshunda Tin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CID000942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Gejiu Kai Meng Industry and Trade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CID001063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Linqu Xianggui Smelter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CID001070</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 Tin Group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CID001105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Malaysia Smelting Corporation (MSC)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Malaysia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CID001142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Metallic Resources,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CID001173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Mineracao Taboca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CID001182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Minsur</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Peru</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CID001191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Mitsubishi Materials Corporation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CID001231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Jiangxi New Nanshan Technology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CID001314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O.M. Manufacturing (Thailand)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Thailand</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CID001337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Operaciones Metalurgical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Bolivia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CID001393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Alam Lestari Kencana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CID001399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Artha Cipta Langgeng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CID001402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Babel Inti Perkasa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CID001406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Babel Surya Alam Lestari</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CID001409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Bangka Kudai Tin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CID001416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Bangka Timah Utama Sejahtera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CID001419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Bangka Tin Industry</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CID001421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Belitung Industri Sejahtera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CID001424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BilliTin Makmur Lestari</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CID001428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Bukit Timah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429"/>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00" w:type="dxa"/>
            <w:vAlign w:val="bottom"/>
          </w:tcPr>
          <w:p>
            <w:pPr>
              <w:ind w:left="1340"/>
              <w:spacing w:after="0"/>
              <w:rPr>
                <w:sz w:val="20"/>
                <w:szCs w:val="20"/>
                <w:color w:val="auto"/>
              </w:rPr>
            </w:pPr>
            <w:r>
              <w:rPr>
                <w:rFonts w:ascii="Arial" w:cs="Arial" w:eastAsia="Arial" w:hAnsi="Arial"/>
                <w:sz w:val="18"/>
                <w:szCs w:val="18"/>
                <w:color w:val="auto"/>
              </w:rPr>
              <w:t>13</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0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08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47"/>
        </w:trPr>
        <w:tc>
          <w:tcPr>
            <w:tcW w:w="12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CID001434</w:t>
            </w: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DS Jaya Abadi</w:t>
            </w:r>
          </w:p>
        </w:tc>
        <w:tc>
          <w:tcPr>
            <w:tcW w:w="18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CID001442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Fang Di MulTindo</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CID001448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Karimun Mining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CID001453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Mitra Stania Prima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CID001457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Panca Mega Persada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CID001458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Prima Timah Utama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CID001460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Refined Bangka Tin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CID001463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Sariwiguna Binasentosa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CID001468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Stanindo Inti Perkasa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CID001471</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Sumber Jaya Indah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CID001477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Timah (Persero) Tbk Kundur</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CID001482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Timah (Persero) Tbk Mentok</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CID001490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Tinindo Inter Nusa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CID001493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Tommy Utama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CID001539</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Rui Da Hung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Taiwan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CID001758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Soft Metais Ltda.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CID001898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Thaisarco</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Thailand</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CID001908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7"/>
              </w:rPr>
              <w:t>Gejiu Yunxin Nonferrous Electrolysis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CID002015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VQB Mineral and Trading Group JSC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Vietnam</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CID002036</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White Solder Metalurgia e Mineração Ltda.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Tin</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CID002158</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Yunnan Chengfeng Non-ferrous Metals Co.,</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CID002180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Yunnan Tin Company Limited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CID002455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CV Venus Inti Perkasa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CID002468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Magnu's Minerais Metais e Ligas Ltda.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CID002478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Tirus Putra Mandiri</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CID002500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Melt Metais e Ligas 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CID002503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ATD Makmur Mandiri Jaya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CID002517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O.M. Manufacturing Philippines,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Philippines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CID002530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PT Inti Stania Prima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CID002570</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CV Ayi Jaya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Tin</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CID002572</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Electro-Mechanical Facility of the Cao Bang</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Vietnam</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Minerals &amp; Metallurgy Joint Stock Company</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06"/>
        </w:trPr>
        <w:tc>
          <w:tcPr>
            <w:tcW w:w="124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Tin</w:t>
            </w:r>
          </w:p>
        </w:tc>
        <w:tc>
          <w:tcPr>
            <w:tcW w:w="18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CID002573</w:t>
            </w:r>
          </w:p>
        </w:tc>
        <w:tc>
          <w:tcPr>
            <w:tcW w:w="4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Nghe Tinh Non-Ferrous Metals Joint Stock</w:t>
            </w:r>
          </w:p>
        </w:tc>
        <w:tc>
          <w:tcPr>
            <w:tcW w:w="18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Vietnam</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Company</w:t>
            </w:r>
          </w:p>
        </w:tc>
        <w:tc>
          <w:tcPr>
            <w:tcW w:w="1880" w:type="dxa"/>
            <w:vAlign w:val="bottom"/>
            <w:tcBorders>
              <w:bottom w:val="single" w:sz="8" w:color="auto"/>
              <w:right w:val="single" w:sz="8" w:color="auto"/>
            </w:tcBorders>
          </w:tcPr>
          <w:p>
            <w:pPr>
              <w:spacing w:after="0"/>
              <w:rPr>
                <w:sz w:val="21"/>
                <w:szCs w:val="21"/>
                <w:color w:val="auto"/>
              </w:rPr>
            </w:pPr>
          </w:p>
        </w:tc>
      </w:tr>
      <w:tr>
        <w:trPr>
          <w:trHeight w:val="206"/>
        </w:trPr>
        <w:tc>
          <w:tcPr>
            <w:tcW w:w="124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Tin</w:t>
            </w:r>
          </w:p>
        </w:tc>
        <w:tc>
          <w:tcPr>
            <w:tcW w:w="18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CID002574</w:t>
            </w:r>
          </w:p>
        </w:tc>
        <w:tc>
          <w:tcPr>
            <w:tcW w:w="4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6"/>
              </w:rPr>
              <w:t>Tuyen Quang Non-Ferrous Metals Joint Stock</w:t>
            </w:r>
          </w:p>
        </w:tc>
        <w:tc>
          <w:tcPr>
            <w:tcW w:w="18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Vietnam</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Company</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CID002592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CV Dua Sekawan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CID002593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CV Tiga Sekawan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Tin</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CID002703</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An Vinh Joint Stock Mineral Processing</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Vietnam</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Company</w:t>
            </w:r>
          </w:p>
        </w:tc>
        <w:tc>
          <w:tcPr>
            <w:tcW w:w="1880" w:type="dxa"/>
            <w:vAlign w:val="bottom"/>
            <w:tcBorders>
              <w:bottom w:val="single" w:sz="8" w:color="auto"/>
              <w:right w:val="single" w:sz="8" w:color="auto"/>
            </w:tcBorders>
          </w:tcPr>
          <w:p>
            <w:pPr>
              <w:spacing w:after="0"/>
              <w:rPr>
                <w:sz w:val="21"/>
                <w:szCs w:val="21"/>
                <w:color w:val="auto"/>
              </w:rPr>
            </w:pPr>
          </w:p>
        </w:tc>
      </w:tr>
      <w:tr>
        <w:trPr>
          <w:trHeight w:val="426"/>
        </w:trPr>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80" w:type="dxa"/>
            <w:vAlign w:val="bottom"/>
          </w:tcPr>
          <w:p>
            <w:pPr>
              <w:ind w:left="1320"/>
              <w:spacing w:after="0"/>
              <w:rPr>
                <w:sz w:val="20"/>
                <w:szCs w:val="20"/>
                <w:color w:val="auto"/>
              </w:rPr>
            </w:pPr>
            <w:r>
              <w:rPr>
                <w:rFonts w:ascii="Arial" w:cs="Arial" w:eastAsia="Arial" w:hAnsi="Arial"/>
                <w:sz w:val="18"/>
                <w:szCs w:val="18"/>
                <w:color w:val="auto"/>
              </w:rPr>
              <w:t>14</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6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10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6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10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47"/>
        </w:trPr>
        <w:tc>
          <w:tcPr>
            <w:tcW w:w="12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CID002706</w:t>
            </w:r>
          </w:p>
        </w:tc>
        <w:tc>
          <w:tcPr>
            <w:tcW w:w="4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Resind Industria e Comercio Ltda.</w:t>
            </w:r>
          </w:p>
        </w:tc>
        <w:tc>
          <w:tcPr>
            <w:tcW w:w="18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CID002756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Super Ligas</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CID002773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Metallo Belgium N.V.</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Belgium</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CID002774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Metallo Spain S.L.U.</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Spain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CID002776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Bangka Prima Tin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CID002816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Sukses Inti Makmur</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CID002829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Kijang Jaya Mandiri</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CID002834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Thai Nguyen Mining and Metallurgy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Vietnam</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CID002835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Menara Cipta Mulia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CID002844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HuiChang Hill Tin Industry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CID002848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Gejiu Fengming Metallurgy Chemical Plant</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Tin</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CID002849</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Guanyang Guida Nonferrous Metal Smelting</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Plant</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CID002858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Modeltech Sdn Bhd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Malaysia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Tin</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CID003116</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7"/>
              </w:rPr>
              <w:t>Guangdong Hanhe Non-ferrous Metal Limited</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Company</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CID003190</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Chifeng Dajingzi Tin Industry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CID003205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Bangka Serumpun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CID003208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Pongpipat Company Limited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Myanmar</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CID003325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Tin Technology &amp; Refining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Tin</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CID003356</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4"/>
              </w:rPr>
              <w:t>Dongguan CiEXPO Environmental Engineering</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CID003381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Rajawali Rimba Perkasa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CID000295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Cooperativa Metalurgica de Rondonia Ltda.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CID000307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Justindo</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CID000466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Feinhutte Halsbrucke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CID001063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Linqu Xianggui Smelter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CID001393</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Alam Lestari Kencana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CID001409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Bangka Kudai Tin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CID001416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Bangka Timah Utama Sejahtera</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CID001424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BilliTin Makmur Lestari</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CID001442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PT Fang Di MulTindo</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Indonesia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Tin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CID002015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VQB Mineral and Trading Group JSC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Vietnam</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CID000004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A.L.M.T. TUNGSTEN Corp.</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CID000105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Kennametal Huntsville</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CID000218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Guangdong Xianglu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CID000258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Chongyi Zhangyuan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CID000345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Dayu Weiliang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CID000499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Fujian Jinxin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CID000568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Global Tungsten &amp; Powders Corp.</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429"/>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00" w:type="dxa"/>
            <w:vAlign w:val="bottom"/>
          </w:tcPr>
          <w:p>
            <w:pPr>
              <w:ind w:left="1340"/>
              <w:spacing w:after="0"/>
              <w:rPr>
                <w:sz w:val="20"/>
                <w:szCs w:val="20"/>
                <w:color w:val="auto"/>
              </w:rPr>
            </w:pPr>
            <w:r>
              <w:rPr>
                <w:rFonts w:ascii="Arial" w:cs="Arial" w:eastAsia="Arial" w:hAnsi="Arial"/>
                <w:sz w:val="18"/>
                <w:szCs w:val="18"/>
                <w:color w:val="auto"/>
              </w:rPr>
              <w:t>15</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6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10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6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10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47"/>
        </w:trPr>
        <w:tc>
          <w:tcPr>
            <w:tcW w:w="12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CID000766</w:t>
            </w:r>
          </w:p>
        </w:tc>
        <w:tc>
          <w:tcPr>
            <w:tcW w:w="4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Hunan Chenzhou Mining Co., Ltd.</w:t>
            </w:r>
          </w:p>
        </w:tc>
        <w:tc>
          <w:tcPr>
            <w:tcW w:w="18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CID000769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4"/>
              </w:rPr>
              <w:t>Hunan Chunchang Nonferrous Metals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CID000825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 New Metals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Japan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CID000868</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3"/>
              </w:rPr>
              <w:t>Ganzhou Non-ferrous Metals Smelting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CID000875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5"/>
              </w:rPr>
              <w:t>Ganzhou Huaxing Tungsten Products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CID000966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Kennametal Fallon</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CID001889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Tejing (Vietnam)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Vietnam</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CID002044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Wolfram Bergbau und Hütten AG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Austria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CID002082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Xiamen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CID002095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8"/>
              </w:rPr>
              <w:t>Xinhai Rendan Shaoguan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Tungsten</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CID002313</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w w:val="97"/>
              </w:rPr>
              <w:t>Jiangxi Minmetals Gao'an Non-ferrous Metals</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CID002315</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Ganzhou Jiangwu Ferrotungsten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CID002316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Jiangxi Yaosheng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CID002317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8"/>
              </w:rPr>
              <w:t>Jiangxi Xinsheng Tungsten Industry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Tungsten</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CID002318</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Jiangxi Tonggu Non-ferrous Metallurgical &amp;</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Chemical Co., Ltd.</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CID002319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Malipo Haiyu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CID002320</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Xiamen Tungsten (H.C.)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CID002321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Jiangxi Gan Bei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CID002494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Ganzhou Seadragon W &amp; Mo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CID002502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Asia Tungsten Products Vietnam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Vietnam</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Tungsten</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CID002513</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Chenzhou Diamond Tungsten Products Co.,</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Ltd.</w:t>
            </w:r>
          </w:p>
        </w:tc>
        <w:tc>
          <w:tcPr>
            <w:tcW w:w="1880" w:type="dxa"/>
            <w:vAlign w:val="bottom"/>
            <w:tcBorders>
              <w:bottom w:val="single" w:sz="8" w:color="auto"/>
              <w:right w:val="single" w:sz="8" w:color="auto"/>
            </w:tcBorders>
          </w:tcPr>
          <w:p>
            <w:pPr>
              <w:spacing w:after="0"/>
              <w:rPr>
                <w:sz w:val="21"/>
                <w:szCs w:val="21"/>
                <w:color w:val="auto"/>
              </w:rPr>
            </w:pPr>
          </w:p>
        </w:tc>
      </w:tr>
      <w:tr>
        <w:trPr>
          <w:trHeight w:val="206"/>
        </w:trPr>
        <w:tc>
          <w:tcPr>
            <w:tcW w:w="124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Tungsten</w:t>
            </w:r>
          </w:p>
        </w:tc>
        <w:tc>
          <w:tcPr>
            <w:tcW w:w="18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CID002535</w:t>
            </w:r>
          </w:p>
        </w:tc>
        <w:tc>
          <w:tcPr>
            <w:tcW w:w="41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Jiangxi Xiushui Xianggan Nonferrous Metals</w:t>
            </w:r>
          </w:p>
        </w:tc>
        <w:tc>
          <w:tcPr>
            <w:tcW w:w="18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CID002536</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Ganzhou Yatai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CID002541</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H.C. Starck Tungsten GmbH</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CID002542</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H.C. Starck Smelting GmbH &amp; Co.KG</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Germany</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Tungsten</w:t>
            </w:r>
          </w:p>
        </w:tc>
        <w:tc>
          <w:tcPr>
            <w:tcW w:w="18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CID002543</w:t>
            </w:r>
          </w:p>
        </w:tc>
        <w:tc>
          <w:tcPr>
            <w:tcW w:w="41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Nui Phao H.C. Starck Tungsten Chemicals</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Vietnam</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Manufacturing LLC</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06"/>
        </w:trPr>
        <w:tc>
          <w:tcPr>
            <w:tcW w:w="124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Tungsten</w:t>
            </w:r>
          </w:p>
        </w:tc>
        <w:tc>
          <w:tcPr>
            <w:tcW w:w="18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CID002551</w:t>
            </w:r>
          </w:p>
        </w:tc>
        <w:tc>
          <w:tcPr>
            <w:tcW w:w="41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9"/>
              </w:rPr>
              <w:t>Jiangwu H.C. Starck Tungsten Products Co.,</w:t>
            </w:r>
          </w:p>
        </w:tc>
        <w:tc>
          <w:tcPr>
            <w:tcW w:w="18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Ltd.</w:t>
            </w:r>
          </w:p>
        </w:tc>
        <w:tc>
          <w:tcPr>
            <w:tcW w:w="1880" w:type="dxa"/>
            <w:vAlign w:val="bottom"/>
            <w:tcBorders>
              <w:bottom w:val="single" w:sz="8" w:color="auto"/>
              <w:right w:val="single" w:sz="8" w:color="auto"/>
            </w:tcBorders>
          </w:tcPr>
          <w:p>
            <w:pPr>
              <w:spacing w:after="0"/>
              <w:rPr>
                <w:sz w:val="21"/>
                <w:szCs w:val="21"/>
                <w:color w:val="auto"/>
              </w:rPr>
            </w:pPr>
          </w:p>
        </w:tc>
      </w:tr>
      <w:tr>
        <w:trPr>
          <w:trHeight w:val="206"/>
        </w:trPr>
        <w:tc>
          <w:tcPr>
            <w:tcW w:w="124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Tungsten</w:t>
            </w:r>
          </w:p>
        </w:tc>
        <w:tc>
          <w:tcPr>
            <w:tcW w:w="18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CID002579</w:t>
            </w:r>
          </w:p>
        </w:tc>
        <w:tc>
          <w:tcPr>
            <w:tcW w:w="41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3"/>
              </w:rPr>
              <w:t>Hunan Chuangda Vanadium Tungsten Co., Ltd.</w:t>
            </w:r>
          </w:p>
        </w:tc>
        <w:tc>
          <w:tcPr>
            <w:tcW w:w="18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Wuji</w:t>
            </w:r>
          </w:p>
        </w:tc>
        <w:tc>
          <w:tcPr>
            <w:tcW w:w="1880" w:type="dxa"/>
            <w:vAlign w:val="bottom"/>
            <w:tcBorders>
              <w:bottom w:val="single" w:sz="8" w:color="auto"/>
              <w:right w:val="single" w:sz="8" w:color="auto"/>
            </w:tcBorders>
          </w:tcPr>
          <w:p>
            <w:pPr>
              <w:spacing w:after="0"/>
              <w:rPr>
                <w:sz w:val="21"/>
                <w:szCs w:val="21"/>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CID002589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Niagara Refining LLC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United States</w:t>
            </w:r>
          </w:p>
        </w:tc>
      </w:tr>
      <w:tr>
        <w:trPr>
          <w:trHeight w:val="247"/>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CID002645</w:t>
            </w: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Ganzhou Haichuang Tungsten Co., Ltd.</w:t>
            </w:r>
          </w:p>
        </w:tc>
        <w:tc>
          <w:tcPr>
            <w:tcW w:w="1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74"/>
        </w:trPr>
        <w:tc>
          <w:tcPr>
            <w:tcW w:w="12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410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CID002647</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Jiangxi Dayu Longxintai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CID002649</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Hydrometallurg, JSC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Russian Federation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CID002724</w:t>
            </w: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Unecha Refractory metals plant</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Russian Federation</w:t>
            </w:r>
          </w:p>
        </w:tc>
      </w:tr>
      <w:tr>
        <w:trPr>
          <w:trHeight w:val="429"/>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00" w:type="dxa"/>
            <w:vAlign w:val="bottom"/>
          </w:tcPr>
          <w:p>
            <w:pPr>
              <w:ind w:left="1340"/>
              <w:spacing w:after="0"/>
              <w:rPr>
                <w:sz w:val="20"/>
                <w:szCs w:val="20"/>
                <w:color w:val="auto"/>
              </w:rPr>
            </w:pPr>
            <w:r>
              <w:rPr>
                <w:rFonts w:ascii="Arial" w:cs="Arial" w:eastAsia="Arial" w:hAnsi="Arial"/>
                <w:sz w:val="18"/>
                <w:szCs w:val="18"/>
                <w:color w:val="auto"/>
              </w:rPr>
              <w:t>16</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right w:val="single" w:sz="8" w:color="auto"/>
            </w:tcBorders>
            <w:shd w:val="clear" w:color="auto" w:fill="D9D9D9"/>
          </w:tcPr>
          <w:p>
            <w:pPr>
              <w:ind w:left="140"/>
              <w:spacing w:after="0" w:line="229" w:lineRule="exact"/>
              <w:rPr>
                <w:sz w:val="20"/>
                <w:szCs w:val="20"/>
                <w:color w:val="auto"/>
              </w:rPr>
            </w:pPr>
            <w:r>
              <w:rPr>
                <w:rFonts w:ascii="Arial" w:cs="Arial" w:eastAsia="Arial" w:hAnsi="Arial"/>
                <w:sz w:val="22"/>
                <w:szCs w:val="22"/>
                <w:b w:val="1"/>
                <w:bCs w:val="1"/>
                <w:color w:val="auto"/>
              </w:rPr>
              <w:t>Mineral</w:t>
            </w:r>
          </w:p>
        </w:tc>
        <w:tc>
          <w:tcPr>
            <w:tcW w:w="18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w:t>
            </w:r>
          </w:p>
        </w:tc>
        <w:tc>
          <w:tcPr>
            <w:tcW w:w="4080" w:type="dxa"/>
            <w:vAlign w:val="bottom"/>
            <w:tcBorders>
              <w:top w:val="single" w:sz="8" w:color="auto"/>
              <w:right w:val="single" w:sz="8" w:color="auto"/>
            </w:tcBorders>
            <w:shd w:val="clear" w:color="auto" w:fill="D9D9D9"/>
          </w:tcPr>
          <w:p>
            <w:pPr>
              <w:ind w:left="100"/>
              <w:spacing w:after="0" w:line="229" w:lineRule="exact"/>
              <w:rPr>
                <w:sz w:val="20"/>
                <w:szCs w:val="20"/>
                <w:color w:val="auto"/>
              </w:rPr>
            </w:pPr>
            <w:r>
              <w:rPr>
                <w:rFonts w:ascii="Arial" w:cs="Arial" w:eastAsia="Arial" w:hAnsi="Arial"/>
                <w:sz w:val="22"/>
                <w:szCs w:val="22"/>
                <w:b w:val="1"/>
                <w:bCs w:val="1"/>
                <w:color w:val="auto"/>
              </w:rPr>
              <w:t>Smelter/Refiner Name</w:t>
            </w:r>
          </w:p>
        </w:tc>
        <w:tc>
          <w:tcPr>
            <w:tcW w:w="1880" w:type="dxa"/>
            <w:vAlign w:val="bottom"/>
            <w:tcBorders>
              <w:top w:val="single" w:sz="8" w:color="auto"/>
              <w:right w:val="single" w:sz="8" w:color="auto"/>
            </w:tcBorders>
            <w:shd w:val="clear" w:color="auto" w:fill="D9D9D9"/>
          </w:tcPr>
          <w:p>
            <w:pPr>
              <w:ind w:left="120"/>
              <w:spacing w:after="0" w:line="229" w:lineRule="exact"/>
              <w:rPr>
                <w:sz w:val="20"/>
                <w:szCs w:val="20"/>
                <w:color w:val="auto"/>
              </w:rPr>
            </w:pPr>
            <w:r>
              <w:rPr>
                <w:rFonts w:ascii="Arial" w:cs="Arial" w:eastAsia="Arial" w:hAnsi="Arial"/>
                <w:sz w:val="22"/>
                <w:szCs w:val="22"/>
                <w:b w:val="1"/>
                <w:bCs w:val="1"/>
                <w:color w:val="auto"/>
              </w:rPr>
              <w:t>Smelter/Refiner</w:t>
            </w:r>
          </w:p>
        </w:tc>
      </w:tr>
      <w:tr>
        <w:trPr>
          <w:trHeight w:val="316"/>
        </w:trPr>
        <w:tc>
          <w:tcPr>
            <w:tcW w:w="12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22"/>
                <w:szCs w:val="22"/>
                <w:b w:val="1"/>
                <w:bCs w:val="1"/>
                <w:color w:val="auto"/>
              </w:rPr>
              <w:t>CID</w:t>
            </w:r>
          </w:p>
        </w:tc>
        <w:tc>
          <w:tcPr>
            <w:tcW w:w="408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Location</w:t>
            </w:r>
          </w:p>
        </w:tc>
      </w:tr>
      <w:tr>
        <w:trPr>
          <w:trHeight w:val="206"/>
        </w:trPr>
        <w:tc>
          <w:tcPr>
            <w:tcW w:w="1240" w:type="dxa"/>
            <w:vAlign w:val="bottom"/>
            <w:tcBorders>
              <w:top w:val="single" w:sz="8" w:color="auto"/>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Tungsten</w:t>
            </w:r>
          </w:p>
        </w:tc>
        <w:tc>
          <w:tcPr>
            <w:tcW w:w="1880" w:type="dxa"/>
            <w:vAlign w:val="bottom"/>
            <w:tcBorders>
              <w:top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CID002815</w:t>
            </w:r>
          </w:p>
        </w:tc>
        <w:tc>
          <w:tcPr>
            <w:tcW w:w="4080" w:type="dxa"/>
            <w:vAlign w:val="bottom"/>
            <w:tcBorders>
              <w:top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4"/>
              </w:rPr>
              <w:t>South-East Nonferrous Metal Company Limited</w:t>
            </w:r>
          </w:p>
        </w:tc>
        <w:tc>
          <w:tcPr>
            <w:tcW w:w="1880" w:type="dxa"/>
            <w:vAlign w:val="bottom"/>
            <w:tcBorders>
              <w:top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of Hengyang City</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CID002827</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Philippine Chuangxin Industrial Co., Inc.</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Philippines</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Tungsten</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CID002830</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w w:val="97"/>
              </w:rPr>
              <w:t>Xinfeng Huarui Tungsten &amp; Molybdenum New</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Material Co., Ltd.</w:t>
            </w:r>
          </w:p>
        </w:tc>
        <w:tc>
          <w:tcPr>
            <w:tcW w:w="1880" w:type="dxa"/>
            <w:vAlign w:val="bottom"/>
            <w:tcBorders>
              <w:right w:val="single" w:sz="8" w:color="auto"/>
            </w:tcBorders>
          </w:tcPr>
          <w:p>
            <w:pPr>
              <w:spacing w:after="0"/>
              <w:rPr>
                <w:sz w:val="21"/>
                <w:szCs w:val="21"/>
                <w:color w:val="auto"/>
              </w:rPr>
            </w:pPr>
          </w:p>
        </w:tc>
      </w:tr>
      <w:tr>
        <w:trPr>
          <w:trHeight w:val="64"/>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7"/>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CID002833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ACL Metais Eireli</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Brazil</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CID002843</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Woltech Korea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Korea, Republic of</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CID002845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Moliren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9"/>
              </w:rPr>
              <w:t>Russian Federation</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CID003182</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Hunan Litian Tungsten Industry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CID000345</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Dayu Weiliang Tungsten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50"/>
        </w:trPr>
        <w:tc>
          <w:tcPr>
            <w:tcW w:w="1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CID000868</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3"/>
              </w:rPr>
              <w:t>Ganzhou Non-ferrous Metals Smelting Co., Ltd.</w:t>
            </w: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China</w:t>
            </w:r>
          </w:p>
        </w:tc>
      </w:tr>
      <w:tr>
        <w:trPr>
          <w:trHeight w:val="209"/>
        </w:trPr>
        <w:tc>
          <w:tcPr>
            <w:tcW w:w="1240" w:type="dxa"/>
            <w:vAlign w:val="bottom"/>
            <w:tcBorders>
              <w:left w:val="single" w:sz="8" w:color="auto"/>
              <w:right w:val="single" w:sz="8" w:color="auto"/>
            </w:tcBorders>
          </w:tcPr>
          <w:p>
            <w:pPr>
              <w:ind w:left="140"/>
              <w:spacing w:after="0" w:line="209" w:lineRule="exact"/>
              <w:rPr>
                <w:sz w:val="20"/>
                <w:szCs w:val="20"/>
                <w:color w:val="auto"/>
              </w:rPr>
            </w:pPr>
            <w:r>
              <w:rPr>
                <w:rFonts w:ascii="Arial" w:cs="Arial" w:eastAsia="Arial" w:hAnsi="Arial"/>
                <w:sz w:val="20"/>
                <w:szCs w:val="20"/>
                <w:color w:val="auto"/>
              </w:rPr>
              <w:t>Tungsten</w:t>
            </w:r>
          </w:p>
        </w:tc>
        <w:tc>
          <w:tcPr>
            <w:tcW w:w="18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CID002535</w:t>
            </w:r>
          </w:p>
        </w:tc>
        <w:tc>
          <w:tcPr>
            <w:tcW w:w="408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Jiangxi Xiushui Xianggan Nonferrous Metals</w:t>
            </w:r>
          </w:p>
        </w:tc>
        <w:tc>
          <w:tcPr>
            <w:tcW w:w="18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China</w:t>
            </w:r>
          </w:p>
        </w:tc>
      </w:tr>
      <w:tr>
        <w:trPr>
          <w:trHeight w:val="246"/>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 Ltd.</w:t>
            </w:r>
          </w:p>
        </w:tc>
        <w:tc>
          <w:tcPr>
            <w:tcW w:w="1880" w:type="dxa"/>
            <w:vAlign w:val="bottom"/>
            <w:tcBorders>
              <w:bottom w:val="single" w:sz="8" w:color="auto"/>
              <w:right w:val="single" w:sz="8" w:color="auto"/>
            </w:tcBorders>
          </w:tcPr>
          <w:p>
            <w:pPr>
              <w:spacing w:after="0"/>
              <w:rPr>
                <w:sz w:val="21"/>
                <w:szCs w:val="21"/>
                <w:color w:val="auto"/>
              </w:rPr>
            </w:pPr>
          </w:p>
        </w:tc>
      </w:tr>
      <w:tr>
        <w:trPr>
          <w:trHeight w:val="642"/>
        </w:trPr>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80" w:type="dxa"/>
            <w:vAlign w:val="bottom"/>
          </w:tcPr>
          <w:p>
            <w:pPr>
              <w:ind w:left="1320"/>
              <w:spacing w:after="0"/>
              <w:rPr>
                <w:sz w:val="20"/>
                <w:szCs w:val="20"/>
                <w:color w:val="auto"/>
              </w:rPr>
            </w:pPr>
            <w:r>
              <w:rPr>
                <w:rFonts w:ascii="Arial" w:cs="Arial" w:eastAsia="Arial" w:hAnsi="Arial"/>
                <w:sz w:val="18"/>
                <w:szCs w:val="18"/>
                <w:color w:val="auto"/>
              </w:rPr>
              <w:t>17</w:t>
            </w:r>
          </w:p>
        </w:tc>
        <w:tc>
          <w:tcPr>
            <w:tcW w:w="1880" w:type="dxa"/>
            <w:vAlign w:val="bottom"/>
          </w:tcPr>
          <w:p>
            <w:pPr>
              <w:spacing w:after="0"/>
              <w:rPr>
                <w:sz w:val="24"/>
                <w:szCs w:val="24"/>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33" w:right="1399" w:bottom="1440" w:gutter="0" w:footer="0" w:header="0"/>
        </w:sectPr>
      </w:pPr>
    </w:p>
    <w:bookmarkStart w:id="21" w:name="page22"/>
    <w:bookmarkEnd w:id="21"/>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4"/>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2019-12-02T13:32:16Z</dcterms:created>
  <dcterms:modified xsi:type="dcterms:W3CDTF">2019-12-02T13:32:16Z</dcterms:modified>
</cp:coreProperties>
</file>