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213995</wp:posOffset>
            </wp:positionV>
            <wp:extent cx="311277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27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145415</wp:posOffset>
            </wp:positionV>
            <wp:extent cx="1132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NOTICE OF 2007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125730</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1"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To Be Held Thursday, November 8, 2007</w:t>
      </w: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ALL SHAREHOLDERS OF AVNET, INC.:</w:t>
      </w:r>
    </w:p>
    <w:p>
      <w:pPr>
        <w:spacing w:after="0" w:line="117"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Arizona Corporate Broadcast Center, 2617 South 46th Street, Suite 300, Phoenix, Arizona 85034 on Thursday, November 8, 2007, at 11:00 a.m., mountain standard time, for the following purposes:</w:t>
      </w:r>
    </w:p>
    <w:p>
      <w:pPr>
        <w:spacing w:after="0" w:line="108" w:lineRule="exact"/>
        <w:rPr>
          <w:sz w:val="20"/>
          <w:szCs w:val="20"/>
          <w:color w:val="auto"/>
        </w:rPr>
      </w:pPr>
    </w:p>
    <w:p>
      <w:pPr>
        <w:ind w:left="1900" w:right="60" w:hanging="411"/>
        <w:spacing w:after="0" w:line="246" w:lineRule="auto"/>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nine (9) directors to serve until the next annual meeting and until their successors have been elected and qualified.</w:t>
      </w:r>
    </w:p>
    <w:p>
      <w:pPr>
        <w:spacing w:after="0" w:line="88" w:lineRule="exact"/>
        <w:rPr>
          <w:rFonts w:ascii="Arial" w:cs="Arial" w:eastAsia="Arial" w:hAnsi="Arial"/>
          <w:sz w:val="18"/>
          <w:szCs w:val="18"/>
          <w:color w:val="auto"/>
        </w:rPr>
      </w:pPr>
    </w:p>
    <w:p>
      <w:pPr>
        <w:ind w:left="1900" w:hanging="411"/>
        <w:spacing w:after="0"/>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reapprove the Avnet, Inc. Executive Incentive Plan.</w:t>
      </w:r>
    </w:p>
    <w:p>
      <w:pPr>
        <w:spacing w:after="0" w:line="103" w:lineRule="exact"/>
        <w:rPr>
          <w:rFonts w:ascii="Arial" w:cs="Arial" w:eastAsia="Arial" w:hAnsi="Arial"/>
          <w:sz w:val="18"/>
          <w:szCs w:val="18"/>
          <w:color w:val="auto"/>
        </w:rPr>
      </w:pPr>
    </w:p>
    <w:p>
      <w:pPr>
        <w:ind w:left="1900" w:right="440" w:hanging="411"/>
        <w:spacing w:after="0" w:line="246" w:lineRule="auto"/>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28, 2008.</w:t>
      </w:r>
    </w:p>
    <w:p>
      <w:pPr>
        <w:spacing w:after="0" w:line="88" w:lineRule="exact"/>
        <w:rPr>
          <w:rFonts w:ascii="Arial" w:cs="Arial" w:eastAsia="Arial" w:hAnsi="Arial"/>
          <w:sz w:val="18"/>
          <w:szCs w:val="18"/>
          <w:color w:val="auto"/>
        </w:rPr>
      </w:pPr>
    </w:p>
    <w:p>
      <w:pPr>
        <w:ind w:left="1900" w:right="340" w:hanging="411"/>
        <w:spacing w:after="0" w:line="246" w:lineRule="auto"/>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or any adjournment thereof.</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has fixed the close of business on September 10, 2007 as the record date for the Annual Meeting. Only holders of record of shares of Avnet’s Common Stock at the close of business on such date shall be entitled to notice of and to vote at the Annual Meeting or any adjournment thereof.</w:t>
      </w:r>
    </w:p>
    <w:p>
      <w:pPr>
        <w:spacing w:after="0" w:line="200" w:lineRule="exact"/>
        <w:rPr>
          <w:sz w:val="20"/>
          <w:szCs w:val="20"/>
          <w:color w:val="auto"/>
        </w:rPr>
      </w:pP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40640</wp:posOffset>
            </wp:positionV>
            <wp:extent cx="1861185"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118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AVID</w:t>
      </w:r>
      <w:r>
        <w:rPr>
          <w:rFonts w:ascii="Arial" w:cs="Arial" w:eastAsia="Arial" w:hAnsi="Arial"/>
          <w:sz w:val="18"/>
          <w:szCs w:val="18"/>
          <w:color w:val="auto"/>
        </w:rPr>
        <w:t xml:space="preserve"> R. B</w:t>
      </w:r>
      <w:r>
        <w:rPr>
          <w:rFonts w:ascii="Arial" w:cs="Arial" w:eastAsia="Arial" w:hAnsi="Arial"/>
          <w:sz w:val="12"/>
          <w:szCs w:val="12"/>
          <w:color w:val="auto"/>
        </w:rPr>
        <w:t>IRK</w:t>
      </w:r>
    </w:p>
    <w:p>
      <w:pPr>
        <w:ind w:left="700"/>
        <w:spacing w:after="0"/>
        <w:rPr>
          <w:sz w:val="20"/>
          <w:szCs w:val="20"/>
          <w:color w:val="auto"/>
        </w:rPr>
      </w:pPr>
      <w:r>
        <w:rPr>
          <w:rFonts w:ascii="Arial" w:cs="Arial" w:eastAsia="Arial" w:hAnsi="Arial"/>
          <w:sz w:val="18"/>
          <w:szCs w:val="18"/>
          <w:i w:val="1"/>
          <w:iCs w:val="1"/>
          <w:color w:val="auto"/>
        </w:rPr>
        <w:t>Secretary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20" w:type="dxa"/>
            <w:vAlign w:val="bottom"/>
            <w:gridSpan w:val="7"/>
          </w:tcPr>
          <w:p>
            <w:pPr>
              <w:ind w:left="48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405"/>
        </w:trPr>
        <w:tc>
          <w:tcPr>
            <w:tcW w:w="70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w:t>
              </w:r>
            </w:hyperlink>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Proxy and Revocation of Proxy</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Quorum and Voting</w:t>
              </w:r>
            </w:hyperlink>
          </w:p>
        </w:tc>
        <w:tc>
          <w:tcPr>
            <w:tcW w:w="6200" w:type="dxa"/>
            <w:vAlign w:val="bottom"/>
            <w:gridSpan w:val="19"/>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Broker Voting</w:t>
              </w:r>
            </w:hyperlink>
          </w:p>
        </w:tc>
        <w:tc>
          <w:tcPr>
            <w:tcW w:w="400" w:type="dxa"/>
            <w:vAlign w:val="bottom"/>
            <w:tcBorders>
              <w:top w:val="single" w:sz="8" w:color="0000EE"/>
            </w:tcBorders>
            <w:gridSpan w:val="3"/>
          </w:tcPr>
          <w:p>
            <w:pPr>
              <w:spacing w:after="0"/>
              <w:rPr>
                <w:sz w:val="15"/>
                <w:szCs w:val="15"/>
                <w:color w:val="auto"/>
              </w:rPr>
            </w:pPr>
          </w:p>
        </w:tc>
        <w:tc>
          <w:tcPr>
            <w:tcW w:w="7120" w:type="dxa"/>
            <w:vAlign w:val="bottom"/>
            <w:gridSpan w:val="32"/>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Required Vote</w:t>
              </w:r>
            </w:hyperlink>
          </w:p>
        </w:tc>
        <w:tc>
          <w:tcPr>
            <w:tcW w:w="7520" w:type="dxa"/>
            <w:vAlign w:val="bottom"/>
            <w:gridSpan w:val="35"/>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w:t>
            </w: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 Guidelines</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Director Independence</w:t>
              </w:r>
            </w:hyperlink>
          </w:p>
        </w:tc>
        <w:tc>
          <w:tcPr>
            <w:tcW w:w="900" w:type="dxa"/>
            <w:vAlign w:val="bottom"/>
            <w:tcBorders>
              <w:top w:val="single" w:sz="8" w:color="0000EE"/>
            </w:tcBorders>
            <w:gridSpan w:val="9"/>
          </w:tcPr>
          <w:p>
            <w:pPr>
              <w:spacing w:after="0"/>
              <w:rPr>
                <w:sz w:val="15"/>
                <w:szCs w:val="15"/>
                <w:color w:val="auto"/>
              </w:rPr>
            </w:pPr>
          </w:p>
        </w:tc>
        <w:tc>
          <w:tcPr>
            <w:tcW w:w="5940" w:type="dxa"/>
            <w:vAlign w:val="bottom"/>
            <w:gridSpan w:val="16"/>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Director Nominations</w:t>
              </w:r>
            </w:hyperlink>
          </w:p>
        </w:tc>
        <w:tc>
          <w:tcPr>
            <w:tcW w:w="6980" w:type="dxa"/>
            <w:vAlign w:val="bottom"/>
            <w:gridSpan w:val="28"/>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4</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Director Communications</w:t>
              </w:r>
            </w:hyperlink>
          </w:p>
        </w:tc>
        <w:tc>
          <w:tcPr>
            <w:tcW w:w="6640" w:type="dxa"/>
            <w:vAlign w:val="bottom"/>
            <w:gridSpan w:val="24"/>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5</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Code of Conduct</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Reporting of Ethical Concerns</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6</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Lead Director</w:t>
              </w:r>
            </w:hyperlink>
          </w:p>
        </w:tc>
        <w:tc>
          <w:tcPr>
            <w:tcW w:w="1300" w:type="dxa"/>
            <w:vAlign w:val="bottom"/>
            <w:tcBorders>
              <w:top w:val="single" w:sz="8" w:color="0000EE"/>
            </w:tcBorders>
            <w:gridSpan w:val="16"/>
          </w:tcPr>
          <w:p>
            <w:pPr>
              <w:spacing w:after="0"/>
              <w:rPr>
                <w:sz w:val="15"/>
                <w:szCs w:val="15"/>
                <w:color w:val="auto"/>
              </w:rPr>
            </w:pPr>
          </w:p>
        </w:tc>
        <w:tc>
          <w:tcPr>
            <w:tcW w:w="6280" w:type="dxa"/>
            <w:vAlign w:val="bottom"/>
            <w:gridSpan w:val="20"/>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6</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Executive Sessions</w:t>
              </w:r>
            </w:hyperlink>
          </w:p>
        </w:tc>
        <w:tc>
          <w:tcPr>
            <w:tcW w:w="7020" w:type="dxa"/>
            <w:vAlign w:val="bottom"/>
            <w:gridSpan w:val="30"/>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7</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Stock Ownership Guidelines</w:t>
              </w:r>
            </w:hyperlink>
          </w:p>
        </w:tc>
        <w:tc>
          <w:tcPr>
            <w:tcW w:w="6400" w:type="dxa"/>
            <w:vAlign w:val="bottom"/>
            <w:gridSpan w:val="22"/>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7</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Avnet Website</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340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The Board of Directors and its Committees</w:t>
              </w:r>
            </w:hyperlink>
          </w:p>
        </w:tc>
        <w:tc>
          <w:tcPr>
            <w:tcW w:w="5440" w:type="dxa"/>
            <w:vAlign w:val="bottom"/>
            <w:gridSpan w:val="10"/>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8</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Audit Committee</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Compensation Committee</w:t>
              </w:r>
            </w:hyperlink>
          </w:p>
        </w:tc>
        <w:tc>
          <w:tcPr>
            <w:tcW w:w="6580" w:type="dxa"/>
            <w:vAlign w:val="bottom"/>
            <w:gridSpan w:val="23"/>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8</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 Committee</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9</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Finance Committee</w:t>
              </w:r>
            </w:hyperlink>
          </w:p>
        </w:tc>
        <w:tc>
          <w:tcPr>
            <w:tcW w:w="1180" w:type="dxa"/>
            <w:vAlign w:val="bottom"/>
            <w:tcBorders>
              <w:top w:val="single" w:sz="8" w:color="0000EE"/>
            </w:tcBorders>
            <w:gridSpan w:val="16"/>
          </w:tcPr>
          <w:p>
            <w:pPr>
              <w:spacing w:after="0"/>
              <w:rPr>
                <w:sz w:val="15"/>
                <w:szCs w:val="15"/>
                <w:color w:val="auto"/>
              </w:rPr>
            </w:pPr>
          </w:p>
        </w:tc>
        <w:tc>
          <w:tcPr>
            <w:tcW w:w="5920" w:type="dxa"/>
            <w:vAlign w:val="bottom"/>
            <w:gridSpan w:val="15"/>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9</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Executive Committee</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9</w:t>
            </w:r>
          </w:p>
        </w:tc>
      </w:tr>
      <w:tr>
        <w:trPr>
          <w:trHeight w:val="183"/>
        </w:trPr>
        <w:tc>
          <w:tcPr>
            <w:tcW w:w="700" w:type="dxa"/>
            <w:vAlign w:val="bottom"/>
          </w:tcPr>
          <w:p>
            <w:pPr>
              <w:spacing w:after="0"/>
              <w:rPr>
                <w:sz w:val="15"/>
                <w:szCs w:val="15"/>
                <w:color w:val="auto"/>
              </w:rPr>
            </w:pPr>
          </w:p>
        </w:tc>
        <w:tc>
          <w:tcPr>
            <w:tcW w:w="180" w:type="dxa"/>
            <w:vAlign w:val="bottom"/>
            <w:tcBorders>
              <w:bottom w:val="single" w:sz="8" w:color="0000EE"/>
            </w:tcBorders>
          </w:tcPr>
          <w:p>
            <w:pPr>
              <w:spacing w:after="0"/>
              <w:rPr>
                <w:sz w:val="15"/>
                <w:szCs w:val="15"/>
                <w:color w:val="auto"/>
              </w:rPr>
            </w:pPr>
          </w:p>
        </w:tc>
        <w:tc>
          <w:tcPr>
            <w:tcW w:w="17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Proposal 1 — Election</w:t>
              </w:r>
            </w:hyperlink>
          </w:p>
        </w:tc>
        <w:tc>
          <w:tcPr>
            <w:tcW w:w="40" w:type="dxa"/>
            <w:vAlign w:val="bottom"/>
            <w:tcBorders>
              <w:bottom w:val="single" w:sz="8" w:color="0000EE"/>
            </w:tcBorders>
          </w:tcPr>
          <w:p>
            <w:pPr>
              <w:spacing w:after="0"/>
              <w:rPr>
                <w:sz w:val="15"/>
                <w:szCs w:val="15"/>
                <w:color w:val="auto"/>
              </w:rPr>
            </w:pPr>
          </w:p>
        </w:tc>
        <w:tc>
          <w:tcPr>
            <w:tcW w:w="1040" w:type="dxa"/>
            <w:vAlign w:val="bottom"/>
            <w:tcBorders>
              <w:bottom w:val="single" w:sz="8" w:color="0000EE"/>
            </w:tcBorders>
            <w:gridSpan w:val="12"/>
          </w:tcPr>
          <w:p>
            <w:pPr>
              <w:ind w:left="20"/>
              <w:spacing w:after="0" w:line="182"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of Directors</w:t>
              </w:r>
            </w:hyperlink>
          </w:p>
        </w:tc>
        <w:tc>
          <w:tcPr>
            <w:tcW w:w="5880" w:type="dxa"/>
            <w:vAlign w:val="bottom"/>
            <w:gridSpan w:val="14"/>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10</w:t>
            </w:r>
          </w:p>
        </w:tc>
      </w:tr>
      <w:tr>
        <w:trPr>
          <w:trHeight w:val="183"/>
        </w:trPr>
        <w:tc>
          <w:tcPr>
            <w:tcW w:w="700" w:type="dxa"/>
            <w:vAlign w:val="bottom"/>
          </w:tcPr>
          <w:p>
            <w:pPr>
              <w:spacing w:after="0"/>
              <w:rPr>
                <w:sz w:val="15"/>
                <w:szCs w:val="15"/>
                <w:color w:val="auto"/>
              </w:rPr>
            </w:pPr>
          </w:p>
        </w:tc>
        <w:tc>
          <w:tcPr>
            <w:tcW w:w="192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Audit Committee Report</w:t>
              </w:r>
            </w:hyperlink>
          </w:p>
        </w:tc>
        <w:tc>
          <w:tcPr>
            <w:tcW w:w="6920" w:type="dxa"/>
            <w:vAlign w:val="bottom"/>
            <w:gridSpan w:val="26"/>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12</w:t>
            </w: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Principal Accounting Firm Fees</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Beneficial Ownership of Common Stock by Management and Others</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14</w:t>
            </w:r>
          </w:p>
        </w:tc>
      </w:tr>
      <w:tr>
        <w:trPr>
          <w:trHeight w:val="183"/>
        </w:trPr>
        <w:tc>
          <w:tcPr>
            <w:tcW w:w="70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35"/>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Section 16(a) Beneficial Ownership Reporting Compliance</w:t>
              </w:r>
            </w:hyperlink>
          </w:p>
        </w:tc>
        <w:tc>
          <w:tcPr>
            <w:tcW w:w="800" w:type="dxa"/>
            <w:vAlign w:val="bottom"/>
            <w:tcBorders>
              <w:top w:val="single" w:sz="8" w:color="0000EE"/>
            </w:tcBorders>
          </w:tcPr>
          <w:p>
            <w:pPr>
              <w:spacing w:after="0"/>
              <w:rPr>
                <w:sz w:val="15"/>
                <w:szCs w:val="15"/>
                <w:color w:val="auto"/>
              </w:rPr>
            </w:pPr>
          </w:p>
        </w:tc>
        <w:tc>
          <w:tcPr>
            <w:tcW w:w="3400" w:type="dxa"/>
            <w:vAlign w:val="bottom"/>
            <w:gridSpan w:val="3"/>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15</w:t>
            </w: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Executive Officers of the Company</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16</w:t>
            </w:r>
          </w:p>
        </w:tc>
      </w:tr>
      <w:tr>
        <w:trPr>
          <w:trHeight w:val="183"/>
        </w:trPr>
        <w:tc>
          <w:tcPr>
            <w:tcW w:w="700" w:type="dxa"/>
            <w:vAlign w:val="bottom"/>
          </w:tcPr>
          <w:p>
            <w:pPr>
              <w:spacing w:after="0"/>
              <w:rPr>
                <w:sz w:val="15"/>
                <w:szCs w:val="15"/>
                <w:color w:val="auto"/>
              </w:rPr>
            </w:pPr>
          </w:p>
        </w:tc>
        <w:tc>
          <w:tcPr>
            <w:tcW w:w="27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Committee Report</w:t>
              </w:r>
            </w:hyperlink>
          </w:p>
        </w:tc>
        <w:tc>
          <w:tcPr>
            <w:tcW w:w="6080" w:type="dxa"/>
            <w:vAlign w:val="bottom"/>
            <w:gridSpan w:val="17"/>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17</w:t>
            </w:r>
          </w:p>
        </w:tc>
      </w:tr>
      <w:tr>
        <w:trPr>
          <w:trHeight w:val="20"/>
        </w:trPr>
        <w:tc>
          <w:tcPr>
            <w:tcW w:w="7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Discussion and Analysis</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17</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30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Compensation Philosophy and Objectives</w:t>
              </w:r>
            </w:hyperlink>
          </w:p>
        </w:tc>
        <w:tc>
          <w:tcPr>
            <w:tcW w:w="5320" w:type="dxa"/>
            <w:vAlign w:val="bottom"/>
            <w:gridSpan w:val="7"/>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17</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8"/>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Overview of Avnet’s Executive Compensation Practices</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18</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Components of Executive Compensation</w:t>
              </w:r>
            </w:hyperlink>
          </w:p>
        </w:tc>
        <w:tc>
          <w:tcPr>
            <w:tcW w:w="1140" w:type="dxa"/>
            <w:vAlign w:val="bottom"/>
            <w:tcBorders>
              <w:top w:val="single" w:sz="8" w:color="0000EE"/>
            </w:tcBorders>
            <w:gridSpan w:val="4"/>
          </w:tcPr>
          <w:p>
            <w:pPr>
              <w:spacing w:after="0"/>
              <w:rPr>
                <w:sz w:val="15"/>
                <w:szCs w:val="15"/>
                <w:color w:val="auto"/>
              </w:rPr>
            </w:pPr>
          </w:p>
        </w:tc>
        <w:tc>
          <w:tcPr>
            <w:tcW w:w="4260" w:type="dxa"/>
            <w:vAlign w:val="bottom"/>
            <w:gridSpan w:val="5"/>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20</w:t>
            </w:r>
          </w:p>
        </w:tc>
      </w:tr>
      <w:tr>
        <w:trPr>
          <w:trHeight w:val="18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Employee and Post-Employment Benefits</w:t>
              </w:r>
            </w:hyperlink>
          </w:p>
        </w:tc>
        <w:tc>
          <w:tcPr>
            <w:tcW w:w="5340" w:type="dxa"/>
            <w:vAlign w:val="bottom"/>
            <w:gridSpan w:val="8"/>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24</w:t>
            </w:r>
          </w:p>
        </w:tc>
      </w:tr>
      <w:tr>
        <w:trPr>
          <w:trHeight w:val="183"/>
        </w:trPr>
        <w:tc>
          <w:tcPr>
            <w:tcW w:w="700" w:type="dxa"/>
            <w:vAlign w:val="bottom"/>
          </w:tcPr>
          <w:p>
            <w:pPr>
              <w:spacing w:after="0"/>
              <w:rPr>
                <w:sz w:val="15"/>
                <w:szCs w:val="15"/>
                <w:color w:val="auto"/>
              </w:rPr>
            </w:pPr>
          </w:p>
        </w:tc>
        <w:tc>
          <w:tcPr>
            <w:tcW w:w="336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Compensation of Avnet Executive Officers</w:t>
              </w:r>
            </w:hyperlink>
          </w:p>
        </w:tc>
        <w:tc>
          <w:tcPr>
            <w:tcW w:w="5480" w:type="dxa"/>
            <w:vAlign w:val="bottom"/>
            <w:gridSpan w:val="12"/>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25</w:t>
            </w:r>
          </w:p>
        </w:tc>
      </w:tr>
      <w:tr>
        <w:trPr>
          <w:trHeight w:val="183"/>
        </w:trPr>
        <w:tc>
          <w:tcPr>
            <w:tcW w:w="700" w:type="dxa"/>
            <w:vAlign w:val="bottom"/>
          </w:tcPr>
          <w:p>
            <w:pPr>
              <w:spacing w:after="0"/>
              <w:rPr>
                <w:sz w:val="15"/>
                <w:szCs w:val="15"/>
                <w:color w:val="auto"/>
              </w:rPr>
            </w:pPr>
          </w:p>
        </w:tc>
        <w:tc>
          <w:tcPr>
            <w:tcW w:w="184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Director Compensation</w:t>
              </w:r>
            </w:hyperlink>
          </w:p>
        </w:tc>
        <w:tc>
          <w:tcPr>
            <w:tcW w:w="7000" w:type="dxa"/>
            <w:vAlign w:val="bottom"/>
            <w:gridSpan w:val="29"/>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34</w:t>
            </w: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Proposal 2 — Reapproval of the Avnet, Inc. Executive Incentive Plan</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36</w:t>
            </w:r>
          </w:p>
        </w:tc>
      </w:tr>
      <w:tr>
        <w:trPr>
          <w:trHeight w:val="183"/>
        </w:trPr>
        <w:tc>
          <w:tcPr>
            <w:tcW w:w="700" w:type="dxa"/>
            <w:vAlign w:val="bottom"/>
          </w:tcPr>
          <w:p>
            <w:pPr>
              <w:spacing w:after="0"/>
              <w:rPr>
                <w:sz w:val="15"/>
                <w:szCs w:val="15"/>
                <w:color w:val="auto"/>
              </w:rPr>
            </w:pPr>
          </w:p>
        </w:tc>
        <w:tc>
          <w:tcPr>
            <w:tcW w:w="5820" w:type="dxa"/>
            <w:vAlign w:val="bottom"/>
            <w:tcBorders>
              <w:top w:val="single" w:sz="8" w:color="0000EE"/>
            </w:tcBorders>
            <w:gridSpan w:val="37"/>
          </w:tcPr>
          <w:p>
            <w:pPr>
              <w:spacing w:after="0" w:line="182" w:lineRule="exact"/>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Proposal 3 — Ratification of Appointment of Independent Registered</w:t>
              </w:r>
            </w:hyperlink>
          </w:p>
        </w:tc>
        <w:tc>
          <w:tcPr>
            <w:tcW w:w="3020" w:type="dxa"/>
            <w:vAlign w:val="bottom"/>
            <w:gridSpan w:val="2"/>
          </w:tcPr>
          <w:p>
            <w:pPr>
              <w:ind w:left="100"/>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Public Accounting Firm</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38</w:t>
            </w:r>
          </w:p>
        </w:tc>
      </w:tr>
      <w:tr>
        <w:trPr>
          <w:trHeight w:val="183"/>
        </w:trPr>
        <w:tc>
          <w:tcPr>
            <w:tcW w:w="70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General</w:t>
              </w:r>
            </w:hyperlink>
          </w:p>
        </w:tc>
        <w:tc>
          <w:tcPr>
            <w:tcW w:w="7300" w:type="dxa"/>
            <w:vAlign w:val="bottom"/>
            <w:tcBorders>
              <w:top w:val="single" w:sz="8" w:color="0000EE"/>
            </w:tcBorders>
            <w:gridSpan w:val="36"/>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38</w:t>
            </w:r>
          </w:p>
        </w:tc>
      </w:tr>
      <w:tr>
        <w:trPr>
          <w:trHeight w:val="183"/>
        </w:trPr>
        <w:tc>
          <w:tcPr>
            <w:tcW w:w="700" w:type="dxa"/>
            <w:vAlign w:val="bottom"/>
          </w:tcPr>
          <w:p>
            <w:pPr>
              <w:spacing w:after="0"/>
              <w:rPr>
                <w:sz w:val="15"/>
                <w:szCs w:val="15"/>
                <w:color w:val="auto"/>
              </w:rPr>
            </w:pPr>
          </w:p>
        </w:tc>
        <w:tc>
          <w:tcPr>
            <w:tcW w:w="170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2008 Annual Meeting</w:t>
              </w:r>
            </w:hyperlink>
          </w:p>
        </w:tc>
        <w:tc>
          <w:tcPr>
            <w:tcW w:w="7140" w:type="dxa"/>
            <w:vAlign w:val="bottom"/>
            <w:gridSpan w:val="33"/>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38</w:t>
            </w:r>
          </w:p>
        </w:tc>
      </w:tr>
      <w:tr>
        <w:trPr>
          <w:trHeight w:val="183"/>
        </w:trPr>
        <w:tc>
          <w:tcPr>
            <w:tcW w:w="700" w:type="dxa"/>
            <w:vAlign w:val="bottom"/>
          </w:tcPr>
          <w:p>
            <w:pPr>
              <w:spacing w:after="0"/>
              <w:rPr>
                <w:sz w:val="15"/>
                <w:szCs w:val="15"/>
                <w:color w:val="auto"/>
              </w:rPr>
            </w:pPr>
          </w:p>
        </w:tc>
        <w:tc>
          <w:tcPr>
            <w:tcW w:w="338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Delivery of Documents to Security Holders</w:t>
              </w:r>
            </w:hyperlink>
          </w:p>
        </w:tc>
        <w:tc>
          <w:tcPr>
            <w:tcW w:w="5460" w:type="dxa"/>
            <w:vAlign w:val="bottom"/>
            <w:gridSpan w:val="11"/>
          </w:tcPr>
          <w:p>
            <w:pPr>
              <w:spacing w:after="0"/>
              <w:rPr>
                <w:sz w:val="15"/>
                <w:szCs w:val="15"/>
                <w:color w:val="auto"/>
              </w:rPr>
            </w:pPr>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39</w:t>
            </w:r>
          </w:p>
        </w:tc>
      </w:tr>
      <w:tr>
        <w:trPr>
          <w:trHeight w:val="183"/>
        </w:trPr>
        <w:tc>
          <w:tcPr>
            <w:tcW w:w="700" w:type="dxa"/>
            <w:vAlign w:val="bottom"/>
          </w:tcPr>
          <w:p>
            <w:pPr>
              <w:spacing w:after="0"/>
              <w:rPr>
                <w:sz w:val="15"/>
                <w:szCs w:val="15"/>
                <w:color w:val="auto"/>
              </w:rPr>
            </w:pPr>
          </w:p>
        </w:tc>
        <w:tc>
          <w:tcPr>
            <w:tcW w:w="8840" w:type="dxa"/>
            <w:vAlign w:val="bottom"/>
            <w:gridSpan w:val="39"/>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Appendix A — Avnet, Inc. Executive Incentive Plan</w:t>
              </w:r>
            </w:hyperlink>
          </w:p>
        </w:tc>
        <w:tc>
          <w:tcPr>
            <w:tcW w:w="1880" w:type="dxa"/>
            <w:vAlign w:val="bottom"/>
          </w:tcPr>
          <w:p>
            <w:pPr>
              <w:jc w:val="right"/>
              <w:ind w:right="710"/>
              <w:spacing w:after="0" w:line="182" w:lineRule="exact"/>
              <w:rPr>
                <w:sz w:val="20"/>
                <w:szCs w:val="20"/>
                <w:color w:val="auto"/>
              </w:rPr>
            </w:pPr>
            <w:r>
              <w:rPr>
                <w:rFonts w:ascii="Arial" w:cs="Arial" w:eastAsia="Arial" w:hAnsi="Arial"/>
                <w:sz w:val="18"/>
                <w:szCs w:val="18"/>
                <w:color w:val="auto"/>
              </w:rPr>
              <w:t>40</w:t>
            </w:r>
          </w:p>
        </w:tc>
      </w:tr>
      <w:tr>
        <w:trPr>
          <w:trHeight w:val="233"/>
        </w:trPr>
        <w:tc>
          <w:tcPr>
            <w:tcW w:w="700" w:type="dxa"/>
            <w:vAlign w:val="bottom"/>
            <w:tcBorders>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460" w:type="dxa"/>
            <w:vAlign w:val="bottom"/>
            <w:tcBorders>
              <w:top w:val="single" w:sz="8" w:color="0000EE"/>
              <w:bottom w:val="single" w:sz="8" w:color="808080"/>
            </w:tcBorders>
          </w:tcPr>
          <w:p>
            <w:pPr>
              <w:spacing w:after="0"/>
              <w:rPr>
                <w:sz w:val="20"/>
                <w:szCs w:val="20"/>
                <w:color w:val="auto"/>
              </w:rPr>
            </w:pPr>
          </w:p>
        </w:tc>
        <w:tc>
          <w:tcPr>
            <w:tcW w:w="62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20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20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2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520" w:type="dxa"/>
            <w:vAlign w:val="bottom"/>
            <w:tcBorders>
              <w:top w:val="single" w:sz="8" w:color="0000EE"/>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12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18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AVNET, INC.</w:t>
      </w:r>
    </w:p>
    <w:p>
      <w:pPr>
        <w:spacing w:after="0" w:line="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2211 South 47th Street</w:t>
      </w:r>
    </w:p>
    <w:p>
      <w:pPr>
        <w:ind w:left="466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92075</wp:posOffset>
            </wp:positionV>
            <wp:extent cx="1132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Dated September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83820</wp:posOffset>
            </wp:positionV>
            <wp:extent cx="1132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FOR ANNUAL MEETING OF SHAREHOLDERS</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To Be Held November 8, 2007</w:t>
      </w:r>
    </w:p>
    <w:p>
      <w:pPr>
        <w:spacing w:after="0" w:line="117"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to be voted at the Annual Meeting of Shareholders to be held at the Arizona Corporate Broadcast Center, 2617 South 46th Street, Suite 300, Phoenix, Arizona 85034 on November 8, 2007,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28, 2007. Only holders of record of outstanding shares of Common Stock at the close of business on September 10, 2007, the record date, are entitled to notice of and to vote at the Annual Meeting. Each shareholder is entitled to one vote per share held on the record date. The aggregate number of shares of Common Stock outstanding (net of treasury shares) at September 10, 2007 was 149,901,283, comprising all of Avnet’s capital stock outstanding as of that date.</w:t>
      </w:r>
    </w:p>
    <w:p>
      <w:pPr>
        <w:spacing w:after="0" w:line="112"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Proxies for shares of Avnet Common Stock, par value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“FOR” each of Proposals 1 through 3. The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w:t>
      </w:r>
    </w:p>
    <w:p>
      <w:pPr>
        <w:spacing w:after="0" w:line="109" w:lineRule="exact"/>
        <w:rPr>
          <w:sz w:val="20"/>
          <w:szCs w:val="20"/>
          <w:color w:val="auto"/>
        </w:rPr>
      </w:pPr>
    </w:p>
    <w:p>
      <w:pPr>
        <w:ind w:left="700" w:right="40"/>
        <w:spacing w:after="0" w:line="252" w:lineRule="auto"/>
        <w:rPr>
          <w:sz w:val="20"/>
          <w:szCs w:val="20"/>
          <w:color w:val="auto"/>
        </w:rPr>
      </w:pPr>
      <w:r>
        <w:rPr>
          <w:rFonts w:ascii="Arial" w:cs="Arial" w:eastAsia="Arial" w:hAnsi="Arial"/>
          <w:sz w:val="17"/>
          <w:szCs w:val="17"/>
          <w:color w:val="auto"/>
        </w:rPr>
        <w:t>In accordance with rules and regulations recently adopted by the SEC, instead of mailing a printed copy of the proxy materials to each shareholder of record, Avnet is now furnishing proxy materials on the Internet to the shareholders other than those by virtue of their participation in the Avnet 401(k) plan. Participants in the Avnet 401(k) plan will each receive a printed copy of the proxy materials. If you received a Notice of Internet Availability of Proxy Materials by mail, you will not receive a printed copy of the proxy materials.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the proxy materials, you should follow the instructions for requesting such materials included in the Notice of Internet Availability of Proxy Materials.</w:t>
      </w:r>
    </w:p>
    <w:p>
      <w:pPr>
        <w:spacing w:after="0" w:line="98" w:lineRule="exact"/>
        <w:rPr>
          <w:sz w:val="20"/>
          <w:szCs w:val="20"/>
          <w:color w:val="auto"/>
        </w:rPr>
      </w:pPr>
    </w:p>
    <w:p>
      <w:pPr>
        <w:ind w:left="700" w:right="640"/>
        <w:spacing w:after="0" w:line="246" w:lineRule="auto"/>
        <w:rPr>
          <w:sz w:val="20"/>
          <w:szCs w:val="20"/>
          <w:color w:val="auto"/>
        </w:rPr>
      </w:pPr>
      <w:r>
        <w:rPr>
          <w:rFonts w:ascii="Arial" w:cs="Arial" w:eastAsia="Arial" w:hAnsi="Arial"/>
          <w:sz w:val="18"/>
          <w:szCs w:val="18"/>
          <w:color w:val="auto"/>
        </w:rPr>
        <w:t>It is anticipated that the Notice of Internet Availability of Proxy Materials will be available to shareholders on or before September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Proxy and Revocation of Proxy</w:t>
      </w:r>
    </w:p>
    <w:p>
      <w:pPr>
        <w:spacing w:after="0" w:line="139" w:lineRule="exact"/>
        <w:rPr>
          <w:sz w:val="20"/>
          <w:szCs w:val="20"/>
          <w:color w:val="auto"/>
        </w:rPr>
      </w:pPr>
    </w:p>
    <w:p>
      <w:pPr>
        <w:ind w:left="700" w:right="40"/>
        <w:spacing w:after="0" w:line="236" w:lineRule="auto"/>
        <w:rPr>
          <w:sz w:val="20"/>
          <w:szCs w:val="20"/>
          <w:color w:val="auto"/>
        </w:rPr>
      </w:pPr>
      <w:r>
        <w:rPr>
          <w:rFonts w:ascii="Arial" w:cs="Arial" w:eastAsia="Arial" w:hAnsi="Arial"/>
          <w:sz w:val="18"/>
          <w:szCs w:val="18"/>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David R. Birk,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Quorum and Voting</w:t>
      </w:r>
    </w:p>
    <w:p>
      <w:pPr>
        <w:spacing w:after="0" w:line="139" w:lineRule="exact"/>
        <w:rPr>
          <w:sz w:val="20"/>
          <w:szCs w:val="20"/>
          <w:color w:val="auto"/>
        </w:rPr>
      </w:pPr>
    </w:p>
    <w:p>
      <w:pPr>
        <w:ind w:left="700" w:right="140"/>
        <w:spacing w:after="0" w:line="239"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Broker Voting</w:t>
      </w:r>
    </w:p>
    <w:p>
      <w:pPr>
        <w:spacing w:after="0" w:line="139" w:lineRule="exact"/>
        <w:rPr>
          <w:sz w:val="20"/>
          <w:szCs w:val="20"/>
          <w:color w:val="auto"/>
        </w:rPr>
      </w:pPr>
    </w:p>
    <w:p>
      <w:pPr>
        <w:ind w:left="700" w:right="60"/>
        <w:spacing w:after="0" w:line="236" w:lineRule="auto"/>
        <w:rPr>
          <w:sz w:val="20"/>
          <w:szCs w:val="20"/>
          <w:color w:val="auto"/>
        </w:rPr>
      </w:pPr>
      <w:r>
        <w:rPr>
          <w:rFonts w:ascii="Arial" w:cs="Arial" w:eastAsia="Arial" w:hAnsi="Arial"/>
          <w:sz w:val="18"/>
          <w:szCs w:val="18"/>
          <w:color w:val="auto"/>
        </w:rPr>
        <w:t>Brokers holding shares of record for a customer have the discretionary authority to vote on some matters if they do not receive timely instructions from the customer regarding how the customer wants the shares voted. There are also some matters (“non-discretionary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non-discretionary matters. Therefore, a broker non-vote would not count as a vote in favor of or against such matters and, accordingly, would not affect the outcome of the vote. Brokers will have discretionary authority to vote on Proposals 1, 2 and 3 in the absence of timely instructions from their customers.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Proposal 1</w:t>
      </w:r>
    </w:p>
    <w:p>
      <w:pPr>
        <w:spacing w:after="0" w:line="135"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38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Proposal 2</w:t>
      </w:r>
    </w:p>
    <w:p>
      <w:pPr>
        <w:spacing w:after="0" w:line="135" w:lineRule="exact"/>
        <w:rPr>
          <w:sz w:val="20"/>
          <w:szCs w:val="20"/>
          <w:color w:val="auto"/>
        </w:rPr>
      </w:pPr>
    </w:p>
    <w:p>
      <w:pPr>
        <w:ind w:left="700" w:right="240"/>
        <w:spacing w:after="0" w:line="239" w:lineRule="auto"/>
        <w:rPr>
          <w:sz w:val="20"/>
          <w:szCs w:val="20"/>
          <w:color w:val="auto"/>
        </w:rPr>
      </w:pPr>
      <w:r>
        <w:rPr>
          <w:rFonts w:ascii="Arial" w:cs="Arial" w:eastAsia="Arial" w:hAnsi="Arial"/>
          <w:sz w:val="18"/>
          <w:szCs w:val="18"/>
          <w:color w:val="auto"/>
        </w:rPr>
        <w:t>Reapproval of the Avnet, Inc. Executive Incentive Plan requires the affirmative vote of the holders of a majority of the Common Stock present or represented at the meeting and entitled to vote. Abstentions are not counted in determining the votes cast in connection with the reapproval, but do have the effect of reducing the number of affirmative votes required to achieve a majority for this matter by reducing the total number of shares from which the majority is calculated.</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Proposal 3</w:t>
      </w:r>
    </w:p>
    <w:p>
      <w:pPr>
        <w:spacing w:after="0" w:line="135"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Ratification of the appointment of KPMG LLP as the Company’s independent registered public accounting firm for fiscal 2008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30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CORPORATE GOVERNANCE</w:t>
      </w:r>
    </w:p>
    <w:p>
      <w:pPr>
        <w:spacing w:after="0" w:line="139" w:lineRule="exact"/>
        <w:rPr>
          <w:sz w:val="20"/>
          <w:szCs w:val="20"/>
          <w:color w:val="auto"/>
        </w:rPr>
      </w:pPr>
    </w:p>
    <w:p>
      <w:pPr>
        <w:ind w:left="700" w:right="40"/>
        <w:spacing w:after="0" w:line="261" w:lineRule="auto"/>
        <w:rPr>
          <w:sz w:val="20"/>
          <w:szCs w:val="20"/>
          <w:color w:val="auto"/>
        </w:rPr>
      </w:pPr>
      <w:r>
        <w:rPr>
          <w:rFonts w:ascii="Arial" w:cs="Arial" w:eastAsia="Arial" w:hAnsi="Arial"/>
          <w:sz w:val="17"/>
          <w:szCs w:val="17"/>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w:t>
      </w:r>
    </w:p>
    <w:p>
      <w:pPr>
        <w:spacing w:after="0" w:line="139" w:lineRule="exact"/>
        <w:rPr>
          <w:sz w:val="20"/>
          <w:szCs w:val="20"/>
          <w:color w:val="auto"/>
        </w:rPr>
      </w:pPr>
    </w:p>
    <w:p>
      <w:pPr>
        <w:ind w:left="700" w:right="60"/>
        <w:spacing w:after="0" w:line="237" w:lineRule="auto"/>
        <w:rPr>
          <w:sz w:val="20"/>
          <w:szCs w:val="20"/>
          <w:color w:val="auto"/>
        </w:rPr>
      </w:pPr>
      <w:r>
        <w:rPr>
          <w:rFonts w:ascii="Arial" w:cs="Arial" w:eastAsia="Arial" w:hAnsi="Arial"/>
          <w:sz w:val="18"/>
          <w:szCs w:val="18"/>
          <w:color w:val="auto"/>
        </w:rPr>
        <w:t xml:space="preserve">In September 2003, the Board of Directors adopted Corporate Governance Guidelines, which collect in one document many of the corporate governance practices and procedures that had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August 2007. The Guidelines are available on the Company’s website at </w:t>
      </w:r>
      <w:r>
        <w:rPr>
          <w:rFonts w:ascii="Arial" w:cs="Arial" w:eastAsia="Arial" w:hAnsi="Arial"/>
          <w:sz w:val="18"/>
          <w:szCs w:val="18"/>
          <w:u w:val="single" w:color="auto"/>
          <w:color w:val="auto"/>
        </w:rPr>
        <w:t>www.ir.avnet.com/documents.cfm</w:t>
      </w:r>
    </w:p>
    <w:p>
      <w:pPr>
        <w:spacing w:after="0" w:line="109" w:lineRule="exact"/>
        <w:rPr>
          <w:sz w:val="20"/>
          <w:szCs w:val="20"/>
          <w:color w:val="auto"/>
        </w:rPr>
      </w:pPr>
    </w:p>
    <w:p>
      <w:pPr>
        <w:ind w:left="700" w:right="160"/>
        <w:spacing w:after="0" w:line="238" w:lineRule="auto"/>
        <w:rPr>
          <w:sz w:val="20"/>
          <w:szCs w:val="20"/>
          <w:color w:val="auto"/>
        </w:rPr>
      </w:pPr>
      <w:r>
        <w:rPr>
          <w:rFonts w:ascii="Arial" w:cs="Arial" w:eastAsia="Arial" w:hAnsi="Arial"/>
          <w:sz w:val="18"/>
          <w:szCs w:val="18"/>
          <w:color w:val="auto"/>
        </w:rPr>
        <w:t>As a general policy, as set forth in the Corporate Governance Guidelines, the Board recommends certain limits as to the service of directors on other boards of public companies. These limits are as follows: (1) the Company’s Chairman of the Board and Chief Executive Officer may serve on up to two additional boards; (2) Directors who are actively employed on a full-time basis may serve on up to two additional boards; and (3) Directors who are retired from active full-time employment may serve on up to four additional boards.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left="700" w:right="360"/>
        <w:spacing w:after="0"/>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adopted the following “Director Independence Standards,” which are consistent with criteria established by the New York Stock Exchange, to assist the Board in making these independence determinations.</w:t>
      </w:r>
    </w:p>
    <w:p>
      <w:pPr>
        <w:spacing w:after="0" w:line="108" w:lineRule="exact"/>
        <w:rPr>
          <w:sz w:val="20"/>
          <w:szCs w:val="20"/>
          <w:color w:val="auto"/>
        </w:rPr>
      </w:pPr>
    </w:p>
    <w:p>
      <w:pPr>
        <w:ind w:left="700" w:right="620"/>
        <w:spacing w:after="0" w:line="246" w:lineRule="auto"/>
        <w:rPr>
          <w:sz w:val="20"/>
          <w:szCs w:val="20"/>
          <w:color w:val="auto"/>
        </w:rPr>
      </w:pPr>
      <w:r>
        <w:rPr>
          <w:rFonts w:ascii="Arial" w:cs="Arial" w:eastAsia="Arial" w:hAnsi="Arial"/>
          <w:sz w:val="18"/>
          <w:szCs w:val="18"/>
          <w:color w:val="auto"/>
        </w:rPr>
        <w:t>No Director can qualify as independent if he or she has a material relationship with the Company outside of his or her service as a Director of the Company. A Director is not independent if:</w:t>
      </w:r>
    </w:p>
    <w:p>
      <w:pPr>
        <w:spacing w:after="0" w:line="102" w:lineRule="exact"/>
        <w:rPr>
          <w:sz w:val="20"/>
          <w:szCs w:val="20"/>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Director is, or was within the preceding three years, an employee of the Company.</w:t>
      </w:r>
    </w:p>
    <w:p>
      <w:pPr>
        <w:spacing w:after="0" w:line="103" w:lineRule="exact"/>
        <w:rPr>
          <w:rFonts w:ascii="Arial" w:cs="Arial" w:eastAsia="Arial" w:hAnsi="Arial"/>
          <w:sz w:val="18"/>
          <w:szCs w:val="18"/>
          <w:color w:val="auto"/>
        </w:rPr>
      </w:pPr>
    </w:p>
    <w:p>
      <w:pPr>
        <w:ind w:left="1300" w:right="240" w:hanging="202"/>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immediate family member of the Director is, or was within the preceding three years, an executive officer of the Company.</w:t>
      </w:r>
    </w:p>
    <w:p>
      <w:pPr>
        <w:spacing w:after="0" w:line="3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300" w:right="140" w:hanging="202"/>
        <w:spacing w:after="0" w:line="253"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The Director, or an immediate family member of the Director, is a current partner of the Company’s internal or external auditor; (b) the Director is a current employee of the Company’s internal or external auditor; (c) an immediate family member of the Director is a current employee of the Company’s internal or external auditor who participates in the firm’s audit, assurance or tax compliance (but not tax planning) practice; or (d) the Director, or an immediate family member of the Director, was within the last three years (but is no longer) a partner or employee of the Company’s internal or external auditor and personally worked on the Company’s audit within that time.</w:t>
      </w:r>
    </w:p>
    <w:p>
      <w:pPr>
        <w:spacing w:after="0" w:line="87" w:lineRule="exact"/>
        <w:rPr>
          <w:rFonts w:ascii="Arial" w:cs="Arial" w:eastAsia="Arial" w:hAnsi="Arial"/>
          <w:sz w:val="17"/>
          <w:szCs w:val="17"/>
          <w:color w:val="auto"/>
        </w:rPr>
      </w:pPr>
    </w:p>
    <w:p>
      <w:pPr>
        <w:ind w:left="1300" w:hanging="202"/>
        <w:spacing w:after="0" w:line="23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Director, or an immediate family member of the Director, has received, during any 12-month period within the preceding three years, more than $100,000 in direct compensation from the Company, other than Director and committee fees and pension or other forms of deferred compensation for prior services (provided such compensation is not contingent in any way on continued service).</w:t>
      </w:r>
    </w:p>
    <w:p>
      <w:pPr>
        <w:spacing w:after="0" w:line="93" w:lineRule="exact"/>
        <w:rPr>
          <w:rFonts w:ascii="Arial" w:cs="Arial" w:eastAsia="Arial" w:hAnsi="Arial"/>
          <w:sz w:val="18"/>
          <w:szCs w:val="18"/>
          <w:color w:val="auto"/>
        </w:rPr>
      </w:pPr>
    </w:p>
    <w:p>
      <w:pPr>
        <w:ind w:left="1300" w:right="8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or was within the preceding three years, employed as an executive officer of another company where any of the Company’s present executive officers serves or served at the same time on the compensation committee of that company’s board of directors.</w:t>
      </w:r>
    </w:p>
    <w:p>
      <w:pPr>
        <w:spacing w:after="0" w:line="94" w:lineRule="exact"/>
        <w:rPr>
          <w:rFonts w:ascii="Arial" w:cs="Arial" w:eastAsia="Arial" w:hAnsi="Arial"/>
          <w:sz w:val="18"/>
          <w:szCs w:val="18"/>
          <w:color w:val="auto"/>
        </w:rPr>
      </w:pPr>
    </w:p>
    <w:p>
      <w:pPr>
        <w:ind w:left="1300" w:right="240" w:hanging="202"/>
        <w:spacing w:after="0" w:line="24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Director is a current executive officer or employee, or an immediate family member of the Director is a current executive officer, of another company that has made payments to, or received payments from, the Company for property or services in an amount which, in any of the preceding three fiscal years, exceeded the greater of</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$1 million or two percent (2%) of such other company’s consolidated gross revenues.</w:t>
      </w:r>
    </w:p>
    <w:p>
      <w:pPr>
        <w:spacing w:after="0" w:line="103" w:lineRule="exact"/>
        <w:rPr>
          <w:rFonts w:ascii="Arial" w:cs="Arial" w:eastAsia="Arial" w:hAnsi="Arial"/>
          <w:sz w:val="17"/>
          <w:szCs w:val="17"/>
          <w:color w:val="auto"/>
        </w:rPr>
      </w:pPr>
    </w:p>
    <w:p>
      <w:pPr>
        <w:ind w:left="1300" w:right="20" w:hanging="202"/>
        <w:spacing w:after="0" w:line="23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a current executive officer of another company that was indebted to the Company, or to which the Company was indebted within the preceding three years, where the total amount of either company’s indebtedness to the other was more than five percent (5%) of the total consolidated assets of the company he or she served as an executive officer.</w:t>
      </w:r>
    </w:p>
    <w:p>
      <w:pPr>
        <w:spacing w:after="0" w:line="93" w:lineRule="exact"/>
        <w:rPr>
          <w:rFonts w:ascii="Arial" w:cs="Arial" w:eastAsia="Arial" w:hAnsi="Arial"/>
          <w:sz w:val="18"/>
          <w:szCs w:val="18"/>
          <w:color w:val="auto"/>
        </w:rPr>
      </w:pPr>
    </w:p>
    <w:p>
      <w:pPr>
        <w:ind w:left="1300" w:right="280" w:hanging="202"/>
        <w:spacing w:after="0" w:line="261"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92" w:lineRule="exact"/>
        <w:rPr>
          <w:sz w:val="20"/>
          <w:szCs w:val="20"/>
          <w:color w:val="auto"/>
        </w:rPr>
      </w:pPr>
    </w:p>
    <w:p>
      <w:pPr>
        <w:ind w:left="700" w:right="120"/>
        <w:spacing w:after="0" w:line="237" w:lineRule="auto"/>
        <w:rPr>
          <w:sz w:val="20"/>
          <w:szCs w:val="20"/>
          <w:color w:val="auto"/>
        </w:rPr>
      </w:pPr>
      <w:r>
        <w:rPr>
          <w:rFonts w:ascii="Arial" w:cs="Arial" w:eastAsia="Arial" w:hAnsi="Arial"/>
          <w:sz w:val="18"/>
          <w:szCs w:val="18"/>
          <w:color w:val="auto"/>
        </w:rPr>
        <w:t>The Board has reviewed all known material transactions and relationships between each Director, or any member of his or her immediate family, and the Company, its senior management and its independent registered public accounting firm. Based on this review and in accordance with its independence standards set forth above, the Board has affirmatively determined that all of the non-employee directors — Eleanor Baum, J. Veronica Biggins, Lawrence W. Clarkson, Ehud Houminer, James A. Lawrence, Frank R. Noonan, Ray M. Robinson, and Gary L. Tooker — are independent (“Independent Directors”).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Nominations</w:t>
      </w:r>
    </w:p>
    <w:p>
      <w:pPr>
        <w:spacing w:after="0" w:line="139"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judgment and issues of diversity in factors such as age, gender, race and culture. These factors, and others considered useful by the Board, are reviewed in the context of an assessment of the perceived needs of the Board at a particular point in time.</w:t>
      </w:r>
    </w:p>
    <w:p>
      <w:pPr>
        <w:spacing w:after="0" w:line="108" w:lineRule="exact"/>
        <w:rPr>
          <w:sz w:val="20"/>
          <w:szCs w:val="20"/>
          <w:color w:val="auto"/>
        </w:rPr>
      </w:pPr>
    </w:p>
    <w:p>
      <w:pPr>
        <w:ind w:left="700" w:right="140"/>
        <w:spacing w:after="0" w:line="239" w:lineRule="auto"/>
        <w:rPr>
          <w:sz w:val="20"/>
          <w:szCs w:val="20"/>
          <w:color w:val="auto"/>
        </w:rPr>
      </w:pPr>
      <w:r>
        <w:rPr>
          <w:rFonts w:ascii="Arial" w:cs="Arial" w:eastAsia="Arial" w:hAnsi="Arial"/>
          <w:sz w:val="18"/>
          <w:szCs w:val="18"/>
          <w:color w:val="auto"/>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3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80"/>
        <w:spacing w:after="0"/>
        <w:rPr>
          <w:sz w:val="20"/>
          <w:szCs w:val="20"/>
          <w:color w:val="auto"/>
        </w:rPr>
      </w:pPr>
      <w:r>
        <w:rPr>
          <w:rFonts w:ascii="Arial" w:cs="Arial" w:eastAsia="Arial" w:hAnsi="Arial"/>
          <w:sz w:val="18"/>
          <w:szCs w:val="18"/>
          <w:color w:val="auto"/>
        </w:rPr>
        <w:t>The Corporate Governance Committee also reviews whether a potential candidate will meet the Company’s independence standards and any other director or committee membership requirements imposed by law, regulation or stock exchange rules.</w:t>
      </w:r>
    </w:p>
    <w:p>
      <w:pPr>
        <w:spacing w:after="0" w:line="108" w:lineRule="exact"/>
        <w:rPr>
          <w:sz w:val="20"/>
          <w:szCs w:val="20"/>
          <w:color w:val="auto"/>
        </w:rPr>
      </w:pPr>
    </w:p>
    <w:p>
      <w:pPr>
        <w:ind w:left="700" w:right="40"/>
        <w:spacing w:after="0" w:line="236" w:lineRule="auto"/>
        <w:rPr>
          <w:sz w:val="20"/>
          <w:szCs w:val="20"/>
          <w:color w:val="auto"/>
        </w:rPr>
      </w:pPr>
      <w:r>
        <w:rPr>
          <w:rFonts w:ascii="Arial" w:cs="Arial" w:eastAsia="Arial" w:hAnsi="Arial"/>
          <w:sz w:val="18"/>
          <w:szCs w:val="18"/>
          <w:color w:val="auto"/>
        </w:rPr>
        <w:t>Director candidates recommended to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114" w:lineRule="exact"/>
        <w:rPr>
          <w:sz w:val="20"/>
          <w:szCs w:val="20"/>
          <w:color w:val="auto"/>
        </w:rPr>
      </w:pPr>
    </w:p>
    <w:p>
      <w:pPr>
        <w:ind w:left="700" w:right="40"/>
        <w:spacing w:after="0" w:line="237"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the Secretary, Avnet, Inc., 2211 South 47th Street, Phoenix, Arizona 85034. Shareholder recommendations must contain the following information:</w:t>
      </w:r>
    </w:p>
    <w:p>
      <w:pPr>
        <w:spacing w:after="0" w:line="111" w:lineRule="exact"/>
        <w:rPr>
          <w:sz w:val="20"/>
          <w:szCs w:val="20"/>
          <w:color w:val="auto"/>
        </w:rPr>
      </w:pPr>
    </w:p>
    <w:p>
      <w:pPr>
        <w:ind w:left="1300" w:right="760" w:hanging="202"/>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88"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103" w:lineRule="exact"/>
        <w:rPr>
          <w:rFonts w:ascii="Arial" w:cs="Arial" w:eastAsia="Arial" w:hAnsi="Arial"/>
          <w:sz w:val="18"/>
          <w:szCs w:val="18"/>
          <w:color w:val="auto"/>
        </w:rPr>
      </w:pPr>
    </w:p>
    <w:p>
      <w:pPr>
        <w:ind w:left="1300" w:right="80" w:hanging="202"/>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88" w:lineRule="exact"/>
        <w:rPr>
          <w:rFonts w:ascii="Arial" w:cs="Arial" w:eastAsia="Arial" w:hAnsi="Arial"/>
          <w:sz w:val="18"/>
          <w:szCs w:val="18"/>
          <w:color w:val="auto"/>
        </w:rPr>
      </w:pPr>
    </w:p>
    <w:p>
      <w:pPr>
        <w:ind w:left="1300" w:right="800" w:hanging="202"/>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88" w:lineRule="exact"/>
        <w:rPr>
          <w:rFonts w:ascii="Arial" w:cs="Arial" w:eastAsia="Arial" w:hAnsi="Arial"/>
          <w:sz w:val="18"/>
          <w:szCs w:val="18"/>
          <w:color w:val="auto"/>
        </w:rPr>
      </w:pPr>
    </w:p>
    <w:p>
      <w:pPr>
        <w:ind w:left="1300" w:right="80" w:hanging="202"/>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88"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117" w:lineRule="exact"/>
        <w:rPr>
          <w:sz w:val="20"/>
          <w:szCs w:val="20"/>
          <w:color w:val="auto"/>
        </w:rPr>
      </w:pPr>
    </w:p>
    <w:p>
      <w:pPr>
        <w:ind w:left="700" w:right="40"/>
        <w:spacing w:after="0"/>
        <w:rPr>
          <w:sz w:val="20"/>
          <w:szCs w:val="20"/>
          <w:color w:val="auto"/>
        </w:rPr>
      </w:pPr>
      <w:r>
        <w:rPr>
          <w:rFonts w:ascii="Arial" w:cs="Arial" w:eastAsia="Arial" w:hAnsi="Arial"/>
          <w:sz w:val="18"/>
          <w:szCs w:val="18"/>
          <w:color w:val="auto"/>
        </w:rPr>
        <w:t>To be considered by the Committee for the slate recommended in the proxy statement for the 2008 annual meeting, shareholders should submit any director recommendation and all required information to the Secretary no later than May 31, 2008.</w:t>
      </w:r>
    </w:p>
    <w:p>
      <w:pPr>
        <w:spacing w:after="0" w:line="108" w:lineRule="exact"/>
        <w:rPr>
          <w:sz w:val="20"/>
          <w:szCs w:val="20"/>
          <w:color w:val="auto"/>
        </w:rPr>
      </w:pPr>
    </w:p>
    <w:p>
      <w:pPr>
        <w:ind w:left="700" w:right="40"/>
        <w:spacing w:after="0"/>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“2008 Annual Meeting.”</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Communications</w:t>
      </w:r>
    </w:p>
    <w:p>
      <w:pPr>
        <w:spacing w:after="0" w:line="139" w:lineRule="exact"/>
        <w:rPr>
          <w:sz w:val="20"/>
          <w:szCs w:val="20"/>
          <w:color w:val="auto"/>
        </w:rPr>
      </w:pPr>
    </w:p>
    <w:p>
      <w:pPr>
        <w:ind w:left="700"/>
        <w:spacing w:after="0" w:line="257" w:lineRule="auto"/>
        <w:rPr>
          <w:sz w:val="20"/>
          <w:szCs w:val="20"/>
          <w:color w:val="auto"/>
        </w:rPr>
      </w:pPr>
      <w:r>
        <w:rPr>
          <w:rFonts w:ascii="Arial" w:cs="Arial" w:eastAsia="Arial" w:hAnsi="Arial"/>
          <w:sz w:val="17"/>
          <w:szCs w:val="17"/>
          <w:color w:val="auto"/>
        </w:rPr>
        <w:t xml:space="preserve">Shareholders and other interested parties may contact any or all of the Company’s Directors by writing to the Board of Directors or to the Secretary, Avnet, Inc., 2211 South 47th Street, Phoenix, AZ 85034. They may also submit an email to the Lead Director, the chair of the Audit Committee or the non-employee Directors as a group, by filling out the email form on the Company’s website at </w:t>
      </w:r>
      <w:r>
        <w:rPr>
          <w:rFonts w:ascii="Arial" w:cs="Arial" w:eastAsia="Arial" w:hAnsi="Arial"/>
          <w:sz w:val="17"/>
          <w:szCs w:val="17"/>
          <w:u w:val="single" w:color="auto"/>
          <w:color w:val="auto"/>
        </w:rPr>
        <w:t>www.ir.avnet.com/governance.cfm</w:t>
      </w:r>
      <w:r>
        <w:rPr>
          <w:rFonts w:ascii="Arial" w:cs="Arial" w:eastAsia="Arial" w:hAnsi="Arial"/>
          <w:sz w:val="17"/>
          <w:szCs w:val="17"/>
          <w:color w:val="auto"/>
        </w:rPr>
        <w:t xml:space="preserve"> under the caption “Board of Directors Committee Composition.”</w:t>
      </w:r>
    </w:p>
    <w:p>
      <w:pPr>
        <w:spacing w:after="0" w:line="95" w:lineRule="exact"/>
        <w:rPr>
          <w:sz w:val="20"/>
          <w:szCs w:val="20"/>
          <w:color w:val="auto"/>
        </w:rPr>
      </w:pPr>
    </w:p>
    <w:p>
      <w:pPr>
        <w:ind w:left="700" w:right="400"/>
        <w:spacing w:after="0" w:line="246"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Avnet Board of</w:t>
      </w:r>
    </w:p>
    <w:p>
      <w:pPr>
        <w:spacing w:after="0" w:line="3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Conduct</w:t>
      </w:r>
    </w:p>
    <w:p>
      <w:pPr>
        <w:spacing w:after="0" w:line="139" w:lineRule="exact"/>
        <w:rPr>
          <w:sz w:val="20"/>
          <w:szCs w:val="20"/>
          <w:color w:val="auto"/>
        </w:rPr>
      </w:pPr>
    </w:p>
    <w:p>
      <w:pPr>
        <w:ind w:left="700" w:right="240"/>
        <w:spacing w:after="0" w:line="239" w:lineRule="auto"/>
        <w:rPr>
          <w:sz w:val="20"/>
          <w:szCs w:val="20"/>
          <w:color w:val="auto"/>
        </w:rPr>
      </w:pPr>
      <w:r>
        <w:rPr>
          <w:rFonts w:ascii="Arial" w:cs="Arial" w:eastAsia="Arial" w:hAnsi="Arial"/>
          <w:sz w:val="18"/>
          <w:szCs w:val="18"/>
          <w:color w:val="auto"/>
        </w:rPr>
        <w:t xml:space="preserve">The Company has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Reporting of Ethical Concerns</w:t>
      </w:r>
    </w:p>
    <w:p>
      <w:pPr>
        <w:spacing w:after="0" w:line="139" w:lineRule="exact"/>
        <w:rPr>
          <w:sz w:val="20"/>
          <w:szCs w:val="20"/>
          <w:color w:val="auto"/>
        </w:rPr>
      </w:pPr>
    </w:p>
    <w:p>
      <w:pPr>
        <w:jc w:val="both"/>
        <w:ind w:left="700"/>
        <w:spacing w:after="0"/>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08" w:lineRule="exact"/>
        <w:rPr>
          <w:sz w:val="20"/>
          <w:szCs w:val="20"/>
          <w:color w:val="auto"/>
        </w:rPr>
      </w:pPr>
    </w:p>
    <w:p>
      <w:pPr>
        <w:ind w:left="1080" w:right="40"/>
        <w:spacing w:after="0" w:line="246" w:lineRule="auto"/>
        <w:rPr>
          <w:sz w:val="20"/>
          <w:szCs w:val="20"/>
          <w:color w:val="auto"/>
        </w:rPr>
      </w:pPr>
      <w:r>
        <w:rPr>
          <w:rFonts w:ascii="Arial" w:cs="Arial" w:eastAsia="Arial" w:hAnsi="Arial"/>
          <w:sz w:val="18"/>
          <w:szCs w:val="18"/>
          <w:color w:val="auto"/>
        </w:rPr>
        <w:t>Employees of the Company are encouraged to contact their manager, Human Resources representative or the Code of Conduct Advisor(s) assigned to their facility to report and discuss matters of concern.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persons, including employees, may contact:</w:t>
      </w:r>
    </w:p>
    <w:p>
      <w:pPr>
        <w:spacing w:after="0" w:line="117" w:lineRule="exact"/>
        <w:rPr>
          <w:sz w:val="20"/>
          <w:szCs w:val="20"/>
          <w:color w:val="auto"/>
        </w:rPr>
      </w:pPr>
    </w:p>
    <w:p>
      <w:pPr>
        <w:ind w:left="1700" w:hanging="21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Legal Department, at (480) 643-7106, or at 2211 South 47th Street, Phoenix, Arizona 85034.</w:t>
      </w:r>
    </w:p>
    <w:p>
      <w:pPr>
        <w:spacing w:after="0" w:line="103" w:lineRule="exact"/>
        <w:rPr>
          <w:rFonts w:ascii="Arial" w:cs="Arial" w:eastAsia="Arial" w:hAnsi="Arial"/>
          <w:sz w:val="18"/>
          <w:szCs w:val="18"/>
          <w:color w:val="auto"/>
        </w:rPr>
      </w:pPr>
    </w:p>
    <w:p>
      <w:pPr>
        <w:ind w:left="1700" w:right="700" w:hanging="21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Ethics Advice Line at 1-800-861-2899 (within the United States) or via email at ethicsadviceline@avnet.com. Calls and emails to the Ethics Advice Line will be treated confidentially as necessary and permitted by law, and may be made on an anonymous basis.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Lead Director</w:t>
      </w:r>
    </w:p>
    <w:p>
      <w:pPr>
        <w:spacing w:after="0" w:line="139"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The Board of Directors has established a rotation system for Lead Director service. Each Independent Director serves as the Lead Director from time to time as service rotates among the Independent Directors on an annual basis. Mr. Lawrence W. Clarkson currently serves as the Lead Director. Mr. Ehud Houminer will be the Lead Director serving a one year term beginning upon the adjournment of the Board of Directors meeting immediately following the Annual Meeting of the shareholders on November 8, 2007.</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Lead Director has the following responsibilities:</w:t>
      </w:r>
    </w:p>
    <w:p>
      <w:pPr>
        <w:spacing w:after="0" w:line="117" w:lineRule="exact"/>
        <w:rPr>
          <w:sz w:val="20"/>
          <w:szCs w:val="20"/>
          <w:color w:val="auto"/>
        </w:rPr>
      </w:pPr>
    </w:p>
    <w:p>
      <w:pPr>
        <w:ind w:left="1300" w:right="460" w:hanging="202"/>
        <w:spacing w:after="0" w:line="24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the Independent Directors;</w:t>
      </w:r>
    </w:p>
    <w:p>
      <w:pPr>
        <w:spacing w:after="0" w:line="88"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Setting meeting agendas for the executive sessions of the Independent Directors;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information to be sent to the Board and the proposed agenda for Board meetings;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Board meeting schedules to ensure sufficient time for discussion of all agenda items;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Helping ensure adequate distribution of information to members of the Board in a timely manner;</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 and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300" w:right="120" w:hanging="202"/>
        <w:spacing w:after="0" w:line="24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Performing such other duties as the Board may from time to time delegate to assist the Board in the fulfillment of its responsibilities.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Sessions</w:t>
      </w:r>
    </w:p>
    <w:p>
      <w:pPr>
        <w:spacing w:after="0" w:line="139" w:lineRule="exact"/>
        <w:rPr>
          <w:sz w:val="20"/>
          <w:szCs w:val="20"/>
          <w:color w:val="auto"/>
        </w:rPr>
      </w:pPr>
    </w:p>
    <w:p>
      <w:pPr>
        <w:ind w:left="700" w:right="40"/>
        <w:spacing w:after="0" w:line="239" w:lineRule="auto"/>
        <w:rPr>
          <w:sz w:val="20"/>
          <w:szCs w:val="20"/>
          <w:color w:val="auto"/>
        </w:rPr>
      </w:pPr>
      <w:r>
        <w:rPr>
          <w:rFonts w:ascii="Arial" w:cs="Arial" w:eastAsia="Arial" w:hAnsi="Arial"/>
          <w:sz w:val="18"/>
          <w:szCs w:val="18"/>
          <w:color w:val="auto"/>
        </w:rPr>
        <w:t>To promote free and open discussion and communication, non-management Directors meet in executive session without management present at regularly scheduled Board meetings. Non-management Directors may meet at other times at the discretion of the Lead Director or upon the request of any Independent Director. Executive sessions are chaired by the Lead Director.</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 Guidelines</w:t>
      </w:r>
    </w:p>
    <w:p>
      <w:pPr>
        <w:spacing w:after="0" w:line="139" w:lineRule="exact"/>
        <w:rPr>
          <w:sz w:val="20"/>
          <w:szCs w:val="20"/>
          <w:color w:val="auto"/>
        </w:rPr>
      </w:pPr>
    </w:p>
    <w:p>
      <w:pPr>
        <w:ind w:left="700" w:right="120"/>
        <w:spacing w:after="0" w:line="238" w:lineRule="auto"/>
        <w:rPr>
          <w:sz w:val="20"/>
          <w:szCs w:val="20"/>
          <w:color w:val="auto"/>
        </w:rPr>
      </w:pPr>
      <w:r>
        <w:rPr>
          <w:rFonts w:ascii="Arial" w:cs="Arial" w:eastAsia="Arial" w:hAnsi="Arial"/>
          <w:sz w:val="18"/>
          <w:szCs w:val="18"/>
          <w:color w:val="auto"/>
        </w:rPr>
        <w:t>The Board has adopted stock ownership guidelines providing that each Director should own, within four years of joining the Board, 10,000 shares of Avnet Common Stock. Shares that are awarded to Directors as part of director compensation, as well as Phantom Share Units acquired by Directors under the Avnet Deferred Compensation Plan for Outside Directors, count towards the ownership requirements under the guidelines, but options, even if vested, do not. All Directors are in compliance with this requirement.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Avnet Website</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including information about the Company’s management team, products and services and its corporate governance practices.</w:t>
      </w:r>
    </w:p>
    <w:p>
      <w:pPr>
        <w:spacing w:after="0" w:line="108"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 xml:space="preserve">The corporate governance information on Avnet’s website includes the Company’s Corporate Governance Guidelines, the Code of Conduct, the charters for each of the standing committees of the Board of Directors, how a shareholder can nominate a director candidate for election and how shareholders and other interested parties can communicate with the Lead Director, the chair of the Audit Committee and the non-employee Directors.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Corporate Governance Guidelines, the Code of Conduct and the charters for the Board committees can be obtained, free of charge, by writing to the Company at: Secretary, Avnet, Inc., 2211 South 47th Street, Phoenix, AZ 85034.</w:t>
      </w:r>
    </w:p>
    <w:p>
      <w:pPr>
        <w:spacing w:after="0" w:line="114"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or Directors with respect to Avnet Common Stock, are available on the Company’s website (www.avnet.com under the “Investor Relations — SEC Filings” caption) as soon as reasonably practicable after the report is electronically filed with, or furnished to, the Securities and Exchange Commission (the “SEC”).</w:t>
      </w:r>
    </w:p>
    <w:p>
      <w:pPr>
        <w:spacing w:after="0" w:line="111" w:lineRule="exact"/>
        <w:rPr>
          <w:sz w:val="20"/>
          <w:szCs w:val="20"/>
          <w:color w:val="auto"/>
        </w:rPr>
      </w:pPr>
    </w:p>
    <w:p>
      <w:pPr>
        <w:ind w:left="700" w:right="400"/>
        <w:spacing w:after="0"/>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Securities and Exchange Commission.</w:t>
      </w:r>
    </w:p>
    <w:p>
      <w:pPr>
        <w:spacing w:after="0" w:line="3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139" w:lineRule="exact"/>
        <w:rPr>
          <w:sz w:val="20"/>
          <w:szCs w:val="20"/>
          <w:color w:val="auto"/>
        </w:rPr>
      </w:pPr>
    </w:p>
    <w:p>
      <w:pPr>
        <w:ind w:left="700" w:right="280"/>
        <w:spacing w:after="0"/>
        <w:rPr>
          <w:sz w:val="20"/>
          <w:szCs w:val="20"/>
          <w:color w:val="auto"/>
        </w:rPr>
      </w:pPr>
      <w:r>
        <w:rPr>
          <w:rFonts w:ascii="Arial" w:cs="Arial" w:eastAsia="Arial" w:hAnsi="Arial"/>
          <w:sz w:val="18"/>
          <w:szCs w:val="18"/>
          <w:color w:val="auto"/>
        </w:rPr>
        <w:t>Avnet’s Board of Directors held seven meetings during fiscal 2007 — four regular quarterly meetings, a meeting held in connection with management’s presentation of its annual strategic plan and two special meetings. The non-management Directors met separately in executive session four times during fiscal 2007.</w:t>
      </w:r>
    </w:p>
    <w:p>
      <w:pPr>
        <w:spacing w:after="0" w:line="108" w:lineRule="exact"/>
        <w:rPr>
          <w:sz w:val="20"/>
          <w:szCs w:val="20"/>
          <w:color w:val="auto"/>
        </w:rPr>
      </w:pPr>
    </w:p>
    <w:p>
      <w:pPr>
        <w:ind w:left="700" w:right="120"/>
        <w:spacing w:after="0" w:line="238" w:lineRule="auto"/>
        <w:rPr>
          <w:sz w:val="20"/>
          <w:szCs w:val="20"/>
          <w:color w:val="auto"/>
        </w:rPr>
      </w:pPr>
      <w:r>
        <w:rPr>
          <w:rFonts w:ascii="Arial" w:cs="Arial" w:eastAsia="Arial" w:hAnsi="Arial"/>
          <w:sz w:val="18"/>
          <w:szCs w:val="18"/>
          <w:color w:val="auto"/>
        </w:rPr>
        <w:t>During fiscal 2007, each Director standing for re-election attended at least 75% of the combined number of meetings of the Board held during the period for which the Director served and of the committees on which such Director served. 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election attended Avnet’s 2006 annual meeting of shareholders.</w:t>
      </w:r>
    </w:p>
    <w:p>
      <w:pPr>
        <w:spacing w:after="0" w:line="108" w:lineRule="exact"/>
        <w:rPr>
          <w:sz w:val="20"/>
          <w:szCs w:val="20"/>
          <w:color w:val="auto"/>
        </w:rPr>
      </w:pPr>
    </w:p>
    <w:p>
      <w:pPr>
        <w:jc w:val="both"/>
        <w:ind w:left="700" w:right="60"/>
        <w:spacing w:after="0"/>
        <w:rPr>
          <w:sz w:val="20"/>
          <w:szCs w:val="20"/>
          <w:color w:val="auto"/>
        </w:rPr>
      </w:pPr>
      <w:r>
        <w:rPr>
          <w:rFonts w:ascii="Arial" w:cs="Arial" w:eastAsia="Arial" w:hAnsi="Arial"/>
          <w:sz w:val="18"/>
          <w:szCs w:val="18"/>
          <w:color w:val="auto"/>
        </w:rPr>
        <w:t>The Board currently has, and appoints the members of, a standing Audit Committee, Compensation Committee, Corporate Governance Committee and Finance Committee. Each committee reports regularly to the full Board and annually evaluates its performance. The members of the committees are identified in the following table.</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6"/>
        </w:trPr>
        <w:tc>
          <w:tcPr>
            <w:tcW w:w="53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vMerge w:val="continue"/>
          </w:tcPr>
          <w:p>
            <w:pPr>
              <w:spacing w:after="0"/>
              <w:rPr>
                <w:sz w:val="15"/>
                <w:szCs w:val="15"/>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Audit</w:t>
            </w:r>
          </w:p>
        </w:tc>
        <w:tc>
          <w:tcPr>
            <w:tcW w:w="380" w:type="dxa"/>
            <w:vAlign w:val="bottom"/>
          </w:tcPr>
          <w:p>
            <w:pPr>
              <w:spacing w:after="0"/>
              <w:rPr>
                <w:sz w:val="15"/>
                <w:szCs w:val="15"/>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Governance</w:t>
            </w:r>
          </w:p>
        </w:tc>
        <w:tc>
          <w:tcPr>
            <w:tcW w:w="3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49"/>
        </w:trPr>
        <w:tc>
          <w:tcPr>
            <w:tcW w:w="5380" w:type="dxa"/>
            <w:vAlign w:val="bottom"/>
          </w:tcPr>
          <w:p>
            <w:pPr>
              <w:spacing w:after="0"/>
              <w:rPr>
                <w:sz w:val="20"/>
                <w:szCs w:val="20"/>
                <w:color w:val="auto"/>
              </w:rPr>
            </w:pPr>
            <w:r>
              <w:rPr>
                <w:rFonts w:ascii="Arial" w:cs="Arial" w:eastAsia="Arial" w:hAnsi="Arial"/>
                <w:sz w:val="18"/>
                <w:szCs w:val="18"/>
                <w:color w:val="auto"/>
              </w:rPr>
              <w:t>Eleanor Baum</w:t>
            </w:r>
          </w:p>
        </w:tc>
        <w:tc>
          <w:tcPr>
            <w:tcW w:w="54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J. Veronica Biggins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Lawrence W. Clarkson</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Ehud Houminer</w:t>
            </w:r>
          </w:p>
        </w:tc>
        <w:tc>
          <w:tcPr>
            <w:tcW w:w="5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James A. Lawrence</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Chair</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Frank R. Noonan</w:t>
            </w:r>
          </w:p>
        </w:tc>
        <w:tc>
          <w:tcPr>
            <w:tcW w:w="54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Ray M. Robinson</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Chair</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44"/>
        </w:trPr>
        <w:tc>
          <w:tcPr>
            <w:tcW w:w="5380" w:type="dxa"/>
            <w:vAlign w:val="bottom"/>
          </w:tcPr>
          <w:p>
            <w:pPr>
              <w:spacing w:after="0"/>
              <w:rPr>
                <w:sz w:val="20"/>
                <w:szCs w:val="20"/>
                <w:color w:val="auto"/>
              </w:rPr>
            </w:pPr>
            <w:r>
              <w:rPr>
                <w:rFonts w:ascii="Arial" w:cs="Arial" w:eastAsia="Arial" w:hAnsi="Arial"/>
                <w:sz w:val="18"/>
                <w:szCs w:val="18"/>
                <w:color w:val="auto"/>
              </w:rPr>
              <w:t>Gary L. Tooker</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Chair</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 xml:space="preserve">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All of the members of the Audit Committee are independent under Avnet’s Director Independence Standards and also meet the additional requirements for audit committee independence established by the SEC. The Board of Directors has determined that three members of the Committee (Messrs. Houminer, Lawrence and Noonan)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2007, the Audit Committee held thirteen meetings.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The Compensation Committee is responsible for reviewing and approving compensation of all of the Company’s executive officers other than the CEO and for evaluating the performance of the CEO and, on the basis of such evaluation, for recommending to the Independent Directors the CEO compensation for consideration and approval. In addition, the Compensation Committee administers all of Avnet’s equity</w:t>
      </w:r>
    </w:p>
    <w:p>
      <w:pPr>
        <w:spacing w:after="0" w:line="3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 xml:space="preserve">compensation plans and oversees Avnet’s diversity and community relations programs. All of members of the Committee meet the independence requirements of the New York Stock Exchange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2007, the Compensation Committee held six meetings.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Committee</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Director Independence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2007, the Corporate Governance Committee held four meetings.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Finance Committee</w:t>
      </w:r>
    </w:p>
    <w:p>
      <w:pPr>
        <w:spacing w:after="0" w:line="139" w:lineRule="exact"/>
        <w:rPr>
          <w:sz w:val="20"/>
          <w:szCs w:val="20"/>
          <w:color w:val="auto"/>
        </w:rPr>
      </w:pPr>
    </w:p>
    <w:p>
      <w:pPr>
        <w:ind w:left="700" w:right="200"/>
        <w:spacing w:after="0" w:line="237" w:lineRule="auto"/>
        <w:rPr>
          <w:sz w:val="20"/>
          <w:szCs w:val="20"/>
          <w:color w:val="auto"/>
        </w:rPr>
      </w:pPr>
      <w:r>
        <w:rPr>
          <w:rFonts w:ascii="Arial" w:cs="Arial" w:eastAsia="Arial" w:hAnsi="Arial"/>
          <w:sz w:val="18"/>
          <w:szCs w:val="18"/>
          <w:color w:val="auto"/>
        </w:rPr>
        <w:t xml:space="preserve">The Finance Committee is responsible for evaluating the Company’s short and long-term financing needs and capital structure and for making recommendations about future financing. The Committee also oversees the administration of the Avnet Pension Plan and Trust and the Avnet 401(k) Plan and Trust. The Committee operates under a written charter that outlines the Committee’s purpose, member qualifications, authority and responsibilities. The Committee reviews its charter and conducts an evaluation of its own effectiveness annually. The Committee’s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2007, the Finance Committee held five meetings.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Committee</w:t>
      </w:r>
    </w:p>
    <w:p>
      <w:pPr>
        <w:spacing w:after="0" w:line="139" w:lineRule="exact"/>
        <w:rPr>
          <w:sz w:val="20"/>
          <w:szCs w:val="20"/>
          <w:color w:val="auto"/>
        </w:rPr>
      </w:pPr>
    </w:p>
    <w:p>
      <w:pPr>
        <w:ind w:left="700" w:right="180"/>
        <w:spacing w:after="0" w:line="238" w:lineRule="auto"/>
        <w:rPr>
          <w:sz w:val="20"/>
          <w:szCs w:val="20"/>
          <w:color w:val="auto"/>
        </w:rPr>
      </w:pPr>
      <w:r>
        <w:rPr>
          <w:rFonts w:ascii="Arial" w:cs="Arial" w:eastAsia="Arial" w:hAnsi="Arial"/>
          <w:sz w:val="18"/>
          <w:szCs w:val="18"/>
          <w:color w:val="auto"/>
        </w:rPr>
        <w:t>The Board of Directors has also established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2007.</w:t>
      </w:r>
    </w:p>
    <w:p>
      <w:pPr>
        <w:spacing w:after="0" w:line="3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39" w:lineRule="exact"/>
        <w:rPr>
          <w:sz w:val="20"/>
          <w:szCs w:val="20"/>
          <w:color w:val="auto"/>
        </w:rPr>
      </w:pPr>
    </w:p>
    <w:p>
      <w:pPr>
        <w:ind w:left="700" w:right="100"/>
        <w:spacing w:after="0" w:line="237" w:lineRule="auto"/>
        <w:rPr>
          <w:sz w:val="20"/>
          <w:szCs w:val="20"/>
          <w:color w:val="auto"/>
        </w:rPr>
      </w:pPr>
      <w:r>
        <w:rPr>
          <w:rFonts w:ascii="Arial" w:cs="Arial" w:eastAsia="Arial" w:hAnsi="Arial"/>
          <w:sz w:val="18"/>
          <w:szCs w:val="18"/>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nine persons listed below. Each nominee has consented to being named herein and to serving if elected. All of the nominees listed below were most recently elected as Directors at the Annual Meeting of Shareholders held on November 9, 2006.</w:t>
      </w:r>
    </w:p>
    <w:p>
      <w:pPr>
        <w:spacing w:after="0" w:line="111" w:lineRule="exact"/>
        <w:rPr>
          <w:sz w:val="20"/>
          <w:szCs w:val="20"/>
          <w:color w:val="auto"/>
        </w:rPr>
      </w:pPr>
    </w:p>
    <w:p>
      <w:pPr>
        <w:ind w:left="700" w:right="220"/>
        <w:spacing w:after="0" w:line="237" w:lineRule="auto"/>
        <w:rPr>
          <w:sz w:val="20"/>
          <w:szCs w:val="20"/>
          <w:color w:val="auto"/>
        </w:rPr>
      </w:pPr>
      <w:r>
        <w:rPr>
          <w:rFonts w:ascii="Arial" w:cs="Arial" w:eastAsia="Arial" w:hAnsi="Arial"/>
          <w:sz w:val="18"/>
          <w:szCs w:val="18"/>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Under the Corporate Governance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Corporate Governance Guidelines and publicly announce the results of its deliberation.</w:t>
      </w:r>
    </w:p>
    <w:p>
      <w:pPr>
        <w:spacing w:after="0" w:line="109"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10, 2007:</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right="121"/>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right="121"/>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right"/>
              <w:ind w:right="136"/>
              <w:spacing w:after="0"/>
              <w:rPr>
                <w:sz w:val="20"/>
                <w:szCs w:val="20"/>
                <w:color w:val="auto"/>
              </w:rPr>
            </w:pPr>
            <w:r>
              <w:rPr>
                <w:rFonts w:ascii="Arial" w:cs="Arial" w:eastAsia="Arial" w:hAnsi="Arial"/>
                <w:sz w:val="14"/>
                <w:szCs w:val="14"/>
                <w:b w:val="1"/>
                <w:bCs w:val="1"/>
                <w:color w:val="auto"/>
              </w:rPr>
              <w:t>Age</w:t>
            </w:r>
          </w:p>
        </w:tc>
        <w:tc>
          <w:tcPr>
            <w:tcW w:w="980" w:type="dxa"/>
            <w:vAlign w:val="bottom"/>
          </w:tcPr>
          <w:p>
            <w:pPr>
              <w:ind w:left="380"/>
              <w:spacing w:after="0"/>
              <w:rPr>
                <w:sz w:val="20"/>
                <w:szCs w:val="20"/>
                <w:color w:val="auto"/>
              </w:rPr>
            </w:pPr>
            <w:r>
              <w:rPr>
                <w:rFonts w:ascii="Arial" w:cs="Arial" w:eastAsia="Arial" w:hAnsi="Arial"/>
                <w:sz w:val="14"/>
                <w:szCs w:val="14"/>
                <w:b w:val="1"/>
                <w:bCs w:val="1"/>
                <w:color w:val="auto"/>
              </w:rPr>
              <w:t>Elected</w:t>
            </w:r>
          </w:p>
        </w:tc>
        <w:tc>
          <w:tcPr>
            <w:tcW w:w="8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49"/>
        </w:trPr>
        <w:tc>
          <w:tcPr>
            <w:tcW w:w="2320" w:type="dxa"/>
            <w:vAlign w:val="bottom"/>
          </w:tcPr>
          <w:p>
            <w:pPr>
              <w:spacing w:after="0"/>
              <w:rPr>
                <w:sz w:val="20"/>
                <w:szCs w:val="20"/>
                <w:color w:val="auto"/>
              </w:rPr>
            </w:pPr>
            <w:r>
              <w:rPr>
                <w:rFonts w:ascii="Arial" w:cs="Arial" w:eastAsia="Arial" w:hAnsi="Arial"/>
                <w:sz w:val="18"/>
                <w:szCs w:val="18"/>
                <w:b w:val="1"/>
                <w:bCs w:val="1"/>
                <w:color w:val="auto"/>
              </w:rPr>
              <w:t>Eleanor Baum</w:t>
            </w: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67</w:t>
            </w:r>
          </w:p>
        </w:tc>
        <w:tc>
          <w:tcPr>
            <w:tcW w:w="980" w:type="dxa"/>
            <w:vAlign w:val="bottom"/>
          </w:tcPr>
          <w:p>
            <w:pPr>
              <w:jc w:val="center"/>
              <w:ind w:right="101"/>
              <w:spacing w:after="0"/>
              <w:rPr>
                <w:sz w:val="20"/>
                <w:szCs w:val="20"/>
                <w:color w:val="auto"/>
              </w:rPr>
            </w:pPr>
            <w:r>
              <w:rPr>
                <w:rFonts w:ascii="Arial" w:cs="Arial" w:eastAsia="Arial" w:hAnsi="Arial"/>
                <w:sz w:val="18"/>
                <w:szCs w:val="18"/>
                <w:color w:val="auto"/>
                <w:w w:val="99"/>
              </w:rPr>
              <w:t>1994</w:t>
            </w: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Dean of the School of Engineering of The Cooper Union for the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Advancement of Science &amp; Art, New York, NY since 1987.</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Dr. Baum is also a director of Allegheny Energy, Inc., a utility</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holding company, and former director of United States Trust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Company (1991-2007); the former Chair of the New York</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Academy of Sciences (1998-1999); former Chair of the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Engineering Workforce Commission (1999-2002); Dr. Baum is a</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Trustee of Embry Riddle University and serves on various</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advisory boards to universities, government agencies and industry</w:t>
            </w: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J. Veronica Biggins</w:t>
            </w: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groups.</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124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60</w:t>
            </w:r>
          </w:p>
        </w:tc>
        <w:tc>
          <w:tcPr>
            <w:tcW w:w="980" w:type="dxa"/>
            <w:vAlign w:val="bottom"/>
          </w:tcPr>
          <w:p>
            <w:pPr>
              <w:jc w:val="center"/>
              <w:ind w:right="101"/>
              <w:spacing w:after="0" w:line="202" w:lineRule="exact"/>
              <w:rPr>
                <w:sz w:val="20"/>
                <w:szCs w:val="20"/>
                <w:color w:val="auto"/>
              </w:rPr>
            </w:pPr>
            <w:r>
              <w:rPr>
                <w:rFonts w:ascii="Arial" w:cs="Arial" w:eastAsia="Arial" w:hAnsi="Arial"/>
                <w:sz w:val="18"/>
                <w:szCs w:val="18"/>
                <w:color w:val="auto"/>
                <w:w w:val="99"/>
              </w:rPr>
              <w:t>1997</w:t>
            </w: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Director of HNCL Search as of September 2007. Formerly, Senior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Partner at Heidrick &amp; Struggles International, Inc., an executive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search firm, since 1995. Prior to that, Ms. Biggins was Assistant 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-1713865</wp:posOffset>
            </wp:positionV>
            <wp:extent cx="17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-1713865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5320"/>
        <w:spacing w:after="0" w:line="234" w:lineRule="auto"/>
        <w:rPr>
          <w:sz w:val="20"/>
          <w:szCs w:val="20"/>
          <w:color w:val="auto"/>
        </w:rPr>
      </w:pPr>
      <w:r>
        <w:rPr>
          <w:rFonts w:ascii="Arial" w:cs="Arial" w:eastAsia="Arial" w:hAnsi="Arial"/>
          <w:sz w:val="18"/>
          <w:szCs w:val="18"/>
          <w:color w:val="auto"/>
        </w:rPr>
        <w:t>the President of the United States. Ms. Biggins is also a director of</w:t>
      </w:r>
    </w:p>
    <w:p>
      <w:pPr>
        <w:ind w:left="5320"/>
        <w:spacing w:after="0" w:line="235" w:lineRule="auto"/>
        <w:rPr>
          <w:sz w:val="20"/>
          <w:szCs w:val="20"/>
          <w:color w:val="auto"/>
        </w:rPr>
      </w:pPr>
      <w:r>
        <w:rPr>
          <w:rFonts w:ascii="Arial" w:cs="Arial" w:eastAsia="Arial" w:hAnsi="Arial"/>
          <w:sz w:val="18"/>
          <w:szCs w:val="18"/>
          <w:color w:val="auto"/>
        </w:rPr>
        <w:t>AirTran Holdings, Inc., parent company to Airtran Airways, and</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Kaiser Permanente of Georgia, a non-profit HMO.</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rPr>
              <w:t>Age</w:t>
            </w:r>
          </w:p>
        </w:tc>
        <w:tc>
          <w:tcPr>
            <w:tcW w:w="980" w:type="dxa"/>
            <w:vAlign w:val="bottom"/>
          </w:tcPr>
          <w:p>
            <w:pPr>
              <w:ind w:left="380"/>
              <w:spacing w:after="0"/>
              <w:rPr>
                <w:sz w:val="20"/>
                <w:szCs w:val="20"/>
                <w:color w:val="auto"/>
              </w:rPr>
            </w:pPr>
            <w:r>
              <w:rPr>
                <w:rFonts w:ascii="Arial" w:cs="Arial" w:eastAsia="Arial" w:hAnsi="Arial"/>
                <w:sz w:val="14"/>
                <w:szCs w:val="14"/>
                <w:b w:val="1"/>
                <w:bCs w:val="1"/>
                <w:color w:val="auto"/>
              </w:rPr>
              <w:t>Elected</w:t>
            </w:r>
          </w:p>
        </w:tc>
        <w:tc>
          <w:tcPr>
            <w:tcW w:w="8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49"/>
        </w:trPr>
        <w:tc>
          <w:tcPr>
            <w:tcW w:w="2440" w:type="dxa"/>
            <w:vAlign w:val="bottom"/>
          </w:tcPr>
          <w:p>
            <w:pPr>
              <w:spacing w:after="0"/>
              <w:rPr>
                <w:sz w:val="20"/>
                <w:szCs w:val="20"/>
                <w:color w:val="auto"/>
              </w:rPr>
            </w:pPr>
            <w:r>
              <w:rPr>
                <w:rFonts w:ascii="Arial" w:cs="Arial" w:eastAsia="Arial" w:hAnsi="Arial"/>
                <w:sz w:val="18"/>
                <w:szCs w:val="18"/>
                <w:b w:val="1"/>
                <w:bCs w:val="1"/>
                <w:color w:val="auto"/>
              </w:rPr>
              <w:t>Lawrence W. Clarkson</w:t>
            </w:r>
          </w:p>
        </w:tc>
        <w:tc>
          <w:tcPr>
            <w:tcW w:w="1120" w:type="dxa"/>
            <w:vAlign w:val="bottom"/>
          </w:tcPr>
          <w:p>
            <w:pPr>
              <w:jc w:val="right"/>
              <w:ind w:right="293"/>
              <w:spacing w:after="0"/>
              <w:rPr>
                <w:sz w:val="20"/>
                <w:szCs w:val="20"/>
                <w:color w:val="auto"/>
              </w:rPr>
            </w:pPr>
            <w:r>
              <w:rPr>
                <w:rFonts w:ascii="Arial" w:cs="Arial" w:eastAsia="Arial" w:hAnsi="Arial"/>
                <w:sz w:val="18"/>
                <w:szCs w:val="18"/>
                <w:color w:val="auto"/>
              </w:rPr>
              <w:t>69</w:t>
            </w:r>
          </w:p>
        </w:tc>
        <w:tc>
          <w:tcPr>
            <w:tcW w:w="980" w:type="dxa"/>
            <w:vAlign w:val="bottom"/>
          </w:tcPr>
          <w:p>
            <w:pPr>
              <w:jc w:val="center"/>
              <w:ind w:right="96"/>
              <w:spacing w:after="0"/>
              <w:rPr>
                <w:sz w:val="20"/>
                <w:szCs w:val="20"/>
                <w:color w:val="auto"/>
              </w:rPr>
            </w:pPr>
            <w:r>
              <w:rPr>
                <w:rFonts w:ascii="Arial" w:cs="Arial" w:eastAsia="Arial" w:hAnsi="Arial"/>
                <w:sz w:val="18"/>
                <w:szCs w:val="18"/>
                <w:color w:val="auto"/>
                <w:w w:val="99"/>
              </w:rPr>
              <w:t>1998</w:t>
            </w: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Retired Senior Vice President of The Boeing Company (April</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1994 — February 1999) and President of Boeing Enterprises</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(January 1997 — February 1999), a manufacturer of aerospace,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aviation and defense products. Director of Hitco Carbon</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Composites and Intelligenxia, Inc., dba IxReveal, developer of</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IxReveal software. Vice Chairman of The National Bureau of</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Asian Research; director of the U.S. Pacific Basin Council and the</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Ehud Houminer</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National Center for Asia Pacific Economic Cooperation.</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1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67</w:t>
            </w:r>
          </w:p>
        </w:tc>
        <w:tc>
          <w:tcPr>
            <w:tcW w:w="980" w:type="dxa"/>
            <w:vAlign w:val="bottom"/>
          </w:tcPr>
          <w:p>
            <w:pPr>
              <w:jc w:val="center"/>
              <w:ind w:right="96"/>
              <w:spacing w:after="0" w:line="202" w:lineRule="exact"/>
              <w:rPr>
                <w:sz w:val="20"/>
                <w:szCs w:val="20"/>
                <w:color w:val="auto"/>
              </w:rPr>
            </w:pPr>
            <w:r>
              <w:rPr>
                <w:rFonts w:ascii="Arial" w:cs="Arial" w:eastAsia="Arial" w:hAnsi="Arial"/>
                <w:sz w:val="18"/>
                <w:szCs w:val="18"/>
                <w:color w:val="auto"/>
                <w:w w:val="99"/>
              </w:rPr>
              <w:t>1993</w:t>
            </w: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Executive in residence at Columbia Business School, Columbia</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University, New York since 1991. Mr. Houminer is also a director</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of various Dreyfus mutual funds. Member of the Board of</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Overseers of the Columbia Business School and chairman of the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advisory board of the honors MBA program at the School of</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Management at Ben Gurion University.</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1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54</w:t>
            </w:r>
          </w:p>
        </w:tc>
        <w:tc>
          <w:tcPr>
            <w:tcW w:w="980" w:type="dxa"/>
            <w:vAlign w:val="bottom"/>
          </w:tcPr>
          <w:p>
            <w:pPr>
              <w:jc w:val="center"/>
              <w:ind w:right="96"/>
              <w:spacing w:after="0" w:line="202" w:lineRule="exact"/>
              <w:rPr>
                <w:sz w:val="20"/>
                <w:szCs w:val="20"/>
                <w:color w:val="auto"/>
              </w:rPr>
            </w:pPr>
            <w:r>
              <w:rPr>
                <w:rFonts w:ascii="Arial" w:cs="Arial" w:eastAsia="Arial" w:hAnsi="Arial"/>
                <w:sz w:val="18"/>
                <w:szCs w:val="18"/>
                <w:color w:val="auto"/>
                <w:w w:val="99"/>
              </w:rPr>
              <w:t>1999</w:t>
            </w: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Chief Financial Officer of Unilever PLC effective September 2007.</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Mr. Lawrence previously served as Vice Chairman and Chief</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Financial Officer of General Mills, Inc., a consumer foods</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company (October 1998 — August 2007), Executive Vice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President and Chief Financial Officer of Northwest Airlines (1996-</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1998) and Chief Executive Officer of Pepsi-Cola Asia Middle East</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Africa Group (1992-1996). Mr. Lawrence is also a director of</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Frank R. Noonan</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British Airways PLC and Physicians Formula Holdings, Inc.</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1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65</w:t>
            </w:r>
          </w:p>
        </w:tc>
        <w:tc>
          <w:tcPr>
            <w:tcW w:w="980" w:type="dxa"/>
            <w:vAlign w:val="bottom"/>
          </w:tcPr>
          <w:p>
            <w:pPr>
              <w:jc w:val="center"/>
              <w:ind w:right="96"/>
              <w:spacing w:after="0" w:line="202" w:lineRule="exact"/>
              <w:rPr>
                <w:sz w:val="20"/>
                <w:szCs w:val="20"/>
                <w:color w:val="auto"/>
              </w:rPr>
            </w:pPr>
            <w:r>
              <w:rPr>
                <w:rFonts w:ascii="Arial" w:cs="Arial" w:eastAsia="Arial" w:hAnsi="Arial"/>
                <w:sz w:val="18"/>
                <w:szCs w:val="18"/>
                <w:color w:val="auto"/>
                <w:w w:val="99"/>
              </w:rPr>
              <w:t>2004</w:t>
            </w: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Retired Chairman and Chief Executive Officer of R. H. Donnelley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Co. (1991 — 2002), publisher of yellow pages directories. Mr.</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Noonan is also a director of NewStar Financial, Inc.</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1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59</w:t>
            </w:r>
          </w:p>
        </w:tc>
        <w:tc>
          <w:tcPr>
            <w:tcW w:w="980" w:type="dxa"/>
            <w:vAlign w:val="bottom"/>
          </w:tcPr>
          <w:p>
            <w:pPr>
              <w:jc w:val="center"/>
              <w:ind w:right="96"/>
              <w:spacing w:after="0" w:line="202" w:lineRule="exact"/>
              <w:rPr>
                <w:sz w:val="20"/>
                <w:szCs w:val="20"/>
                <w:color w:val="auto"/>
              </w:rPr>
            </w:pPr>
            <w:r>
              <w:rPr>
                <w:rFonts w:ascii="Arial" w:cs="Arial" w:eastAsia="Arial" w:hAnsi="Arial"/>
                <w:sz w:val="18"/>
                <w:szCs w:val="18"/>
                <w:color w:val="auto"/>
                <w:w w:val="99"/>
              </w:rPr>
              <w:t>2000</w:t>
            </w: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Non-executive Chairman of the Board of Citizens Trust Bank, the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largest African-American owned bank in the southeast United</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States, trading as Citizens Bancshares. Vice Chairman of East</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Lake Community Foundation. Previously President of AT&amp;T</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Southern Region Business Services Division from 1995 — 2003.</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Mr. Robinson is also a director of Aaron Rents, Inc., Acuity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Brands, Inc., a provider of lighting products and specialty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chemicals, AMR Corp., the parent company of American Airlines</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and ChoicePoint Inc., a provider of identification and credential</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Gary L. Tooker</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verification services.</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1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68</w:t>
            </w:r>
          </w:p>
        </w:tc>
        <w:tc>
          <w:tcPr>
            <w:tcW w:w="980" w:type="dxa"/>
            <w:vAlign w:val="bottom"/>
          </w:tcPr>
          <w:p>
            <w:pPr>
              <w:jc w:val="center"/>
              <w:ind w:right="96"/>
              <w:spacing w:after="0" w:line="202" w:lineRule="exact"/>
              <w:rPr>
                <w:sz w:val="20"/>
                <w:szCs w:val="20"/>
                <w:color w:val="auto"/>
              </w:rPr>
            </w:pPr>
            <w:r>
              <w:rPr>
                <w:rFonts w:ascii="Arial" w:cs="Arial" w:eastAsia="Arial" w:hAnsi="Arial"/>
                <w:sz w:val="18"/>
                <w:szCs w:val="18"/>
                <w:color w:val="auto"/>
                <w:w w:val="99"/>
              </w:rPr>
              <w:t>2000</w:t>
            </w: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Independent consultant (2000 — current); Retired Chairman of the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board of directors of Motorola, Inc. (1997-1999); former Vice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-4801235</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-4801235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5320"/>
        <w:spacing w:after="0" w:line="234" w:lineRule="auto"/>
        <w:rPr>
          <w:sz w:val="20"/>
          <w:szCs w:val="20"/>
          <w:color w:val="auto"/>
        </w:rPr>
      </w:pPr>
      <w:r>
        <w:rPr>
          <w:rFonts w:ascii="Arial" w:cs="Arial" w:eastAsia="Arial" w:hAnsi="Arial"/>
          <w:sz w:val="18"/>
          <w:szCs w:val="18"/>
          <w:color w:val="auto"/>
        </w:rPr>
        <w:t>Chairman and Chief Executive Officer of Motorola, Inc. (1994-</w:t>
      </w:r>
    </w:p>
    <w:p>
      <w:pPr>
        <w:ind w:left="5320"/>
        <w:spacing w:after="0" w:line="235" w:lineRule="auto"/>
        <w:rPr>
          <w:sz w:val="20"/>
          <w:szCs w:val="20"/>
          <w:color w:val="auto"/>
        </w:rPr>
      </w:pPr>
      <w:r>
        <w:rPr>
          <w:rFonts w:ascii="Arial" w:cs="Arial" w:eastAsia="Arial" w:hAnsi="Arial"/>
          <w:sz w:val="18"/>
          <w:szCs w:val="18"/>
          <w:color w:val="auto"/>
        </w:rPr>
        <w:t>1996); former director of Motorola (until May 2001). Mr. Tooker is</w:t>
      </w:r>
    </w:p>
    <w:p>
      <w:pPr>
        <w:ind w:left="5320"/>
        <w:spacing w:after="0" w:line="235" w:lineRule="auto"/>
        <w:rPr>
          <w:sz w:val="20"/>
          <w:szCs w:val="20"/>
          <w:color w:val="auto"/>
        </w:rPr>
      </w:pPr>
      <w:r>
        <w:rPr>
          <w:rFonts w:ascii="Arial" w:cs="Arial" w:eastAsia="Arial" w:hAnsi="Arial"/>
          <w:sz w:val="18"/>
          <w:szCs w:val="18"/>
          <w:color w:val="auto"/>
        </w:rPr>
        <w:t>also a director of Eaton Corporation, a diversified industrial</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manufacturer.</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530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r>
      <w:tr>
        <w:trPr>
          <w:trHeight w:val="189"/>
        </w:trPr>
        <w:tc>
          <w:tcPr>
            <w:tcW w:w="1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jc w:val="right"/>
              <w:ind w:right="119"/>
              <w:spacing w:after="0"/>
              <w:rPr>
                <w:sz w:val="20"/>
                <w:szCs w:val="20"/>
                <w:color w:val="auto"/>
              </w:rPr>
            </w:pPr>
            <w:r>
              <w:rPr>
                <w:rFonts w:ascii="Arial" w:cs="Arial" w:eastAsia="Arial" w:hAnsi="Arial"/>
                <w:sz w:val="14"/>
                <w:szCs w:val="14"/>
                <w:b w:val="1"/>
                <w:bCs w:val="1"/>
                <w:color w:val="auto"/>
              </w:rPr>
              <w:t>Age</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Elected</w:t>
            </w:r>
          </w:p>
        </w:tc>
        <w:tc>
          <w:tcPr>
            <w:tcW w:w="10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r>
      <w:tr>
        <w:trPr>
          <w:trHeight w:val="249"/>
        </w:trPr>
        <w:tc>
          <w:tcPr>
            <w:tcW w:w="1940" w:type="dxa"/>
            <w:vAlign w:val="bottom"/>
          </w:tcPr>
          <w:p>
            <w:pPr>
              <w:spacing w:after="0"/>
              <w:rPr>
                <w:sz w:val="20"/>
                <w:szCs w:val="20"/>
                <w:color w:val="auto"/>
              </w:rPr>
            </w:pPr>
            <w:r>
              <w:rPr>
                <w:rFonts w:ascii="Arial" w:cs="Arial" w:eastAsia="Arial" w:hAnsi="Arial"/>
                <w:sz w:val="18"/>
                <w:szCs w:val="18"/>
                <w:b w:val="1"/>
                <w:bCs w:val="1"/>
                <w:color w:val="auto"/>
              </w:rPr>
              <w:t>Roy Vallee</w:t>
            </w:r>
          </w:p>
        </w:tc>
        <w:tc>
          <w:tcPr>
            <w:tcW w:w="1600" w:type="dxa"/>
            <w:vAlign w:val="bottom"/>
          </w:tcPr>
          <w:p>
            <w:pPr>
              <w:jc w:val="right"/>
              <w:ind w:right="299"/>
              <w:spacing w:after="0"/>
              <w:rPr>
                <w:sz w:val="20"/>
                <w:szCs w:val="20"/>
                <w:color w:val="auto"/>
              </w:rPr>
            </w:pPr>
            <w:r>
              <w:rPr>
                <w:rFonts w:ascii="Arial" w:cs="Arial" w:eastAsia="Arial" w:hAnsi="Arial"/>
                <w:sz w:val="18"/>
                <w:szCs w:val="18"/>
                <w:color w:val="auto"/>
              </w:rPr>
              <w:t>55</w:t>
            </w:r>
          </w:p>
        </w:tc>
        <w:tc>
          <w:tcPr>
            <w:tcW w:w="980" w:type="dxa"/>
            <w:vAlign w:val="bottom"/>
          </w:tcPr>
          <w:p>
            <w:pPr>
              <w:jc w:val="center"/>
              <w:ind w:right="104"/>
              <w:spacing w:after="0"/>
              <w:rPr>
                <w:sz w:val="20"/>
                <w:szCs w:val="20"/>
                <w:color w:val="auto"/>
              </w:rPr>
            </w:pPr>
            <w:r>
              <w:rPr>
                <w:rFonts w:ascii="Arial" w:cs="Arial" w:eastAsia="Arial" w:hAnsi="Arial"/>
                <w:sz w:val="18"/>
                <w:szCs w:val="18"/>
                <w:color w:val="auto"/>
                <w:w w:val="99"/>
              </w:rPr>
              <w:t>1991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Chairman of the Board and Chief Executive Officer of Avnet since</w:t>
            </w:r>
          </w:p>
        </w:tc>
      </w:tr>
      <w:tr>
        <w:trPr>
          <w:trHeight w:val="203"/>
        </w:trPr>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June 1998; prior thereto, Vice Chairman of the Board (November</w:t>
            </w:r>
          </w:p>
        </w:tc>
      </w:tr>
      <w:tr>
        <w:trPr>
          <w:trHeight w:val="203"/>
        </w:trPr>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1992 to June 1998) and President and Chief Operating Officer of</w:t>
            </w:r>
          </w:p>
        </w:tc>
      </w:tr>
      <w:tr>
        <w:trPr>
          <w:trHeight w:val="203"/>
        </w:trPr>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Avnet (March 1992 to June 1998). Mr. Vallee is also a director of</w:t>
            </w:r>
          </w:p>
        </w:tc>
      </w:tr>
      <w:tr>
        <w:trPr>
          <w:trHeight w:val="203"/>
        </w:trPr>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Synopsys, Inc., a developer of software for semiconductor design,</w:t>
            </w:r>
          </w:p>
        </w:tc>
      </w:tr>
      <w:tr>
        <w:trPr>
          <w:trHeight w:val="203"/>
        </w:trPr>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and Teradyne, Inc., a supplier of automatic test equipment for the</w:t>
            </w:r>
          </w:p>
        </w:tc>
      </w:tr>
      <w:tr>
        <w:trPr>
          <w:trHeight w:val="217"/>
        </w:trPr>
        <w:tc>
          <w:tcPr>
            <w:tcW w:w="1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electronics and telecommunications industries.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-951230</wp:posOffset>
            </wp:positionV>
            <wp:extent cx="17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-951230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REPORT</w:t>
      </w:r>
    </w:p>
    <w:p>
      <w:pPr>
        <w:spacing w:after="0" w:line="139" w:lineRule="exact"/>
        <w:rPr>
          <w:sz w:val="20"/>
          <w:szCs w:val="20"/>
          <w:color w:val="auto"/>
        </w:rPr>
      </w:pPr>
    </w:p>
    <w:p>
      <w:pPr>
        <w:ind w:left="700" w:right="80"/>
        <w:spacing w:after="0" w:line="237"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and amended it at the Committee’s regularly scheduled meeting on August 9, 2007. The charter is available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w:t>
      </w:r>
    </w:p>
    <w:p>
      <w:pPr>
        <w:spacing w:after="0" w:line="109"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the Company’s efforts and plans in enterprise risk management. In addition, the Audit Committee oversees the Company’s internal ethics and compliance program. The Audit Committee also meets quarterly with KPMG LLP, the Company’s independent registered public accounting firm (“KPMG”), and with the Company’s Director of Corporate Audit, the Chief Financial Officer and the Chief Ethics and Compliance Officer in separate, executive sessions. Management has responsibility for the preparation, presentation and integrity of the Company’s financial statements and the reporting process, including the system of internal controls.</w:t>
      </w:r>
    </w:p>
    <w:p>
      <w:pPr>
        <w:spacing w:after="0" w:line="114" w:lineRule="exact"/>
        <w:rPr>
          <w:sz w:val="20"/>
          <w:szCs w:val="20"/>
          <w:color w:val="auto"/>
        </w:rPr>
      </w:pPr>
    </w:p>
    <w:p>
      <w:pPr>
        <w:ind w:left="700" w:right="520"/>
        <w:spacing w:after="0" w:line="253" w:lineRule="auto"/>
        <w:rPr>
          <w:sz w:val="20"/>
          <w:szCs w:val="20"/>
          <w:color w:val="auto"/>
        </w:rPr>
      </w:pPr>
      <w:r>
        <w:rPr>
          <w:rFonts w:ascii="Arial" w:cs="Arial" w:eastAsia="Arial" w:hAnsi="Arial"/>
          <w:sz w:val="17"/>
          <w:szCs w:val="17"/>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Audit Committee has reviewed and discussed the consolidated financial statements for fiscal year 2007 with</w:t>
      </w:r>
    </w:p>
    <w:p>
      <w:pPr>
        <w:ind w:left="700"/>
        <w:spacing w:after="0" w:line="234" w:lineRule="auto"/>
        <w:rPr>
          <w:sz w:val="20"/>
          <w:szCs w:val="20"/>
          <w:color w:val="auto"/>
        </w:rPr>
      </w:pPr>
      <w:r>
        <w:rPr>
          <w:rFonts w:ascii="Arial" w:cs="Arial" w:eastAsia="Arial" w:hAnsi="Arial"/>
          <w:sz w:val="18"/>
          <w:szCs w:val="18"/>
          <w:color w:val="auto"/>
        </w:rPr>
        <w:t>management and KPMG. This review included a discussion with KPMG and management of Avnet’s accounting principles,</w:t>
      </w:r>
    </w:p>
    <w:p>
      <w:pPr>
        <w:ind w:left="700"/>
        <w:spacing w:after="0" w:line="235" w:lineRule="auto"/>
        <w:rPr>
          <w:sz w:val="20"/>
          <w:szCs w:val="20"/>
          <w:color w:val="auto"/>
        </w:rPr>
      </w:pPr>
      <w:r>
        <w:rPr>
          <w:rFonts w:ascii="Arial" w:cs="Arial" w:eastAsia="Arial" w:hAnsi="Arial"/>
          <w:sz w:val="18"/>
          <w:szCs w:val="18"/>
          <w:color w:val="auto"/>
        </w:rPr>
        <w:t>the reasonableness of significant estimates and judgments, including disclosure of critical accounting estimates, and the</w:t>
      </w:r>
    </w:p>
    <w:p>
      <w:pPr>
        <w:ind w:left="700"/>
        <w:spacing w:after="0" w:line="235" w:lineRule="auto"/>
        <w:rPr>
          <w:sz w:val="20"/>
          <w:szCs w:val="20"/>
          <w:color w:val="auto"/>
        </w:rPr>
      </w:pPr>
      <w:r>
        <w:rPr>
          <w:rFonts w:ascii="Arial" w:cs="Arial" w:eastAsia="Arial" w:hAnsi="Arial"/>
          <w:sz w:val="18"/>
          <w:szCs w:val="18"/>
          <w:color w:val="auto"/>
        </w:rPr>
        <w:t>conduct of the audit. The Committee has discussed with KPMG the matters required to be discussed by Statement on</w:t>
      </w:r>
    </w:p>
    <w:p>
      <w:pPr>
        <w:ind w:left="700"/>
        <w:spacing w:after="0" w:line="235" w:lineRule="auto"/>
        <w:rPr>
          <w:sz w:val="20"/>
          <w:szCs w:val="20"/>
          <w:color w:val="auto"/>
        </w:rPr>
      </w:pPr>
      <w:r>
        <w:rPr>
          <w:rFonts w:ascii="Arial" w:cs="Arial" w:eastAsia="Arial" w:hAnsi="Arial"/>
          <w:sz w:val="18"/>
          <w:szCs w:val="18"/>
          <w:color w:val="auto"/>
        </w:rPr>
        <w:t>Auditing Standards No. 61 “Communication with Audit Committees,” as amended by Statement on Auditing Standards</w:t>
      </w:r>
    </w:p>
    <w:p>
      <w:pPr>
        <w:ind w:left="700"/>
        <w:spacing w:after="0" w:line="235" w:lineRule="auto"/>
        <w:rPr>
          <w:sz w:val="20"/>
          <w:szCs w:val="20"/>
          <w:color w:val="auto"/>
        </w:rPr>
      </w:pPr>
      <w:r>
        <w:rPr>
          <w:rFonts w:ascii="Arial" w:cs="Arial" w:eastAsia="Arial" w:hAnsi="Arial"/>
          <w:sz w:val="18"/>
          <w:szCs w:val="18"/>
          <w:color w:val="auto"/>
        </w:rPr>
        <w:t>No. 90 “Audit Committee Communications.” KPMG provided the Audit Committee with the written disclosures and the letter</w:t>
      </w:r>
    </w:p>
    <w:p>
      <w:pPr>
        <w:ind w:left="700"/>
        <w:spacing w:after="0" w:line="235" w:lineRule="auto"/>
        <w:rPr>
          <w:sz w:val="20"/>
          <w:szCs w:val="20"/>
          <w:color w:val="auto"/>
        </w:rPr>
      </w:pPr>
      <w:r>
        <w:rPr>
          <w:rFonts w:ascii="Arial" w:cs="Arial" w:eastAsia="Arial" w:hAnsi="Arial"/>
          <w:sz w:val="18"/>
          <w:szCs w:val="18"/>
          <w:color w:val="auto"/>
        </w:rPr>
        <w:t>required by Independence Standards Board Standard No. 1, “Independence Discussions with Audit Committees,” and the</w:t>
      </w:r>
    </w:p>
    <w:p>
      <w:pPr>
        <w:ind w:left="700"/>
        <w:spacing w:after="0" w:line="235" w:lineRule="auto"/>
        <w:rPr>
          <w:sz w:val="20"/>
          <w:szCs w:val="20"/>
          <w:color w:val="auto"/>
        </w:rPr>
      </w:pPr>
      <w:r>
        <w:rPr>
          <w:rFonts w:ascii="Arial" w:cs="Arial" w:eastAsia="Arial" w:hAnsi="Arial"/>
          <w:sz w:val="18"/>
          <w:szCs w:val="18"/>
          <w:color w:val="auto"/>
        </w:rPr>
        <w:t>Committee discussed with KPMG its independence. The Audit Committee has concluded that KPMG is independent from</w:t>
      </w:r>
    </w:p>
    <w:p>
      <w:pPr>
        <w:ind w:left="700"/>
        <w:spacing w:after="0" w:line="235" w:lineRule="auto"/>
        <w:rPr>
          <w:sz w:val="20"/>
          <w:szCs w:val="20"/>
          <w:color w:val="auto"/>
        </w:rPr>
      </w:pPr>
      <w:r>
        <w:rPr>
          <w:rFonts w:ascii="Arial" w:cs="Arial" w:eastAsia="Arial" w:hAnsi="Arial"/>
          <w:sz w:val="18"/>
          <w:szCs w:val="18"/>
          <w:color w:val="auto"/>
        </w:rPr>
        <w:t>the Company and its management. KPMG also discussed with the Committee its internal quality control procedures and the</w:t>
      </w:r>
    </w:p>
    <w:p>
      <w:pPr>
        <w:ind w:left="700"/>
        <w:spacing w:after="0" w:line="235" w:lineRule="auto"/>
        <w:rPr>
          <w:sz w:val="20"/>
          <w:szCs w:val="20"/>
          <w:color w:val="auto"/>
        </w:rPr>
      </w:pPr>
      <w:r>
        <w:rPr>
          <w:rFonts w:ascii="Arial" w:cs="Arial" w:eastAsia="Arial" w:hAnsi="Arial"/>
          <w:sz w:val="18"/>
          <w:szCs w:val="18"/>
          <w:color w:val="auto"/>
        </w:rPr>
        <w:t>results of its most recent peer review. In reliance on this review and these discussions, and the report of KPMG, the Audit</w:t>
      </w:r>
    </w:p>
    <w:p>
      <w:pPr>
        <w:ind w:left="700"/>
        <w:spacing w:after="0"/>
        <w:rPr>
          <w:sz w:val="20"/>
          <w:szCs w:val="20"/>
          <w:color w:val="auto"/>
        </w:rPr>
      </w:pPr>
      <w:r>
        <w:rPr>
          <w:rFonts w:ascii="Arial" w:cs="Arial" w:eastAsia="Arial" w:hAnsi="Arial"/>
          <w:sz w:val="18"/>
          <w:szCs w:val="18"/>
          <w:color w:val="auto"/>
        </w:rPr>
        <w:t>Committee has recommended to the Board, and the Board has approved, the inclusion of the audited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46" w:lineRule="auto"/>
        <w:rPr>
          <w:sz w:val="20"/>
          <w:szCs w:val="20"/>
          <w:color w:val="auto"/>
        </w:rPr>
      </w:pPr>
      <w:r>
        <w:rPr>
          <w:rFonts w:ascii="Arial" w:cs="Arial" w:eastAsia="Arial" w:hAnsi="Arial"/>
          <w:sz w:val="18"/>
          <w:szCs w:val="18"/>
          <w:color w:val="auto"/>
        </w:rPr>
        <w:t>in the Company’s Annual Report on Form 10-K for the year ended June 30, 2007 for filing with the Securities and Exchange Commission.</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A. Lawrence, Chair</w:t>
      </w:r>
    </w:p>
    <w:p>
      <w:pPr>
        <w:ind w:left="700"/>
        <w:spacing w:after="0" w:line="234" w:lineRule="auto"/>
        <w:rPr>
          <w:sz w:val="20"/>
          <w:szCs w:val="20"/>
          <w:color w:val="auto"/>
        </w:rPr>
      </w:pPr>
      <w:r>
        <w:rPr>
          <w:rFonts w:ascii="Arial" w:cs="Arial" w:eastAsia="Arial" w:hAnsi="Arial"/>
          <w:sz w:val="18"/>
          <w:szCs w:val="18"/>
          <w:color w:val="auto"/>
        </w:rPr>
        <w:t>Ehud Houminer</w:t>
      </w:r>
    </w:p>
    <w:p>
      <w:pPr>
        <w:ind w:left="700"/>
        <w:spacing w:after="0" w:line="235" w:lineRule="auto"/>
        <w:rPr>
          <w:sz w:val="20"/>
          <w:szCs w:val="20"/>
          <w:color w:val="auto"/>
        </w:rPr>
      </w:pPr>
      <w:r>
        <w:rPr>
          <w:rFonts w:ascii="Arial" w:cs="Arial" w:eastAsia="Arial" w:hAnsi="Arial"/>
          <w:sz w:val="18"/>
          <w:szCs w:val="18"/>
          <w:color w:val="auto"/>
        </w:rPr>
        <w:t>Eleanor Baum</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Frank Noonan</w:t>
      </w: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PRINCIPAL ACCOUNTING FIRM FEES</w:t>
      </w:r>
    </w:p>
    <w:p>
      <w:pPr>
        <w:spacing w:after="0" w:line="139" w:lineRule="exact"/>
        <w:rPr>
          <w:sz w:val="20"/>
          <w:szCs w:val="20"/>
          <w:color w:val="auto"/>
        </w:rPr>
      </w:pPr>
    </w:p>
    <w:p>
      <w:pPr>
        <w:ind w:left="700" w:right="640"/>
        <w:spacing w:after="0" w:line="246"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2007 and fiscal 2006.</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7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Fiscal 2007</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Fiscal 2006</w:t>
            </w:r>
          </w:p>
        </w:tc>
      </w:tr>
      <w:tr>
        <w:trPr>
          <w:trHeight w:val="249"/>
        </w:trPr>
        <w:tc>
          <w:tcPr>
            <w:tcW w:w="7440" w:type="dxa"/>
            <w:vAlign w:val="bottom"/>
          </w:tcPr>
          <w:p>
            <w:pPr>
              <w:spacing w:after="0"/>
              <w:rPr>
                <w:sz w:val="20"/>
                <w:szCs w:val="20"/>
                <w:color w:val="auto"/>
              </w:rPr>
            </w:pPr>
            <w:r>
              <w:rPr>
                <w:rFonts w:ascii="Arial" w:cs="Arial" w:eastAsia="Arial" w:hAnsi="Arial"/>
                <w:sz w:val="18"/>
                <w:szCs w:val="18"/>
                <w:color w:val="auto"/>
              </w:rPr>
              <w:t>Audit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5,827,300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5,871,119</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174,540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99,357</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1,342,450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1,030,913</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All Other Fees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7,344,290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7,001,389</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700" w:right="100"/>
        <w:spacing w:after="0" w:line="242"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 both years, Audit Fees consisted of work performed by the principal auditor associated with the audit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 including reviews performed on the Company’s Form 10 -Q filings, statutory audits required for the Company’s subsidiaries and assistance with registration statements filed by the Company, including comfort letters and consents. Audit Fees also include fees incurred in connection with the audit of internal controls over financial reporting pursuant to Section 404 of the Sarbanes-Oxley Act of 2002.</w:t>
      </w:r>
    </w:p>
    <w:p>
      <w:pPr>
        <w:spacing w:after="0" w:line="91" w:lineRule="exact"/>
        <w:rPr>
          <w:sz w:val="20"/>
          <w:szCs w:val="20"/>
          <w:color w:val="auto"/>
        </w:rPr>
      </w:pPr>
    </w:p>
    <w:p>
      <w:pPr>
        <w:ind w:left="700" w:right="200"/>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 both years, Audit-Related Fees included certain compliance-related agreed-upon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with certain acquisition due diligence efforts.</w:t>
      </w:r>
    </w:p>
    <w:p>
      <w:pPr>
        <w:spacing w:after="0" w:line="66" w:lineRule="exact"/>
        <w:rPr>
          <w:sz w:val="20"/>
          <w:szCs w:val="20"/>
          <w:color w:val="auto"/>
        </w:rPr>
      </w:pPr>
    </w:p>
    <w:p>
      <w:pPr>
        <w:ind w:left="700" w:right="300"/>
        <w:spacing w:after="0" w:line="251"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 both years, Tax Fees consisted primarily of assistance with respect to global tax compliance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state and local), tax audits, a tax-related transfer pricing study, tax-related due diligence in connection with certain acquisitions and expatriate tax services.</w:t>
      </w:r>
    </w:p>
    <w:p>
      <w:pPr>
        <w:spacing w:after="0" w:line="98" w:lineRule="exact"/>
        <w:rPr>
          <w:sz w:val="20"/>
          <w:szCs w:val="20"/>
          <w:color w:val="auto"/>
        </w:rPr>
      </w:pPr>
    </w:p>
    <w:p>
      <w:pPr>
        <w:ind w:left="700" w:right="20"/>
        <w:spacing w:after="0" w:line="253" w:lineRule="auto"/>
        <w:rPr>
          <w:sz w:val="20"/>
          <w:szCs w:val="20"/>
          <w:color w:val="auto"/>
        </w:rPr>
      </w:pPr>
      <w:r>
        <w:rPr>
          <w:rFonts w:ascii="Arial" w:cs="Arial" w:eastAsia="Arial" w:hAnsi="Arial"/>
          <w:sz w:val="17"/>
          <w:szCs w:val="17"/>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projects up to $250,000 and must then report them to the full Committee by the next Committee meeting. Management provides quarterly reports to the Audit Committee on the status and fees for all projects.</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139" w:lineRule="exact"/>
        <w:rPr>
          <w:sz w:val="20"/>
          <w:szCs w:val="20"/>
          <w:color w:val="auto"/>
        </w:rPr>
      </w:pPr>
    </w:p>
    <w:p>
      <w:pPr>
        <w:ind w:left="700" w:right="220"/>
        <w:spacing w:after="0" w:line="255" w:lineRule="auto"/>
        <w:rPr>
          <w:sz w:val="20"/>
          <w:szCs w:val="20"/>
          <w:color w:val="auto"/>
        </w:rPr>
      </w:pPr>
      <w:r>
        <w:rPr>
          <w:rFonts w:ascii="Arial" w:cs="Arial" w:eastAsia="Arial" w:hAnsi="Arial"/>
          <w:sz w:val="17"/>
          <w:szCs w:val="17"/>
          <w:color w:val="auto"/>
        </w:rPr>
        <w:t>The following table sets forth information with respect to the Common Stock of Avnet beneficially owned at September 10, 2007 by (a) persons that, to Avnet’s knowledge, were the beneficial owners of more than 5% of Avnet’s outstanding Common Stock (“5% Holders”), (b) each Director and director nominee of Avnet, (c) each of the named executive officers,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74"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260" w:type="dxa"/>
            <w:vAlign w:val="bottom"/>
          </w:tcPr>
          <w:p>
            <w:pPr>
              <w:spacing w:after="0"/>
              <w:rPr>
                <w:sz w:val="13"/>
                <w:szCs w:val="13"/>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89"/>
              </w:rPr>
              <w:t>Total</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260" w:type="dxa"/>
            <w:vAlign w:val="bottom"/>
          </w:tcPr>
          <w:p>
            <w:pPr>
              <w:spacing w:after="0"/>
              <w:rPr>
                <w:sz w:val="11"/>
                <w:szCs w:val="11"/>
                <w:color w:val="auto"/>
              </w:rPr>
            </w:pPr>
          </w:p>
        </w:tc>
        <w:tc>
          <w:tcPr>
            <w:tcW w:w="1700" w:type="dxa"/>
            <w:vAlign w:val="bottom"/>
            <w:gridSpan w:val="2"/>
          </w:tcPr>
          <w:p>
            <w:pPr>
              <w:jc w:val="center"/>
              <w:ind w:right="720"/>
              <w:spacing w:after="0" w:line="135" w:lineRule="exact"/>
              <w:rPr>
                <w:sz w:val="20"/>
                <w:szCs w:val="20"/>
                <w:color w:val="auto"/>
              </w:rPr>
            </w:pPr>
            <w:r>
              <w:rPr>
                <w:rFonts w:ascii="Arial" w:cs="Arial" w:eastAsia="Arial" w:hAnsi="Arial"/>
                <w:sz w:val="13"/>
                <w:szCs w:val="13"/>
                <w:b w:val="1"/>
                <w:bCs w:val="1"/>
                <w:color w:val="auto"/>
                <w:w w:val="95"/>
              </w:rPr>
              <w:t>Common</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Exercisable</w:t>
            </w:r>
          </w:p>
        </w:tc>
        <w:tc>
          <w:tcPr>
            <w:tcW w:w="260" w:type="dxa"/>
            <w:vAlign w:val="bottom"/>
          </w:tcPr>
          <w:p>
            <w:pPr>
              <w:spacing w:after="0"/>
              <w:rPr>
                <w:sz w:val="11"/>
                <w:szCs w:val="11"/>
                <w:color w:val="auto"/>
              </w:rPr>
            </w:pPr>
          </w:p>
        </w:tc>
        <w:tc>
          <w:tcPr>
            <w:tcW w:w="1700" w:type="dxa"/>
            <w:vAlign w:val="bottom"/>
            <w:gridSpan w:val="2"/>
          </w:tcPr>
          <w:p>
            <w:pPr>
              <w:jc w:val="center"/>
              <w:ind w:right="720"/>
              <w:spacing w:after="0" w:line="135" w:lineRule="exact"/>
              <w:rPr>
                <w:sz w:val="20"/>
                <w:szCs w:val="20"/>
                <w:color w:val="auto"/>
              </w:rPr>
            </w:pPr>
            <w:r>
              <w:rPr>
                <w:rFonts w:ascii="Arial" w:cs="Arial" w:eastAsia="Arial" w:hAnsi="Arial"/>
                <w:sz w:val="13"/>
                <w:szCs w:val="13"/>
                <w:b w:val="1"/>
                <w:bCs w:val="1"/>
                <w:color w:val="auto"/>
                <w:w w:val="95"/>
              </w:rPr>
              <w:t>Stock</w:t>
            </w: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Percent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Pr>
          <w:p>
            <w:pPr>
              <w:jc w:val="right"/>
              <w:ind w:right="153"/>
              <w:spacing w:after="0"/>
              <w:rPr>
                <w:sz w:val="20"/>
                <w:szCs w:val="20"/>
                <w:color w:val="auto"/>
              </w:rPr>
            </w:pPr>
            <w:r>
              <w:rPr>
                <w:rFonts w:ascii="Arial" w:cs="Arial" w:eastAsia="Arial" w:hAnsi="Arial"/>
                <w:sz w:val="13"/>
                <w:szCs w:val="13"/>
                <w:b w:val="1"/>
                <w:bCs w:val="1"/>
                <w:color w:val="auto"/>
              </w:rPr>
              <w:t>Common</w:t>
            </w:r>
          </w:p>
        </w:tc>
        <w:tc>
          <w:tcPr>
            <w:tcW w:w="2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Within</w:t>
            </w:r>
          </w:p>
        </w:tc>
        <w:tc>
          <w:tcPr>
            <w:tcW w:w="260" w:type="dxa"/>
            <w:vAlign w:val="bottom"/>
          </w:tcPr>
          <w:p>
            <w:pPr>
              <w:spacing w:after="0"/>
              <w:rPr>
                <w:sz w:val="12"/>
                <w:szCs w:val="12"/>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6"/>
              </w:rPr>
              <w:t>Beneficially</w:t>
            </w: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of</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Phantom</w:t>
            </w:r>
          </w:p>
        </w:tc>
        <w:tc>
          <w:tcPr>
            <w:tcW w:w="2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7"/>
        </w:trPr>
        <w:tc>
          <w:tcPr>
            <w:tcW w:w="304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Stock(a)</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60 Days</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70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Class</w:t>
            </w:r>
          </w:p>
        </w:tc>
        <w:tc>
          <w:tcPr>
            <w:tcW w:w="3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Shares(b)</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Arial" w:cs="Arial" w:eastAsia="Arial" w:hAnsi="Arial"/>
                <w:sz w:val="18"/>
                <w:szCs w:val="18"/>
                <w:b w:val="1"/>
                <w:bCs w:val="1"/>
                <w:color w:val="auto"/>
              </w:rPr>
              <w:t>5% Holders</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6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20,718,764(1)</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14.03%</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Barclays Global Investors, NA.</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20,718,764</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45 Fremont Street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San Francisco, CA 94105</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14,343,507(2)</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9.6%</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FMR Corp. et al</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14,343,507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82 Devonshire Street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Boston, MA 02109</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10,618,800(3)</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7.2%</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First Pacific Advisors LLC</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10,618,800</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11400 W. Olympic Blvd.,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Suite 1200</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Los Angeles, CA 90064</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8,422,479(4)</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5.7%</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AXA Financial, Inc. et al</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8,422,479</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1290 Avenue of the Americas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tcPr>
          <w:p>
            <w:pPr>
              <w:ind w:left="160"/>
              <w:spacing w:after="0" w:line="181" w:lineRule="exact"/>
              <w:rPr>
                <w:sz w:val="20"/>
                <w:szCs w:val="20"/>
                <w:color w:val="auto"/>
              </w:rPr>
            </w:pPr>
            <w:r>
              <w:rPr>
                <w:rFonts w:ascii="Arial" w:cs="Arial" w:eastAsia="Arial" w:hAnsi="Arial"/>
                <w:sz w:val="18"/>
                <w:szCs w:val="18"/>
                <w:color w:val="auto"/>
              </w:rPr>
              <w:t>New York, NY 10104</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b w:val="1"/>
                <w:bCs w:val="1"/>
                <w:color w:val="auto"/>
              </w:rPr>
              <w:t>Directors and Named Executive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Officers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16,228</w:t>
            </w:r>
          </w:p>
        </w:tc>
        <w:tc>
          <w:tcPr>
            <w:tcW w:w="70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line="181" w:lineRule="exact"/>
              <w:rPr>
                <w:sz w:val="20"/>
                <w:szCs w:val="20"/>
                <w:color w:val="auto"/>
              </w:rPr>
            </w:pPr>
            <w:r>
              <w:rPr>
                <w:rFonts w:ascii="Arial" w:cs="Arial" w:eastAsia="Arial" w:hAnsi="Arial"/>
                <w:sz w:val="18"/>
                <w:szCs w:val="18"/>
                <w:color w:val="auto"/>
              </w:rPr>
              <w:t>Eleanor Baum</w:t>
            </w: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auto"/>
              </w:rPr>
              <w:t>15,203</w:t>
            </w:r>
          </w:p>
        </w:tc>
        <w:tc>
          <w:tcPr>
            <w:tcW w:w="11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1,025</w:t>
            </w:r>
          </w:p>
        </w:tc>
        <w:tc>
          <w:tcPr>
            <w:tcW w:w="12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1,476</w:t>
            </w:r>
          </w:p>
        </w:tc>
        <w:tc>
          <w:tcPr>
            <w:tcW w:w="11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J. Veronica Biggins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11,025</w:t>
            </w: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10,285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21,310</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David R. Birk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46,659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30,864</w:t>
            </w:r>
          </w:p>
        </w:tc>
        <w:tc>
          <w:tcPr>
            <w:tcW w:w="196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77,523(5)</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77,523</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Lawrence W. Clarkson</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9,277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10,302</w:t>
            </w: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8,114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Harley Feldberg</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51,348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107,731</w:t>
            </w:r>
          </w:p>
        </w:tc>
        <w:tc>
          <w:tcPr>
            <w:tcW w:w="196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159,079(6)</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159,079</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Richard Hamada</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64,004</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24,370</w:t>
            </w:r>
          </w:p>
        </w:tc>
        <w:tc>
          <w:tcPr>
            <w:tcW w:w="196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88,374(7)</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88,374</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Ehud Houminer</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24,140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25,165</w:t>
            </w: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25,165</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James A. Lawrence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26,642</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27,667</w:t>
            </w: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27,667</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Frank R. Noonan</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3,800</w:t>
            </w:r>
          </w:p>
        </w:tc>
        <w:tc>
          <w:tcPr>
            <w:tcW w:w="196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4,800(8)</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14,458</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19,258</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Ray M. Robinson</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10,755</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11,780</w:t>
            </w: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9,090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20,870</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Raymond Sadowski</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80,964</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158,075</w:t>
            </w:r>
          </w:p>
        </w:tc>
        <w:tc>
          <w:tcPr>
            <w:tcW w:w="196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239,039(9)</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239,039</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Gary L. Tooker</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21,035</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16,950</w:t>
            </w:r>
          </w:p>
        </w:tc>
        <w:tc>
          <w:tcPr>
            <w:tcW w:w="196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37,985(10)</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12,536</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50,521</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Roy Vallee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289,586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1,579,537</w:t>
            </w:r>
          </w:p>
        </w:tc>
        <w:tc>
          <w:tcPr>
            <w:tcW w:w="196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1,869,123(11)</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1.23%</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1,869,123</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b w:val="1"/>
                <w:bCs w:val="1"/>
                <w:color w:val="auto"/>
              </w:rPr>
              <w:t>All directors and executive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officers as a group</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(18 persons)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2,837,656</w:t>
            </w:r>
          </w:p>
        </w:tc>
        <w:tc>
          <w:tcPr>
            <w:tcW w:w="7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-4167505</wp:posOffset>
            </wp:positionV>
            <wp:extent cx="17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Less than 1%.</w:t>
      </w:r>
    </w:p>
    <w:p>
      <w:pPr>
        <w:spacing w:after="0" w:line="50" w:lineRule="exact"/>
        <w:rPr>
          <w:sz w:val="20"/>
          <w:szCs w:val="20"/>
          <w:color w:val="auto"/>
        </w:rPr>
      </w:pPr>
    </w:p>
    <w:p>
      <w:pPr>
        <w:ind w:left="1100" w:hanging="317"/>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column includes incentive shares allocated but not yet delivered (to executive officers).</w:t>
      </w:r>
    </w:p>
    <w:p>
      <w:pPr>
        <w:spacing w:after="0" w:line="31" w:lineRule="exact"/>
        <w:rPr>
          <w:rFonts w:ascii="Arial" w:cs="Arial" w:eastAsia="Arial" w:hAnsi="Arial"/>
          <w:sz w:val="18"/>
          <w:szCs w:val="18"/>
          <w:color w:val="auto"/>
        </w:rPr>
      </w:pPr>
    </w:p>
    <w:p>
      <w:pPr>
        <w:ind w:left="1100" w:hanging="317"/>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This column indicates the number of phantom shares owned by non-employee Directors. </w:t>
      </w:r>
      <w:r>
        <w:rPr>
          <w:rFonts w:ascii="Arial" w:cs="Arial" w:eastAsia="Arial" w:hAnsi="Arial"/>
          <w:sz w:val="18"/>
          <w:szCs w:val="18"/>
          <w:i w:val="1"/>
          <w:iCs w:val="1"/>
          <w:color w:val="auto"/>
        </w:rPr>
        <w:t>Phantom shares</w:t>
      </w:r>
      <w:r>
        <w:rPr>
          <w:rFonts w:ascii="Arial" w:cs="Arial" w:eastAsia="Arial" w:hAnsi="Arial"/>
          <w:sz w:val="18"/>
          <w:szCs w:val="18"/>
          <w:color w:val="auto"/>
        </w:rPr>
        <w:t xml:space="preserve"> owned under the Avnet, Inc. Deferred Compensation Plan for Outside Directors are to be settled 1 for 1 in the Company’s Common Stock after cessation of membership on the Board or upon change in control of the Company. Under this plan, Directors can defer fees otherwise payable in cash</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220"/>
        <w:spacing w:after="0" w:line="246" w:lineRule="auto"/>
        <w:rPr>
          <w:sz w:val="20"/>
          <w:szCs w:val="20"/>
          <w:color w:val="auto"/>
        </w:rPr>
      </w:pPr>
      <w:r>
        <w:rPr>
          <w:rFonts w:ascii="Arial" w:cs="Arial" w:eastAsia="Arial" w:hAnsi="Arial"/>
          <w:sz w:val="18"/>
          <w:szCs w:val="18"/>
          <w:color w:val="auto"/>
        </w:rPr>
        <w:t>for service as a member of the Board or any of its committees into a cash or phantom share account and can elect to receive phantom shares in lieu of the portion of compensation paid in Common Stock.</w:t>
      </w:r>
    </w:p>
    <w:p>
      <w:pPr>
        <w:spacing w:after="0" w:line="35" w:lineRule="exact"/>
        <w:rPr>
          <w:sz w:val="20"/>
          <w:szCs w:val="20"/>
          <w:color w:val="auto"/>
        </w:rPr>
      </w:pPr>
    </w:p>
    <w:p>
      <w:pPr>
        <w:ind w:left="1100" w:right="40" w:hanging="303"/>
        <w:spacing w:after="0" w:line="239"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 Schedule 13G filed with the Securities and Exchange Commission on April 9, 2007, by Barclays Global Investors, NA on behalf of a group of Barclay’s entities or affiliates which reflects sole voting power with respect to 19,181,990 shares and sole dispositive power with respect to 20,718,764 shares.</w:t>
      </w:r>
    </w:p>
    <w:p>
      <w:pPr>
        <w:spacing w:after="0" w:line="39" w:lineRule="exact"/>
        <w:rPr>
          <w:rFonts w:ascii="Arial" w:cs="Arial" w:eastAsia="Arial" w:hAnsi="Arial"/>
          <w:sz w:val="18"/>
          <w:szCs w:val="18"/>
          <w:color w:val="auto"/>
        </w:rPr>
      </w:pPr>
    </w:p>
    <w:p>
      <w:pPr>
        <w:ind w:left="1100" w:right="40" w:hanging="303"/>
        <w:spacing w:after="0" w:line="239"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 Schedule 13G (Amendment No. 7) filed with the Securities and Exchange Commission on July 10, 2007, by FMR Corp. on behalf of a group of FMR’s entities or affiliates which reflects sole voting power with respect to 2,653,261 shares and sole dispositive power with respect to 14,343,507 shares beneficially owned by FMR Corp., a parent holding company.</w:t>
      </w:r>
    </w:p>
    <w:p>
      <w:pPr>
        <w:spacing w:after="0" w:line="39" w:lineRule="exact"/>
        <w:rPr>
          <w:rFonts w:ascii="Arial" w:cs="Arial" w:eastAsia="Arial" w:hAnsi="Arial"/>
          <w:sz w:val="18"/>
          <w:szCs w:val="18"/>
          <w:color w:val="auto"/>
        </w:rPr>
      </w:pPr>
    </w:p>
    <w:p>
      <w:pPr>
        <w:ind w:left="1100" w:right="180" w:hanging="3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beneficially owned is based upon information provided in a Schedule 13G filed with the Securities and Exchange Commission on February 13, 2007. First Pacific Advisors LLC has shared voting power with respect to 4,088,200 shares and shared dispositive power with respect to 10,618,800 shares.</w:t>
      </w:r>
    </w:p>
    <w:p>
      <w:pPr>
        <w:spacing w:after="0" w:line="40" w:lineRule="exact"/>
        <w:rPr>
          <w:rFonts w:ascii="Arial" w:cs="Arial" w:eastAsia="Arial" w:hAnsi="Arial"/>
          <w:sz w:val="18"/>
          <w:szCs w:val="18"/>
          <w:color w:val="auto"/>
        </w:rPr>
      </w:pPr>
    </w:p>
    <w:p>
      <w:pPr>
        <w:ind w:left="1100" w:right="60" w:hanging="303"/>
        <w:spacing w:after="0" w:line="238"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 Schedule 13G (Amendment No. 7) filed with the Securities and Exchange Commission on February 13, 2007 pursuant to a Joint Filing Agreement on behalf of AXA’s entities or affiliates with sole power to vote or direct the vote with respect to 4,964,159 shares, sole power to dispose or direct the disposition with respect to 8,422,479 shares and shared power to vote or direct the vote with respect to 46,810 shares.</w:t>
      </w:r>
    </w:p>
    <w:p>
      <w:pPr>
        <w:spacing w:after="0" w:line="40" w:lineRule="exact"/>
        <w:rPr>
          <w:rFonts w:ascii="Arial" w:cs="Arial" w:eastAsia="Arial" w:hAnsi="Arial"/>
          <w:sz w:val="18"/>
          <w:szCs w:val="18"/>
          <w:color w:val="auto"/>
        </w:rPr>
      </w:pPr>
    </w:p>
    <w:p>
      <w:pPr>
        <w:ind w:left="1100" w:hanging="3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20,348 Incentive Shares allocated but not yet delivered.</w:t>
      </w:r>
    </w:p>
    <w:p>
      <w:pPr>
        <w:spacing w:after="0" w:line="49" w:lineRule="exact"/>
        <w:rPr>
          <w:rFonts w:ascii="Arial" w:cs="Arial" w:eastAsia="Arial" w:hAnsi="Arial"/>
          <w:sz w:val="18"/>
          <w:szCs w:val="18"/>
          <w:color w:val="auto"/>
        </w:rPr>
      </w:pPr>
    </w:p>
    <w:p>
      <w:pPr>
        <w:ind w:left="1100" w:right="200" w:hanging="303"/>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28,297 Incentive Shares allocated but not yet delivered. Also includes 23,051 shares of Common Stock held by a family trust for which Mr. Feldberg is a trustee.</w:t>
      </w:r>
    </w:p>
    <w:p>
      <w:pPr>
        <w:spacing w:after="0" w:line="34" w:lineRule="exact"/>
        <w:rPr>
          <w:rFonts w:ascii="Arial" w:cs="Arial" w:eastAsia="Arial" w:hAnsi="Arial"/>
          <w:sz w:val="18"/>
          <w:szCs w:val="18"/>
          <w:color w:val="auto"/>
        </w:rPr>
      </w:pPr>
    </w:p>
    <w:p>
      <w:pPr>
        <w:ind w:left="1100" w:right="200" w:hanging="303"/>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38,925 Incentive Shares allocated but not yet delivered. Also includes 23,431 shares of Common Stock held by a family trust for which Mr. Hamada is a trustee.</w:t>
      </w:r>
    </w:p>
    <w:p>
      <w:pPr>
        <w:spacing w:after="0" w:line="34" w:lineRule="exact"/>
        <w:rPr>
          <w:rFonts w:ascii="Arial" w:cs="Arial" w:eastAsia="Arial" w:hAnsi="Arial"/>
          <w:sz w:val="18"/>
          <w:szCs w:val="18"/>
          <w:color w:val="auto"/>
        </w:rPr>
      </w:pPr>
    </w:p>
    <w:p>
      <w:pPr>
        <w:ind w:left="1100" w:hanging="3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 shares of Common Stock held by a trust for which Mr. Noonan is a trustee.</w:t>
      </w:r>
    </w:p>
    <w:p>
      <w:pPr>
        <w:spacing w:after="0" w:line="49" w:lineRule="exact"/>
        <w:rPr>
          <w:rFonts w:ascii="Arial" w:cs="Arial" w:eastAsia="Arial" w:hAnsi="Arial"/>
          <w:sz w:val="18"/>
          <w:szCs w:val="18"/>
          <w:color w:val="auto"/>
        </w:rPr>
      </w:pPr>
    </w:p>
    <w:p>
      <w:pPr>
        <w:ind w:left="1100" w:hanging="3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24,065 Incentive Shares allocated but not yet delivered.</w:t>
      </w:r>
    </w:p>
    <w:p>
      <w:pPr>
        <w:spacing w:after="0" w:line="49"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21,035 shares of Common Stock held by a family trust for which Mr. Tooker is a trustee.</w:t>
      </w:r>
    </w:p>
    <w:p>
      <w:pPr>
        <w:spacing w:after="0" w:line="49" w:lineRule="exact"/>
        <w:rPr>
          <w:rFonts w:ascii="Arial" w:cs="Arial" w:eastAsia="Arial" w:hAnsi="Arial"/>
          <w:sz w:val="18"/>
          <w:szCs w:val="18"/>
          <w:color w:val="auto"/>
        </w:rPr>
      </w:pPr>
    </w:p>
    <w:p>
      <w:pPr>
        <w:ind w:left="1100" w:right="380" w:hanging="403"/>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121,471 Incentive Shares allocated but not yet delivered. Also includes 160,094 shares of Common Stock held by a family trust for which Mr. Vallee is a trustee.</w:t>
      </w:r>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Pursuant to Section 16(a) of the Securities Exchange Act of 1934,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2007 all such filing requirements were complied within a timely manner by all Directors and executive officers except for (a) Messrs. Birk, Church, Feldberg, Hamada, Kamins, Phillips, Sadowski, Smith and Vallee each of whom, due to an administrative error, filed one Form 4 after the required filing date; and (b) Mr. Church reported six transactions by his son and daughter on a Form 5 filed in July 2007.</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700" w:right="3100" w:firstLine="3141"/>
        <w:spacing w:after="0" w:line="389" w:lineRule="auto"/>
        <w:rPr>
          <w:sz w:val="20"/>
          <w:szCs w:val="20"/>
          <w:color w:val="auto"/>
        </w:rPr>
      </w:pPr>
      <w:r>
        <w:rPr>
          <w:rFonts w:ascii="Arial" w:cs="Arial" w:eastAsia="Arial" w:hAnsi="Arial"/>
          <w:sz w:val="18"/>
          <w:szCs w:val="18"/>
          <w:b w:val="1"/>
          <w:bCs w:val="1"/>
          <w:color w:val="auto"/>
        </w:rPr>
        <w:t xml:space="preserve">EXECUTIVE OFFICERS OF THE COMPANY </w:t>
      </w:r>
      <w:r>
        <w:rPr>
          <w:rFonts w:ascii="Arial" w:cs="Arial" w:eastAsia="Arial" w:hAnsi="Arial"/>
          <w:sz w:val="18"/>
          <w:szCs w:val="18"/>
          <w:color w:val="auto"/>
        </w:rPr>
        <w:t>The current executive officers of the Company are:</w:t>
      </w:r>
    </w:p>
    <w:tbl>
      <w:tblPr>
        <w:tblLayout w:type="fixed"/>
        <w:tblInd w:w="700" w:type="dxa"/>
        <w:tblCellMar>
          <w:top w:w="0" w:type="dxa"/>
          <w:left w:w="0" w:type="dxa"/>
          <w:bottom w:w="0" w:type="dxa"/>
          <w:right w:w="0" w:type="dxa"/>
        </w:tblCellMar>
      </w:tblPr>
      <w:tr>
        <w:trPr>
          <w:trHeight w:val="190"/>
        </w:trPr>
        <w:tc>
          <w:tcPr>
            <w:tcW w:w="2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080" w:type="dxa"/>
            <w:vAlign w:val="bottom"/>
          </w:tcPr>
          <w:p>
            <w:pPr>
              <w:ind w:left="2640"/>
              <w:spacing w:after="0"/>
              <w:rPr>
                <w:sz w:val="20"/>
                <w:szCs w:val="20"/>
                <w:color w:val="auto"/>
              </w:rPr>
            </w:pPr>
            <w:r>
              <w:rPr>
                <w:rFonts w:ascii="Arial" w:cs="Arial" w:eastAsia="Arial" w:hAnsi="Arial"/>
                <w:sz w:val="14"/>
                <w:szCs w:val="14"/>
                <w:b w:val="1"/>
                <w:bCs w:val="1"/>
                <w:color w:val="auto"/>
              </w:rPr>
              <w:t>Office</w:t>
            </w:r>
          </w:p>
        </w:tc>
      </w:tr>
      <w:tr>
        <w:trPr>
          <w:trHeight w:val="268"/>
        </w:trPr>
        <w:tc>
          <w:tcPr>
            <w:tcW w:w="2900" w:type="dxa"/>
            <w:vAlign w:val="bottom"/>
          </w:tcPr>
          <w:p>
            <w:pPr>
              <w:spacing w:after="0"/>
              <w:rPr>
                <w:sz w:val="20"/>
                <w:szCs w:val="20"/>
                <w:color w:val="auto"/>
              </w:rPr>
            </w:pPr>
            <w:r>
              <w:rPr>
                <w:rFonts w:ascii="Arial" w:cs="Arial" w:eastAsia="Arial" w:hAnsi="Arial"/>
                <w:sz w:val="18"/>
                <w:szCs w:val="18"/>
                <w:color w:val="auto"/>
              </w:rPr>
              <w:t>Roy Vallee</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5080" w:type="dxa"/>
            <w:vAlign w:val="bottom"/>
          </w:tcPr>
          <w:p>
            <w:pPr>
              <w:ind w:left="60"/>
              <w:spacing w:after="0"/>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David R. Birk</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60</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Senior Vice President, Secretary and General Counsel</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Steven C. Church</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58</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Senior Vice President and Chief HROD Officer</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Harley Feldberg</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54</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Senior Vice President and President of Avnet Electronic</w:t>
            </w:r>
          </w:p>
        </w:tc>
      </w:tr>
      <w:tr>
        <w:trPr>
          <w:trHeight w:val="203"/>
        </w:trPr>
        <w:tc>
          <w:tcPr>
            <w:tcW w:w="2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Marketing</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Richard P. Hamada</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49</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Senior Vice President and Chief Operating Officer</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Edward Kamins</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58</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w w:val="99"/>
              </w:rPr>
              <w:t>Senior Vice President and Chief Operational Excellence Officer</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John Paget</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58</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President of Avnet Technology Solutions</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Steven R. Phillips</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Vice President and Chief Information Officer</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Raymond Sadowski</w:t>
            </w:r>
          </w:p>
        </w:tc>
        <w:tc>
          <w:tcPr>
            <w:tcW w:w="1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53</w:t>
            </w: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Senior Vice President, Chief Financial Officer and Assistant</w:t>
            </w:r>
          </w:p>
        </w:tc>
      </w:tr>
      <w:tr>
        <w:trPr>
          <w:trHeight w:val="203"/>
        </w:trPr>
        <w:tc>
          <w:tcPr>
            <w:tcW w:w="2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080" w:type="dxa"/>
            <w:vAlign w:val="bottom"/>
          </w:tcPr>
          <w:p>
            <w:pPr>
              <w:ind w:left="60"/>
              <w:spacing w:after="0" w:line="202" w:lineRule="exact"/>
              <w:rPr>
                <w:sz w:val="20"/>
                <w:szCs w:val="20"/>
                <w:color w:val="auto"/>
              </w:rPr>
            </w:pPr>
            <w:r>
              <w:rPr>
                <w:rFonts w:ascii="Arial" w:cs="Arial" w:eastAsia="Arial" w:hAnsi="Arial"/>
                <w:sz w:val="18"/>
                <w:szCs w:val="18"/>
                <w:color w:val="auto"/>
              </w:rPr>
              <w:t>Secretary</w:t>
            </w:r>
          </w:p>
        </w:tc>
      </w:tr>
      <w:tr>
        <w:trPr>
          <w:trHeight w:val="217"/>
        </w:trPr>
        <w:tc>
          <w:tcPr>
            <w:tcW w:w="2900" w:type="dxa"/>
            <w:vAlign w:val="bottom"/>
          </w:tcPr>
          <w:p>
            <w:pPr>
              <w:spacing w:after="0"/>
              <w:rPr>
                <w:sz w:val="20"/>
                <w:szCs w:val="20"/>
                <w:color w:val="auto"/>
              </w:rPr>
            </w:pPr>
            <w:r>
              <w:rPr>
                <w:rFonts w:ascii="Arial" w:cs="Arial" w:eastAsia="Arial" w:hAnsi="Arial"/>
                <w:sz w:val="18"/>
                <w:szCs w:val="18"/>
                <w:color w:val="auto"/>
              </w:rPr>
              <w:t>James N. Smith</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5080" w:type="dxa"/>
            <w:vAlign w:val="bottom"/>
          </w:tcPr>
          <w:p>
            <w:pPr>
              <w:ind w:left="60"/>
              <w:spacing w:after="0"/>
              <w:rPr>
                <w:sz w:val="20"/>
                <w:szCs w:val="20"/>
                <w:color w:val="auto"/>
              </w:rPr>
            </w:pPr>
            <w:r>
              <w:rPr>
                <w:rFonts w:ascii="Arial" w:cs="Arial" w:eastAsia="Arial" w:hAnsi="Arial"/>
                <w:sz w:val="18"/>
                <w:szCs w:val="18"/>
                <w:color w:val="auto"/>
              </w:rPr>
              <w:t>President of Avnet Logistics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-1594485</wp:posOffset>
            </wp:positionV>
            <wp:extent cx="26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-1594485</wp:posOffset>
            </wp:positionV>
            <wp:extent cx="34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7"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Mr. Vallee joined the Company in February 1977 and has been Chairman of the Board and Chief Executive Officer since June 1998. Prior thereto, he served as Vice Chairman of the Board from November 1992 until June 1998 and also President and Chief Operating Officer from March 1992 until his election as CEO in June 1998.</w:t>
      </w:r>
    </w:p>
    <w:p>
      <w:pPr>
        <w:spacing w:after="0" w:line="108" w:lineRule="exact"/>
        <w:rPr>
          <w:sz w:val="20"/>
          <w:szCs w:val="20"/>
          <w:color w:val="auto"/>
        </w:rPr>
      </w:pPr>
    </w:p>
    <w:p>
      <w:pPr>
        <w:ind w:left="700" w:right="140"/>
        <w:spacing w:after="0" w:line="239" w:lineRule="auto"/>
        <w:rPr>
          <w:sz w:val="20"/>
          <w:szCs w:val="20"/>
          <w:color w:val="auto"/>
        </w:rPr>
      </w:pPr>
      <w:r>
        <w:rPr>
          <w:rFonts w:ascii="Arial" w:cs="Arial" w:eastAsia="Arial" w:hAnsi="Arial"/>
          <w:sz w:val="18"/>
          <w:szCs w:val="18"/>
          <w:color w:val="auto"/>
        </w:rPr>
        <w:t>Mr. Birk has been Senior Vice President of Avnet since November 1992. Mr. Birk was elected Vice President and General Counsel in September 1989 and previously held the position of Secretary from July 1997 until November 2003 and was re-elected to the position of Secretary in January 2005. In June 2007, Mr. Birk was elected to the Board of Directors of UAP Holding Corp., which distributes agricultural and non-crop inputs to the U.S. and Canada.</w:t>
      </w:r>
    </w:p>
    <w:p>
      <w:pPr>
        <w:spacing w:after="0" w:line="107" w:lineRule="exact"/>
        <w:rPr>
          <w:sz w:val="20"/>
          <w:szCs w:val="20"/>
          <w:color w:val="auto"/>
        </w:rPr>
      </w:pPr>
    </w:p>
    <w:p>
      <w:pPr>
        <w:ind w:left="700"/>
        <w:spacing w:after="0" w:line="248" w:lineRule="auto"/>
        <w:rPr>
          <w:sz w:val="20"/>
          <w:szCs w:val="20"/>
          <w:color w:val="auto"/>
        </w:rPr>
      </w:pPr>
      <w:r>
        <w:rPr>
          <w:rFonts w:ascii="Arial" w:cs="Arial" w:eastAsia="Arial" w:hAnsi="Arial"/>
          <w:sz w:val="17"/>
          <w:szCs w:val="17"/>
          <w:color w:val="auto"/>
        </w:rPr>
        <w:t>Mr. Church has been Senior Vice President of Avnet since November 1995 and currently serves as Chief Human Resources and Organizational Development Officer. Mr. Church previously served as President of Avnet Electronics Marketing Americas from 1994 to 2001 and co-President of Electronics Marketing from August 1998 to April 2001. Prior thereto,</w:t>
      </w:r>
    </w:p>
    <w:p>
      <w:pPr>
        <w:spacing w:after="0" w:line="2" w:lineRule="exact"/>
        <w:rPr>
          <w:sz w:val="20"/>
          <w:szCs w:val="20"/>
          <w:color w:val="auto"/>
        </w:rPr>
      </w:pPr>
    </w:p>
    <w:p>
      <w:pPr>
        <w:ind w:left="700" w:right="760"/>
        <w:spacing w:after="0" w:line="246" w:lineRule="auto"/>
        <w:rPr>
          <w:sz w:val="20"/>
          <w:szCs w:val="20"/>
          <w:color w:val="auto"/>
        </w:rPr>
      </w:pPr>
      <w:r>
        <w:rPr>
          <w:rFonts w:ascii="Arial" w:cs="Arial" w:eastAsia="Arial" w:hAnsi="Arial"/>
          <w:sz w:val="18"/>
          <w:szCs w:val="18"/>
          <w:color w:val="auto"/>
        </w:rPr>
        <w:t>Mr. Church held various positions with Avnet including President of Hamilton Hallmark, Vice President of Corporate Marketing for Hamilton Hallmark and President of Avnet’s OEM Marketing Group.</w:t>
      </w:r>
    </w:p>
    <w:p>
      <w:pPr>
        <w:spacing w:after="0" w:line="102" w:lineRule="exact"/>
        <w:rPr>
          <w:sz w:val="20"/>
          <w:szCs w:val="20"/>
          <w:color w:val="auto"/>
        </w:rPr>
      </w:pPr>
    </w:p>
    <w:p>
      <w:pPr>
        <w:ind w:left="700" w:right="120"/>
        <w:spacing w:after="0" w:line="239" w:lineRule="auto"/>
        <w:rPr>
          <w:sz w:val="20"/>
          <w:szCs w:val="20"/>
          <w:color w:val="auto"/>
        </w:rPr>
      </w:pPr>
      <w:r>
        <w:rPr>
          <w:rFonts w:ascii="Arial" w:cs="Arial" w:eastAsia="Arial" w:hAnsi="Arial"/>
          <w:sz w:val="18"/>
          <w:szCs w:val="18"/>
          <w:color w:val="auto"/>
        </w:rPr>
        <w:t>Mr. Feldberg became an executive officer in July 2004 when he was promoted to President of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107" w:lineRule="exact"/>
        <w:rPr>
          <w:sz w:val="20"/>
          <w:szCs w:val="20"/>
          <w:color w:val="auto"/>
        </w:rPr>
      </w:pPr>
    </w:p>
    <w:p>
      <w:pPr>
        <w:ind w:left="700" w:right="160"/>
        <w:spacing w:after="0"/>
        <w:rPr>
          <w:sz w:val="20"/>
          <w:szCs w:val="20"/>
          <w:color w:val="auto"/>
        </w:rPr>
      </w:pPr>
      <w:r>
        <w:rPr>
          <w:rFonts w:ascii="Arial" w:cs="Arial" w:eastAsia="Arial" w:hAnsi="Arial"/>
          <w:sz w:val="18"/>
          <w:szCs w:val="18"/>
          <w:color w:val="auto"/>
        </w:rPr>
        <w:t>Mr. Hamada was appointed as Chief Operating Officer in July 2006 and has been Senior Vice President of Avnet since November 2002. Mr. Hamada served as the President of the Computer Marketing operating group from January 2002 until July 2003 and was appointed Vice President of Avnet in November 1999.</w:t>
      </w:r>
    </w:p>
    <w:p>
      <w:pPr>
        <w:spacing w:after="0" w:line="108" w:lineRule="exact"/>
        <w:rPr>
          <w:sz w:val="20"/>
          <w:szCs w:val="20"/>
          <w:color w:val="auto"/>
        </w:rPr>
      </w:pPr>
    </w:p>
    <w:p>
      <w:pPr>
        <w:ind w:left="700" w:right="120"/>
        <w:spacing w:after="0" w:line="238" w:lineRule="auto"/>
        <w:rPr>
          <w:sz w:val="20"/>
          <w:szCs w:val="20"/>
          <w:color w:val="auto"/>
        </w:rPr>
      </w:pPr>
      <w:r>
        <w:rPr>
          <w:rFonts w:ascii="Arial" w:cs="Arial" w:eastAsia="Arial" w:hAnsi="Arial"/>
          <w:sz w:val="18"/>
          <w:szCs w:val="18"/>
          <w:color w:val="auto"/>
        </w:rPr>
        <w:t>Mr. Kamins has been Senior Vice President of Avnet since November 2000 and was Chief Information Officer for two years before taking on the role of Chief Operational Excellence Officer in July 2005. Prior thereto, he served as President of the Applied Computing operating group from its formation in October 1999 until July 2003. Mr. Kamins served as a Vice President of Avnet from November 1999 to November 2000 and previously held various management positions since he joined Avnet in 1996. Mr. Kamins is a director of Interdigital Inc. and Calence LLC.</w:t>
      </w:r>
    </w:p>
    <w:p>
      <w:pPr>
        <w:spacing w:after="0" w:line="108" w:lineRule="exact"/>
        <w:rPr>
          <w:sz w:val="20"/>
          <w:szCs w:val="20"/>
          <w:color w:val="auto"/>
        </w:rPr>
      </w:pPr>
    </w:p>
    <w:p>
      <w:pPr>
        <w:ind w:left="700" w:right="180"/>
        <w:spacing w:after="0" w:line="246" w:lineRule="auto"/>
        <w:rPr>
          <w:sz w:val="20"/>
          <w:szCs w:val="20"/>
          <w:color w:val="auto"/>
        </w:rPr>
      </w:pPr>
      <w:r>
        <w:rPr>
          <w:rFonts w:ascii="Arial" w:cs="Arial" w:eastAsia="Arial" w:hAnsi="Arial"/>
          <w:sz w:val="18"/>
          <w:szCs w:val="18"/>
          <w:color w:val="auto"/>
        </w:rPr>
        <w:t>Mr. Paget joined the Company in March 2007 as President of Avnet Technology Solutions. Before joining Avnet, Mr. Paget was President of the Technology Solutions Division of Synnex Corporation from May 2004</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540"/>
        <w:spacing w:after="0"/>
        <w:rPr>
          <w:sz w:val="20"/>
          <w:szCs w:val="20"/>
          <w:color w:val="auto"/>
        </w:rPr>
      </w:pPr>
      <w:r>
        <w:rPr>
          <w:rFonts w:ascii="Arial" w:cs="Arial" w:eastAsia="Arial" w:hAnsi="Arial"/>
          <w:sz w:val="18"/>
          <w:szCs w:val="18"/>
          <w:color w:val="auto"/>
        </w:rPr>
        <w:t>to February 2007. Prior thereto, he held the position of Senior Vice President and General Manager of GE Technology Financial Services from January 2003 to May 2004. Mr. Paget served as President and Chief Executive Officer of GE Access from November 2000 to May 2003.</w:t>
      </w:r>
    </w:p>
    <w:p>
      <w:pPr>
        <w:spacing w:after="0" w:line="108" w:lineRule="exact"/>
        <w:rPr>
          <w:sz w:val="20"/>
          <w:szCs w:val="20"/>
          <w:color w:val="auto"/>
        </w:rPr>
      </w:pPr>
    </w:p>
    <w:p>
      <w:pPr>
        <w:ind w:left="700"/>
        <w:spacing w:after="0" w:line="248" w:lineRule="auto"/>
        <w:rPr>
          <w:sz w:val="20"/>
          <w:szCs w:val="20"/>
          <w:color w:val="auto"/>
        </w:rPr>
      </w:pPr>
      <w:r>
        <w:rPr>
          <w:rFonts w:ascii="Arial" w:cs="Arial" w:eastAsia="Arial" w:hAnsi="Arial"/>
          <w:sz w:val="17"/>
          <w:szCs w:val="17"/>
          <w:color w:val="auto"/>
        </w:rPr>
        <w:t>Mr. Phillips is Vice President and Chief Information Officer of Avnet. He joined Avnet with the July 2005 acquisition of Memec where he had served as Senior Vice President and Chief Information Officer since May 2004. Prior to joining Memec,</w:t>
      </w:r>
    </w:p>
    <w:p>
      <w:pPr>
        <w:spacing w:after="0" w:line="1" w:lineRule="exact"/>
        <w:rPr>
          <w:sz w:val="20"/>
          <w:szCs w:val="20"/>
          <w:color w:val="auto"/>
        </w:rPr>
      </w:pPr>
    </w:p>
    <w:p>
      <w:pPr>
        <w:ind w:left="700" w:right="180"/>
        <w:spacing w:after="0"/>
        <w:rPr>
          <w:sz w:val="20"/>
          <w:szCs w:val="20"/>
          <w:color w:val="auto"/>
        </w:rPr>
      </w:pPr>
      <w:r>
        <w:rPr>
          <w:rFonts w:ascii="Arial" w:cs="Arial" w:eastAsia="Arial" w:hAnsi="Arial"/>
          <w:sz w:val="18"/>
          <w:szCs w:val="18"/>
          <w:color w:val="auto"/>
        </w:rPr>
        <w:t>Mr. Phillips was Senior Vice President and Chief Information Officer for Gateway Inc. He joined Gateway in June 1999 and served as Vice President of Information Technology in London and San Diego before his appointment in August 2003 as Chief Information Officer.</w:t>
      </w:r>
    </w:p>
    <w:p>
      <w:pPr>
        <w:spacing w:after="0" w:line="108" w:lineRule="exact"/>
        <w:rPr>
          <w:sz w:val="20"/>
          <w:szCs w:val="20"/>
          <w:color w:val="auto"/>
        </w:rPr>
      </w:pPr>
    </w:p>
    <w:p>
      <w:pPr>
        <w:ind w:left="700" w:right="360"/>
        <w:spacing w:after="0"/>
        <w:rPr>
          <w:sz w:val="20"/>
          <w:szCs w:val="20"/>
          <w:color w:val="auto"/>
        </w:rPr>
      </w:pPr>
      <w:r>
        <w:rPr>
          <w:rFonts w:ascii="Arial" w:cs="Arial" w:eastAsia="Arial" w:hAnsi="Arial"/>
          <w:sz w:val="18"/>
          <w:szCs w:val="18"/>
          <w:color w:val="auto"/>
        </w:rPr>
        <w:t>Mr. Sadowski has been Senior Vice President of Avnet since November 1992 and Chief Financial Officer since February 1993. Prior thereto, Mr. Sadowski has held various management positions in Avnet’s finance organization including the position of Controller.</w:t>
      </w:r>
    </w:p>
    <w:p>
      <w:pPr>
        <w:spacing w:after="0" w:line="108" w:lineRule="exact"/>
        <w:rPr>
          <w:sz w:val="20"/>
          <w:szCs w:val="20"/>
          <w:color w:val="auto"/>
        </w:rPr>
      </w:pPr>
    </w:p>
    <w:p>
      <w:pPr>
        <w:ind w:left="700" w:right="140"/>
        <w:spacing w:after="0" w:line="239" w:lineRule="auto"/>
        <w:rPr>
          <w:sz w:val="20"/>
          <w:szCs w:val="20"/>
          <w:color w:val="auto"/>
        </w:rPr>
      </w:pPr>
      <w:r>
        <w:rPr>
          <w:rFonts w:ascii="Arial" w:cs="Arial" w:eastAsia="Arial" w:hAnsi="Arial"/>
          <w:sz w:val="18"/>
          <w:szCs w:val="18"/>
          <w:color w:val="auto"/>
        </w:rPr>
        <w:t>Mr. Smith joined Avnet in 2000 and was promoted to President of Avnet Logistics in June 2006. He previously served as Senior Vice President of Warehousing &amp; Distribution Worldwide for Avnet Logistics from October 2004 to June 2006 and served as Senior Vice President and Director of operations for Avnet Electronics Marketing Americas from October 2000 to September 2004.</w:t>
      </w:r>
    </w:p>
    <w:p>
      <w:pPr>
        <w:spacing w:after="0" w:line="107" w:lineRule="exact"/>
        <w:rPr>
          <w:sz w:val="20"/>
          <w:szCs w:val="20"/>
          <w:color w:val="auto"/>
        </w:rPr>
      </w:pPr>
    </w:p>
    <w:p>
      <w:pPr>
        <w:ind w:left="700"/>
        <w:spacing w:after="0" w:line="275" w:lineRule="auto"/>
        <w:rPr>
          <w:sz w:val="20"/>
          <w:szCs w:val="20"/>
          <w:color w:val="auto"/>
        </w:rPr>
      </w:pPr>
      <w:r>
        <w:rPr>
          <w:rFonts w:ascii="Arial" w:cs="Arial" w:eastAsia="Arial" w:hAnsi="Arial"/>
          <w:sz w:val="17"/>
          <w:szCs w:val="17"/>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7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COMPENSATION COMMITTEE REPORT</w:t>
      </w:r>
    </w:p>
    <w:p>
      <w:pPr>
        <w:spacing w:after="0" w:line="139" w:lineRule="exact"/>
        <w:rPr>
          <w:sz w:val="20"/>
          <w:szCs w:val="20"/>
          <w:color w:val="auto"/>
        </w:rPr>
      </w:pPr>
    </w:p>
    <w:p>
      <w:pPr>
        <w:ind w:left="700" w:right="20"/>
        <w:spacing w:after="0" w:line="257" w:lineRule="auto"/>
        <w:rPr>
          <w:sz w:val="20"/>
          <w:szCs w:val="20"/>
          <w:color w:val="auto"/>
        </w:rPr>
      </w:pPr>
      <w:r>
        <w:rPr>
          <w:rFonts w:ascii="Arial" w:cs="Arial" w:eastAsia="Arial" w:hAnsi="Arial"/>
          <w:sz w:val="17"/>
          <w:szCs w:val="17"/>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2007 Proxy Statement and incorporated by reference into the Company’s annual report on Form 10-K. This Report is provided by the following independent directors, who comprise the Committee: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Ray M. Robinson, Chair</w:t>
      </w:r>
    </w:p>
    <w:p>
      <w:pPr>
        <w:ind w:left="700"/>
        <w:spacing w:after="0" w:line="234" w:lineRule="auto"/>
        <w:rPr>
          <w:sz w:val="20"/>
          <w:szCs w:val="20"/>
          <w:color w:val="auto"/>
        </w:rPr>
      </w:pPr>
      <w:r>
        <w:rPr>
          <w:rFonts w:ascii="Arial" w:cs="Arial" w:eastAsia="Arial" w:hAnsi="Arial"/>
          <w:sz w:val="18"/>
          <w:szCs w:val="18"/>
          <w:color w:val="auto"/>
        </w:rPr>
        <w:t>J. Veronica Biggins</w:t>
      </w:r>
    </w:p>
    <w:p>
      <w:pPr>
        <w:ind w:left="700"/>
        <w:spacing w:after="0" w:line="235" w:lineRule="auto"/>
        <w:rPr>
          <w:sz w:val="20"/>
          <w:szCs w:val="20"/>
          <w:color w:val="auto"/>
        </w:rPr>
      </w:pPr>
      <w:r>
        <w:rPr>
          <w:rFonts w:ascii="Arial" w:cs="Arial" w:eastAsia="Arial" w:hAnsi="Arial"/>
          <w:sz w:val="18"/>
          <w:szCs w:val="18"/>
          <w:color w:val="auto"/>
        </w:rPr>
        <w:t>Ehud Houminer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Tooker</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9"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color w:val="auto"/>
        </w:rPr>
        <w:t>Avnet’s compensation programs are designed to be performance-based, with individual pay linked to key financial objectives of the Company, with appropriate balance between short and long term Company goals. The ultimate objective of the compensation program is to attract and retain the talent critical to the long term success of Avnet in creating shareholder value.</w:t>
      </w:r>
    </w:p>
    <w:p>
      <w:pPr>
        <w:spacing w:after="0" w:line="107" w:lineRule="exact"/>
        <w:rPr>
          <w:sz w:val="20"/>
          <w:szCs w:val="20"/>
          <w:color w:val="auto"/>
        </w:rPr>
      </w:pPr>
    </w:p>
    <w:p>
      <w:pPr>
        <w:ind w:left="700" w:right="460"/>
        <w:spacing w:after="0" w:line="246" w:lineRule="auto"/>
        <w:rPr>
          <w:sz w:val="20"/>
          <w:szCs w:val="20"/>
          <w:color w:val="auto"/>
        </w:rPr>
      </w:pPr>
      <w:r>
        <w:rPr>
          <w:rFonts w:ascii="Arial" w:cs="Arial" w:eastAsia="Arial" w:hAnsi="Arial"/>
          <w:sz w:val="18"/>
          <w:szCs w:val="18"/>
          <w:color w:val="auto"/>
        </w:rPr>
        <w:t>This CD&amp;A describes the overall compensation practices at Avnet and specifically describes total compensation for the named executive officers included in the Summary Compensation Table.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Avnet’s compensation philosophy may be best characterized as pay for performance and pay at risk.</w:t>
      </w:r>
    </w:p>
    <w:p>
      <w:pPr>
        <w:spacing w:after="0" w:line="117" w:lineRule="exact"/>
        <w:rPr>
          <w:sz w:val="20"/>
          <w:szCs w:val="20"/>
          <w:color w:val="auto"/>
        </w:rPr>
      </w:pPr>
    </w:p>
    <w:p>
      <w:pPr>
        <w:ind w:left="700" w:right="120"/>
        <w:spacing w:after="0"/>
        <w:rPr>
          <w:sz w:val="20"/>
          <w:szCs w:val="20"/>
          <w:color w:val="auto"/>
        </w:rPr>
      </w:pPr>
      <w:r>
        <w:rPr>
          <w:rFonts w:ascii="Arial" w:cs="Arial" w:eastAsia="Arial" w:hAnsi="Arial"/>
          <w:sz w:val="18"/>
          <w:szCs w:val="18"/>
          <w:color w:val="auto"/>
        </w:rPr>
        <w:t>The more responsibility executives have for the Company’s performance over time, the more their pay is determined by the degree to which certain performance goals are reached. That part of compensation is generally referred to as “at risk” pay and is one of the fundamental ways in which the Company aligns executive pay with stockholder interests.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compensation philosophy translates into the following two principles in Avnet’s executive compensation design:</w:t>
      </w:r>
    </w:p>
    <w:p>
      <w:pPr>
        <w:spacing w:after="0" w:line="95" w:lineRule="exact"/>
        <w:rPr>
          <w:sz w:val="20"/>
          <w:szCs w:val="20"/>
          <w:color w:val="auto"/>
        </w:rPr>
      </w:pPr>
    </w:p>
    <w:p>
      <w:pPr>
        <w:ind w:left="1000" w:right="320" w:hanging="307"/>
        <w:spacing w:after="0" w:line="271" w:lineRule="auto"/>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should decrease as a percentage of total direct compensation as the executive’s responsibilities increase.</w:t>
      </w:r>
    </w:p>
    <w:p>
      <w:pPr>
        <w:spacing w:after="0" w:line="81" w:lineRule="exact"/>
        <w:rPr>
          <w:rFonts w:ascii="Arial" w:cs="Arial" w:eastAsia="Arial" w:hAnsi="Arial"/>
          <w:sz w:val="18"/>
          <w:szCs w:val="18"/>
          <w:b w:val="1"/>
          <w:bCs w:val="1"/>
          <w:color w:val="auto"/>
        </w:rPr>
      </w:pPr>
    </w:p>
    <w:p>
      <w:pPr>
        <w:ind w:left="1000" w:right="2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As employees move to higher levels of responsibility with more direct influence over the Company’s performance, they have a higher percentage of pay at risk.</w:t>
      </w:r>
    </w:p>
    <w:p>
      <w:pPr>
        <w:spacing w:after="0" w:line="80" w:lineRule="exact"/>
        <w:rPr>
          <w:rFonts w:ascii="Arial" w:cs="Arial" w:eastAsia="Arial" w:hAnsi="Arial"/>
          <w:sz w:val="18"/>
          <w:szCs w:val="18"/>
          <w:b w:val="1"/>
          <w:bCs w:val="1"/>
          <w:color w:val="auto"/>
        </w:rPr>
      </w:pPr>
    </w:p>
    <w:p>
      <w:pPr>
        <w:ind w:left="1000" w:right="460" w:hanging="307"/>
        <w:spacing w:after="0" w:line="271" w:lineRule="auto"/>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The ratio of long-term incentive compensation (equity) to short-term incentive compensation (cash) should increase as the executive’s responsibilities increase.</w:t>
      </w:r>
    </w:p>
    <w:p>
      <w:pPr>
        <w:spacing w:after="0" w:line="81" w:lineRule="exact"/>
        <w:rPr>
          <w:rFonts w:ascii="Arial" w:cs="Arial" w:eastAsia="Arial" w:hAnsi="Arial"/>
          <w:sz w:val="18"/>
          <w:szCs w:val="18"/>
          <w:b w:val="1"/>
          <w:bCs w:val="1"/>
          <w:color w:val="auto"/>
        </w:rPr>
      </w:pPr>
    </w:p>
    <w:p>
      <w:pPr>
        <w:ind w:left="10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Avnet expects executives to focus on the Company’s long-term success in achieving profitable growth and generating greater shareholder return. The compensation program is designed to motivate executives to take actions best aligned toward achieving such goals. Executives in positions that most directly affect corporate performance should have as their main priority profitably growing the Company. Receiving part of their compensation in the form of equity reinforces the link between their actions and shareholders’ investment. Equity ownership encourages executives to behave like owners and provides a clear link with shareholders’ interests.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 of Avnet’s Executive Compensation Practices</w:t>
      </w:r>
    </w:p>
    <w:p>
      <w:pPr>
        <w:spacing w:after="0" w:line="121" w:lineRule="exact"/>
        <w:rPr>
          <w:sz w:val="20"/>
          <w:szCs w:val="20"/>
          <w:color w:val="auto"/>
        </w:rPr>
      </w:pPr>
    </w:p>
    <w:p>
      <w:pPr>
        <w:ind w:left="700" w:right="100"/>
        <w:spacing w:after="0" w:line="238" w:lineRule="auto"/>
        <w:rPr>
          <w:sz w:val="20"/>
          <w:szCs w:val="20"/>
          <w:color w:val="auto"/>
        </w:rPr>
      </w:pPr>
      <w:r>
        <w:rPr>
          <w:rFonts w:ascii="Arial" w:cs="Arial" w:eastAsia="Arial" w:hAnsi="Arial"/>
          <w:sz w:val="18"/>
          <w:szCs w:val="18"/>
          <w:i w:val="1"/>
          <w:iCs w:val="1"/>
          <w:color w:val="auto"/>
        </w:rPr>
        <w:t xml:space="preserve">Role of the Compensation Committee </w:t>
      </w:r>
      <w:r>
        <w:rPr>
          <w:rFonts w:ascii="Arial" w:cs="Arial" w:eastAsia="Arial" w:hAnsi="Arial"/>
          <w:sz w:val="18"/>
          <w:szCs w:val="18"/>
          <w:color w:val="auto"/>
        </w:rPr>
        <w:t>The Compensation Committee of the Board of Directors (the “Committee”) has</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had the primary responsibility for the approval and implementation of the compensation program for the Chief Executive Officer (“CEO”) and the other executive officers. During the first quarter of each new fiscal year, the Committee leads the Board in conducting an annual assessment of the performance of the CEO in light of the performance goals and objectives that had been established for the Company and for the CEO in particular for the preceding fiscal year. The Committee also solicits input from each Director using a written form of CEO evaluation adopted by the Board, analyzes the input and reports back to the full Board. The results of the evaluation are discussed with the CEO and are then considered by the Committee in setting new goals and the compensation plan for the CEO for the new fiscal year. Under the current Committee charter, the recommended CEO compensation plan will be submitted each year to all of the independent members of the Board for their consideration and approval. In addition to its responsibilities in respect of the CEO compensation, the Committee reviews and approves the compensation of all other executive officers of the Company.</w:t>
      </w:r>
    </w:p>
    <w:p>
      <w:pPr>
        <w:spacing w:after="0" w:line="110"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In assessing the propriety and competitiveness of the total compensation plans for the CEO and the other executive officers, the Committee considers total compensation opportunities, both short- and long-term, while at the same time focusing attention on the competitiveness of each component of compensation. Actual incentive payouts, actual value received from long-term incentive awards and actual overall compensation levels may vary from the targeted levels based on Avnet’s consolidated and business unit performance. The overall mix of pay components is monitored and compared to the practices of other companies to ensure that appropriate pay leverage is maintained in each overall compensation package including equity-based incentives which emphasize long-term shareholder value creation.</w:t>
      </w:r>
    </w:p>
    <w:p>
      <w:pPr>
        <w:spacing w:after="0" w:line="91" w:lineRule="exact"/>
        <w:rPr>
          <w:sz w:val="20"/>
          <w:szCs w:val="20"/>
          <w:color w:val="auto"/>
        </w:rPr>
      </w:pPr>
    </w:p>
    <w:p>
      <w:pPr>
        <w:ind w:left="700"/>
        <w:spacing w:after="0" w:line="241" w:lineRule="auto"/>
        <w:rPr>
          <w:sz w:val="20"/>
          <w:szCs w:val="20"/>
          <w:color w:val="auto"/>
        </w:rPr>
      </w:pPr>
      <w:r>
        <w:rPr>
          <w:rFonts w:ascii="Arial" w:cs="Arial" w:eastAsia="Arial" w:hAnsi="Arial"/>
          <w:sz w:val="18"/>
          <w:szCs w:val="18"/>
          <w:i w:val="1"/>
          <w:iCs w:val="1"/>
          <w:color w:val="auto"/>
        </w:rPr>
        <w:t xml:space="preserve">Role of Management </w:t>
      </w:r>
      <w:r>
        <w:rPr>
          <w:rFonts w:ascii="Arial" w:cs="Arial" w:eastAsia="Arial" w:hAnsi="Arial"/>
          <w:sz w:val="18"/>
          <w:szCs w:val="18"/>
          <w:color w:val="auto"/>
        </w:rPr>
        <w:t>At the beginning of each fiscal year, the CEO evaluates the performance of the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(“COO”); and the CEO or COO evaluate the performance of the other executive officers against the strategic operating plan for the prior fiscal year. In addition, the CEO’s and the COO’s evaluations of individual performance also focus on executive officers’ leadership abilities, including their professional development and mentoring of their direct reports. This additional evaluation is carried out by evaluating, on a quarterly and annual basis, each executive officer’s performance against a set of specific</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80"/>
        <w:spacing w:after="0" w:line="246" w:lineRule="auto"/>
        <w:rPr>
          <w:sz w:val="20"/>
          <w:szCs w:val="20"/>
          <w:color w:val="auto"/>
        </w:rPr>
      </w:pPr>
      <w:r>
        <w:rPr>
          <w:rFonts w:ascii="Arial" w:cs="Arial" w:eastAsia="Arial" w:hAnsi="Arial"/>
          <w:sz w:val="18"/>
          <w:szCs w:val="18"/>
          <w:color w:val="auto"/>
        </w:rPr>
        <w:t>“critical performance factors” (“CPFs”) mutually set and agreed upon by the executive officer and the CEO or COO, as the case may be. Examples of CPFs for the named executive officers include:</w:t>
      </w:r>
    </w:p>
    <w:p>
      <w:pPr>
        <w:spacing w:after="0" w:line="102"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and improve the process for acquisitions and the integration of acquisitions</w:t>
      </w:r>
    </w:p>
    <w:p>
      <w:pPr>
        <w:spacing w:after="0" w:line="103" w:lineRule="exact"/>
        <w:rPr>
          <w:rFonts w:ascii="Arial" w:cs="Arial" w:eastAsia="Arial" w:hAnsi="Arial"/>
          <w:sz w:val="18"/>
          <w:szCs w:val="18"/>
          <w:color w:val="auto"/>
        </w:rPr>
      </w:pPr>
    </w:p>
    <w:p>
      <w:pPr>
        <w:ind w:left="1300" w:right="280" w:hanging="202"/>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and teach one course for the Company’s global executive leadership development program in the area of responsibilities</w:t>
      </w:r>
    </w:p>
    <w:p>
      <w:pPr>
        <w:spacing w:after="0" w:line="88" w:lineRule="exact"/>
        <w:rPr>
          <w:rFonts w:ascii="Arial" w:cs="Arial" w:eastAsia="Arial" w:hAnsi="Arial"/>
          <w:sz w:val="18"/>
          <w:szCs w:val="18"/>
          <w:color w:val="auto"/>
        </w:rPr>
      </w:pPr>
    </w:p>
    <w:p>
      <w:pPr>
        <w:ind w:left="1300" w:right="1040" w:hanging="202"/>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at least quarterly updates to direct reports regarding impact plans and actions resulted from the FY07 employee satisfaction survey.</w:t>
      </w:r>
    </w:p>
    <w:p>
      <w:pPr>
        <w:spacing w:after="0" w:line="88"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Lead the Company’s efforts in cost and efficiency improvements throughout the organization</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the benefits of “globalizing” the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executive officer is also evaluated on his commitment to Avnet’s “core values”. These core values are:</w:t>
      </w:r>
    </w:p>
    <w:p>
      <w:pPr>
        <w:spacing w:after="0" w:line="117"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Integrity;</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Accountability;</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Team Work;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Innovation.</w:t>
      </w:r>
    </w:p>
    <w:p>
      <w:pPr>
        <w:spacing w:after="0" w:line="117"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These core values form the foundation of Avnet’s performance- and values-based culture in developing its overall strategies focused on profitable growth, operational excellence and people development — the driving forces behind Avnet’s march toward becoming the premier technology marketing, distribution and services company, globally.</w:t>
      </w:r>
    </w:p>
    <w:p>
      <w:pPr>
        <w:spacing w:after="0" w:line="108"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The CEO and COO, in consultation with the Chief Human Resources and Organizational Development Officer (CHROD), then develop compensation recommendations for the other executive officers. Factors that are weighed in making individual target compensation recommendations include:</w:t>
      </w:r>
    </w:p>
    <w:p>
      <w:pPr>
        <w:spacing w:after="0" w:line="108"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review conducted by the CEO or the COO;</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value of the job in the marketplace;</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importance of the position within the executive ranks;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 tenure and experience;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 contributions to the Company’s results.</w:t>
      </w:r>
    </w:p>
    <w:p>
      <w:pPr>
        <w:spacing w:after="0" w:line="117"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The CEO or COO review of an executive officer’s performance with respect to his or her CPFs and commitment to Avnet core values is not directly tied to the executive officer’s compensation. Such reviews, however, heavily influence the CEO’s and/or COO’s assessment of an executive officer’s readiness for the types of responsibilities typically associated with a particular position. Once an executive officer’s role and responsibilities are defined, “value of the job in the marketplace” and “relative importance of the position within the executive ranks” are the most determinative factors in setting the proper compensation plan for that executive officer, adjusted to take into consideration the executive officer’s tenure and experience. “Individual contribution,” as used in this CD&amp;A, refers to the contribution from the business unit or support unit over which an executive officer has direct responsibility or Avnet’s overall results in the case of corporate executives.</w:t>
      </w:r>
    </w:p>
    <w:p>
      <w:pPr>
        <w:spacing w:after="0" w:line="114" w:lineRule="exact"/>
        <w:rPr>
          <w:sz w:val="20"/>
          <w:szCs w:val="20"/>
          <w:color w:val="auto"/>
        </w:rPr>
      </w:pPr>
    </w:p>
    <w:p>
      <w:pPr>
        <w:ind w:left="700" w:right="200"/>
        <w:spacing w:after="0" w:line="238" w:lineRule="auto"/>
        <w:rPr>
          <w:sz w:val="20"/>
          <w:szCs w:val="20"/>
          <w:color w:val="auto"/>
        </w:rPr>
      </w:pPr>
      <w:r>
        <w:rPr>
          <w:rFonts w:ascii="Arial" w:cs="Arial" w:eastAsia="Arial" w:hAnsi="Arial"/>
          <w:sz w:val="18"/>
          <w:szCs w:val="18"/>
          <w:color w:val="auto"/>
        </w:rPr>
        <w:t>At the Committee’s regularly scheduled meeting in August, the CEO presents the findings and compensation recommendations for each executive officer to the Committee for its review and consideration. The CHROD assists the Committee in its deliberations with respect to CEO compensation and in gathering market and industry data and analyses relating to CEO compensation. The other executive officers, except as described above, do not play a role in setting executive officer compensation.</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i w:val="1"/>
          <w:iCs w:val="1"/>
          <w:color w:val="auto"/>
        </w:rPr>
        <w:t xml:space="preserve">Role of Compensation Consultants and Benchmarking </w:t>
      </w:r>
      <w:r>
        <w:rPr>
          <w:rFonts w:ascii="Arial" w:cs="Arial" w:eastAsia="Arial" w:hAnsi="Arial"/>
          <w:sz w:val="18"/>
          <w:szCs w:val="18"/>
          <w:color w:val="auto"/>
        </w:rPr>
        <w:t>The Committee assesses the competitiveness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program against three types of references. One type of reference the Committee uses in its annual review of executive compensation are the most current compensation statistics for comparable executive positions at a group of industry peers, which statistics are taken from such companies’ respective filings with the SEC. These industry peer companies include Agilysys, Arrow Electronics, Ingram Micro, and Tech Data. The second type of reference the Committee uses are results of independent executive compensation surveys provided by the Committee’s outside compensation consultant or by the Company’s CHROD at the request of the Committee, as the Committee deems necessary. The companies participating in such surveys include an array of companies including companies in the distribution of technology products or services sector with broad global scale and scope, companies with significant brand equity, companies that are recognized for best practices and companies with which the Company competes for talent.</w:t>
      </w:r>
    </w:p>
    <w:p>
      <w:pPr>
        <w:spacing w:after="0" w:line="113" w:lineRule="exact"/>
        <w:rPr>
          <w:sz w:val="20"/>
          <w:szCs w:val="20"/>
          <w:color w:val="auto"/>
        </w:rPr>
      </w:pPr>
    </w:p>
    <w:p>
      <w:pPr>
        <w:ind w:left="700"/>
        <w:spacing w:after="0" w:line="251" w:lineRule="auto"/>
        <w:rPr>
          <w:sz w:val="20"/>
          <w:szCs w:val="20"/>
          <w:color w:val="auto"/>
        </w:rPr>
      </w:pPr>
      <w:r>
        <w:rPr>
          <w:rFonts w:ascii="Arial" w:cs="Arial" w:eastAsia="Arial" w:hAnsi="Arial"/>
          <w:sz w:val="17"/>
          <w:szCs w:val="17"/>
          <w:color w:val="auto"/>
        </w:rPr>
        <w:t>While the executive compensation statistics from the industry peers provide the Committee with specific and concrete reference to the competitiveness of the Company’s executive compensation, the results of the other non-peer executive compensation surveys offer the broader context in which the compensation statistics of the industry peers and of the Company are reviewed for reasonableness and competitiveness. In addition and as the third set of reference, the Committee always conducts its annual executive compensation review with the Company’s past compensation practices and traditions in mind. The Committee believes that each of the three types of references described above serves a different purpose and, together, provide a balanced framework within which the Committee deliberates on the Company’s annual executive compensation review. Against this backdrop, the Committee further believes that, as a general rule, it would formally engage an independent compensation consultant at least once every three years to augment its annual review process. The Committee most recently engaged its own compensation consultant (Mercer Human Resource Consulting) in 2005.</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Deductibility of Executive Compensation </w:t>
      </w:r>
      <w:r>
        <w:rPr>
          <w:rFonts w:ascii="Arial" w:cs="Arial" w:eastAsia="Arial" w:hAnsi="Arial"/>
          <w:sz w:val="18"/>
          <w:szCs w:val="18"/>
          <w:color w:val="auto"/>
        </w:rPr>
        <w:t>Section 162(m) of the Internal Revenue Code of 1986, as amended</w:t>
      </w:r>
    </w:p>
    <w:p>
      <w:pPr>
        <w:spacing w:after="0" w:line="14" w:lineRule="exact"/>
        <w:rPr>
          <w:sz w:val="20"/>
          <w:szCs w:val="20"/>
          <w:color w:val="auto"/>
        </w:rPr>
      </w:pPr>
    </w:p>
    <w:p>
      <w:pPr>
        <w:ind w:left="700" w:right="100"/>
        <w:spacing w:after="0" w:line="239" w:lineRule="auto"/>
        <w:rPr>
          <w:sz w:val="20"/>
          <w:szCs w:val="20"/>
          <w:color w:val="auto"/>
        </w:rPr>
      </w:pPr>
      <w:r>
        <w:rPr>
          <w:rFonts w:ascii="Arial" w:cs="Arial" w:eastAsia="Arial" w:hAnsi="Arial"/>
          <w:sz w:val="18"/>
          <w:szCs w:val="18"/>
          <w:color w:val="auto"/>
        </w:rPr>
        <w:t>(“Section 162(m)”) disallows a federal income tax deduction to publicly held companies for certain compensation paid to the Company’s chief executive officer and four other most highly compensated executive officers to the extent that compensation exceeds $1 million per executive officer covered by Section 162(m) in any fiscal year. The limitation applies only to compensation that is not considered “performance based” as defined in the Section 162(m) regulations.</w:t>
      </w:r>
    </w:p>
    <w:p>
      <w:pPr>
        <w:spacing w:after="0" w:line="107"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In designing the Company’s compensation programs, the Committee carefully considers the effect of Section 162(m) together with other factors relevant to the Company’s business needs. The Company has historically taken, and intends to continue taking, appropriate actions, to the extent it believes desirable, to preserve the deductibility of annual incentive and long-term compensation.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9" w:lineRule="exact"/>
        <w:rPr>
          <w:sz w:val="20"/>
          <w:szCs w:val="20"/>
          <w:color w:val="auto"/>
        </w:rPr>
      </w:pPr>
    </w:p>
    <w:p>
      <w:pPr>
        <w:ind w:left="700" w:right="60"/>
        <w:spacing w:after="0"/>
        <w:rPr>
          <w:sz w:val="20"/>
          <w:szCs w:val="20"/>
          <w:color w:val="auto"/>
        </w:rPr>
      </w:pPr>
      <w:r>
        <w:rPr>
          <w:rFonts w:ascii="Arial" w:cs="Arial" w:eastAsia="Arial" w:hAnsi="Arial"/>
          <w:sz w:val="18"/>
          <w:szCs w:val="18"/>
          <w:color w:val="auto"/>
        </w:rPr>
        <w:t>Executive compensation consists of three components — base salary, annual cash incentive compensation and long-term incentive compensation in the form of equity. The Committee believes that these three components serve different purposes and, together, serve the best interests of the Company and its shareholders.</w:t>
      </w:r>
    </w:p>
    <w:p>
      <w:pPr>
        <w:spacing w:after="0" w:line="90" w:lineRule="exact"/>
        <w:rPr>
          <w:sz w:val="20"/>
          <w:szCs w:val="20"/>
          <w:color w:val="auto"/>
        </w:rPr>
      </w:pPr>
    </w:p>
    <w:p>
      <w:pPr>
        <w:ind w:left="700" w:right="120"/>
        <w:spacing w:after="0" w:line="239"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is the guaranteed element of an executive’s annual cash compensation. The value of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executive’s long-term performance, skill set and the market value of that skill set. As is described in more detail under the heading “Employment Agreements and Change in Control Agreements” in this Proxy Statement, each of the named executive officers has an employment agreement, which provides for an annual review of total compensation, including base salary. Each year, the Company undertakes the process described above in this CD&amp;A in the “Overview of Avnet’s Compensation Practices.” As noted above, the Committee uses market and industry compensation data, gathered from multiple sources, to test for reasonableness and competitiveness of the Company’s compensation program. Base salaries are not automatically increased if the Committee (or the</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740"/>
        <w:spacing w:after="0" w:line="246" w:lineRule="auto"/>
        <w:rPr>
          <w:sz w:val="20"/>
          <w:szCs w:val="20"/>
          <w:color w:val="auto"/>
        </w:rPr>
      </w:pPr>
      <w:r>
        <w:rPr>
          <w:rFonts w:ascii="Arial" w:cs="Arial" w:eastAsia="Arial" w:hAnsi="Arial"/>
          <w:sz w:val="18"/>
          <w:szCs w:val="18"/>
          <w:color w:val="auto"/>
        </w:rPr>
        <w:t>independent directors in the case of the CEO’s base salary) believes that other elements of compensation are more appropriate in light of the stated goals and objectives.</w:t>
      </w:r>
    </w:p>
    <w:p>
      <w:pPr>
        <w:spacing w:after="0" w:line="84"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i w:val="1"/>
          <w:iCs w:val="1"/>
          <w:u w:val="single" w:color="auto"/>
          <w:color w:val="auto"/>
        </w:rPr>
        <w:t>Annual Cash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base salary, executive officers are eligible to receive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based on the performance of the Company and business unit (where appropriate). The Company adopted the Executive Incentive Plan (the “Incentive Plan”) in September 2002. The Incentive Plan was approved by shareholders at the Company’s 2002 annual meeting and is included as Proposal 2 in this Proxy Statement for reapproval by the shareholders in order for the incentive compensation payments pursuant to the Incentive Plan to continue to qualify as deductible expense under Section 162(m) of the Internal Revenue Code of 1986, as amended. Cash incentive awards are tied to performance goals measuring, depending on the executive, performance of either operating income, pre-tax income or net income to budgeted levels, adjusted by a factor measuring performance of return on working capital or return on total capital employed against pre-established goals. Performance goals for operating group presidents are weighted more heavily on the performance of the applicable operating group but contain a component based on the performance of the entire Company as well. Generally, the Committee sets the threshold, target and maximum levels so that the relative difficulty of achieving the target level is consistent from year to year. Even though the payout amount can vary greatly from year to year, the objective is to be at target, on average, over a period of years with the expectation of successful execution of the business plan. The table below outlines the payout factor (or multiple range) that applies to each performance level.</w:t>
      </w:r>
    </w:p>
    <w:p>
      <w:pPr>
        <w:spacing w:after="0" w:line="115"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Payout Range</w:t>
            </w:r>
          </w:p>
        </w:tc>
      </w:tr>
      <w:tr>
        <w:trPr>
          <w:trHeight w:val="20"/>
        </w:trPr>
        <w:tc>
          <w:tcPr>
            <w:tcW w:w="8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r>
      <w:tr>
        <w:trPr>
          <w:trHeight w:val="249"/>
        </w:trPr>
        <w:tc>
          <w:tcPr>
            <w:tcW w:w="8540" w:type="dxa"/>
            <w:vAlign w:val="bottom"/>
            <w:gridSpan w:val="2"/>
          </w:tcPr>
          <w:p>
            <w:pPr>
              <w:spacing w:after="0"/>
              <w:rPr>
                <w:sz w:val="20"/>
                <w:szCs w:val="20"/>
                <w:color w:val="auto"/>
              </w:rPr>
            </w:pPr>
            <w:r>
              <w:rPr>
                <w:rFonts w:ascii="Arial" w:cs="Arial" w:eastAsia="Arial" w:hAnsi="Arial"/>
                <w:sz w:val="18"/>
                <w:szCs w:val="18"/>
                <w:color w:val="auto"/>
              </w:rPr>
              <w:t>Below threshold</w:t>
            </w:r>
          </w:p>
        </w:tc>
        <w:tc>
          <w:tcPr>
            <w:tcW w:w="1380" w:type="dxa"/>
            <w:vAlign w:val="bottom"/>
            <w:gridSpan w:val="2"/>
          </w:tcPr>
          <w:p>
            <w:pPr>
              <w:jc w:val="right"/>
              <w:ind w:right="470"/>
              <w:spacing w:after="0"/>
              <w:rPr>
                <w:sz w:val="20"/>
                <w:szCs w:val="20"/>
                <w:color w:val="auto"/>
              </w:rPr>
            </w:pPr>
            <w:r>
              <w:rPr>
                <w:rFonts w:ascii="Arial" w:cs="Arial" w:eastAsia="Arial" w:hAnsi="Arial"/>
                <w:sz w:val="18"/>
                <w:szCs w:val="18"/>
                <w:color w:val="auto"/>
              </w:rPr>
              <w:t>0%</w:t>
            </w:r>
          </w:p>
        </w:tc>
      </w:tr>
      <w:tr>
        <w:trPr>
          <w:trHeight w:val="203"/>
        </w:trPr>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At threshold but less than 95% of target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- 90%</w:t>
            </w:r>
          </w:p>
        </w:tc>
      </w:tr>
      <w:tr>
        <w:trPr>
          <w:trHeight w:val="203"/>
        </w:trPr>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Between 95% and 105% of target</w:t>
            </w:r>
          </w:p>
        </w:tc>
        <w:tc>
          <w:tcPr>
            <w:tcW w:w="1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95% - 105%</w:t>
            </w:r>
          </w:p>
        </w:tc>
      </w:tr>
      <w:tr>
        <w:trPr>
          <w:trHeight w:val="217"/>
        </w:trPr>
        <w:tc>
          <w:tcPr>
            <w:tcW w:w="8540" w:type="dxa"/>
            <w:vAlign w:val="bottom"/>
            <w:gridSpan w:val="2"/>
          </w:tcPr>
          <w:p>
            <w:pPr>
              <w:spacing w:after="0"/>
              <w:rPr>
                <w:sz w:val="20"/>
                <w:szCs w:val="20"/>
                <w:color w:val="auto"/>
              </w:rPr>
            </w:pPr>
            <w:r>
              <w:rPr>
                <w:rFonts w:ascii="Arial" w:cs="Arial" w:eastAsia="Arial" w:hAnsi="Arial"/>
                <w:sz w:val="18"/>
                <w:szCs w:val="18"/>
                <w:color w:val="auto"/>
              </w:rPr>
              <w:t>Between 106% and target maximum</w:t>
            </w: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740" w:type="dxa"/>
            <w:vAlign w:val="bottom"/>
          </w:tcPr>
          <w:p>
            <w:pPr>
              <w:ind w:left="20"/>
              <w:spacing w:after="0"/>
              <w:rPr>
                <w:sz w:val="20"/>
                <w:szCs w:val="20"/>
                <w:color w:val="auto"/>
              </w:rPr>
            </w:pPr>
            <w:r>
              <w:rPr>
                <w:rFonts w:ascii="Arial" w:cs="Arial" w:eastAsia="Arial" w:hAnsi="Arial"/>
                <w:sz w:val="18"/>
                <w:szCs w:val="18"/>
                <w:color w:val="auto"/>
              </w:rPr>
              <w:t>- 225%</w:t>
            </w:r>
          </w:p>
        </w:tc>
      </w:tr>
    </w:tbl>
    <w:p>
      <w:pPr>
        <w:spacing w:after="0" w:line="107"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For fiscal 2007, Mr. Vallee’s annual cash incentive compensation (column (g) of the Summary Compensation Table or SCT) earned represents 138% of his targeted cash incentive compensation based upon the Company’s actual consolidated net income and return on capital employed for fiscal year 2007 as compared with the targeted pre-established goals. The annual cash incentive compensation for the other named executive officers in the SCT represents a range of 118% to 138% of targeted cash incentive compensation based upon achievements (actual vs. budgeted) of the Company’s and the applicable business unit’s pre-tax income, net income or return on capital employed, as the case may be.</w:t>
      </w:r>
    </w:p>
    <w:p>
      <w:pPr>
        <w:spacing w:after="0" w:line="111" w:lineRule="exact"/>
        <w:rPr>
          <w:sz w:val="20"/>
          <w:szCs w:val="20"/>
          <w:color w:val="auto"/>
        </w:rPr>
      </w:pPr>
    </w:p>
    <w:p>
      <w:pPr>
        <w:ind w:left="700" w:right="80"/>
        <w:spacing w:after="0" w:line="275" w:lineRule="auto"/>
        <w:rPr>
          <w:sz w:val="20"/>
          <w:szCs w:val="20"/>
          <w:color w:val="auto"/>
        </w:rPr>
      </w:pPr>
      <w:r>
        <w:rPr>
          <w:rFonts w:ascii="Arial" w:cs="Arial" w:eastAsia="Arial" w:hAnsi="Arial"/>
          <w:sz w:val="17"/>
          <w:szCs w:val="17"/>
          <w:color w:val="auto"/>
        </w:rPr>
        <w:t>In addition to the Incentive Plan, the Committee may also establish other bonus or incentive programs and may grant discretionary bonuses as it deems appropriate. No additional bonuses were paid to named executive officers for fiscal 2007.</w:t>
      </w:r>
    </w:p>
    <w:p>
      <w:pPr>
        <w:spacing w:after="0" w:line="61"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i w:val="1"/>
          <w:iCs w:val="1"/>
          <w:u w:val="single" w:color="auto"/>
          <w:color w:val="auto"/>
        </w:rPr>
        <w:t>Long-Term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grants long-term incentive compensation awards under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Long Term Incentive Plan (“LTIP”) based generally on each executive’s individual contribution in a particular fiscal period and the executive’s potential to contribute to the long-term success of the Company. The Committee believes in the importance of equity ownership for all executive officers for purposes of incentive, retention and alignment of interests with shareholders. During the 2007 fiscal year, the Committee awarded long-term incentive compensation pursuant to the 2003 Stock Compensation Plan (the “2003 Plan”), under which options, restricted stock, stock appreciation rights and other equity-based awards could be granted. The 2003 Plan and all other equity plans were terminated upon the approval by the shareholders at the November 2006 annual meeting of shareholders of the 2006 Stock Compensation Plan (the “2006 Plan”), which provides for substantially the same types of equity-based awards that could be granted under the 2003 Plan.</w:t>
      </w:r>
    </w:p>
    <w:p>
      <w:pPr>
        <w:spacing w:after="0" w:line="90" w:lineRule="exact"/>
        <w:rPr>
          <w:sz w:val="20"/>
          <w:szCs w:val="20"/>
          <w:color w:val="auto"/>
        </w:rPr>
      </w:pPr>
    </w:p>
    <w:p>
      <w:pPr>
        <w:ind w:left="1300" w:right="140" w:hanging="202"/>
        <w:spacing w:after="0" w:line="25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Incentive Shares </w:t>
      </w:r>
      <w:r>
        <w:rPr>
          <w:rFonts w:ascii="Arial" w:cs="Arial" w:eastAsia="Arial" w:hAnsi="Arial"/>
          <w:sz w:val="18"/>
          <w:szCs w:val="18"/>
          <w:color w:val="auto"/>
        </w:rPr>
        <w:t>Under the 2003 Plan — and now under the new 2006 Plan — the Committee (or the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as a group in the case of the CEO) grants annual allocations of restricted stock units of the Company’s Common Stock (“RSU”) to employees of the Company, including the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spacing w:after="0" w:line="237" w:lineRule="auto"/>
        <w:rPr>
          <w:sz w:val="20"/>
          <w:szCs w:val="20"/>
          <w:color w:val="auto"/>
        </w:rPr>
      </w:pPr>
      <w:r>
        <w:rPr>
          <w:rFonts w:ascii="Arial" w:cs="Arial" w:eastAsia="Arial" w:hAnsi="Arial"/>
          <w:sz w:val="18"/>
          <w:szCs w:val="18"/>
          <w:color w:val="auto"/>
        </w:rPr>
        <w:t>CEO and other executive officers. The Committee makes allocations of RSUs, usually in August of each year at a regularly scheduled meeting of the Committee, in recognition of operating results achieved by the Company as a whole or by particular operating groups or business units in the immediate past fiscal year. RSUs allocated vest in five installments, with the first installment to vest in January of the following year and the balance to vest in four equal annual installments thereafter, contingent upon continued employment (except in the case of death, disability or retirement of the employee).</w:t>
      </w:r>
    </w:p>
    <w:p>
      <w:pPr>
        <w:spacing w:after="0" w:line="93" w:lineRule="exact"/>
        <w:rPr>
          <w:sz w:val="20"/>
          <w:szCs w:val="20"/>
          <w:color w:val="auto"/>
        </w:rPr>
      </w:pPr>
    </w:p>
    <w:p>
      <w:pPr>
        <w:ind w:left="1300" w:right="80" w:hanging="202"/>
        <w:spacing w:after="0" w:line="23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grants options under the 2006 Plan (previously the 2003 plan) to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employees in consideration of their potential to contribute to the long-term success of the Company and in order to align their interests with those of the Company’s shareholders. The Committee has the authority under the plan to make awards of stock options from time to time, in its discretion, based on its evaluation of accomplishments achieved by an executive or other employee, upon a promotion or upon the hiring of an executive. In practice, however, stock options are generally granted on an annual basis in August. The only other options grants the Committee would consider making are in connection with a new hire or promotion. All stock options granted by the Company during fiscal 2007 were granted with an exercise price equal to the closing price of the Common Stock on the date of grant and, accordingly, will have value only if and to the extent the market price of the Common Stock increases after that date. Stock options granted vest in four equal annual installments on the first through the fourth anniversary of the grant date.</w:t>
      </w:r>
    </w:p>
    <w:p>
      <w:pPr>
        <w:spacing w:after="0" w:line="78" w:lineRule="exact"/>
        <w:rPr>
          <w:rFonts w:ascii="Arial" w:cs="Arial" w:eastAsia="Arial" w:hAnsi="Arial"/>
          <w:sz w:val="18"/>
          <w:szCs w:val="18"/>
          <w:color w:val="auto"/>
        </w:rPr>
      </w:pPr>
    </w:p>
    <w:p>
      <w:pPr>
        <w:ind w:left="1300" w:right="80" w:hanging="202"/>
        <w:spacing w:after="0" w:line="24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Committee undertook a study of the Company’s equity compensation program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with input from Mercer Human Resource Consulting, an independent compensation consultant engaged by the Committee. The study took into account factors such as the competitive landscape and changes in accounting rules, with the objective to ensure that the Company’s compensation of its employees, including the executive officers, will remain competitive and more closely linked to the Company’s generation of economic profits and be further aligned with shareholders’ long term interests.</w:t>
      </w:r>
    </w:p>
    <w:p>
      <w:pPr>
        <w:spacing w:after="0" w:line="107" w:lineRule="exact"/>
        <w:rPr>
          <w:rFonts w:ascii="Arial" w:cs="Arial" w:eastAsia="Arial" w:hAnsi="Arial"/>
          <w:sz w:val="18"/>
          <w:szCs w:val="18"/>
          <w:color w:val="auto"/>
        </w:rPr>
      </w:pPr>
    </w:p>
    <w:p>
      <w:pPr>
        <w:ind w:left="1280"/>
        <w:spacing w:after="0" w:line="236" w:lineRule="auto"/>
        <w:rPr>
          <w:rFonts w:ascii="Arial" w:cs="Arial" w:eastAsia="Arial" w:hAnsi="Arial"/>
          <w:sz w:val="18"/>
          <w:szCs w:val="18"/>
          <w:color w:val="auto"/>
        </w:rPr>
      </w:pPr>
      <w:r>
        <w:rPr>
          <w:rFonts w:ascii="Arial" w:cs="Arial" w:eastAsia="Arial" w:hAnsi="Arial"/>
          <w:sz w:val="18"/>
          <w:szCs w:val="18"/>
          <w:color w:val="auto"/>
        </w:rPr>
        <w:t>As a result of this study, beginning with the Company’s fiscal year 2006, the Committee provided eligible employees, including the CEO and other executive officers, with a portion of their long-term equity-based incentive compensation in the form of performance-based stock units (“PSUs”). These PSUs were awarded under the terms of the 2003 Plan. The PSUs provide for payment to each grantee of a number of shares of the Company’s Common Stock at the end of a three-year period based upon the Company’s achievement of performance goals established by the Committee at the beginning of each three-year period. These performance goals are based upon a three-year cumulative increase in the Company’s absolute economic profit (referred to as “EP” in the table below) over the prior three-year period and the increase in the Company’s economic profit relative to the increase in the economic profit of a peer group of corporations, as may be adjusted by the Committee to exclude the impact of certain items such as those related to acquisitions and restructurings. The adjustments are intended to ensure that award payments represent actual shareholder value creation and are not artificially inflated or deflated due to such items either in the award year or the previous (comparator) year(s). Starting in fiscal 2008, performance shares will be awarded under the 2006 Plan. The following table outlines the payout factors that applies to various performance levels.</w:t>
      </w:r>
    </w:p>
    <w:p>
      <w:pPr>
        <w:spacing w:after="0" w:line="200" w:lineRule="exact"/>
        <w:rPr>
          <w:sz w:val="20"/>
          <w:szCs w:val="20"/>
          <w:color w:val="auto"/>
        </w:rPr>
      </w:pP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66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580" w:type="dxa"/>
            <w:vAlign w:val="bottom"/>
            <w:gridSpan w:val="4"/>
          </w:tcPr>
          <w:p>
            <w:pPr>
              <w:ind w:left="900"/>
              <w:spacing w:after="0"/>
              <w:rPr>
                <w:sz w:val="20"/>
                <w:szCs w:val="20"/>
                <w:color w:val="auto"/>
              </w:rPr>
            </w:pPr>
            <w:r>
              <w:rPr>
                <w:rFonts w:ascii="Arial" w:cs="Arial" w:eastAsia="Arial" w:hAnsi="Arial"/>
                <w:sz w:val="14"/>
                <w:szCs w:val="14"/>
                <w:b w:val="1"/>
                <w:bCs w:val="1"/>
                <w:color w:val="auto"/>
              </w:rPr>
              <w:t>Percentage of Performance Stock Units Vesting</w:t>
            </w: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Maximum:</w:t>
            </w: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99"/>
              </w:rPr>
              <w:t>50%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rPr>
              <w:t>&gt;= +5.0%</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9"/>
              </w:rPr>
              <w:t>3-year Size Adjusted</w:t>
            </w: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w w:val="94"/>
              </w:rPr>
              <w:t>Target:</w:t>
            </w:r>
          </w:p>
        </w:tc>
        <w:tc>
          <w:tcPr>
            <w:tcW w:w="1500" w:type="dxa"/>
            <w:vAlign w:val="bottom"/>
          </w:tcPr>
          <w:p>
            <w:pPr>
              <w:jc w:val="center"/>
              <w:ind w:left="172"/>
              <w:spacing w:after="0" w:line="202" w:lineRule="exact"/>
              <w:rPr>
                <w:sz w:val="20"/>
                <w:szCs w:val="20"/>
                <w:color w:val="auto"/>
              </w:rPr>
            </w:pPr>
            <w:r>
              <w:rPr>
                <w:rFonts w:ascii="Arial" w:cs="Arial" w:eastAsia="Arial" w:hAnsi="Arial"/>
                <w:sz w:val="18"/>
                <w:szCs w:val="18"/>
                <w:color w:val="auto"/>
                <w:w w:val="99"/>
              </w:rPr>
              <w:t>25%</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00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3"/>
        </w:trPr>
        <w:tc>
          <w:tcPr>
            <w:tcW w:w="2060" w:type="dxa"/>
            <w:vAlign w:val="bottom"/>
          </w:tcPr>
          <w:p>
            <w:pPr>
              <w:jc w:val="center"/>
              <w:ind w:right="290"/>
              <w:spacing w:after="0" w:line="202" w:lineRule="exact"/>
              <w:rPr>
                <w:sz w:val="20"/>
                <w:szCs w:val="20"/>
                <w:color w:val="auto"/>
              </w:rPr>
            </w:pPr>
            <w:r>
              <w:rPr>
                <w:rFonts w:ascii="Arial" w:cs="Arial" w:eastAsia="Arial" w:hAnsi="Arial"/>
                <w:sz w:val="18"/>
                <w:szCs w:val="18"/>
                <w:color w:val="auto"/>
              </w:rPr>
              <w:t>Cumulative EP</w:t>
            </w: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w w:val="98"/>
              </w:rPr>
              <w:t>0.0% to 0.5%</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8"/>
              </w:rPr>
              <w:t>Improvement</w:t>
            </w: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rPr>
              <w:t>Threshold:</w:t>
            </w:r>
          </w:p>
        </w:tc>
        <w:tc>
          <w:tcPr>
            <w:tcW w:w="150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99"/>
              </w:rPr>
              <w:t>0%</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25%</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c>
          <w:tcPr>
            <w:tcW w:w="100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3"/>
        </w:trPr>
        <w:tc>
          <w:tcPr>
            <w:tcW w:w="206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8"/>
              </w:rPr>
              <w:t>(Relative)</w:t>
            </w: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rPr>
              <w:t>−5.0%</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w w:val="99"/>
              </w:rPr>
              <w:t>Below Threshold:</w:t>
            </w:r>
          </w:p>
        </w:tc>
        <w:tc>
          <w:tcPr>
            <w:tcW w:w="150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99"/>
              </w:rPr>
              <w:t>0%</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25%</w:t>
            </w:r>
          </w:p>
        </w:tc>
        <w:tc>
          <w:tcPr>
            <w:tcW w:w="100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&lt;−5.0%</w:t>
            </w:r>
          </w:p>
        </w:tc>
        <w:tc>
          <w:tcPr>
            <w:tcW w:w="1500" w:type="dxa"/>
            <w:vAlign w:val="bottom"/>
            <w:vMerge w:val="restart"/>
          </w:tcPr>
          <w:p>
            <w:pPr>
              <w:jc w:val="center"/>
              <w:ind w:left="192"/>
              <w:spacing w:after="0"/>
              <w:rPr>
                <w:sz w:val="20"/>
                <w:szCs w:val="20"/>
                <w:color w:val="auto"/>
              </w:rPr>
            </w:pPr>
            <w:r>
              <w:rPr>
                <w:rFonts w:ascii="Arial" w:cs="Arial" w:eastAsia="Arial" w:hAnsi="Arial"/>
                <w:sz w:val="18"/>
                <w:szCs w:val="18"/>
                <w:color w:val="auto"/>
              </w:rPr>
              <w:t>Below</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8"/>
              </w:rPr>
              <w:t>Threshold: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Target:</w:t>
            </w:r>
          </w:p>
        </w:tc>
        <w:tc>
          <w:tcPr>
            <w:tcW w:w="1000" w:type="dxa"/>
            <w:vAlign w:val="bottom"/>
            <w:vMerge w:val="restart"/>
          </w:tcPr>
          <w:p>
            <w:pPr>
              <w:ind w:left="180"/>
              <w:spacing w:after="0"/>
              <w:rPr>
                <w:sz w:val="20"/>
                <w:szCs w:val="20"/>
                <w:color w:val="auto"/>
              </w:rPr>
            </w:pPr>
            <w:r>
              <w:rPr>
                <w:rFonts w:ascii="Arial" w:cs="Arial" w:eastAsia="Arial" w:hAnsi="Arial"/>
                <w:sz w:val="18"/>
                <w:szCs w:val="18"/>
                <w:color w:val="auto"/>
                <w:w w:val="96"/>
              </w:rPr>
              <w:t>Maximum:</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jc w:val="center"/>
              <w:ind w:left="192"/>
              <w:spacing w:after="0" w:line="202" w:lineRule="exact"/>
              <w:rPr>
                <w:sz w:val="20"/>
                <w:szCs w:val="20"/>
                <w:color w:val="auto"/>
              </w:rPr>
            </w:pPr>
            <w:r>
              <w:rPr>
                <w:rFonts w:ascii="Arial" w:cs="Arial" w:eastAsia="Arial" w:hAnsi="Arial"/>
                <w:sz w:val="18"/>
                <w:szCs w:val="18"/>
                <w:color w:val="auto"/>
              </w:rPr>
              <w:t>Threshold:</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jc w:val="center"/>
              <w:ind w:left="172"/>
              <w:spacing w:after="0"/>
              <w:rPr>
                <w:sz w:val="20"/>
                <w:szCs w:val="20"/>
                <w:color w:val="auto"/>
              </w:rPr>
            </w:pPr>
            <w:r>
              <w:rPr>
                <w:rFonts w:ascii="Arial" w:cs="Arial" w:eastAsia="Arial" w:hAnsi="Arial"/>
                <w:sz w:val="18"/>
                <w:szCs w:val="18"/>
                <w:color w:val="auto"/>
              </w:rPr>
              <w:t>&lt;$ MM</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$MM</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$MM</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rPr>
              <w:t>$&gt;=$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3-year Cumulative EP Improvement (Absolute)</w:t>
      </w:r>
    </w:p>
    <w:p>
      <w:pPr>
        <w:spacing w:after="0" w:line="117" w:lineRule="exact"/>
        <w:rPr>
          <w:sz w:val="20"/>
          <w:szCs w:val="20"/>
          <w:color w:val="auto"/>
        </w:rPr>
      </w:pPr>
    </w:p>
    <w:p>
      <w:pPr>
        <w:ind w:left="1080"/>
        <w:spacing w:after="0" w:line="236" w:lineRule="auto"/>
        <w:rPr>
          <w:sz w:val="20"/>
          <w:szCs w:val="20"/>
          <w:color w:val="auto"/>
        </w:rPr>
      </w:pPr>
      <w:r>
        <w:rPr>
          <w:rFonts w:ascii="Arial" w:cs="Arial" w:eastAsia="Arial" w:hAnsi="Arial"/>
          <w:sz w:val="18"/>
          <w:szCs w:val="18"/>
          <w:color w:val="auto"/>
        </w:rPr>
        <w:t>By the way of example, under the above payout matrix, an eligible executive would not receive any of the PSUs allotted to the executive for a given plan cycle if the Company’s 3-year cumulative EP improvement achieved on both an Absolute and Relative basis were below “Threshold.” The executive would receive 50% of the allotted PSUs if the Company’s 3-year cumulative EP improvement achieved the “Target” on either the Relative or Absolute axis but achieved only “Threshold” on the other axis. The same executive would receive up to 200% of the allotted PSUs if the Company’s 3-year cumulative EP improvement reached the stated “Maximum” goal on both the Absolute and Relative axis. The first 3-year cycle under Performance Share program started in fiscal 2006 and runs through the end of fiscal 2008. No payout has yet been made under this program, but based upon the Company’s performance to date, a payout is expected in September 2008. Under the terms of the Performance Share award, which terms have been filed with the SEC, receipt of the PSUs is also contingent upon continued employment on the delivery date in all cases except in the case of death, disability or retirement in which case an eligible executive would be entitled to receiving a pro rata number of PSUs (in the case of death or disability) or all of the PSUs (in the case of retirement) earned for the 3-year program cycle.</w:t>
      </w:r>
    </w:p>
    <w:p>
      <w:pPr>
        <w:spacing w:after="0" w:line="91" w:lineRule="exact"/>
        <w:rPr>
          <w:sz w:val="20"/>
          <w:szCs w:val="20"/>
          <w:color w:val="auto"/>
        </w:rPr>
      </w:pPr>
    </w:p>
    <w:p>
      <w:pPr>
        <w:ind w:left="700" w:right="360"/>
        <w:spacing w:after="0" w:line="239" w:lineRule="auto"/>
        <w:rPr>
          <w:sz w:val="20"/>
          <w:szCs w:val="20"/>
          <w:color w:val="auto"/>
        </w:rPr>
      </w:pPr>
      <w:r>
        <w:rPr>
          <w:rFonts w:ascii="Arial" w:cs="Arial" w:eastAsia="Arial" w:hAnsi="Arial"/>
          <w:sz w:val="18"/>
          <w:szCs w:val="18"/>
          <w:i w:val="1"/>
          <w:iCs w:val="1"/>
          <w:u w:val="single" w:color="auto"/>
          <w:color w:val="auto"/>
        </w:rPr>
        <w:t>Equity Grant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As was mentioned earlier in this CD&amp;A, the exercise price of each stock option awarded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under the LTIP is the closing price of Avnet stock on the date of grant, which typically is the date of the regularly scheduled meeting of the Compensation Committee in August of each year. This meeting was in September of each year prior to 2006. Generally, the only exception is in the case of a new hire or a promotion, in which cases options may be granted at or about the time of hiring or promotion. PSUs and RSUs are also granted to our named executive officers at the August meeting. Board and committee meetings are generally scheduled at least one year in advance. Scheduling decisions are made without regard to anticipated earnings or the major announcements by the Company. Repricing of stock options without shareholder approval is prohibited under the 2003 Plan and 2006 Plan.</w:t>
      </w:r>
    </w:p>
    <w:p>
      <w:pPr>
        <w:spacing w:after="0" w:line="93" w:lineRule="exact"/>
        <w:rPr>
          <w:sz w:val="20"/>
          <w:szCs w:val="20"/>
          <w:color w:val="auto"/>
        </w:rPr>
      </w:pPr>
    </w:p>
    <w:p>
      <w:pPr>
        <w:ind w:left="700" w:right="100"/>
        <w:spacing w:after="0" w:line="242" w:lineRule="auto"/>
        <w:rPr>
          <w:sz w:val="20"/>
          <w:szCs w:val="20"/>
          <w:color w:val="auto"/>
        </w:rPr>
      </w:pPr>
      <w:r>
        <w:rPr>
          <w:rFonts w:ascii="Arial" w:cs="Arial" w:eastAsia="Arial" w:hAnsi="Arial"/>
          <w:sz w:val="18"/>
          <w:szCs w:val="18"/>
          <w:i w:val="1"/>
          <w:iCs w:val="1"/>
          <w:u w:val="single" w:color="auto"/>
          <w:color w:val="auto"/>
        </w:rPr>
        <w:t>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significant portion of each executive officer’s total compensation in the form of equity-based incentives, the executive officers have a substantial interest and incentive to take steps to ensure profitable growth of the Company to drive long term shareholder returns. To further reinforce this focus, the Committee has established stock ownership guidelines for all executive officers. The guidelines provide that the named executive officers should hold shares of the Company’s Common Stock, with a market value equal to a multiple of each officer’s base salary, as set forth below:</w:t>
      </w:r>
    </w:p>
    <w:p>
      <w:pPr>
        <w:sectPr>
          <w:pgSz w:w="11900" w:h="16838" w:orient="portrait"/>
          <w:cols w:equalWidth="0" w:num="1">
            <w:col w:w="10620"/>
          </w:cols>
          <w:pgMar w:left="240" w:top="419" w:right="1039" w:bottom="1440" w:gutter="0" w:footer="0" w:header="0"/>
        </w:sectPr>
      </w:pPr>
    </w:p>
    <w:p>
      <w:pPr>
        <w:spacing w:after="0" w:line="1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Named Executive Officers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2 times base salary</w:t>
      </w:r>
    </w:p>
    <w:p>
      <w:pPr>
        <w:spacing w:after="0" w:line="124" w:lineRule="exact"/>
        <w:rPr>
          <w:sz w:val="20"/>
          <w:szCs w:val="20"/>
          <w:color w:val="auto"/>
        </w:rPr>
      </w:pPr>
    </w:p>
    <w:p>
      <w:pPr>
        <w:sectPr>
          <w:pgSz w:w="11900" w:h="16838" w:orient="portrait"/>
          <w:cols w:equalWidth="0" w:num="2">
            <w:col w:w="3760" w:space="720"/>
            <w:col w:w="6140"/>
          </w:cols>
          <w:pgMar w:left="240" w:top="419" w:right="1039" w:bottom="1440" w:gutter="0" w:footer="0" w:header="0"/>
          <w:type w:val="continuous"/>
        </w:sectPr>
      </w:pPr>
    </w:p>
    <w:p>
      <w:pPr>
        <w:ind w:left="700" w:right="20"/>
        <w:spacing w:after="0" w:line="238" w:lineRule="auto"/>
        <w:rPr>
          <w:sz w:val="20"/>
          <w:szCs w:val="20"/>
          <w:color w:val="auto"/>
        </w:rPr>
      </w:pPr>
      <w:r>
        <w:rPr>
          <w:rFonts w:ascii="Arial" w:cs="Arial" w:eastAsia="Arial" w:hAnsi="Arial"/>
          <w:sz w:val="18"/>
          <w:szCs w:val="18"/>
          <w:color w:val="auto"/>
        </w:rPr>
        <w:t>Shares that count toward the guidelines include shares actually owned by the officer. Options, vested or unvested, do not count towards the ownership requirement under the guidelines. Until the ownership requirement under the Guidelines is met, a covered officer must hold at least 50% of any net shares he or she receives upon the exercise of options or upon the delivery of any RSU or PSU awards. “Net shares” means the number of shares to be issued after the deduction of the number of shares with an aggregate</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market value equal to the aggregate amount of exercise price (in the case of option exercise) plus the amount due to mandatory tax withholdings. The Company and the Committee believe that this mandatory holding feature under the Stock Ownership Guidelines effectively requires each of the covered officers of the Company to permanently hold a certain number of the Company’s stock for as long as they are an executive officer of the Company. As of June 30, 2007, each of the named executive officers exceeded his minimum stock ownership requirement.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and Post-Employment Benefits</w:t>
      </w:r>
    </w:p>
    <w:p>
      <w:pPr>
        <w:spacing w:after="0" w:line="121" w:lineRule="exact"/>
        <w:rPr>
          <w:sz w:val="20"/>
          <w:szCs w:val="20"/>
          <w:color w:val="auto"/>
        </w:rPr>
      </w:pPr>
    </w:p>
    <w:p>
      <w:pPr>
        <w:ind w:left="700" w:right="60"/>
        <w:spacing w:after="0" w:line="239" w:lineRule="auto"/>
        <w:rPr>
          <w:sz w:val="20"/>
          <w:szCs w:val="20"/>
          <w:color w:val="auto"/>
        </w:rPr>
      </w:pPr>
      <w:r>
        <w:rPr>
          <w:rFonts w:ascii="Arial" w:cs="Arial" w:eastAsia="Arial" w:hAnsi="Arial"/>
          <w:sz w:val="18"/>
          <w:szCs w:val="18"/>
          <w:i w:val="1"/>
          <w:iCs w:val="1"/>
          <w:color w:val="auto"/>
        </w:rPr>
        <w:t xml:space="preserve">Pension Plan and SERP </w:t>
      </w:r>
      <w:r>
        <w:rPr>
          <w:rFonts w:ascii="Arial" w:cs="Arial" w:eastAsia="Arial" w:hAnsi="Arial"/>
          <w:sz w:val="18"/>
          <w:szCs w:val="18"/>
          <w:color w:val="auto"/>
        </w:rPr>
        <w:t>An important retention tool is the Avnet Pension Plan (the “Pension Plan”) which covers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employees of Avnet, including all of the named executive officers. The Pension Plan is a broad-based tax-qualified defined benefit plan with a cash balance feature. In addition, Avnet has in place the Executive Officers’ Supplemental Life Insurance and Retirement Program (“SERP”) in which each named executive officer participates. The SERP is another retention tool because entitlement to the SERP benefits is contingent upon the satisfaction of certain age and service requirements. The Company balances the effectiveness of these plans as a compensation and retention tool with the cost to the company of providing them. The benefit formula under the Pension Plan and the SERP is described in the Pension Benefits Table on page 29.</w:t>
      </w:r>
    </w:p>
    <w:p>
      <w:pPr>
        <w:spacing w:after="0" w:line="93" w:lineRule="exact"/>
        <w:rPr>
          <w:sz w:val="20"/>
          <w:szCs w:val="20"/>
          <w:color w:val="auto"/>
        </w:rPr>
      </w:pPr>
    </w:p>
    <w:p>
      <w:pPr>
        <w:ind w:left="700" w:right="120"/>
        <w:spacing w:after="0" w:line="241"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Company has a Deferred Compensation Plan for highly compensated employees ($100,000</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higher) including all of the named executive officers, allowing these employees to set aside a portion of their income for retirement on a pre-tax basis, in addition to the amounts allowed under the 401(k) Plan, at a minimal cost to the Company. Under this unfunded program, amounts deferred by a participant are credited with earnings based upon the returns actually obtained through the “deemed investment” selected by the executive, as described in more detail following the Nonqualified Deferred Compensation table on page 30.</w:t>
      </w:r>
    </w:p>
    <w:p>
      <w:pPr>
        <w:spacing w:after="0" w:line="90" w:lineRule="exact"/>
        <w:rPr>
          <w:sz w:val="20"/>
          <w:szCs w:val="20"/>
          <w:color w:val="auto"/>
        </w:rPr>
      </w:pPr>
    </w:p>
    <w:p>
      <w:pPr>
        <w:ind w:left="700"/>
        <w:spacing w:after="0" w:line="255" w:lineRule="auto"/>
        <w:rPr>
          <w:sz w:val="20"/>
          <w:szCs w:val="20"/>
          <w:color w:val="auto"/>
        </w:rPr>
      </w:pPr>
      <w:r>
        <w:rPr>
          <w:rFonts w:ascii="Arial" w:cs="Arial" w:eastAsia="Arial" w:hAnsi="Arial"/>
          <w:sz w:val="17"/>
          <w:szCs w:val="17"/>
          <w:i w:val="1"/>
          <w:iCs w:val="1"/>
          <w:color w:val="auto"/>
        </w:rPr>
        <w:t xml:space="preserve">D&amp;O Insurance </w:t>
      </w:r>
      <w:r>
        <w:rPr>
          <w:rFonts w:ascii="Arial" w:cs="Arial" w:eastAsia="Arial" w:hAnsi="Arial"/>
          <w:sz w:val="17"/>
          <w:szCs w:val="17"/>
          <w:color w:val="auto"/>
        </w:rPr>
        <w:t>As permitted by Section 726 of the Business Corporation Law of New York, Avnet has in force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Chubb, a Division of Federal Insurance Company, and the five excess carriers are CNA Insurance Companies, ACE American Insurance Company, Zurich American Insurance Company, Arch Insurance Company and National Union Fire Insurance Co. of Pittsburgh, PA. The coverage was renewed effective August 1, 2007 for a one year term. The total premium paid for both primary and excess insurance was $1,445,526.</w:t>
      </w:r>
    </w:p>
    <w:p>
      <w:pPr>
        <w:spacing w:after="0" w:line="81" w:lineRule="exact"/>
        <w:rPr>
          <w:sz w:val="20"/>
          <w:szCs w:val="20"/>
          <w:color w:val="auto"/>
        </w:rPr>
      </w:pPr>
    </w:p>
    <w:p>
      <w:pPr>
        <w:ind w:left="700" w:right="40"/>
        <w:spacing w:after="0" w:line="242"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Company provides named executive officers with a limited number of perquisites that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 are reasonable and consistent with its overall compensation program, and necessary to remain competitive. The Committee periodically reviews the level of perquisites provided to the named executive officers. Costs associated with perquisites provided by the Company are included under All Other Compensation in the following Summary Compensation Table.</w:t>
      </w:r>
    </w:p>
    <w:p>
      <w:pPr>
        <w:spacing w:after="0" w:line="91" w:lineRule="exact"/>
        <w:rPr>
          <w:sz w:val="20"/>
          <w:szCs w:val="20"/>
          <w:color w:val="auto"/>
        </w:rPr>
      </w:pPr>
    </w:p>
    <w:p>
      <w:pPr>
        <w:ind w:left="700"/>
        <w:spacing w:after="0" w:line="256" w:lineRule="auto"/>
        <w:rPr>
          <w:sz w:val="20"/>
          <w:szCs w:val="20"/>
          <w:color w:val="auto"/>
        </w:rPr>
      </w:pPr>
      <w:r>
        <w:rPr>
          <w:rFonts w:ascii="Arial" w:cs="Arial" w:eastAsia="Arial" w:hAnsi="Arial"/>
          <w:sz w:val="17"/>
          <w:szCs w:val="17"/>
          <w:i w:val="1"/>
          <w:iCs w:val="1"/>
          <w:color w:val="auto"/>
        </w:rPr>
        <w:t xml:space="preserve">Employment Agreements and Change in Control Agreements </w:t>
      </w:r>
      <w:r>
        <w:rPr>
          <w:rFonts w:ascii="Arial" w:cs="Arial" w:eastAsia="Arial" w:hAnsi="Arial"/>
          <w:sz w:val="17"/>
          <w:szCs w:val="17"/>
          <w:color w:val="auto"/>
        </w:rPr>
        <w:t>Each of the named executive officers has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and a change in control agreement with the Company. The change in control agreements are intended to encourage retention in the face of the disruptive impact of an actual or attempted change in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 the transactions may jeopardize the executives’ own employment. More detailed descriptions of these programs are included under the heading “Potential Payouts Upon Termination and Change in Control.”</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139" w:lineRule="exact"/>
        <w:rPr>
          <w:sz w:val="20"/>
          <w:szCs w:val="20"/>
          <w:color w:val="auto"/>
        </w:rPr>
      </w:pPr>
    </w:p>
    <w:p>
      <w:pPr>
        <w:ind w:left="700" w:right="160"/>
        <w:spacing w:after="0"/>
        <w:rPr>
          <w:sz w:val="20"/>
          <w:szCs w:val="20"/>
          <w:color w:val="auto"/>
        </w:rPr>
      </w:pPr>
      <w:r>
        <w:rPr>
          <w:rFonts w:ascii="Arial" w:cs="Arial" w:eastAsia="Arial" w:hAnsi="Arial"/>
          <w:sz w:val="18"/>
          <w:szCs w:val="18"/>
          <w:color w:val="auto"/>
        </w:rPr>
        <w:t>The following table sets forth information concerning the compensation during Avnet’s last fiscal year of its Chief Executive Officer, the Chief Financial Officer and the three executive officers at the end of last fiscal year who had the highest individual total compensation during Avnet’s fiscal year ended June 30, 2007:</w:t>
      </w:r>
    </w:p>
    <w:p>
      <w:pPr>
        <w:spacing w:after="0" w:line="30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SUMMARY COMPENSATION TABLE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16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Salary</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6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16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260" w:type="dxa"/>
            <w:vAlign w:val="bottom"/>
            <w:vMerge w:val="continue"/>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center"/>
              <w:ind w:left="44"/>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940" w:type="dxa"/>
            <w:vAlign w:val="bottom"/>
            <w:gridSpan w:val="2"/>
          </w:tcPr>
          <w:p>
            <w:pPr>
              <w:jc w:val="center"/>
              <w:ind w:left="44"/>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960" w:type="dxa"/>
            <w:vAlign w:val="bottom"/>
            <w:gridSpan w:val="2"/>
          </w:tcPr>
          <w:p>
            <w:pPr>
              <w:jc w:val="center"/>
              <w:ind w:left="84"/>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1160" w:type="dxa"/>
            <w:vAlign w:val="bottom"/>
            <w:gridSpan w:val="2"/>
          </w:tcPr>
          <w:p>
            <w:pPr>
              <w:jc w:val="center"/>
              <w:ind w:left="85"/>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1160" w:type="dxa"/>
            <w:vAlign w:val="bottom"/>
            <w:gridSpan w:val="2"/>
          </w:tcPr>
          <w:p>
            <w:pPr>
              <w:jc w:val="center"/>
              <w:ind w:left="85"/>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(4)</w:t>
            </w:r>
          </w:p>
        </w:tc>
        <w:tc>
          <w:tcPr>
            <w:tcW w:w="1160" w:type="dxa"/>
            <w:vAlign w:val="bottom"/>
            <w:gridSpan w:val="2"/>
          </w:tcPr>
          <w:p>
            <w:pPr>
              <w:jc w:val="center"/>
              <w:ind w:left="85"/>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(5)</w:t>
            </w:r>
          </w:p>
        </w:tc>
        <w:tc>
          <w:tcPr>
            <w:tcW w:w="98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Arial" w:cs="Arial" w:eastAsia="Arial" w:hAnsi="Arial"/>
                <w:sz w:val="14"/>
                <w:szCs w:val="14"/>
                <w:b w:val="1"/>
                <w:bCs w:val="1"/>
                <w:color w:val="auto"/>
              </w:rPr>
              <w:t>(a)</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180" w:type="dxa"/>
            <w:vAlign w:val="bottom"/>
          </w:tcPr>
          <w:p>
            <w:pPr>
              <w:spacing w:after="0"/>
              <w:rPr>
                <w:sz w:val="15"/>
                <w:szCs w:val="15"/>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18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6"/>
                <w:szCs w:val="16"/>
                <w:color w:val="auto"/>
              </w:rPr>
              <w:t>Roy Vallee</w:t>
            </w:r>
          </w:p>
        </w:tc>
        <w:tc>
          <w:tcPr>
            <w:tcW w:w="420" w:type="dxa"/>
            <w:vAlign w:val="bottom"/>
          </w:tcPr>
          <w:p>
            <w:pPr>
              <w:ind w:left="60"/>
              <w:spacing w:after="0"/>
              <w:rPr>
                <w:sz w:val="20"/>
                <w:szCs w:val="20"/>
                <w:color w:val="auto"/>
              </w:rPr>
            </w:pPr>
            <w:r>
              <w:rPr>
                <w:rFonts w:ascii="Arial" w:cs="Arial" w:eastAsia="Arial" w:hAnsi="Arial"/>
                <w:sz w:val="16"/>
                <w:szCs w:val="16"/>
                <w:color w:val="auto"/>
                <w:w w:val="95"/>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950,000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4,446,297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2,365,275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1,307,300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678,006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33,883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9,780,761</w:t>
            </w:r>
          </w:p>
        </w:tc>
        <w:tc>
          <w:tcPr>
            <w:tcW w:w="0" w:type="dxa"/>
            <w:vAlign w:val="bottom"/>
          </w:tcPr>
          <w:p>
            <w:pPr>
              <w:spacing w:after="0"/>
              <w:rPr>
                <w:sz w:val="1"/>
                <w:szCs w:val="1"/>
                <w:color w:val="auto"/>
              </w:rPr>
            </w:pPr>
          </w:p>
        </w:tc>
      </w:tr>
      <w:tr>
        <w:trPr>
          <w:trHeight w:val="189"/>
        </w:trPr>
        <w:tc>
          <w:tcPr>
            <w:tcW w:w="2260" w:type="dxa"/>
            <w:vAlign w:val="bottom"/>
          </w:tcPr>
          <w:p>
            <w:pPr>
              <w:ind w:left="160"/>
              <w:spacing w:after="0"/>
              <w:rPr>
                <w:sz w:val="20"/>
                <w:szCs w:val="20"/>
                <w:color w:val="auto"/>
              </w:rPr>
            </w:pPr>
            <w:r>
              <w:rPr>
                <w:rFonts w:ascii="Arial" w:cs="Arial" w:eastAsia="Arial" w:hAnsi="Arial"/>
                <w:sz w:val="16"/>
                <w:szCs w:val="16"/>
                <w:color w:val="auto"/>
              </w:rPr>
              <w:t>CEO</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Raymond Sadowski</w:t>
            </w:r>
          </w:p>
        </w:tc>
        <w:tc>
          <w:tcPr>
            <w:tcW w:w="420" w:type="dxa"/>
            <w:vAlign w:val="bottom"/>
          </w:tcPr>
          <w:p>
            <w:pPr>
              <w:ind w:left="60"/>
              <w:spacing w:after="0"/>
              <w:rPr>
                <w:sz w:val="20"/>
                <w:szCs w:val="20"/>
                <w:color w:val="auto"/>
              </w:rPr>
            </w:pPr>
            <w:r>
              <w:rPr>
                <w:rFonts w:ascii="Arial" w:cs="Arial" w:eastAsia="Arial" w:hAnsi="Arial"/>
                <w:sz w:val="16"/>
                <w:szCs w:val="16"/>
                <w:color w:val="auto"/>
                <w:w w:val="95"/>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431,254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278,865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309,624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247,868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22,801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1,740,412</w:t>
            </w:r>
          </w:p>
        </w:tc>
        <w:tc>
          <w:tcPr>
            <w:tcW w:w="0" w:type="dxa"/>
            <w:vAlign w:val="bottom"/>
          </w:tcPr>
          <w:p>
            <w:pPr>
              <w:spacing w:after="0"/>
              <w:rPr>
                <w:sz w:val="1"/>
                <w:szCs w:val="1"/>
                <w:color w:val="auto"/>
              </w:rPr>
            </w:pPr>
          </w:p>
        </w:tc>
      </w:tr>
      <w:tr>
        <w:trPr>
          <w:trHeight w:val="189"/>
        </w:trPr>
        <w:tc>
          <w:tcPr>
            <w:tcW w:w="2260" w:type="dxa"/>
            <w:vAlign w:val="bottom"/>
          </w:tcPr>
          <w:p>
            <w:pPr>
              <w:ind w:left="160"/>
              <w:spacing w:after="0"/>
              <w:rPr>
                <w:sz w:val="20"/>
                <w:szCs w:val="20"/>
                <w:color w:val="auto"/>
              </w:rPr>
            </w:pPr>
            <w:r>
              <w:rPr>
                <w:rFonts w:ascii="Arial" w:cs="Arial" w:eastAsia="Arial" w:hAnsi="Arial"/>
                <w:sz w:val="16"/>
                <w:szCs w:val="16"/>
                <w:color w:val="auto"/>
              </w:rPr>
              <w:t>CFO</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Richard Hamada</w:t>
            </w:r>
          </w:p>
        </w:tc>
        <w:tc>
          <w:tcPr>
            <w:tcW w:w="420" w:type="dxa"/>
            <w:vAlign w:val="bottom"/>
          </w:tcPr>
          <w:p>
            <w:pPr>
              <w:ind w:left="60"/>
              <w:spacing w:after="0"/>
              <w:rPr>
                <w:sz w:val="20"/>
                <w:szCs w:val="20"/>
                <w:color w:val="auto"/>
              </w:rPr>
            </w:pPr>
            <w:r>
              <w:rPr>
                <w:rFonts w:ascii="Arial" w:cs="Arial" w:eastAsia="Arial" w:hAnsi="Arial"/>
                <w:sz w:val="16"/>
                <w:szCs w:val="16"/>
                <w:color w:val="auto"/>
                <w:w w:val="95"/>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540,000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585,390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299,276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594,477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307,658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21,145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2,347,946</w:t>
            </w:r>
          </w:p>
        </w:tc>
        <w:tc>
          <w:tcPr>
            <w:tcW w:w="0" w:type="dxa"/>
            <w:vAlign w:val="bottom"/>
          </w:tcPr>
          <w:p>
            <w:pPr>
              <w:spacing w:after="0"/>
              <w:rPr>
                <w:sz w:val="1"/>
                <w:szCs w:val="1"/>
                <w:color w:val="auto"/>
              </w:rPr>
            </w:pPr>
          </w:p>
        </w:tc>
      </w:tr>
      <w:tr>
        <w:trPr>
          <w:trHeight w:val="189"/>
        </w:trPr>
        <w:tc>
          <w:tcPr>
            <w:tcW w:w="2260" w:type="dxa"/>
            <w:vAlign w:val="bottom"/>
          </w:tcPr>
          <w:p>
            <w:pPr>
              <w:ind w:left="160"/>
              <w:spacing w:after="0"/>
              <w:rPr>
                <w:sz w:val="20"/>
                <w:szCs w:val="20"/>
                <w:color w:val="auto"/>
              </w:rPr>
            </w:pPr>
            <w:r>
              <w:rPr>
                <w:rFonts w:ascii="Arial" w:cs="Arial" w:eastAsia="Arial" w:hAnsi="Arial"/>
                <w:sz w:val="16"/>
                <w:szCs w:val="16"/>
                <w:color w:val="auto"/>
              </w:rPr>
              <w:t>COO</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Harley Feldberg</w:t>
            </w:r>
          </w:p>
        </w:tc>
        <w:tc>
          <w:tcPr>
            <w:tcW w:w="420" w:type="dxa"/>
            <w:vAlign w:val="bottom"/>
          </w:tcPr>
          <w:p>
            <w:pPr>
              <w:ind w:left="60"/>
              <w:spacing w:after="0"/>
              <w:rPr>
                <w:sz w:val="20"/>
                <w:szCs w:val="20"/>
                <w:color w:val="auto"/>
              </w:rPr>
            </w:pPr>
            <w:r>
              <w:rPr>
                <w:rFonts w:ascii="Arial" w:cs="Arial" w:eastAsia="Arial" w:hAnsi="Arial"/>
                <w:sz w:val="16"/>
                <w:szCs w:val="16"/>
                <w:color w:val="auto"/>
                <w:w w:val="95"/>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581,275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429,055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426,537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426,874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21,588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2,335,329</w:t>
            </w:r>
          </w:p>
        </w:tc>
        <w:tc>
          <w:tcPr>
            <w:tcW w:w="0" w:type="dxa"/>
            <w:vAlign w:val="bottom"/>
          </w:tcPr>
          <w:p>
            <w:pPr>
              <w:spacing w:after="0"/>
              <w:rPr>
                <w:sz w:val="1"/>
                <w:szCs w:val="1"/>
                <w:color w:val="auto"/>
              </w:rPr>
            </w:pPr>
          </w:p>
        </w:tc>
      </w:tr>
      <w:tr>
        <w:trPr>
          <w:trHeight w:val="189"/>
        </w:trPr>
        <w:tc>
          <w:tcPr>
            <w:tcW w:w="2260" w:type="dxa"/>
            <w:vAlign w:val="bottom"/>
          </w:tcPr>
          <w:p>
            <w:pPr>
              <w:ind w:left="160"/>
              <w:spacing w:after="0"/>
              <w:rPr>
                <w:sz w:val="20"/>
                <w:szCs w:val="20"/>
                <w:color w:val="auto"/>
              </w:rPr>
            </w:pPr>
            <w:r>
              <w:rPr>
                <w:rFonts w:ascii="Arial" w:cs="Arial" w:eastAsia="Arial" w:hAnsi="Arial"/>
                <w:sz w:val="16"/>
                <w:szCs w:val="16"/>
                <w:color w:val="auto"/>
              </w:rPr>
              <w:t>President, EM</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David Birk</w:t>
            </w:r>
          </w:p>
        </w:tc>
        <w:tc>
          <w:tcPr>
            <w:tcW w:w="420" w:type="dxa"/>
            <w:vAlign w:val="bottom"/>
          </w:tcPr>
          <w:p>
            <w:pPr>
              <w:ind w:left="60"/>
              <w:spacing w:after="0"/>
              <w:rPr>
                <w:sz w:val="20"/>
                <w:szCs w:val="20"/>
                <w:color w:val="auto"/>
              </w:rPr>
            </w:pPr>
            <w:r>
              <w:rPr>
                <w:rFonts w:ascii="Arial" w:cs="Arial" w:eastAsia="Arial" w:hAnsi="Arial"/>
                <w:sz w:val="16"/>
                <w:szCs w:val="16"/>
                <w:color w:val="auto"/>
                <w:w w:val="95"/>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440,000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623,289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300,597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249,075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244,046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147,828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2,004,835</w:t>
            </w:r>
          </w:p>
        </w:tc>
        <w:tc>
          <w:tcPr>
            <w:tcW w:w="0" w:type="dxa"/>
            <w:vAlign w:val="bottom"/>
          </w:tcPr>
          <w:p>
            <w:pPr>
              <w:spacing w:after="0"/>
              <w:rPr>
                <w:sz w:val="1"/>
                <w:szCs w:val="1"/>
                <w:color w:val="auto"/>
              </w:rPr>
            </w:pPr>
          </w:p>
        </w:tc>
      </w:tr>
      <w:tr>
        <w:trPr>
          <w:trHeight w:val="195"/>
        </w:trPr>
        <w:tc>
          <w:tcPr>
            <w:tcW w:w="2260" w:type="dxa"/>
            <w:vAlign w:val="bottom"/>
          </w:tcPr>
          <w:p>
            <w:pPr>
              <w:ind w:left="160"/>
              <w:spacing w:after="0"/>
              <w:rPr>
                <w:sz w:val="20"/>
                <w:szCs w:val="20"/>
                <w:color w:val="auto"/>
              </w:rPr>
            </w:pPr>
            <w:r>
              <w:rPr>
                <w:rFonts w:ascii="Arial" w:cs="Arial" w:eastAsia="Arial" w:hAnsi="Arial"/>
                <w:sz w:val="16"/>
                <w:szCs w:val="16"/>
                <w:color w:val="auto"/>
              </w:rPr>
              <w:t>SVP, General Counsel</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-1350645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81280</wp:posOffset>
            </wp:positionV>
            <wp:extent cx="814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200" w:right="500" w:hanging="322"/>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Feldberg deferred a portion of his salary under the Deferred Compensation Plan, which is included in the Nonqualified Deferred Compensation Table on page 30. Each of the named executive officers also contributed a portion of his salary to the Company’s 401(k) Plan.</w:t>
      </w:r>
    </w:p>
    <w:p>
      <w:pPr>
        <w:spacing w:after="0" w:line="40" w:lineRule="exact"/>
        <w:rPr>
          <w:rFonts w:ascii="Arial" w:cs="Arial" w:eastAsia="Arial" w:hAnsi="Arial"/>
          <w:sz w:val="18"/>
          <w:szCs w:val="18"/>
          <w:color w:val="auto"/>
        </w:rPr>
      </w:pPr>
    </w:p>
    <w:p>
      <w:pPr>
        <w:jc w:val="both"/>
        <w:ind w:left="1200" w:right="140" w:hanging="322"/>
        <w:spacing w:after="0" w:line="248" w:lineRule="auto"/>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column represents the dollar amount recognized for financial statement reporting purposes with respect to fiscal year 2007 for the fair value of PSUs and RSUs (or options in the case of column (f)) granted in fiscal 2007 as well as in prior fiscal years, in accordance with the Statement of Financial Accounting Standards No. 123R (“SFAS 123R”).</w:t>
      </w:r>
    </w:p>
    <w:p>
      <w:pPr>
        <w:spacing w:after="0" w:line="1" w:lineRule="exact"/>
        <w:rPr>
          <w:rFonts w:ascii="Arial" w:cs="Arial" w:eastAsia="Arial" w:hAnsi="Arial"/>
          <w:sz w:val="17"/>
          <w:szCs w:val="17"/>
          <w:color w:val="auto"/>
        </w:rPr>
      </w:pPr>
    </w:p>
    <w:p>
      <w:pPr>
        <w:ind w:left="1200"/>
        <w:spacing w:after="0" w:line="236" w:lineRule="auto"/>
        <w:rPr>
          <w:rFonts w:ascii="Arial" w:cs="Arial" w:eastAsia="Arial" w:hAnsi="Arial"/>
          <w:sz w:val="17"/>
          <w:szCs w:val="17"/>
          <w:color w:val="auto"/>
        </w:rPr>
      </w:pPr>
      <w:r>
        <w:rPr>
          <w:rFonts w:ascii="Arial" w:cs="Arial" w:eastAsia="Arial" w:hAnsi="Arial"/>
          <w:sz w:val="18"/>
          <w:szCs w:val="18"/>
          <w:color w:val="auto"/>
        </w:rPr>
        <w:t>Pursuant to SEC rules, the amounts shown exclude the impact of estimated forfeitures related to service-based vesting conditions. The amount expensed in accordance with SFAS 123R takes into account the earliest date on which the executive would be eligible to retire and reflects the accelerated amortization of the equity compensation costs that are fully expensed by that retirement date. Based upon the age and years of service of the named executive officers, this affected the amounts reflected in the table above by varying degrees. For additional information, refer to note 12 of the Footnotes to Avnet’s financial statements in the Form 10-K for the year ended June 30, 2007, as filed with the SEC. See the Grants of Plan-Based Awards Table for information on awards made in fiscal 2007. These amounts reflect the company’s accounting expense for these awards, and do not correspond to the actual value that will be recognized by the named executive officers.</w:t>
      </w:r>
    </w:p>
    <w:p>
      <w:pPr>
        <w:spacing w:after="0" w:line="45" w:lineRule="exact"/>
        <w:rPr>
          <w:rFonts w:ascii="Arial" w:cs="Arial" w:eastAsia="Arial" w:hAnsi="Arial"/>
          <w:sz w:val="17"/>
          <w:szCs w:val="17"/>
          <w:color w:val="auto"/>
        </w:rPr>
      </w:pPr>
    </w:p>
    <w:p>
      <w:pPr>
        <w:ind w:left="1200" w:right="400" w:hanging="322"/>
        <w:spacing w:after="0" w:line="246"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Feldberg deferred a portion of his non-equity incentive compensation under the Deferred Compensation Plan, which is included in the Nonqualified Deferred Compensation Table on page 30.</w:t>
      </w:r>
    </w:p>
    <w:p>
      <w:pPr>
        <w:spacing w:after="0" w:line="34" w:lineRule="exact"/>
        <w:rPr>
          <w:rFonts w:ascii="Arial" w:cs="Arial" w:eastAsia="Arial" w:hAnsi="Arial"/>
          <w:sz w:val="18"/>
          <w:szCs w:val="18"/>
          <w:color w:val="auto"/>
        </w:rPr>
      </w:pPr>
    </w:p>
    <w:p>
      <w:pPr>
        <w:ind w:left="1200" w:right="80" w:hanging="322"/>
        <w:spacing w:after="0" w:line="238"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column includes the annual increase in the actuarial present value of accumulated benefits under the Pension Plan and SERP and, in the case of Messrs. Vallee and Feldberg, the amount of earnings on each of Messrs. Vallee’s and Feldberg’s account in the Non-Qualified Deferred Compensation (“NQDC”) plan in excess of the applicable federal rate of return (or the “above-market” portion). The above-market portion for Mr. Vallee’s NQDC included in this column is $22,819, and for Mr. Feldberg $74,351.</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200" w:right="640" w:hanging="322"/>
        <w:spacing w:after="0" w:line="248"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includes (a) Company-paid expenses associated with a leased automobile for each of the named executive officers, (b) Company matching contributions to each named executive officer’s Avnet 401(k) account,</w:t>
      </w:r>
    </w:p>
    <w:p>
      <w:pPr>
        <w:spacing w:after="0" w:line="1" w:lineRule="exact"/>
        <w:rPr>
          <w:rFonts w:ascii="Arial" w:cs="Arial" w:eastAsia="Arial" w:hAnsi="Arial"/>
          <w:sz w:val="17"/>
          <w:szCs w:val="17"/>
          <w:color w:val="auto"/>
        </w:rPr>
      </w:pPr>
    </w:p>
    <w:p>
      <w:pPr>
        <w:ind w:left="1460" w:hanging="268"/>
        <w:spacing w:after="0" w:line="234"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imputed income on life insurance provided under the executive officers’ supplemental life insurance program,</w:t>
      </w:r>
    </w:p>
    <w:p>
      <w:pPr>
        <w:ind w:left="1200" w:right="180" w:hanging="8"/>
        <w:spacing w:after="0" w:line="238" w:lineRule="auto"/>
        <w:tabs>
          <w:tab w:leader="none" w:pos="14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cost of annual physical exams, (e) premium paid for an “Accidental Death &amp; Dismemberment” policy and “Travel and Accidental Death” policy and, in the case of Mr. Vallee, (f) club membership dues reimbursed by Avnet. None of the perquisites and personal benefits individually exceeded the greater of $25,000 or 10% of the total amount of these benefits for the named executive officer. Also included in the column for Mr. Birk is a tax reimbursement of $125,970 in connection with his expatriate assignment completed in fiscal 2006.</w:t>
      </w:r>
    </w:p>
    <w:p>
      <w:pPr>
        <w:spacing w:after="0" w:line="302"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Grants of Plan-Based Awards</w:t>
      </w:r>
    </w:p>
    <w:p>
      <w:pPr>
        <w:spacing w:after="0" w:line="139" w:lineRule="exact"/>
        <w:rPr>
          <w:sz w:val="20"/>
          <w:szCs w:val="20"/>
          <w:color w:val="auto"/>
        </w:rPr>
      </w:pPr>
    </w:p>
    <w:p>
      <w:pPr>
        <w:ind w:left="700" w:right="160"/>
        <w:spacing w:after="0" w:line="238" w:lineRule="auto"/>
        <w:rPr>
          <w:sz w:val="20"/>
          <w:szCs w:val="20"/>
          <w:color w:val="auto"/>
        </w:rPr>
      </w:pPr>
      <w:r>
        <w:rPr>
          <w:rFonts w:ascii="Arial" w:cs="Arial" w:eastAsia="Arial" w:hAnsi="Arial"/>
          <w:sz w:val="18"/>
          <w:szCs w:val="18"/>
          <w:color w:val="auto"/>
        </w:rPr>
        <w:t>The following table provides information about equity and non-equity plan-based awards to the named executive officers in fiscal 2007 relating to (1) annual cash incentive awards; (2) the RSUs; (3) the PSUs and (4) the option grants. The actual payouts in fiscal 2007 under the Non-Equity Incentive Plan Awards are included in the Summary Compensation Table as are the expenses recorded by the Company associated with the awards under the Equity Incentive Plan in accordance with SFAS 123R.</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All Other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All Other</w:t>
            </w:r>
          </w:p>
        </w:tc>
        <w:tc>
          <w:tcPr>
            <w:tcW w:w="10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rPr>
              <w:t>Option</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Awards: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10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Number of</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Exercise or</w:t>
            </w:r>
          </w:p>
        </w:tc>
        <w:tc>
          <w:tcPr>
            <w:tcW w:w="8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gridSpan w:val="6"/>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Estimated possible Payouts</w:t>
            </w:r>
          </w:p>
        </w:tc>
        <w:tc>
          <w:tcPr>
            <w:tcW w:w="26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7"/>
              </w:rPr>
              <w:t>Estimated Future Payouts</w:t>
            </w:r>
          </w:p>
        </w:tc>
        <w:tc>
          <w:tcPr>
            <w:tcW w:w="70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9"/>
              </w:rPr>
              <w:t>Securities</w:t>
            </w:r>
          </w:p>
        </w:tc>
        <w:tc>
          <w:tcPr>
            <w:tcW w:w="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Base Price</w:t>
            </w:r>
          </w:p>
        </w:tc>
        <w:tc>
          <w:tcPr>
            <w:tcW w:w="80" w:type="dxa"/>
            <w:vAlign w:val="bottom"/>
          </w:tcPr>
          <w:p>
            <w:pPr>
              <w:spacing w:after="0"/>
              <w:rPr>
                <w:sz w:val="11"/>
                <w:szCs w:val="11"/>
                <w:color w:val="auto"/>
              </w:rPr>
            </w:pPr>
          </w:p>
        </w:tc>
        <w:tc>
          <w:tcPr>
            <w:tcW w:w="6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7"/>
              </w:rPr>
              <w:t>Under Non-Equity Incentive Plan Awards</w:t>
            </w:r>
            <w:r>
              <w:rPr>
                <w:rFonts w:ascii="Arial" w:cs="Arial" w:eastAsia="Arial" w:hAnsi="Arial"/>
                <w:sz w:val="10"/>
                <w:szCs w:val="10"/>
                <w:b w:val="1"/>
                <w:bCs w:val="1"/>
                <w:color w:val="auto"/>
                <w:w w:val="97"/>
              </w:rPr>
              <w:t>(1)</w:t>
            </w:r>
          </w:p>
        </w:tc>
        <w:tc>
          <w:tcPr>
            <w:tcW w:w="26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7"/>
              </w:rPr>
              <w:t>Under Equity Incentive Plan Awards (#)</w:t>
            </w:r>
            <w:r>
              <w:rPr>
                <w:rFonts w:ascii="Arial" w:cs="Arial" w:eastAsia="Arial" w:hAnsi="Arial"/>
                <w:sz w:val="10"/>
                <w:szCs w:val="10"/>
                <w:b w:val="1"/>
                <w:bCs w:val="1"/>
                <w:color w:val="auto"/>
                <w:w w:val="97"/>
              </w:rPr>
              <w:t>(1)(2)</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Shares of</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of Option</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120"/>
        </w:trPr>
        <w:tc>
          <w:tcPr>
            <w:tcW w:w="1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2"/>
              </w:rPr>
              <w:t>Grant</w:t>
            </w:r>
          </w:p>
        </w:tc>
        <w:tc>
          <w:tcPr>
            <w:tcW w:w="80" w:type="dxa"/>
            <w:vAlign w:val="bottom"/>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3"/>
                <w:szCs w:val="13"/>
                <w:b w:val="1"/>
                <w:bCs w:val="1"/>
                <w:color w:val="auto"/>
              </w:rPr>
              <w:t>Threshold</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5"/>
              </w:rPr>
              <w:t>Target</w:t>
            </w: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0"/>
                <w:szCs w:val="10"/>
                <w:color w:val="auto"/>
              </w:rPr>
            </w:pPr>
          </w:p>
        </w:tc>
        <w:tc>
          <w:tcPr>
            <w:tcW w:w="7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5"/>
              </w:rPr>
              <w:t>Threshold</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5"/>
              </w:rPr>
              <w:t>Target</w:t>
            </w: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37"/>
              <w:spacing w:after="0" w:line="120" w:lineRule="exact"/>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0"/>
                <w:szCs w:val="10"/>
                <w:color w:val="auto"/>
              </w:rPr>
            </w:pPr>
          </w:p>
        </w:tc>
        <w:tc>
          <w:tcPr>
            <w:tcW w:w="62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Stock or</w:t>
            </w:r>
          </w:p>
        </w:tc>
        <w:tc>
          <w:tcPr>
            <w:tcW w:w="100" w:type="dxa"/>
            <w:vAlign w:val="bottom"/>
          </w:tcPr>
          <w:p>
            <w:pPr>
              <w:spacing w:after="0"/>
              <w:rPr>
                <w:sz w:val="10"/>
                <w:szCs w:val="10"/>
                <w:color w:val="auto"/>
              </w:rPr>
            </w:pPr>
          </w:p>
        </w:tc>
        <w:tc>
          <w:tcPr>
            <w:tcW w:w="680" w:type="dxa"/>
            <w:vAlign w:val="bottom"/>
            <w:gridSpan w:val="2"/>
          </w:tcPr>
          <w:p>
            <w:pPr>
              <w:jc w:val="center"/>
              <w:ind w:right="60"/>
              <w:spacing w:after="0" w:line="120" w:lineRule="exact"/>
              <w:rPr>
                <w:sz w:val="20"/>
                <w:szCs w:val="20"/>
                <w:color w:val="auto"/>
              </w:rPr>
            </w:pPr>
            <w:r>
              <w:rPr>
                <w:rFonts w:ascii="Arial" w:cs="Arial" w:eastAsia="Arial" w:hAnsi="Arial"/>
                <w:sz w:val="13"/>
                <w:szCs w:val="13"/>
                <w:b w:val="1"/>
                <w:bCs w:val="1"/>
                <w:color w:val="auto"/>
                <w:w w:val="93"/>
              </w:rPr>
              <w:t>Options</w:t>
            </w:r>
          </w:p>
        </w:tc>
        <w:tc>
          <w:tcPr>
            <w:tcW w:w="4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7"/>
              </w:rPr>
              <w:t>Awards</w:t>
            </w:r>
          </w:p>
        </w:tc>
        <w:tc>
          <w:tcPr>
            <w:tcW w:w="80" w:type="dxa"/>
            <w:vAlign w:val="bottom"/>
          </w:tcPr>
          <w:p>
            <w:pPr>
              <w:spacing w:after="0"/>
              <w:rPr>
                <w:sz w:val="10"/>
                <w:szCs w:val="10"/>
                <w:color w:val="auto"/>
              </w:rPr>
            </w:pPr>
          </w:p>
        </w:tc>
        <w:tc>
          <w:tcPr>
            <w:tcW w:w="640" w:type="dxa"/>
            <w:vAlign w:val="bottom"/>
            <w:gridSpan w:val="2"/>
          </w:tcPr>
          <w:p>
            <w:pPr>
              <w:jc w:val="center"/>
              <w:ind w:right="40"/>
              <w:spacing w:after="0" w:line="120" w:lineRule="exact"/>
              <w:rPr>
                <w:sz w:val="20"/>
                <w:szCs w:val="20"/>
                <w:color w:val="auto"/>
              </w:rPr>
            </w:pPr>
            <w:r>
              <w:rPr>
                <w:rFonts w:ascii="Arial" w:cs="Arial" w:eastAsia="Arial" w:hAnsi="Arial"/>
                <w:sz w:val="13"/>
                <w:szCs w:val="13"/>
                <w:b w:val="1"/>
                <w:bCs w:val="1"/>
                <w:color w:val="auto"/>
                <w:w w:val="97"/>
              </w:rPr>
              <w:t>Options</w:t>
            </w:r>
          </w:p>
        </w:tc>
        <w:tc>
          <w:tcPr>
            <w:tcW w:w="0" w:type="dxa"/>
            <w:vAlign w:val="bottom"/>
          </w:tcPr>
          <w:p>
            <w:pPr>
              <w:spacing w:after="0"/>
              <w:rPr>
                <w:sz w:val="1"/>
                <w:szCs w:val="1"/>
                <w:color w:val="auto"/>
              </w:rPr>
            </w:pPr>
          </w:p>
        </w:tc>
      </w:tr>
      <w:tr>
        <w:trPr>
          <w:trHeight w:val="157"/>
        </w:trPr>
        <w:tc>
          <w:tcPr>
            <w:tcW w:w="11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78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center"/>
              <w:ind w:left="197"/>
              <w:spacing w:after="0"/>
              <w:rPr>
                <w:sz w:val="20"/>
                <w:szCs w:val="20"/>
                <w:color w:val="auto"/>
              </w:rPr>
            </w:pPr>
            <w:r>
              <w:rPr>
                <w:rFonts w:ascii="Arial" w:cs="Arial" w:eastAsia="Arial" w:hAnsi="Arial"/>
                <w:sz w:val="13"/>
                <w:szCs w:val="13"/>
                <w:b w:val="1"/>
                <w:bCs w:val="1"/>
                <w:color w:val="auto"/>
                <w:w w:val="87"/>
              </w:rPr>
              <w:t>($)</w:t>
            </w:r>
          </w:p>
        </w:tc>
        <w:tc>
          <w:tcPr>
            <w:tcW w:w="96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217"/>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96"/>
              </w:rPr>
              <w:t>Units (#)</w:t>
            </w:r>
            <w:r>
              <w:rPr>
                <w:rFonts w:ascii="Arial" w:cs="Arial" w:eastAsia="Arial" w:hAnsi="Arial"/>
                <w:sz w:val="10"/>
                <w:szCs w:val="10"/>
                <w:b w:val="1"/>
                <w:bCs w:val="1"/>
                <w:color w:val="auto"/>
                <w:w w:val="96"/>
              </w:rPr>
              <w:t>(2)</w:t>
            </w:r>
          </w:p>
        </w:tc>
        <w:tc>
          <w:tcPr>
            <w:tcW w:w="74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($/Sh)</w:t>
            </w:r>
          </w:p>
        </w:tc>
        <w:tc>
          <w:tcPr>
            <w:tcW w:w="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62"/>
        </w:trPr>
        <w:tc>
          <w:tcPr>
            <w:tcW w:w="11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(a)</w:t>
            </w: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w:t>
            </w:r>
          </w:p>
        </w:tc>
        <w:tc>
          <w:tcPr>
            <w:tcW w:w="28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260" w:type="dxa"/>
            <w:vAlign w:val="bottom"/>
          </w:tcPr>
          <w:p>
            <w:pPr>
              <w:spacing w:after="0"/>
              <w:rPr>
                <w:sz w:val="14"/>
                <w:szCs w:val="14"/>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w:t>
            </w:r>
          </w:p>
        </w:tc>
        <w:tc>
          <w:tcPr>
            <w:tcW w:w="8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300" w:type="dxa"/>
            <w:vAlign w:val="bottom"/>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300" w:type="dxa"/>
            <w:vAlign w:val="bottom"/>
          </w:tcPr>
          <w:p>
            <w:pPr>
              <w:spacing w:after="0"/>
              <w:rPr>
                <w:sz w:val="14"/>
                <w:szCs w:val="14"/>
                <w:color w:val="auto"/>
              </w:rPr>
            </w:pPr>
          </w:p>
        </w:tc>
        <w:tc>
          <w:tcPr>
            <w:tcW w:w="76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(h)</w:t>
            </w:r>
          </w:p>
        </w:tc>
        <w:tc>
          <w:tcPr>
            <w:tcW w:w="80" w:type="dxa"/>
            <w:vAlign w:val="bottom"/>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(j)</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(k)</w:t>
            </w:r>
          </w:p>
        </w:tc>
        <w:tc>
          <w:tcPr>
            <w:tcW w:w="8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Roy Vallee</w:t>
            </w:r>
          </w:p>
        </w:tc>
        <w:tc>
          <w:tcPr>
            <w:tcW w:w="64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8/10/2006</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237,500</w:t>
            </w:r>
          </w:p>
        </w:tc>
        <w:tc>
          <w:tcPr>
            <w:tcW w:w="8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950,000</w:t>
            </w:r>
          </w:p>
        </w:tc>
        <w:tc>
          <w:tcPr>
            <w:tcW w:w="9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2,137,500</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50,360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854,106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8/10/2006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12,590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50,360</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100,720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854,106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8/10/2006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100,724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16.96</w:t>
            </w:r>
          </w:p>
        </w:tc>
        <w:tc>
          <w:tcPr>
            <w:tcW w:w="6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800,756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20" w:type="dxa"/>
            <w:vAlign w:val="bottom"/>
            <w:gridSpan w:val="2"/>
          </w:tcPr>
          <w:p>
            <w:pPr>
              <w:spacing w:after="0"/>
              <w:rPr>
                <w:sz w:val="20"/>
                <w:szCs w:val="20"/>
                <w:color w:val="auto"/>
              </w:rPr>
            </w:pPr>
            <w:r>
              <w:rPr>
                <w:rFonts w:ascii="Arial" w:cs="Arial" w:eastAsia="Arial" w:hAnsi="Arial"/>
                <w:sz w:val="13"/>
                <w:szCs w:val="13"/>
                <w:color w:val="auto"/>
                <w:w w:val="95"/>
              </w:rPr>
              <w:t>Raymond Sadowski</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8/10/2006</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56,250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225,000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506,250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10,845</w:t>
            </w: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183,931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8/10/2006</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2,711</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10,845</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21,690</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183,931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8/10/2006</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21,688</w:t>
            </w:r>
          </w:p>
        </w:tc>
        <w:tc>
          <w:tcPr>
            <w:tcW w:w="40" w:type="dxa"/>
            <w:vAlign w:val="bottom"/>
          </w:tcPr>
          <w:p>
            <w:pPr>
              <w:spacing w:after="0"/>
              <w:rPr>
                <w:sz w:val="12"/>
                <w:szCs w:val="12"/>
                <w:color w:val="auto"/>
              </w:rPr>
            </w:pP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16.96</w:t>
            </w:r>
          </w:p>
        </w:tc>
        <w:tc>
          <w:tcPr>
            <w:tcW w:w="6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172,420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Richard Hamada</w:t>
            </w:r>
          </w:p>
        </w:tc>
        <w:tc>
          <w:tcPr>
            <w:tcW w:w="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8/10/2006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432,000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972,000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19,520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331,059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8/10/2006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19,520</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39,040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331,059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8/10/2006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39,036</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16.96</w:t>
            </w:r>
          </w:p>
        </w:tc>
        <w:tc>
          <w:tcPr>
            <w:tcW w:w="6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310,336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spacing w:after="0"/>
              <w:rPr>
                <w:sz w:val="20"/>
                <w:szCs w:val="20"/>
                <w:color w:val="auto"/>
              </w:rPr>
            </w:pPr>
            <w:r>
              <w:rPr>
                <w:rFonts w:ascii="Arial" w:cs="Arial" w:eastAsia="Arial" w:hAnsi="Arial"/>
                <w:sz w:val="13"/>
                <w:szCs w:val="13"/>
                <w:color w:val="auto"/>
              </w:rPr>
              <w:t>Harley Feldberg</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8/10/2006</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360,000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810,000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13,010</w:t>
            </w:r>
          </w:p>
        </w:tc>
        <w:tc>
          <w:tcPr>
            <w:tcW w:w="10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220,650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8/10/2006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13,010</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26,020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220,650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8/10/2006</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26,024</w:t>
            </w:r>
          </w:p>
        </w:tc>
        <w:tc>
          <w:tcPr>
            <w:tcW w:w="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16.96</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206,891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David Birk</w:t>
            </w:r>
          </w:p>
        </w:tc>
        <w:tc>
          <w:tcPr>
            <w:tcW w:w="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8/10/2006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407,250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8,480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143,821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8/10/2006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8,480</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16,960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143,821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8/10/2006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16,964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16.96</w:t>
            </w:r>
          </w:p>
        </w:tc>
        <w:tc>
          <w:tcPr>
            <w:tcW w:w="6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134,864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-1551305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5" w:lineRule="exact"/>
        <w:rPr>
          <w:sz w:val="20"/>
          <w:szCs w:val="20"/>
          <w:color w:val="auto"/>
        </w:rPr>
      </w:pPr>
    </w:p>
    <w:p>
      <w:pPr>
        <w:ind w:left="1200" w:right="420" w:hanging="322"/>
        <w:spacing w:after="0" w:line="236"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discussed in the CD&amp;A under “Annual Incentive Compensation” and “Long Term Incentive Compensation,” the possible payout at threshold level is pegged at 25% of target amount, at 100% of target amount if all of the pre-established financial goals are achieved, and up to a maximum of 225% (or 200% in the case of the PSU awards under the Equity Incentive Awards) of the target amount if the achievement of the pre-established financial goals reaches or exceeds the target maximum. Achievement below the threshold in either case (i.e., non-equity incentive awards or equity incentive awards) would yield a payout of $0 or zero units, respectively. The actual payout or expense amount for each named executive officer in fiscal 2007 is shown in columns (e) and (g) of the Summary Compensation Table, above.</w:t>
      </w:r>
    </w:p>
    <w:p>
      <w:pPr>
        <w:spacing w:after="0" w:line="46" w:lineRule="exact"/>
        <w:rPr>
          <w:rFonts w:ascii="Arial" w:cs="Arial" w:eastAsia="Arial" w:hAnsi="Arial"/>
          <w:sz w:val="18"/>
          <w:szCs w:val="18"/>
          <w:color w:val="auto"/>
        </w:rPr>
      </w:pPr>
    </w:p>
    <w:p>
      <w:pPr>
        <w:ind w:left="1200" w:hanging="322"/>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vesting schedules for the PSUs, RSUs and the Option grants made in fiscal 2007 are as follows:</w:t>
      </w:r>
    </w:p>
    <w:p>
      <w:pPr>
        <w:sectPr>
          <w:pgSz w:w="11900" w:h="16838" w:orient="portrait"/>
          <w:cols w:equalWidth="0" w:num="1">
            <w:col w:w="10740"/>
          </w:cols>
          <w:pgMar w:left="240" w:top="419" w:right="919" w:bottom="1440" w:gutter="0" w:footer="0" w:header="0"/>
        </w:sectPr>
      </w:pPr>
    </w:p>
    <w:p>
      <w:pPr>
        <w:spacing w:after="0" w:line="11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Type of Awards Made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17780</wp:posOffset>
            </wp:positionV>
            <wp:extent cx="26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w:t>
      </w:r>
      <w:r>
        <w:rPr>
          <w:rFonts w:ascii="Arial" w:cs="Arial" w:eastAsia="Arial" w:hAnsi="Arial"/>
          <w:sz w:val="14"/>
          <w:szCs w:val="14"/>
          <w:b w:val="1"/>
          <w:bCs w:val="1"/>
          <w:color w:val="auto"/>
        </w:rPr>
        <w:t>esting Schedule</w:t>
      </w:r>
    </w:p>
    <w:p>
      <w:pPr>
        <w:spacing w:after="0" w:line="100" w:lineRule="exact"/>
        <w:rPr>
          <w:sz w:val="20"/>
          <w:szCs w:val="20"/>
          <w:color w:val="auto"/>
        </w:rPr>
      </w:pPr>
    </w:p>
    <w:p>
      <w:pPr>
        <w:sectPr>
          <w:pgSz w:w="11900" w:h="16838" w:orient="portrait"/>
          <w:cols w:equalWidth="0" w:num="2">
            <w:col w:w="7240" w:space="720"/>
            <w:col w:w="2780"/>
          </w:cols>
          <w:pgMar w:left="240" w:top="419" w:right="919" w:bottom="1440" w:gutter="0" w:footer="0" w:header="0"/>
          <w:type w:val="continuous"/>
        </w:sectPr>
      </w:pPr>
    </w:p>
    <w:p>
      <w:pPr>
        <w:ind w:left="700"/>
        <w:spacing w:after="0"/>
        <w:rPr>
          <w:sz w:val="20"/>
          <w:szCs w:val="20"/>
          <w:color w:val="auto"/>
        </w:rPr>
      </w:pPr>
      <w:r>
        <w:rPr>
          <w:rFonts w:ascii="Arial" w:cs="Arial" w:eastAsia="Arial" w:hAnsi="Arial"/>
          <w:sz w:val="14"/>
          <w:szCs w:val="14"/>
          <w:color w:val="auto"/>
        </w:rPr>
        <w:t>Performance Stock Units (PSUs)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Restricted Stock Units (RSUs)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will vest, if at all, at the end of fiscal 2009 (June 27, 2009)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20% each on the first business day in January of 2007 through 2011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25% each on the first through fourth anniversary of grant date</w:t>
      </w:r>
    </w:p>
    <w:p>
      <w:pPr>
        <w:spacing w:after="0" w:line="117" w:lineRule="exact"/>
        <w:rPr>
          <w:sz w:val="20"/>
          <w:szCs w:val="20"/>
          <w:color w:val="auto"/>
        </w:rPr>
      </w:pPr>
    </w:p>
    <w:p>
      <w:pPr>
        <w:sectPr>
          <w:pgSz w:w="11900" w:h="16838" w:orient="portrait"/>
          <w:cols w:equalWidth="0" w:num="2">
            <w:col w:w="4640" w:space="720"/>
            <w:col w:w="5380"/>
          </w:cols>
          <w:pgMar w:left="240" w:top="419" w:right="919" w:bottom="1440" w:gutter="0" w:footer="0" w:header="0"/>
          <w:type w:val="continuous"/>
        </w:sectPr>
      </w:pPr>
    </w:p>
    <w:p>
      <w:pPr>
        <w:ind w:left="1200" w:right="320" w:hanging="32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additional description of the terms and awards of PSUs, RSUs and option awards made in fiscal 2007, see the “Performance Shares,” “Incentive Shares,” and “Stock Options” in the CD&amp;A section and note 12 of the Footnotes to Avnet’s financial statements in the Form 10-K for the year ended June 30, 2007, as filed with the SEC.</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9"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 and stock awards by the named executive officers. This table includes unexercised and unvested option awards; unvested RSUs; or PSUs with performance conditions that have not yet been satisfied. Each equity grant is shown separately for each named executive officer. The vesting schedule for each grant is shown following this table, based on the option or stock award grant date. The market value of the stock awards is based on the closing market price of Avnet stock as of June 30, 2007, which was $39.64. The PSUs are subject to specified performance objectives over the performance period. The market value as of June 30, 2007, shown below assumes 100% achievement of these objectives. For additional information about the option awards and stock awards, see the description of equity incentive compensation in the CD&amp;A and note 12 of the Footnotes to Avnet’s financial statements in the Form 10-K for the year ended June 30, 2007, as filed with the SEC.</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37"/>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w w:val="98"/>
              </w:rPr>
              <w:t>Stock Awards</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Equity</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Incentive</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rPr>
              <w:t>Incentive</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rPr>
              <w:t>Plan</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vMerge w:val="restart"/>
          </w:tcPr>
          <w:p>
            <w:pPr>
              <w:jc w:val="right"/>
              <w:ind w:right="16"/>
              <w:spacing w:after="0"/>
              <w:rPr>
                <w:sz w:val="20"/>
                <w:szCs w:val="20"/>
                <w:color w:val="auto"/>
              </w:rPr>
            </w:pPr>
            <w:r>
              <w:rPr>
                <w:rFonts w:ascii="Arial" w:cs="Arial" w:eastAsia="Arial" w:hAnsi="Arial"/>
                <w:sz w:val="11"/>
                <w:szCs w:val="11"/>
                <w:b w:val="1"/>
                <w:bCs w:val="1"/>
                <w:color w:val="auto"/>
                <w:w w:val="99"/>
              </w:rPr>
              <w:t>Option Awards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Awards:</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3"/>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8"/>
              </w:rPr>
              <w:t>Number of</w:t>
            </w:r>
          </w:p>
        </w:tc>
        <w:tc>
          <w:tcPr>
            <w:tcW w:w="8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8"/>
              </w:rPr>
              <w:t>Payout</w:t>
            </w:r>
          </w:p>
        </w:tc>
        <w:tc>
          <w:tcPr>
            <w:tcW w:w="0" w:type="dxa"/>
            <w:vAlign w:val="bottom"/>
          </w:tcPr>
          <w:p>
            <w:pPr>
              <w:spacing w:after="0"/>
              <w:rPr>
                <w:sz w:val="1"/>
                <w:szCs w:val="1"/>
                <w:color w:val="auto"/>
              </w:rPr>
            </w:pPr>
          </w:p>
        </w:tc>
      </w:tr>
      <w:tr>
        <w:trPr>
          <w:trHeight w:val="100"/>
        </w:trPr>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6"/>
              </w:rPr>
              <w:t>Number</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6"/>
              </w:rPr>
              <w:t>Number</w:t>
            </w:r>
          </w:p>
        </w:tc>
        <w:tc>
          <w:tcPr>
            <w:tcW w:w="160" w:type="dxa"/>
            <w:vAlign w:val="bottom"/>
          </w:tcPr>
          <w:p>
            <w:pPr>
              <w:spacing w:after="0"/>
              <w:rPr>
                <w:sz w:val="8"/>
                <w:szCs w:val="8"/>
                <w:color w:val="auto"/>
              </w:rPr>
            </w:pPr>
          </w:p>
        </w:tc>
        <w:tc>
          <w:tcPr>
            <w:tcW w:w="82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rPr>
              <w:t>Market</w:t>
            </w:r>
          </w:p>
        </w:tc>
        <w:tc>
          <w:tcPr>
            <w:tcW w:w="80" w:type="dxa"/>
            <w:vAlign w:val="bottom"/>
          </w:tcPr>
          <w:p>
            <w:pPr>
              <w:spacing w:after="0"/>
              <w:rPr>
                <w:sz w:val="8"/>
                <w:szCs w:val="8"/>
                <w:color w:val="auto"/>
              </w:rPr>
            </w:pPr>
          </w:p>
        </w:tc>
        <w:tc>
          <w:tcPr>
            <w:tcW w:w="74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8"/>
              </w:rPr>
              <w:t>Unearned</w:t>
            </w:r>
          </w:p>
        </w:tc>
        <w:tc>
          <w:tcPr>
            <w:tcW w:w="80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8"/>
              </w:rPr>
              <w:t>Value of</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of</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 Shares</w:t>
            </w:r>
          </w:p>
        </w:tc>
        <w:tc>
          <w:tcPr>
            <w:tcW w:w="16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Value of</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rPr>
              <w:t>Shares,</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Unearned</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Securities</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Securities</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or Units</w:t>
            </w:r>
          </w:p>
        </w:tc>
        <w:tc>
          <w:tcPr>
            <w:tcW w:w="16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Shares or</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6"/>
              </w:rPr>
              <w:t>Units or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5"/>
              </w:rPr>
              <w:t>Shares,</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Underlying</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Underlying</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of Stock</w:t>
            </w:r>
          </w:p>
        </w:tc>
        <w:tc>
          <w:tcPr>
            <w:tcW w:w="16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Units of</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Other</w:t>
            </w:r>
          </w:p>
        </w:tc>
        <w:tc>
          <w:tcPr>
            <w:tcW w:w="8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6"/>
              </w:rPr>
              <w:t>Units or</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jc w:val="center"/>
              <w:ind w:left="70"/>
              <w:spacing w:after="0" w:line="122" w:lineRule="exact"/>
              <w:rPr>
                <w:sz w:val="20"/>
                <w:szCs w:val="20"/>
                <w:color w:val="auto"/>
              </w:rPr>
            </w:pPr>
            <w:r>
              <w:rPr>
                <w:rFonts w:ascii="Arial" w:cs="Arial" w:eastAsia="Arial" w:hAnsi="Arial"/>
                <w:sz w:val="11"/>
                <w:szCs w:val="11"/>
                <w:b w:val="1"/>
                <w:bCs w:val="1"/>
                <w:color w:val="auto"/>
                <w:w w:val="97"/>
              </w:rPr>
              <w:t>Unexercised</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Unexercised</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Stock</w:t>
            </w: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That</w:t>
            </w:r>
          </w:p>
        </w:tc>
        <w:tc>
          <w:tcPr>
            <w:tcW w:w="16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Stock That</w:t>
            </w: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Rights That</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Other Rights</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Option</w:t>
            </w:r>
          </w:p>
        </w:tc>
        <w:tc>
          <w:tcPr>
            <w:tcW w:w="1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Exercise</w:t>
            </w: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Option</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Award</w:t>
            </w: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Have Not</w:t>
            </w:r>
          </w:p>
        </w:tc>
        <w:tc>
          <w:tcPr>
            <w:tcW w:w="16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rPr>
              <w:t>Have Not</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rPr>
              <w:t>Have Not</w:t>
            </w:r>
          </w:p>
        </w:tc>
        <w:tc>
          <w:tcPr>
            <w:tcW w:w="8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8"/>
              </w:rPr>
              <w:t>That Have</w:t>
            </w:r>
          </w:p>
        </w:tc>
        <w:tc>
          <w:tcPr>
            <w:tcW w:w="0" w:type="dxa"/>
            <w:vAlign w:val="bottom"/>
          </w:tcPr>
          <w:p>
            <w:pPr>
              <w:spacing w:after="0"/>
              <w:rPr>
                <w:sz w:val="1"/>
                <w:szCs w:val="1"/>
                <w:color w:val="auto"/>
              </w:rPr>
            </w:pPr>
          </w:p>
        </w:tc>
      </w:tr>
      <w:tr>
        <w:trPr>
          <w:trHeight w:val="135"/>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780" w:type="dxa"/>
            <w:vAlign w:val="bottom"/>
            <w:gridSpan w:val="2"/>
          </w:tcPr>
          <w:p>
            <w:pPr>
              <w:jc w:val="center"/>
              <w:ind w:left="70"/>
              <w:spacing w:after="0"/>
              <w:rPr>
                <w:sz w:val="20"/>
                <w:szCs w:val="20"/>
                <w:color w:val="auto"/>
              </w:rPr>
            </w:pPr>
            <w:r>
              <w:rPr>
                <w:rFonts w:ascii="Arial" w:cs="Arial" w:eastAsia="Arial" w:hAnsi="Arial"/>
                <w:sz w:val="11"/>
                <w:szCs w:val="11"/>
                <w:b w:val="1"/>
                <w:bCs w:val="1"/>
                <w:color w:val="auto"/>
                <w:w w:val="88"/>
              </w:rPr>
              <w:t>(#)</w:t>
            </w:r>
          </w:p>
        </w:tc>
        <w:tc>
          <w:tcPr>
            <w:tcW w:w="880" w:type="dxa"/>
            <w:vAlign w:val="bottom"/>
            <w:gridSpan w:val="2"/>
          </w:tcPr>
          <w:p>
            <w:pPr>
              <w:jc w:val="center"/>
              <w:ind w:left="50"/>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6"/>
              </w:rPr>
              <w:t>Price</w:t>
            </w:r>
          </w:p>
        </w:tc>
        <w:tc>
          <w:tcPr>
            <w:tcW w:w="14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Grant</w:t>
            </w:r>
          </w:p>
        </w:tc>
        <w:tc>
          <w:tcPr>
            <w:tcW w:w="1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9"/>
              </w:rPr>
              <w:t>Vested</w:t>
            </w:r>
          </w:p>
        </w:tc>
        <w:tc>
          <w:tcPr>
            <w:tcW w:w="16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Vested</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Vested</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Not Vested</w:t>
            </w:r>
          </w:p>
        </w:tc>
        <w:tc>
          <w:tcPr>
            <w:tcW w:w="0" w:type="dxa"/>
            <w:vAlign w:val="bottom"/>
          </w:tcPr>
          <w:p>
            <w:pPr>
              <w:spacing w:after="0"/>
              <w:rPr>
                <w:sz w:val="1"/>
                <w:szCs w:val="1"/>
                <w:color w:val="auto"/>
              </w:rPr>
            </w:pPr>
          </w:p>
        </w:tc>
      </w:tr>
      <w:tr>
        <w:trPr>
          <w:trHeight w:val="137"/>
        </w:trPr>
        <w:tc>
          <w:tcPr>
            <w:tcW w:w="1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880" w:type="dxa"/>
            <w:vAlign w:val="bottom"/>
            <w:gridSpan w:val="2"/>
          </w:tcPr>
          <w:p>
            <w:pPr>
              <w:jc w:val="center"/>
              <w:ind w:left="70"/>
              <w:spacing w:after="0"/>
              <w:rPr>
                <w:sz w:val="20"/>
                <w:szCs w:val="20"/>
                <w:color w:val="auto"/>
              </w:rPr>
            </w:pPr>
            <w:r>
              <w:rPr>
                <w:rFonts w:ascii="Arial" w:cs="Arial" w:eastAsia="Arial" w:hAnsi="Arial"/>
                <w:sz w:val="11"/>
                <w:szCs w:val="11"/>
                <w:b w:val="1"/>
                <w:bCs w:val="1"/>
                <w:color w:val="auto"/>
                <w:w w:val="99"/>
              </w:rPr>
              <w:t>Unexercisable</w:t>
            </w:r>
          </w:p>
        </w:tc>
        <w:tc>
          <w:tcPr>
            <w:tcW w:w="580" w:type="dxa"/>
            <w:vAlign w:val="bottom"/>
            <w:gridSpan w:val="2"/>
          </w:tcPr>
          <w:p>
            <w:pPr>
              <w:jc w:val="center"/>
              <w:ind w:left="49"/>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(RSUs)(#)</w:t>
            </w:r>
          </w:p>
        </w:tc>
        <w:tc>
          <w:tcPr>
            <w:tcW w:w="880" w:type="dxa"/>
            <w:vAlign w:val="bottom"/>
            <w:gridSpan w:val="2"/>
          </w:tcPr>
          <w:p>
            <w:pPr>
              <w:jc w:val="center"/>
              <w:ind w:left="89"/>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(PSUs)(#)</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22" w:lineRule="exact"/>
              <w:rPr>
                <w:sz w:val="20"/>
                <w:szCs w:val="20"/>
                <w:color w:val="auto"/>
              </w:rPr>
            </w:pPr>
            <w:r>
              <w:rPr>
                <w:rFonts w:ascii="Arial" w:cs="Arial" w:eastAsia="Arial" w:hAnsi="Arial"/>
                <w:sz w:val="11"/>
                <w:szCs w:val="11"/>
                <w:b w:val="1"/>
                <w:bCs w:val="1"/>
                <w:color w:val="auto"/>
              </w:rPr>
              <w:t>(a)</w:t>
            </w: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(b)</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w:t>
            </w:r>
          </w:p>
        </w:tc>
        <w:tc>
          <w:tcPr>
            <w:tcW w:w="120" w:type="dxa"/>
            <w:vAlign w:val="bottom"/>
          </w:tcPr>
          <w:p>
            <w:pPr>
              <w:spacing w:after="0"/>
              <w:rPr>
                <w:sz w:val="11"/>
                <w:szCs w:val="11"/>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140" w:type="dxa"/>
            <w:vAlign w:val="bottom"/>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(g)</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Roy Vallee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9/24/1999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$ 21.50</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9/23/2009</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$ 28.75</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9/28/2010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9/27/2001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$ 17.50</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9/26/2011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9/20/2002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$ 12.95</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9/19/2012</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9/19/2003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243,750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81,250</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$ 18.13</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9/18/2013</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84,000</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$ 17.47</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9/22/2014</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887,936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65,034</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$ 24.78</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9/22/2015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1,031,155</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43,355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1,718,592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100,724</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$ 16.96</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8/09/2016</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40,288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1,597,016</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50,360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1,996,270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Raymond Sadowski</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9/27/2001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$ 17.50</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9/26/2011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9/20/2002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$ 12.95</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9/19/2012</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9/19/2003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37,500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$ 18.13</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9/18/2013</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9/23/2004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12,930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12,930</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$ 17.47</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9/22/2014</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9/23/2004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3,448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136,679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9/23/2005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4,129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12,387</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$ 24.78</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9/22/2015</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9/23/2005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4,956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196,456</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8,260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327,426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8/10/2006</w:t>
            </w: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21,688</w:t>
            </w:r>
          </w:p>
        </w:tc>
        <w:tc>
          <w:tcPr>
            <w:tcW w:w="580" w:type="dxa"/>
            <w:vAlign w:val="bottom"/>
            <w:gridSpan w:val="2"/>
          </w:tcPr>
          <w:p>
            <w:pPr>
              <w:jc w:val="center"/>
              <w:ind w:left="49"/>
              <w:spacing w:after="0" w:line="157" w:lineRule="exact"/>
              <w:rPr>
                <w:sz w:val="20"/>
                <w:szCs w:val="20"/>
                <w:color w:val="auto"/>
              </w:rPr>
            </w:pPr>
            <w:r>
              <w:rPr>
                <w:rFonts w:ascii="Arial" w:cs="Arial" w:eastAsia="Arial" w:hAnsi="Arial"/>
                <w:sz w:val="14"/>
                <w:szCs w:val="14"/>
                <w:color w:val="auto"/>
                <w:w w:val="98"/>
              </w:rPr>
              <w:t>$ 16.96</w:t>
            </w:r>
          </w:p>
        </w:tc>
        <w:tc>
          <w:tcPr>
            <w:tcW w:w="860" w:type="dxa"/>
            <w:vAlign w:val="bottom"/>
            <w:gridSpan w:val="2"/>
          </w:tcPr>
          <w:p>
            <w:pPr>
              <w:ind w:left="220"/>
              <w:spacing w:after="0" w:line="157" w:lineRule="exact"/>
              <w:rPr>
                <w:sz w:val="20"/>
                <w:szCs w:val="20"/>
                <w:color w:val="auto"/>
              </w:rPr>
            </w:pPr>
            <w:r>
              <w:rPr>
                <w:rFonts w:ascii="Arial" w:cs="Arial" w:eastAsia="Arial" w:hAnsi="Arial"/>
                <w:sz w:val="14"/>
                <w:szCs w:val="14"/>
                <w:color w:val="auto"/>
                <w:w w:val="99"/>
              </w:rPr>
              <w:t>8/09/2016</w:t>
            </w: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8/10/2006</w:t>
            </w:r>
          </w:p>
        </w:tc>
        <w:tc>
          <w:tcPr>
            <w:tcW w:w="7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8,676</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343,917</w:t>
            </w:r>
          </w:p>
        </w:tc>
        <w:tc>
          <w:tcPr>
            <w:tcW w:w="100" w:type="dxa"/>
            <w:vAlign w:val="bottom"/>
          </w:tcPr>
          <w:p>
            <w:pPr>
              <w:spacing w:after="0"/>
              <w:rPr>
                <w:sz w:val="13"/>
                <w:szCs w:val="13"/>
                <w:color w:val="auto"/>
              </w:rPr>
            </w:pP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10,845</w:t>
            </w:r>
          </w:p>
        </w:tc>
        <w:tc>
          <w:tcPr>
            <w:tcW w:w="16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429,896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Richard Hamada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9/19/2003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$ 18.13</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9/18/2013</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$ 17.47</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9/22/2014</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136,679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16,215</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$ 24.78</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9/22/2015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257,105</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10,810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39,036</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$ 16.96</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8/09/2016</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619,018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19,520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773,773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Harley Feldberg</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1/26/2001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$ 26.00</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1/25/2011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9/20/2002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$ 12.95</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9/19/2012</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9/19/2003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$ 18.13</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9/18/2013</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5/13/2004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37,500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$ 21.92</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5/12/2014</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9/23/2004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12,930</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$ 17.47</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9/22/2014</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9/23/2004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3,448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136,679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9/23/2005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4,880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14,640</w:t>
            </w:r>
          </w:p>
        </w:tc>
        <w:tc>
          <w:tcPr>
            <w:tcW w:w="580" w:type="dxa"/>
            <w:vAlign w:val="bottom"/>
            <w:gridSpan w:val="2"/>
          </w:tcPr>
          <w:p>
            <w:pPr>
              <w:jc w:val="center"/>
              <w:ind w:left="49"/>
              <w:spacing w:after="0"/>
              <w:rPr>
                <w:sz w:val="20"/>
                <w:szCs w:val="20"/>
                <w:color w:val="auto"/>
              </w:rPr>
            </w:pPr>
            <w:r>
              <w:rPr>
                <w:rFonts w:ascii="Arial" w:cs="Arial" w:eastAsia="Arial" w:hAnsi="Arial"/>
                <w:sz w:val="14"/>
                <w:szCs w:val="14"/>
                <w:color w:val="auto"/>
                <w:w w:val="98"/>
              </w:rPr>
              <w:t>$ 24.78</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w w:val="99"/>
              </w:rPr>
              <w:t>9/22/2015</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9/23/2005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5,856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232,132</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9,760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386,886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8/10/2006</w:t>
            </w: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26,024</w:t>
            </w:r>
          </w:p>
        </w:tc>
        <w:tc>
          <w:tcPr>
            <w:tcW w:w="580" w:type="dxa"/>
            <w:vAlign w:val="bottom"/>
            <w:gridSpan w:val="2"/>
          </w:tcPr>
          <w:p>
            <w:pPr>
              <w:jc w:val="center"/>
              <w:ind w:left="49"/>
              <w:spacing w:after="0" w:line="157" w:lineRule="exact"/>
              <w:rPr>
                <w:sz w:val="20"/>
                <w:szCs w:val="20"/>
                <w:color w:val="auto"/>
              </w:rPr>
            </w:pPr>
            <w:r>
              <w:rPr>
                <w:rFonts w:ascii="Arial" w:cs="Arial" w:eastAsia="Arial" w:hAnsi="Arial"/>
                <w:sz w:val="14"/>
                <w:szCs w:val="14"/>
                <w:color w:val="auto"/>
                <w:w w:val="98"/>
              </w:rPr>
              <w:t>$ 16.96</w:t>
            </w:r>
          </w:p>
        </w:tc>
        <w:tc>
          <w:tcPr>
            <w:tcW w:w="860" w:type="dxa"/>
            <w:vAlign w:val="bottom"/>
            <w:gridSpan w:val="2"/>
          </w:tcPr>
          <w:p>
            <w:pPr>
              <w:ind w:left="220"/>
              <w:spacing w:after="0" w:line="157" w:lineRule="exact"/>
              <w:rPr>
                <w:sz w:val="20"/>
                <w:szCs w:val="20"/>
                <w:color w:val="auto"/>
              </w:rPr>
            </w:pPr>
            <w:r>
              <w:rPr>
                <w:rFonts w:ascii="Arial" w:cs="Arial" w:eastAsia="Arial" w:hAnsi="Arial"/>
                <w:sz w:val="14"/>
                <w:szCs w:val="14"/>
                <w:color w:val="auto"/>
                <w:w w:val="99"/>
              </w:rPr>
              <w:t>8/09/2016</w:t>
            </w: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8/10/2006</w:t>
            </w:r>
          </w:p>
        </w:tc>
        <w:tc>
          <w:tcPr>
            <w:tcW w:w="7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10,408</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412,573</w:t>
            </w:r>
          </w:p>
        </w:tc>
        <w:tc>
          <w:tcPr>
            <w:tcW w:w="100" w:type="dxa"/>
            <w:vAlign w:val="bottom"/>
          </w:tcPr>
          <w:p>
            <w:pPr>
              <w:spacing w:after="0"/>
              <w:rPr>
                <w:sz w:val="13"/>
                <w:szCs w:val="13"/>
                <w:color w:val="auto"/>
              </w:rPr>
            </w:pP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13,010</w:t>
            </w:r>
          </w:p>
        </w:tc>
        <w:tc>
          <w:tcPr>
            <w:tcW w:w="16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515,716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David Birk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9/19/2003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$ 18.13</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9/18/2013</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$ 17.47</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9/22/2014</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136,679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11,487</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$ 24.78</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9/22/2015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182,185</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7,660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16,964</w:t>
            </w:r>
          </w:p>
        </w:tc>
        <w:tc>
          <w:tcPr>
            <w:tcW w:w="5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8"/>
              </w:rPr>
              <w:t>$ 16.96</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8/09/2016</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268,918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8,480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-3103880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700"/>
        <w:spacing w:after="0"/>
        <w:tabs>
          <w:tab w:leader="none" w:pos="5200" w:val="left"/>
        </w:tabs>
        <w:rPr>
          <w:sz w:val="20"/>
          <w:szCs w:val="20"/>
          <w:color w:val="auto"/>
        </w:rPr>
      </w:pP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Option Awards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17780</wp:posOffset>
            </wp:positionV>
            <wp:extent cx="6303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70" w:lineRule="exact"/>
        <w:rPr>
          <w:sz w:val="20"/>
          <w:szCs w:val="20"/>
          <w:color w:val="auto"/>
        </w:rPr>
      </w:pPr>
    </w:p>
    <w:p>
      <w:pPr>
        <w:ind w:left="700"/>
        <w:spacing w:after="0"/>
        <w:tabs>
          <w:tab w:leader="none" w:pos="2060" w:val="left"/>
        </w:tabs>
        <w:rPr>
          <w:sz w:val="20"/>
          <w:szCs w:val="20"/>
          <w:color w:val="auto"/>
        </w:rPr>
      </w:pPr>
      <w:r>
        <w:rPr>
          <w:rFonts w:ascii="Arial" w:cs="Arial" w:eastAsia="Arial" w:hAnsi="Arial"/>
          <w:sz w:val="18"/>
          <w:szCs w:val="18"/>
          <w:color w:val="auto"/>
        </w:rPr>
        <w:t>9/24/1999</w:t>
      </w:r>
      <w:r>
        <w:rPr>
          <w:sz w:val="20"/>
          <w:szCs w:val="20"/>
          <w:color w:val="auto"/>
        </w:rPr>
        <w:tab/>
      </w:r>
      <w:r>
        <w:rPr>
          <w:rFonts w:ascii="Arial" w:cs="Arial" w:eastAsia="Arial" w:hAnsi="Arial"/>
          <w:sz w:val="18"/>
          <w:szCs w:val="18"/>
          <w:color w:val="auto"/>
        </w:rPr>
        <w:t>25% vests each on 9/24/2000, 9/24/2001, 9/24/2002 and 9/24/2003</w:t>
      </w:r>
    </w:p>
    <w:p>
      <w:pPr>
        <w:ind w:left="700"/>
        <w:spacing w:after="0" w:line="234" w:lineRule="auto"/>
        <w:tabs>
          <w:tab w:leader="none" w:pos="2060" w:val="left"/>
        </w:tabs>
        <w:rPr>
          <w:sz w:val="20"/>
          <w:szCs w:val="20"/>
          <w:color w:val="auto"/>
        </w:rPr>
      </w:pPr>
      <w:r>
        <w:rPr>
          <w:rFonts w:ascii="Arial" w:cs="Arial" w:eastAsia="Arial" w:hAnsi="Arial"/>
          <w:sz w:val="18"/>
          <w:szCs w:val="18"/>
          <w:color w:val="auto"/>
        </w:rPr>
        <w:t>9/29/2000</w:t>
      </w:r>
      <w:r>
        <w:rPr>
          <w:sz w:val="20"/>
          <w:szCs w:val="20"/>
          <w:color w:val="auto"/>
        </w:rPr>
        <w:tab/>
      </w:r>
      <w:r>
        <w:rPr>
          <w:rFonts w:ascii="Arial" w:cs="Arial" w:eastAsia="Arial" w:hAnsi="Arial"/>
          <w:sz w:val="18"/>
          <w:szCs w:val="18"/>
          <w:color w:val="auto"/>
        </w:rPr>
        <w:t>25% vests each on 9/29/2001, 9/29/2002, 9/29/2003 and 9/29/2004</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1/26/2001</w:t>
      </w:r>
      <w:r>
        <w:rPr>
          <w:sz w:val="20"/>
          <w:szCs w:val="20"/>
          <w:color w:val="auto"/>
        </w:rPr>
        <w:tab/>
      </w:r>
      <w:r>
        <w:rPr>
          <w:rFonts w:ascii="Arial" w:cs="Arial" w:eastAsia="Arial" w:hAnsi="Arial"/>
          <w:sz w:val="18"/>
          <w:szCs w:val="18"/>
          <w:color w:val="auto"/>
        </w:rPr>
        <w:t>25% vests each on 1/26/2002, 1/26/2003, 1/26/2004 and 1/26/2005</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9/27/2001</w:t>
      </w:r>
      <w:r>
        <w:rPr>
          <w:sz w:val="20"/>
          <w:szCs w:val="20"/>
          <w:color w:val="auto"/>
        </w:rPr>
        <w:tab/>
      </w:r>
      <w:r>
        <w:rPr>
          <w:rFonts w:ascii="Arial" w:cs="Arial" w:eastAsia="Arial" w:hAnsi="Arial"/>
          <w:sz w:val="18"/>
          <w:szCs w:val="18"/>
          <w:color w:val="auto"/>
        </w:rPr>
        <w:t>25% vests each on 9/27/2002, 9/27/2003, 9/27/2004 and 9/27/2005</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9/20/2002</w:t>
      </w:r>
      <w:r>
        <w:rPr>
          <w:sz w:val="20"/>
          <w:szCs w:val="20"/>
          <w:color w:val="auto"/>
        </w:rPr>
        <w:tab/>
      </w:r>
      <w:r>
        <w:rPr>
          <w:rFonts w:ascii="Arial" w:cs="Arial" w:eastAsia="Arial" w:hAnsi="Arial"/>
          <w:sz w:val="18"/>
          <w:szCs w:val="18"/>
          <w:color w:val="auto"/>
        </w:rPr>
        <w:t>25% vests each on 9/20/2003, 9/20/2004, 9/20/2005 and 9/20/2006</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9/19/2003</w:t>
      </w:r>
      <w:r>
        <w:rPr>
          <w:sz w:val="20"/>
          <w:szCs w:val="20"/>
          <w:color w:val="auto"/>
        </w:rPr>
        <w:tab/>
      </w:r>
      <w:r>
        <w:rPr>
          <w:rFonts w:ascii="Arial" w:cs="Arial" w:eastAsia="Arial" w:hAnsi="Arial"/>
          <w:sz w:val="18"/>
          <w:szCs w:val="18"/>
          <w:color w:val="auto"/>
        </w:rPr>
        <w:t>25% vests each on 9/19/2004, 9/19/2005, 9/19/2006 and 9/19/2007</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5/13/2004</w:t>
      </w:r>
      <w:r>
        <w:rPr>
          <w:sz w:val="20"/>
          <w:szCs w:val="20"/>
          <w:color w:val="auto"/>
        </w:rPr>
        <w:tab/>
      </w:r>
      <w:r>
        <w:rPr>
          <w:rFonts w:ascii="Arial" w:cs="Arial" w:eastAsia="Arial" w:hAnsi="Arial"/>
          <w:sz w:val="18"/>
          <w:szCs w:val="18"/>
          <w:color w:val="auto"/>
        </w:rPr>
        <w:t>25% vests each on 5/13/2005, 5/13/2006, 5/13/2007 and 5/13/2008</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9/23/2004</w:t>
      </w:r>
      <w:r>
        <w:rPr>
          <w:sz w:val="20"/>
          <w:szCs w:val="20"/>
          <w:color w:val="auto"/>
        </w:rPr>
        <w:tab/>
      </w:r>
      <w:r>
        <w:rPr>
          <w:rFonts w:ascii="Arial" w:cs="Arial" w:eastAsia="Arial" w:hAnsi="Arial"/>
          <w:sz w:val="18"/>
          <w:szCs w:val="18"/>
          <w:color w:val="auto"/>
        </w:rPr>
        <w:t>25% vests each on 9/23/2005, 9/23/2006, 9/23/2007 and 9/23/2008</w:t>
      </w:r>
    </w:p>
    <w:p>
      <w:pPr>
        <w:ind w:left="700"/>
        <w:spacing w:after="0" w:line="235" w:lineRule="auto"/>
        <w:tabs>
          <w:tab w:leader="none" w:pos="2060" w:val="left"/>
        </w:tabs>
        <w:rPr>
          <w:sz w:val="20"/>
          <w:szCs w:val="20"/>
          <w:color w:val="auto"/>
        </w:rPr>
      </w:pPr>
      <w:r>
        <w:rPr>
          <w:rFonts w:ascii="Arial" w:cs="Arial" w:eastAsia="Arial" w:hAnsi="Arial"/>
          <w:sz w:val="18"/>
          <w:szCs w:val="18"/>
          <w:color w:val="auto"/>
        </w:rPr>
        <w:t>9/23/2005</w:t>
      </w:r>
      <w:r>
        <w:rPr>
          <w:sz w:val="20"/>
          <w:szCs w:val="20"/>
          <w:color w:val="auto"/>
        </w:rPr>
        <w:tab/>
      </w:r>
      <w:r>
        <w:rPr>
          <w:rFonts w:ascii="Arial" w:cs="Arial" w:eastAsia="Arial" w:hAnsi="Arial"/>
          <w:sz w:val="18"/>
          <w:szCs w:val="18"/>
          <w:color w:val="auto"/>
        </w:rPr>
        <w:t>25% vests each on 9/23/2006, 9/23/2007, 9/23/2008 and 9/23/2009</w:t>
      </w:r>
    </w:p>
    <w:p>
      <w:pPr>
        <w:ind w:left="700"/>
        <w:spacing w:after="0"/>
        <w:tabs>
          <w:tab w:leader="none" w:pos="2060" w:val="left"/>
        </w:tabs>
        <w:rPr>
          <w:sz w:val="20"/>
          <w:szCs w:val="20"/>
          <w:color w:val="auto"/>
        </w:rPr>
      </w:pPr>
      <w:r>
        <w:rPr>
          <w:rFonts w:ascii="Arial" w:cs="Arial" w:eastAsia="Arial" w:hAnsi="Arial"/>
          <w:sz w:val="18"/>
          <w:szCs w:val="18"/>
          <w:color w:val="auto"/>
        </w:rPr>
        <w:t>8/10/2006</w:t>
      </w:r>
      <w:r>
        <w:rPr>
          <w:sz w:val="20"/>
          <w:szCs w:val="20"/>
          <w:color w:val="auto"/>
        </w:rPr>
        <w:tab/>
      </w:r>
      <w:r>
        <w:rPr>
          <w:rFonts w:ascii="Arial" w:cs="Arial" w:eastAsia="Arial" w:hAnsi="Arial"/>
          <w:sz w:val="18"/>
          <w:szCs w:val="18"/>
          <w:color w:val="auto"/>
        </w:rPr>
        <w:t>25% vests each on 8/10/2007, 8/10/2008, 8/10/2009 and 8/10/2010</w:t>
      </w:r>
    </w:p>
    <w:p>
      <w:pPr>
        <w:spacing w:after="0" w:line="226" w:lineRule="exact"/>
        <w:rPr>
          <w:sz w:val="20"/>
          <w:szCs w:val="20"/>
          <w:color w:val="auto"/>
        </w:rPr>
      </w:pPr>
    </w:p>
    <w:p>
      <w:pPr>
        <w:ind w:left="700"/>
        <w:spacing w:after="0"/>
        <w:tabs>
          <w:tab w:leader="none" w:pos="4980" w:val="left"/>
        </w:tabs>
        <w:rPr>
          <w:sz w:val="20"/>
          <w:szCs w:val="20"/>
          <w:color w:val="auto"/>
        </w:rPr>
      </w:pP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Stock Awards (RSUs)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17780</wp:posOffset>
            </wp:positionV>
            <wp:extent cx="6303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70" w:lineRule="exact"/>
        <w:rPr>
          <w:sz w:val="20"/>
          <w:szCs w:val="20"/>
          <w:color w:val="auto"/>
        </w:rPr>
      </w:pPr>
    </w:p>
    <w:p>
      <w:pPr>
        <w:ind w:left="700"/>
        <w:spacing w:after="0"/>
        <w:tabs>
          <w:tab w:leader="none" w:pos="2060" w:val="left"/>
        </w:tabs>
        <w:rPr>
          <w:sz w:val="20"/>
          <w:szCs w:val="20"/>
          <w:color w:val="auto"/>
        </w:rPr>
      </w:pPr>
      <w:r>
        <w:rPr>
          <w:rFonts w:ascii="Arial" w:cs="Arial" w:eastAsia="Arial" w:hAnsi="Arial"/>
          <w:sz w:val="18"/>
          <w:szCs w:val="18"/>
          <w:color w:val="auto"/>
        </w:rPr>
        <w:t>9/23/2004</w:t>
      </w:r>
      <w:r>
        <w:rPr>
          <w:sz w:val="20"/>
          <w:szCs w:val="20"/>
          <w:color w:val="auto"/>
        </w:rPr>
        <w:tab/>
      </w:r>
      <w:r>
        <w:rPr>
          <w:rFonts w:ascii="Arial" w:cs="Arial" w:eastAsia="Arial" w:hAnsi="Arial"/>
          <w:sz w:val="18"/>
          <w:szCs w:val="18"/>
          <w:color w:val="auto"/>
        </w:rPr>
        <w:t>20% vests each on first business day in January 2005 - 2009</w:t>
      </w:r>
    </w:p>
    <w:p>
      <w:pPr>
        <w:ind w:left="700"/>
        <w:spacing w:after="0" w:line="234" w:lineRule="auto"/>
        <w:tabs>
          <w:tab w:leader="none" w:pos="2060" w:val="left"/>
        </w:tabs>
        <w:rPr>
          <w:sz w:val="20"/>
          <w:szCs w:val="20"/>
          <w:color w:val="auto"/>
        </w:rPr>
      </w:pPr>
      <w:r>
        <w:rPr>
          <w:rFonts w:ascii="Arial" w:cs="Arial" w:eastAsia="Arial" w:hAnsi="Arial"/>
          <w:sz w:val="18"/>
          <w:szCs w:val="18"/>
          <w:color w:val="auto"/>
        </w:rPr>
        <w:t>9/23/2005</w:t>
      </w:r>
      <w:r>
        <w:rPr>
          <w:sz w:val="20"/>
          <w:szCs w:val="20"/>
          <w:color w:val="auto"/>
        </w:rPr>
        <w:tab/>
      </w:r>
      <w:r>
        <w:rPr>
          <w:rFonts w:ascii="Arial" w:cs="Arial" w:eastAsia="Arial" w:hAnsi="Arial"/>
          <w:sz w:val="18"/>
          <w:szCs w:val="18"/>
          <w:color w:val="auto"/>
        </w:rPr>
        <w:t>20% vests each on first business day in January 2006 - 2010</w:t>
      </w:r>
    </w:p>
    <w:p>
      <w:pPr>
        <w:spacing w:after="0" w:line="1" w:lineRule="exact"/>
        <w:rPr>
          <w:sz w:val="20"/>
          <w:szCs w:val="20"/>
          <w:color w:val="auto"/>
        </w:rPr>
      </w:pPr>
    </w:p>
    <w:p>
      <w:pPr>
        <w:ind w:left="700"/>
        <w:spacing w:after="0"/>
        <w:tabs>
          <w:tab w:leader="none" w:pos="2060" w:val="left"/>
        </w:tabs>
        <w:rPr>
          <w:sz w:val="20"/>
          <w:szCs w:val="20"/>
          <w:color w:val="auto"/>
        </w:rPr>
      </w:pPr>
      <w:r>
        <w:rPr>
          <w:rFonts w:ascii="Arial" w:cs="Arial" w:eastAsia="Arial" w:hAnsi="Arial"/>
          <w:sz w:val="18"/>
          <w:szCs w:val="18"/>
          <w:color w:val="auto"/>
        </w:rPr>
        <w:t>8/10/2006</w:t>
      </w:r>
      <w:r>
        <w:rPr>
          <w:sz w:val="20"/>
          <w:szCs w:val="20"/>
          <w:color w:val="auto"/>
        </w:rPr>
        <w:tab/>
      </w:r>
      <w:r>
        <w:rPr>
          <w:rFonts w:ascii="Arial" w:cs="Arial" w:eastAsia="Arial" w:hAnsi="Arial"/>
          <w:sz w:val="18"/>
          <w:szCs w:val="18"/>
          <w:color w:val="auto"/>
        </w:rPr>
        <w:t>20% vests each on first business day in January 2007 - 2011</w:t>
      </w:r>
    </w:p>
    <w:p>
      <w:pPr>
        <w:spacing w:after="0" w:line="226" w:lineRule="exact"/>
        <w:rPr>
          <w:sz w:val="20"/>
          <w:szCs w:val="20"/>
          <w:color w:val="auto"/>
        </w:rPr>
      </w:pPr>
    </w:p>
    <w:p>
      <w:pPr>
        <w:ind w:left="700"/>
        <w:spacing w:after="0"/>
        <w:tabs>
          <w:tab w:leader="none" w:pos="4740" w:val="left"/>
        </w:tabs>
        <w:rPr>
          <w:sz w:val="20"/>
          <w:szCs w:val="20"/>
          <w:color w:val="auto"/>
        </w:rPr>
      </w:pP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Equity Incentive Plan (PSUs)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17780</wp:posOffset>
            </wp:positionV>
            <wp:extent cx="6303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70" w:lineRule="exact"/>
        <w:rPr>
          <w:sz w:val="20"/>
          <w:szCs w:val="20"/>
          <w:color w:val="auto"/>
        </w:rPr>
      </w:pPr>
    </w:p>
    <w:p>
      <w:pPr>
        <w:ind w:left="700"/>
        <w:spacing w:after="0"/>
        <w:tabs>
          <w:tab w:leader="none" w:pos="2060" w:val="left"/>
        </w:tabs>
        <w:rPr>
          <w:sz w:val="20"/>
          <w:szCs w:val="20"/>
          <w:color w:val="auto"/>
        </w:rPr>
      </w:pPr>
      <w:r>
        <w:rPr>
          <w:rFonts w:ascii="Arial" w:cs="Arial" w:eastAsia="Arial" w:hAnsi="Arial"/>
          <w:sz w:val="18"/>
          <w:szCs w:val="18"/>
          <w:color w:val="auto"/>
        </w:rPr>
        <w:t>9/23/2005</w:t>
      </w:r>
      <w:r>
        <w:rPr>
          <w:sz w:val="20"/>
          <w:szCs w:val="20"/>
          <w:color w:val="auto"/>
        </w:rPr>
        <w:tab/>
      </w:r>
      <w:r>
        <w:rPr>
          <w:rFonts w:ascii="Arial" w:cs="Arial" w:eastAsia="Arial" w:hAnsi="Arial"/>
          <w:sz w:val="18"/>
          <w:szCs w:val="18"/>
          <w:color w:val="auto"/>
        </w:rPr>
        <w:t>Vests on 6/28/2008</w:t>
      </w:r>
    </w:p>
    <w:p>
      <w:pPr>
        <w:ind w:left="700"/>
        <w:spacing w:after="0"/>
        <w:tabs>
          <w:tab w:leader="none" w:pos="2060" w:val="left"/>
        </w:tabs>
        <w:rPr>
          <w:sz w:val="20"/>
          <w:szCs w:val="20"/>
          <w:color w:val="auto"/>
        </w:rPr>
      </w:pPr>
      <w:r>
        <w:rPr>
          <w:rFonts w:ascii="Arial" w:cs="Arial" w:eastAsia="Arial" w:hAnsi="Arial"/>
          <w:sz w:val="18"/>
          <w:szCs w:val="18"/>
          <w:color w:val="auto"/>
        </w:rPr>
        <w:t>8/10/2006</w:t>
      </w:r>
      <w:r>
        <w:rPr>
          <w:sz w:val="20"/>
          <w:szCs w:val="20"/>
          <w:color w:val="auto"/>
        </w:rPr>
        <w:tab/>
      </w:r>
      <w:r>
        <w:rPr>
          <w:rFonts w:ascii="Arial" w:cs="Arial" w:eastAsia="Arial" w:hAnsi="Arial"/>
          <w:sz w:val="18"/>
          <w:szCs w:val="18"/>
          <w:color w:val="auto"/>
        </w:rPr>
        <w:t>Vests on 6/27/2009</w:t>
      </w: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Option Exercises and Stock Vested</w:t>
      </w:r>
    </w:p>
    <w:p>
      <w:pPr>
        <w:spacing w:after="0" w:line="139"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following table provides information regarding each of the named executive officers on (1) stock option exercises during fiscal 2007, including the number of shares acquired upon exercise and the value realized and (2) the number of shares acquired upon the vesting of stock awards in the form of RSUs and the value realized, each before payment of any applicable withholding tax.</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Option Awards</w:t>
            </w:r>
          </w:p>
        </w:tc>
        <w:tc>
          <w:tcPr>
            <w:tcW w:w="40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Acquired</w:t>
            </w: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Acquired</w:t>
            </w:r>
          </w:p>
        </w:tc>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6"/>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on Exercise</w:t>
            </w:r>
          </w:p>
        </w:tc>
        <w:tc>
          <w:tcPr>
            <w:tcW w:w="4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on Exercise</w:t>
            </w:r>
          </w:p>
        </w:tc>
        <w:tc>
          <w:tcPr>
            <w:tcW w:w="4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c>
          <w:tcPr>
            <w:tcW w:w="4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75"/>
        </w:trPr>
        <w:tc>
          <w:tcPr>
            <w:tcW w:w="458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center"/>
              <w:ind w:left="333"/>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4580" w:type="dxa"/>
            <w:vAlign w:val="bottom"/>
          </w:tcPr>
          <w:p>
            <w:pPr>
              <w:spacing w:after="0"/>
              <w:rPr>
                <w:sz w:val="20"/>
                <w:szCs w:val="20"/>
                <w:color w:val="auto"/>
              </w:rPr>
            </w:pPr>
            <w:r>
              <w:rPr>
                <w:rFonts w:ascii="Arial" w:cs="Arial" w:eastAsia="Arial" w:hAnsi="Arial"/>
                <w:sz w:val="14"/>
                <w:szCs w:val="14"/>
                <w:b w:val="1"/>
                <w:bCs w:val="1"/>
                <w:color w:val="auto"/>
              </w:rPr>
              <w:t>(a)</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40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400" w:type="dxa"/>
            <w:vAlign w:val="bottom"/>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Arial" w:cs="Arial" w:eastAsia="Arial" w:hAnsi="Arial"/>
                <w:sz w:val="18"/>
                <w:szCs w:val="18"/>
                <w:color w:val="auto"/>
              </w:rPr>
              <w:t>Roy Vallee</w:t>
            </w:r>
          </w:p>
        </w:tc>
        <w:tc>
          <w:tcPr>
            <w:tcW w:w="900" w:type="dxa"/>
            <w:vAlign w:val="bottom"/>
          </w:tcPr>
          <w:p>
            <w:pPr>
              <w:jc w:val="right"/>
              <w:spacing w:after="0"/>
              <w:rPr>
                <w:sz w:val="20"/>
                <w:szCs w:val="20"/>
                <w:color w:val="auto"/>
              </w:rPr>
            </w:pPr>
            <w:r>
              <w:rPr>
                <w:rFonts w:ascii="Arial" w:cs="Arial" w:eastAsia="Arial" w:hAnsi="Arial"/>
                <w:sz w:val="18"/>
                <w:szCs w:val="18"/>
                <w:color w:val="auto"/>
              </w:rPr>
              <w:t>700,000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29,943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764,445</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Raymond Sadowski</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136,000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2,039,470</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5,545</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141,565</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Richard Hamada</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109,120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774,903</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7,790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198,879</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Harley Feldberg</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87,430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1,290,721</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6,278</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160,278</w:t>
            </w:r>
          </w:p>
        </w:tc>
        <w:tc>
          <w:tcPr>
            <w:tcW w:w="0" w:type="dxa"/>
            <w:vAlign w:val="bottom"/>
          </w:tcPr>
          <w:p>
            <w:pPr>
              <w:spacing w:after="0"/>
              <w:rPr>
                <w:sz w:val="1"/>
                <w:szCs w:val="1"/>
                <w:color w:val="auto"/>
              </w:rPr>
            </w:pP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David Birk</w:t>
            </w:r>
          </w:p>
        </w:tc>
        <w:tc>
          <w:tcPr>
            <w:tcW w:w="900" w:type="dxa"/>
            <w:vAlign w:val="bottom"/>
          </w:tcPr>
          <w:p>
            <w:pPr>
              <w:jc w:val="right"/>
              <w:spacing w:after="0"/>
              <w:rPr>
                <w:sz w:val="20"/>
                <w:szCs w:val="20"/>
                <w:color w:val="auto"/>
              </w:rPr>
            </w:pPr>
            <w:r>
              <w:rPr>
                <w:rFonts w:ascii="Arial" w:cs="Arial" w:eastAsia="Arial" w:hAnsi="Arial"/>
                <w:sz w:val="18"/>
                <w:szCs w:val="18"/>
                <w:color w:val="auto"/>
              </w:rPr>
              <w:t>248,930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2,454,948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4,952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126,425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-796925</wp:posOffset>
            </wp:positionV>
            <wp:extent cx="26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8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Pension Benefits</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Further to the discussion on the Avnet Pension Plan in the CD&amp;A section on page 24, the Pension Plan is a type of defined benefit plan commonly referred to as a cash balance plan. A participant’s benefit under the Pension Plan is based, in general,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60"/>
        <w:spacing w:after="0" w:line="238" w:lineRule="auto"/>
        <w:rPr>
          <w:sz w:val="20"/>
          <w:szCs w:val="20"/>
          <w:color w:val="auto"/>
        </w:rPr>
      </w:pPr>
      <w:r>
        <w:rPr>
          <w:rFonts w:ascii="Arial" w:cs="Arial" w:eastAsia="Arial" w:hAnsi="Arial"/>
          <w:sz w:val="18"/>
          <w:szCs w:val="18"/>
          <w:color w:val="auto"/>
        </w:rPr>
        <w:t>Plan. In general, the Pension Plan defines annual earnings as a participant’s base salary, commissions, royalties, annual cash incentive compensation and amounts deferred pursuant to plans described in section 125 of the Internal Revenue Code of 1986, as amended. No benefit is accrued under the Pension Plan for annual earnings exceeding $100,000 in any plan year. The Pension Plan offers participants distributions in the form of various monthly annuity payments and, in most cases, a lump sum distribution option is also available to participants who have terminated employment with Avnet.</w:t>
      </w:r>
    </w:p>
    <w:p>
      <w:pPr>
        <w:spacing w:after="0" w:line="54" w:lineRule="exact"/>
        <w:rPr>
          <w:sz w:val="20"/>
          <w:szCs w:val="20"/>
          <w:color w:val="auto"/>
        </w:rPr>
      </w:pPr>
    </w:p>
    <w:p>
      <w:pPr>
        <w:ind w:left="700" w:right="20"/>
        <w:spacing w:after="0" w:line="252" w:lineRule="auto"/>
        <w:rPr>
          <w:sz w:val="20"/>
          <w:szCs w:val="20"/>
          <w:color w:val="auto"/>
        </w:rPr>
      </w:pPr>
      <w:r>
        <w:rPr>
          <w:rFonts w:ascii="Arial" w:cs="Arial" w:eastAsia="Arial" w:hAnsi="Arial"/>
          <w:sz w:val="17"/>
          <w:szCs w:val="17"/>
          <w:color w:val="auto"/>
        </w:rPr>
        <w:t>The Company also maintains an Executive Officers’ Supplemental Life Insurance and Retirement Program (“SERP”) in which each named executive officer participates. This program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(or in a lump sum under certain circumstances) to such officer or his or her beneficiary for ten years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elects to begin receiving the 120 monthly payments.</w:t>
      </w:r>
    </w:p>
    <w:p>
      <w:pPr>
        <w:spacing w:after="0" w:line="44"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table below shows the present value of accumulated benefits payable to each of the named executive officers, including the number of years of service credited to each such named executive officer, under each of the Pension Plan and the SERP determined using interest rate and mortality rate assumptions consistent with those used in the Company’s financial statements.</w:t>
      </w:r>
    </w:p>
    <w:p>
      <w:pPr>
        <w:spacing w:after="0" w:line="13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Pension Benefits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Present</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Credited</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6"/>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Service</w:t>
            </w:r>
          </w:p>
        </w:tc>
        <w:tc>
          <w:tcPr>
            <w:tcW w:w="3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75"/>
        </w:trPr>
        <w:tc>
          <w:tcPr>
            <w:tcW w:w="27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rPr>
              <w:t>Plan Name</w:t>
            </w:r>
          </w:p>
        </w:tc>
        <w:tc>
          <w:tcPr>
            <w:tcW w:w="11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720" w:type="dxa"/>
            <w:vAlign w:val="bottom"/>
          </w:tcPr>
          <w:p>
            <w:pPr>
              <w:spacing w:after="0"/>
              <w:rPr>
                <w:sz w:val="20"/>
                <w:szCs w:val="20"/>
                <w:color w:val="auto"/>
              </w:rPr>
            </w:pPr>
            <w:r>
              <w:rPr>
                <w:rFonts w:ascii="Arial" w:cs="Arial" w:eastAsia="Arial" w:hAnsi="Arial"/>
                <w:sz w:val="14"/>
                <w:szCs w:val="14"/>
                <w:b w:val="1"/>
                <w:bCs w:val="1"/>
                <w:color w:val="auto"/>
              </w:rPr>
              <w:t>(a)</w:t>
            </w:r>
          </w:p>
        </w:tc>
        <w:tc>
          <w:tcPr>
            <w:tcW w:w="116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8"/>
        </w:trPr>
        <w:tc>
          <w:tcPr>
            <w:tcW w:w="2720" w:type="dxa"/>
            <w:vAlign w:val="bottom"/>
          </w:tcPr>
          <w:p>
            <w:pPr>
              <w:spacing w:after="0"/>
              <w:rPr>
                <w:sz w:val="20"/>
                <w:szCs w:val="20"/>
                <w:color w:val="auto"/>
              </w:rPr>
            </w:pPr>
            <w:r>
              <w:rPr>
                <w:rFonts w:ascii="Arial" w:cs="Arial" w:eastAsia="Arial" w:hAnsi="Arial"/>
                <w:sz w:val="18"/>
                <w:szCs w:val="18"/>
                <w:color w:val="auto"/>
              </w:rPr>
              <w:t>Roy Vallee</w:t>
            </w:r>
          </w:p>
        </w:tc>
        <w:tc>
          <w:tcPr>
            <w:tcW w:w="4520" w:type="dxa"/>
            <w:vAlign w:val="bottom"/>
            <w:gridSpan w:val="2"/>
          </w:tcPr>
          <w:p>
            <w:pPr>
              <w:ind w:left="1140"/>
              <w:spacing w:after="0"/>
              <w:rPr>
                <w:sz w:val="20"/>
                <w:szCs w:val="20"/>
                <w:color w:val="auto"/>
              </w:rPr>
            </w:pPr>
            <w:r>
              <w:rPr>
                <w:rFonts w:ascii="Arial" w:cs="Arial" w:eastAsia="Arial" w:hAnsi="Arial"/>
                <w:sz w:val="18"/>
                <w:szCs w:val="18"/>
                <w:color w:val="auto"/>
              </w:rPr>
              <w:t>Avnet Pension Plan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278,174</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SERP</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3,049,795</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Raymond Sadowski</w:t>
            </w: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Avnet Pension Plan</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205,791</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SERP</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936,171</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Richard Hamada</w:t>
            </w: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Avnet Pension Plan</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146,020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SERP</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939,530</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Harley Feldberg</w:t>
            </w: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Avnet Pension Plan</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212,555</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SERP</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1,154,375</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David Birk</w:t>
            </w:r>
          </w:p>
        </w:tc>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Avnet Pension Plan</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319,985</w:t>
            </w: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4520" w:type="dxa"/>
            <w:vAlign w:val="bottom"/>
            <w:gridSpan w:val="2"/>
          </w:tcPr>
          <w:p>
            <w:pPr>
              <w:ind w:left="1140"/>
              <w:spacing w:after="0"/>
              <w:rPr>
                <w:sz w:val="20"/>
                <w:szCs w:val="20"/>
                <w:color w:val="auto"/>
              </w:rPr>
            </w:pPr>
            <w:r>
              <w:rPr>
                <w:rFonts w:ascii="Arial" w:cs="Arial" w:eastAsia="Arial" w:hAnsi="Arial"/>
                <w:sz w:val="18"/>
                <w:szCs w:val="18"/>
                <w:color w:val="auto"/>
              </w:rPr>
              <w:t>SERP</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1,314,165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-1440180</wp:posOffset>
            </wp:positionV>
            <wp:extent cx="17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Nonqualified Deferred Compensation</w:t>
      </w:r>
    </w:p>
    <w:p>
      <w:pPr>
        <w:spacing w:after="0" w:line="85"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Avnet offers a deferred compensation plan (“DCP”) for highly compensated employees ($100,000 or over target income) including all of the named executive officers, allowing these employees to set aside a portion of their income for retirement on a pre-tax basis, in addition to the amounts allowed under the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The deferred compensation and the amount earned are general assets, and the obligation to distribute the amounts according to the participants’ designation is a general obligation of the Company. There is no penalty on any scheduled withdrawals at any age. Of the named executive officers,</w:t>
      </w:r>
    </w:p>
    <w:p>
      <w:pPr>
        <w:spacing w:after="0" w:line="7" w:lineRule="exact"/>
        <w:rPr>
          <w:sz w:val="20"/>
          <w:szCs w:val="20"/>
          <w:color w:val="auto"/>
        </w:rPr>
      </w:pPr>
    </w:p>
    <w:p>
      <w:pPr>
        <w:ind w:left="700" w:right="260"/>
        <w:spacing w:after="0" w:line="275" w:lineRule="auto"/>
        <w:rPr>
          <w:sz w:val="20"/>
          <w:szCs w:val="20"/>
          <w:color w:val="auto"/>
        </w:rPr>
      </w:pPr>
      <w:r>
        <w:rPr>
          <w:rFonts w:ascii="Arial" w:cs="Arial" w:eastAsia="Arial" w:hAnsi="Arial"/>
          <w:sz w:val="17"/>
          <w:szCs w:val="17"/>
          <w:color w:val="auto"/>
        </w:rPr>
        <w:t>Messrs. Vallee, Hamada and Feldberg were participants in the DCP. Only Mr. Feldberg deferred a portion of his cash compensation in fiscal 2007; and Mr. Hamada withdrew the entire aggregate amount from his DCP account in fiscal 2007.</w:t>
      </w: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A portion of the earnings in fiscal 2007 in Messrs. Vallee’s and Mr. Feldberg’s DCP account are deemed to be “above-market” because the return was greater than 5.9% (120% of the applicable federal long-term rate) on June 30, 2007. The amount of the “above-market” earnings (included in column (h) of the Summary Compensation Table) for Mr. Vallee’s DCP account is $22,819, and $74,351 for Mr. Feldberg.</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Contribu-</w:t>
            </w: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3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Aggregate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tions in</w:t>
            </w: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18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rPr>
              <w:t>Earnings in</w:t>
            </w:r>
          </w:p>
        </w:tc>
        <w:tc>
          <w:tcPr>
            <w:tcW w:w="1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Withdrawals/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at Last</w:t>
            </w:r>
          </w:p>
        </w:tc>
        <w:tc>
          <w:tcPr>
            <w:tcW w:w="0" w:type="dxa"/>
            <w:vAlign w:val="bottom"/>
          </w:tcPr>
          <w:p>
            <w:pPr>
              <w:spacing w:after="0"/>
              <w:rPr>
                <w:sz w:val="1"/>
                <w:szCs w:val="1"/>
                <w:color w:val="auto"/>
              </w:rPr>
            </w:pPr>
          </w:p>
        </w:tc>
      </w:tr>
      <w:tr>
        <w:trPr>
          <w:trHeight w:val="176"/>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Last FY</w:t>
            </w:r>
          </w:p>
        </w:tc>
        <w:tc>
          <w:tcPr>
            <w:tcW w:w="4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Last FY</w:t>
            </w:r>
          </w:p>
        </w:tc>
        <w:tc>
          <w:tcPr>
            <w:tcW w:w="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Last FY</w:t>
            </w:r>
          </w:p>
        </w:tc>
        <w:tc>
          <w:tcPr>
            <w:tcW w:w="1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Distributions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75"/>
        </w:trPr>
        <w:tc>
          <w:tcPr>
            <w:tcW w:w="3980" w:type="dxa"/>
            <w:vAlign w:val="bottom"/>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304"/>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20"/>
                <w:szCs w:val="20"/>
                <w:color w:val="auto"/>
              </w:rPr>
            </w:pPr>
            <w:r>
              <w:rPr>
                <w:rFonts w:ascii="Arial" w:cs="Arial" w:eastAsia="Arial" w:hAnsi="Arial"/>
                <w:sz w:val="14"/>
                <w:szCs w:val="14"/>
                <w:b w:val="1"/>
                <w:bCs w:val="1"/>
                <w:color w:val="auto"/>
              </w:rPr>
              <w:t>(a)</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38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40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28"/>
        </w:trPr>
        <w:tc>
          <w:tcPr>
            <w:tcW w:w="3980" w:type="dxa"/>
            <w:vAlign w:val="bottom"/>
          </w:tcPr>
          <w:p>
            <w:pPr>
              <w:spacing w:after="0"/>
              <w:rPr>
                <w:sz w:val="20"/>
                <w:szCs w:val="20"/>
                <w:color w:val="auto"/>
              </w:rPr>
            </w:pPr>
            <w:r>
              <w:rPr>
                <w:rFonts w:ascii="Arial" w:cs="Arial" w:eastAsia="Arial" w:hAnsi="Arial"/>
                <w:sz w:val="18"/>
                <w:szCs w:val="18"/>
                <w:color w:val="auto"/>
              </w:rPr>
              <w:t>Roy Vallee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53,699</w:t>
            </w:r>
          </w:p>
        </w:tc>
        <w:tc>
          <w:tcPr>
            <w:tcW w:w="3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576,551</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Raymond Sadowski</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Richard Hamada</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8,721</w:t>
            </w:r>
          </w:p>
        </w:tc>
        <w:tc>
          <w:tcPr>
            <w:tcW w:w="16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(130,767)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Harley Feldberg</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89,425</w:t>
            </w:r>
          </w:p>
        </w:tc>
        <w:tc>
          <w:tcPr>
            <w:tcW w:w="400" w:type="dxa"/>
            <w:vAlign w:val="bottom"/>
          </w:tcPr>
          <w:p>
            <w:pPr>
              <w:spacing w:after="0"/>
              <w:rPr>
                <w:sz w:val="17"/>
                <w:szCs w:val="17"/>
                <w:color w:val="auto"/>
              </w:rPr>
            </w:pP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116,005</w:t>
            </w:r>
          </w:p>
        </w:tc>
        <w:tc>
          <w:tcPr>
            <w:tcW w:w="3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868,007</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David Birk</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-796925</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8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Potential Payouts Upon Termination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Roy Vallee entered into an employment agreement with the Company effective the beginning of fiscal year 2003. Under the terms of the agreement, Mr. Vallee may receive an annual base salary ranging from $ 825,000 to $ 1,000,000 per year, which is set by the Committee on an annual basis. The initial term of the agreement was for three years, and is thereafter automatically renewed for additional one year terms, until the agreement is terminated in accordance with its provisions. Under this employment agreement, Mr. Vallee’s incentive compensation is determined pursuant to the Incentive Plan or any successor plan, or otherwise as determined by all of the independent directors of the Board. Under the Incentive Plan, he is eligible to receive cash incentive compensation based on the Company’s performance measured against performance goals set by the Committee.</w:t>
      </w:r>
    </w:p>
    <w:p>
      <w:pPr>
        <w:spacing w:after="0" w:line="114" w:lineRule="exact"/>
        <w:rPr>
          <w:sz w:val="20"/>
          <w:szCs w:val="20"/>
          <w:color w:val="auto"/>
        </w:rPr>
      </w:pPr>
    </w:p>
    <w:p>
      <w:pPr>
        <w:ind w:left="700" w:right="60"/>
        <w:spacing w:after="0" w:line="236" w:lineRule="auto"/>
        <w:rPr>
          <w:sz w:val="20"/>
          <w:szCs w:val="20"/>
          <w:color w:val="auto"/>
        </w:rPr>
      </w:pPr>
      <w:r>
        <w:rPr>
          <w:rFonts w:ascii="Arial" w:cs="Arial" w:eastAsia="Arial" w:hAnsi="Arial"/>
          <w:sz w:val="18"/>
          <w:szCs w:val="18"/>
          <w:color w:val="auto"/>
        </w:rPr>
        <w:t>If Mr. Vallee becomes disabled during the term of the employment agreement, the Company shall pay an annual disability benefit of $300,000. If Mr. Vallee retires or terminates his employment agreement by giving one-year prior notice or if the Company experiences a change in control, the Company will pay to Mr. Vallee his base salary through his termination date and he will be eligible to receive any annual incentive compensation payment or the pro-rata portion earned through such termination date. If the Company does not continue to employ Mr. Vallee in his position as Chairman and chief Executive Officer of Avnet without cause and without prior notice, the Company shall engage Mr. Vallee as a consultant for a period of 24 months following the termination and shall compensate Mr. Vallee at an annual rate (to be paid monthly in arrears) equal to the highest aggregate base salary and incentive compensation paid to him in any one fiscal year during the three most recently completed fiscal years. In addition, during such consulting engagement, Mr. Vallee shall receive the same or substantially equivalent benefits with respect to medical and life insurance and with respect to the use of a company furnished automobile as he received while an employee.</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event of actual or constructive termination within 24 months of a change in control, the Company must pay to</w:t>
      </w:r>
    </w:p>
    <w:p>
      <w:pPr>
        <w:ind w:left="700" w:right="20"/>
        <w:spacing w:after="0" w:line="236" w:lineRule="auto"/>
        <w:rPr>
          <w:sz w:val="20"/>
          <w:szCs w:val="20"/>
          <w:color w:val="auto"/>
        </w:rPr>
      </w:pPr>
      <w:r>
        <w:rPr>
          <w:rFonts w:ascii="Arial" w:cs="Arial" w:eastAsia="Arial" w:hAnsi="Arial"/>
          <w:sz w:val="18"/>
          <w:szCs w:val="18"/>
          <w:color w:val="auto"/>
        </w:rPr>
        <w:t>Mr. Vallee all accrued base salary and pro-rata incentive payments, plus 2.99 times the sum of (i) his then current annual base salary; and (ii) 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spacing w:after="0" w:line="239" w:lineRule="auto"/>
        <w:rPr>
          <w:sz w:val="20"/>
          <w:szCs w:val="20"/>
          <w:color w:val="auto"/>
        </w:rPr>
      </w:pPr>
      <w:r>
        <w:rPr>
          <w:rFonts w:ascii="Arial" w:cs="Arial" w:eastAsia="Arial" w:hAnsi="Arial"/>
          <w:sz w:val="18"/>
          <w:szCs w:val="18"/>
          <w:color w:val="auto"/>
        </w:rPr>
        <w:t>the individuals serving on the Board of Directors so that those serving on the effective date of Mr. Vallee’s Employment Agreement (June 29, 2002) and those persons appointed by such individuals to the Board no longer constitute a majority of the Board, or the approval by shareholders of a liquidation, dissolution or sale of substantially all of the assets of the Company.</w:t>
      </w:r>
    </w:p>
    <w:p>
      <w:pPr>
        <w:spacing w:after="0" w:line="107" w:lineRule="exact"/>
        <w:rPr>
          <w:sz w:val="20"/>
          <w:szCs w:val="20"/>
          <w:color w:val="auto"/>
        </w:rPr>
      </w:pPr>
    </w:p>
    <w:p>
      <w:pPr>
        <w:ind w:left="700"/>
        <w:spacing w:after="0" w:line="250" w:lineRule="auto"/>
        <w:rPr>
          <w:sz w:val="20"/>
          <w:szCs w:val="20"/>
          <w:color w:val="auto"/>
        </w:rPr>
      </w:pPr>
      <w:r>
        <w:rPr>
          <w:rFonts w:ascii="Arial" w:cs="Arial" w:eastAsia="Arial" w:hAnsi="Arial"/>
          <w:sz w:val="17"/>
          <w:szCs w:val="17"/>
          <w:color w:val="auto"/>
        </w:rPr>
        <w:t>David R. Birk, a Senior Vice President, General Counsel and Corporate Secretary, Harley Feldberg, a Senior Vice President and President of Avnet Electronics Marketing, Richard Hamada, a Senior Vice President and Chief Operating Officer and Raymond Sadowski, a Senior Vice President and Chief Financial Officer, entered into employment agreements with the Company effective June 29, 1998, July 4, 2004, May 1, 2000 and June 29, 1998, respectively. The employment agreements are terminable by either Messrs. Birk, Feldberg, Hamada and Sadowski or the Company upon one-year prior written notice to the other. The amount of compensation to be paid to Messrs. Birk, Feldberg, Hamada and Sadowski is not fixed and is to be agreed upon by Messrs. Birk, Feldberg, Hamada or Sadowski and the Company from time to time. In the event Mr. Birk’s, Mr. Hamada’s or Mr. Sadowski’s employment is terminated with one year’s notice and they and the Company shall have failed to agree upon the compensation to be paid during all or any portion of the one year notice period prior to termination, their compensation (base salary and incentive compensation) during the notice period will remain the same as was most recently agreed upon. Mr. Feldberg’s employment agreement is similar in all material aspects except that the agreement had an initial term of two years that expired on July 4, 2006 and that, in the event Mr. Feldberg’s employment is terminated with one year’s notice (exercisable by either Mr. Feldberg or the Company after July 4, 2006) and he and the Company fail to agree upon the compensation to be paid during all or any portion of the one year notice period prior to termination, then Mr. Feldberg’s compensation (base salary and incentive compensation) during the notice period shall be equal to the cash compensation earned by Mr. Feldberg during the four completed fiscal quarters preceding the date on which notice is given.</w:t>
      </w:r>
    </w:p>
    <w:p>
      <w:pPr>
        <w:spacing w:after="0" w:line="105"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Messrs. Birk, Feldberg, Hamada and Sadowski have entered into change of control agreements with Avnet, which provide that, if within 24 months following a change of control, the Company or its successor terminates their employment without cause or by constructive termination, Messrs. Birk, Feldberg, Hamada and Sadowski will be paid, in a lump sum payment, an amount equal to 2.99 times the sum of (i) his annual salary for the year in which such termination occurs and (ii) the average of his incentive compensation for the highest two of the last five full fiscal years. In addition, all unvested stock options shall accelerate and vest in accordance with early vesting provisions under the applicable stock option plans and all incentive stock program shares allocated but not yet delivered will be accelerated so as to be immediately deliverable.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the Change of Control Agreement, and those persons appointed by such individuals to the Board, no longer constitute a majority of the Board, or the approval by shareholders of a liquidation, dissolution or sale of substantially all of the assets of Avnet.</w:t>
      </w:r>
    </w:p>
    <w:p>
      <w:pPr>
        <w:spacing w:after="0" w:line="109" w:lineRule="exact"/>
        <w:rPr>
          <w:sz w:val="20"/>
          <w:szCs w:val="20"/>
          <w:color w:val="auto"/>
        </w:rPr>
      </w:pPr>
    </w:p>
    <w:p>
      <w:pPr>
        <w:ind w:left="700" w:right="100"/>
        <w:spacing w:after="0" w:line="237" w:lineRule="auto"/>
        <w:rPr>
          <w:sz w:val="20"/>
          <w:szCs w:val="20"/>
          <w:color w:val="auto"/>
        </w:rPr>
      </w:pPr>
      <w:r>
        <w:rPr>
          <w:rFonts w:ascii="Arial" w:cs="Arial" w:eastAsia="Arial" w:hAnsi="Arial"/>
          <w:sz w:val="18"/>
          <w:szCs w:val="18"/>
          <w:color w:val="auto"/>
        </w:rPr>
        <w:t>The following table sets forth the estimated payments and value of benefits that each of the named executive officers would be entitled to receive under their employment and change of control agreements, as applicable, in the event of the termination of his employment under various scenarios, assuming that the termination occurred on June 30, 2007, which is the Company’s fiscal year end, and further assuming that each of the named executive officers is eligible for retirement on that date. The amounts represent the entire value of the estimated liability, even if some or all of that value has been disclosed elsewhere in this proxy statement.</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section:</w:t>
      </w:r>
    </w:p>
    <w:p>
      <w:pPr>
        <w:spacing w:after="0" w:line="95"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103" w:lineRule="exact"/>
        <w:rPr>
          <w:rFonts w:ascii="Arial" w:cs="Arial" w:eastAsia="Arial" w:hAnsi="Arial"/>
          <w:sz w:val="18"/>
          <w:szCs w:val="18"/>
          <w:color w:val="auto"/>
        </w:rPr>
      </w:pPr>
    </w:p>
    <w:p>
      <w:pPr>
        <w:ind w:left="1300" w:right="20" w:hanging="202"/>
        <w:spacing w:after="0" w:line="27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his employment as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by a competent medical personnel;</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300" w:right="640" w:hanging="202"/>
        <w:spacing w:after="0" w:line="27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45" w:lineRule="exact"/>
        <w:rPr>
          <w:rFonts w:ascii="Arial" w:cs="Arial" w:eastAsia="Arial" w:hAnsi="Arial"/>
          <w:sz w:val="18"/>
          <w:szCs w:val="18"/>
          <w:color w:val="auto"/>
        </w:rPr>
      </w:pPr>
    </w:p>
    <w:p>
      <w:pPr>
        <w:ind w:left="1300" w:right="300" w:hanging="202"/>
        <w:spacing w:after="0" w:line="27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without cause within 24 months of the change; and</w:t>
      </w:r>
    </w:p>
    <w:p>
      <w:pPr>
        <w:spacing w:after="0" w:line="45" w:lineRule="exact"/>
        <w:rPr>
          <w:rFonts w:ascii="Arial" w:cs="Arial" w:eastAsia="Arial" w:hAnsi="Arial"/>
          <w:sz w:val="18"/>
          <w:szCs w:val="18"/>
          <w:color w:val="auto"/>
        </w:rPr>
      </w:pPr>
    </w:p>
    <w:p>
      <w:pPr>
        <w:ind w:left="1300" w:right="140" w:hanging="202"/>
        <w:spacing w:after="0" w:line="27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means all of the following: (a) age 55, (b) 5 years of service, (c) age + years of service is equal to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65, and (d) the executive must have signed a 2-year non-compete agreement.</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Death</w:t>
            </w:r>
          </w:p>
        </w:tc>
        <w:tc>
          <w:tcPr>
            <w:tcW w:w="380" w:type="dxa"/>
            <w:vAlign w:val="bottom"/>
          </w:tcPr>
          <w:p>
            <w:pPr>
              <w:spacing w:after="0"/>
              <w:rPr>
                <w:sz w:val="15"/>
                <w:szCs w:val="15"/>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Disability</w:t>
            </w:r>
          </w:p>
        </w:tc>
        <w:tc>
          <w:tcPr>
            <w:tcW w:w="3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w/o Cause</w:t>
            </w:r>
          </w:p>
        </w:tc>
        <w:tc>
          <w:tcPr>
            <w:tcW w:w="3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Retirement</w:t>
            </w:r>
          </w:p>
        </w:tc>
      </w:tr>
      <w:tr>
        <w:trPr>
          <w:trHeight w:val="238"/>
        </w:trPr>
        <w:tc>
          <w:tcPr>
            <w:tcW w:w="5020" w:type="dxa"/>
            <w:vAlign w:val="bottom"/>
          </w:tcPr>
          <w:p>
            <w:pPr>
              <w:spacing w:after="0"/>
              <w:rPr>
                <w:sz w:val="20"/>
                <w:szCs w:val="20"/>
                <w:color w:val="auto"/>
              </w:rPr>
            </w:pPr>
            <w:r>
              <w:rPr>
                <w:rFonts w:ascii="Arial" w:cs="Arial" w:eastAsia="Arial" w:hAnsi="Arial"/>
                <w:sz w:val="16"/>
                <w:szCs w:val="16"/>
                <w:color w:val="auto"/>
              </w:rPr>
              <w:t>Roy Vallee:</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4,514,600</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29,212,128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29,212,128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34,608,575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36,072,920</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incentive stock</w:t>
            </w:r>
          </w:p>
        </w:tc>
        <w:tc>
          <w:tcPr>
            <w:tcW w:w="920" w:type="dxa"/>
            <w:vAlign w:val="bottom"/>
          </w:tcPr>
          <w:p>
            <w:pPr>
              <w:jc w:val="right"/>
              <w:spacing w:after="0"/>
              <w:rPr>
                <w:sz w:val="20"/>
                <w:szCs w:val="20"/>
                <w:color w:val="auto"/>
              </w:rPr>
            </w:pPr>
            <w:r>
              <w:rPr>
                <w:rFonts w:ascii="Arial" w:cs="Arial" w:eastAsia="Arial" w:hAnsi="Arial"/>
                <w:sz w:val="16"/>
                <w:szCs w:val="16"/>
                <w:color w:val="auto"/>
              </w:rPr>
              <w:t>3,516,107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3,516,107</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3,516,107</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performance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1,811,151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1,811,151</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3,714,862</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Accrued vacation pay out</w:t>
            </w:r>
          </w:p>
        </w:tc>
        <w:tc>
          <w:tcPr>
            <w:tcW w:w="920" w:type="dxa"/>
            <w:vAlign w:val="bottom"/>
          </w:tcPr>
          <w:p>
            <w:pPr>
              <w:jc w:val="right"/>
              <w:spacing w:after="0"/>
              <w:rPr>
                <w:sz w:val="20"/>
                <w:szCs w:val="20"/>
                <w:color w:val="auto"/>
              </w:rPr>
            </w:pPr>
            <w:r>
              <w:rPr>
                <w:rFonts w:ascii="Arial" w:cs="Arial" w:eastAsia="Arial" w:hAnsi="Arial"/>
                <w:sz w:val="16"/>
                <w:szCs w:val="16"/>
                <w:color w:val="auto"/>
              </w:rPr>
              <w:t>109,615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109,615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109,615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109,615</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Welfare benefits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57,902</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Life insurance benefit</w:t>
            </w:r>
          </w:p>
        </w:tc>
        <w:tc>
          <w:tcPr>
            <w:tcW w:w="920" w:type="dxa"/>
            <w:vAlign w:val="bottom"/>
          </w:tcPr>
          <w:p>
            <w:pPr>
              <w:jc w:val="right"/>
              <w:spacing w:after="0"/>
              <w:rPr>
                <w:sz w:val="20"/>
                <w:szCs w:val="20"/>
                <w:color w:val="auto"/>
              </w:rPr>
            </w:pPr>
            <w:r>
              <w:rPr>
                <w:rFonts w:ascii="Arial" w:cs="Arial" w:eastAsia="Arial" w:hAnsi="Arial"/>
                <w:sz w:val="16"/>
                <w:szCs w:val="16"/>
                <w:color w:val="auto"/>
              </w:rPr>
              <w:t>5,014,600</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Avnet Pension</w:t>
            </w:r>
          </w:p>
        </w:tc>
        <w:tc>
          <w:tcPr>
            <w:tcW w:w="920" w:type="dxa"/>
            <w:vAlign w:val="bottom"/>
          </w:tcPr>
          <w:p>
            <w:pPr>
              <w:jc w:val="right"/>
              <w:spacing w:after="0"/>
              <w:rPr>
                <w:sz w:val="20"/>
                <w:szCs w:val="20"/>
                <w:color w:val="auto"/>
              </w:rPr>
            </w:pPr>
            <w:r>
              <w:rPr>
                <w:rFonts w:ascii="Arial" w:cs="Arial" w:eastAsia="Arial" w:hAnsi="Arial"/>
                <w:sz w:val="16"/>
                <w:szCs w:val="16"/>
                <w:color w:val="auto"/>
              </w:rPr>
              <w:t>118,658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237,315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237,315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237,315</w:t>
            </w:r>
          </w:p>
        </w:tc>
      </w:tr>
      <w:tr>
        <w:trPr>
          <w:trHeight w:val="195"/>
        </w:trPr>
        <w:tc>
          <w:tcPr>
            <w:tcW w:w="5020" w:type="dxa"/>
            <w:vAlign w:val="bottom"/>
          </w:tcPr>
          <w:p>
            <w:pPr>
              <w:ind w:left="160"/>
              <w:spacing w:after="0"/>
              <w:rPr>
                <w:sz w:val="20"/>
                <w:szCs w:val="20"/>
                <w:color w:val="auto"/>
              </w:rPr>
            </w:pPr>
            <w:r>
              <w:rPr>
                <w:rFonts w:ascii="Arial" w:cs="Arial" w:eastAsia="Arial" w:hAnsi="Arial"/>
                <w:sz w:val="16"/>
                <w:szCs w:val="16"/>
                <w:color w:val="auto"/>
              </w:rPr>
              <w:t>SERP</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3,049,795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3,049,795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3,049,795</w:t>
            </w:r>
          </w:p>
        </w:tc>
      </w:tr>
      <w:tr>
        <w:trPr>
          <w:trHeight w:val="292"/>
        </w:trPr>
        <w:tc>
          <w:tcPr>
            <w:tcW w:w="5020" w:type="dxa"/>
            <w:vAlign w:val="bottom"/>
          </w:tcPr>
          <w:p>
            <w:pPr>
              <w:spacing w:after="0"/>
              <w:rPr>
                <w:sz w:val="20"/>
                <w:szCs w:val="20"/>
                <w:color w:val="auto"/>
              </w:rPr>
            </w:pPr>
            <w:r>
              <w:rPr>
                <w:rFonts w:ascii="Arial" w:cs="Arial" w:eastAsia="Arial" w:hAnsi="Arial"/>
                <w:sz w:val="16"/>
                <w:szCs w:val="16"/>
                <w:color w:val="auto"/>
              </w:rPr>
              <w:t>Raymond Sadowski</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3,042,640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3,042,640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3,042,640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4,274,128</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incentive stock</w:t>
            </w:r>
          </w:p>
        </w:tc>
        <w:tc>
          <w:tcPr>
            <w:tcW w:w="920" w:type="dxa"/>
            <w:vAlign w:val="bottom"/>
          </w:tcPr>
          <w:p>
            <w:pPr>
              <w:jc w:val="right"/>
              <w:spacing w:after="0"/>
              <w:rPr>
                <w:sz w:val="20"/>
                <w:szCs w:val="20"/>
                <w:color w:val="auto"/>
              </w:rPr>
            </w:pPr>
            <w:r>
              <w:rPr>
                <w:rFonts w:ascii="Arial" w:cs="Arial" w:eastAsia="Arial" w:hAnsi="Arial"/>
                <w:sz w:val="16"/>
                <w:szCs w:val="16"/>
                <w:color w:val="auto"/>
              </w:rPr>
              <w:t>677,052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677,052</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677,052</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performance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361,583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361,583</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757,322</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Accrued vacation pay out</w:t>
            </w:r>
          </w:p>
        </w:tc>
        <w:tc>
          <w:tcPr>
            <w:tcW w:w="920" w:type="dxa"/>
            <w:vAlign w:val="bottom"/>
          </w:tcPr>
          <w:p>
            <w:pPr>
              <w:jc w:val="right"/>
              <w:spacing w:after="0"/>
              <w:rPr>
                <w:sz w:val="20"/>
                <w:szCs w:val="20"/>
                <w:color w:val="auto"/>
              </w:rPr>
            </w:pPr>
            <w:r>
              <w:rPr>
                <w:rFonts w:ascii="Arial" w:cs="Arial" w:eastAsia="Arial" w:hAnsi="Arial"/>
                <w:sz w:val="16"/>
                <w:szCs w:val="16"/>
                <w:color w:val="auto"/>
              </w:rPr>
              <w:t>51,924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51,924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51,924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51,924</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Welfare benefits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Life insurance benefit</w:t>
            </w:r>
          </w:p>
        </w:tc>
        <w:tc>
          <w:tcPr>
            <w:tcW w:w="920" w:type="dxa"/>
            <w:vAlign w:val="bottom"/>
          </w:tcPr>
          <w:p>
            <w:pPr>
              <w:jc w:val="right"/>
              <w:spacing w:after="0"/>
              <w:rPr>
                <w:sz w:val="20"/>
                <w:szCs w:val="20"/>
                <w:color w:val="auto"/>
              </w:rPr>
            </w:pPr>
            <w:r>
              <w:rPr>
                <w:rFonts w:ascii="Arial" w:cs="Arial" w:eastAsia="Arial" w:hAnsi="Arial"/>
                <w:sz w:val="16"/>
                <w:szCs w:val="16"/>
                <w:color w:val="auto"/>
              </w:rPr>
              <w:t>2,019,248</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Avnet Pension</w:t>
            </w:r>
          </w:p>
        </w:tc>
        <w:tc>
          <w:tcPr>
            <w:tcW w:w="920" w:type="dxa"/>
            <w:vAlign w:val="bottom"/>
          </w:tcPr>
          <w:p>
            <w:pPr>
              <w:jc w:val="right"/>
              <w:spacing w:after="0"/>
              <w:rPr>
                <w:sz w:val="20"/>
                <w:szCs w:val="20"/>
                <w:color w:val="auto"/>
              </w:rPr>
            </w:pPr>
            <w:r>
              <w:rPr>
                <w:rFonts w:ascii="Arial" w:cs="Arial" w:eastAsia="Arial" w:hAnsi="Arial"/>
                <w:sz w:val="16"/>
                <w:szCs w:val="16"/>
                <w:color w:val="auto"/>
              </w:rPr>
              <w:t>85,709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171,418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171,418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171,418</w:t>
            </w:r>
          </w:p>
        </w:tc>
      </w:tr>
      <w:tr>
        <w:trPr>
          <w:trHeight w:val="195"/>
        </w:trPr>
        <w:tc>
          <w:tcPr>
            <w:tcW w:w="5020" w:type="dxa"/>
            <w:vAlign w:val="bottom"/>
          </w:tcPr>
          <w:p>
            <w:pPr>
              <w:ind w:left="160"/>
              <w:spacing w:after="0"/>
              <w:rPr>
                <w:sz w:val="20"/>
                <w:szCs w:val="20"/>
                <w:color w:val="auto"/>
              </w:rPr>
            </w:pPr>
            <w:r>
              <w:rPr>
                <w:rFonts w:ascii="Arial" w:cs="Arial" w:eastAsia="Arial" w:hAnsi="Arial"/>
                <w:sz w:val="16"/>
                <w:szCs w:val="16"/>
                <w:color w:val="auto"/>
              </w:rPr>
              <w:t>SERP</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936,171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936,171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936,171</w:t>
            </w:r>
          </w:p>
        </w:tc>
      </w:tr>
      <w:tr>
        <w:trPr>
          <w:trHeight w:val="292"/>
        </w:trPr>
        <w:tc>
          <w:tcPr>
            <w:tcW w:w="5020" w:type="dxa"/>
            <w:vAlign w:val="bottom"/>
          </w:tcPr>
          <w:p>
            <w:pPr>
              <w:spacing w:after="0"/>
              <w:rPr>
                <w:sz w:val="20"/>
                <w:szCs w:val="20"/>
                <w:color w:val="auto"/>
              </w:rPr>
            </w:pPr>
            <w:r>
              <w:rPr>
                <w:rFonts w:ascii="Arial" w:cs="Arial" w:eastAsia="Arial" w:hAnsi="Arial"/>
                <w:sz w:val="16"/>
                <w:szCs w:val="16"/>
                <w:color w:val="auto"/>
              </w:rPr>
              <w:t>Richard Hamada</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1,681,824</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incentive stock</w:t>
            </w:r>
          </w:p>
        </w:tc>
        <w:tc>
          <w:tcPr>
            <w:tcW w:w="920" w:type="dxa"/>
            <w:vAlign w:val="bottom"/>
          </w:tcPr>
          <w:p>
            <w:pPr>
              <w:jc w:val="right"/>
              <w:spacing w:after="0"/>
              <w:rPr>
                <w:sz w:val="20"/>
                <w:szCs w:val="20"/>
                <w:color w:val="auto"/>
              </w:rPr>
            </w:pPr>
            <w:r>
              <w:rPr>
                <w:rFonts w:ascii="Arial" w:cs="Arial" w:eastAsia="Arial" w:hAnsi="Arial"/>
                <w:sz w:val="16"/>
                <w:szCs w:val="16"/>
                <w:color w:val="auto"/>
              </w:rPr>
              <w:t>1,012,802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1,012,802</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1,012,802</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performance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543,596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543,596</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1,202,281</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Accrued vacation pay out</w:t>
            </w:r>
          </w:p>
        </w:tc>
        <w:tc>
          <w:tcPr>
            <w:tcW w:w="920" w:type="dxa"/>
            <w:vAlign w:val="bottom"/>
          </w:tcPr>
          <w:p>
            <w:pPr>
              <w:jc w:val="right"/>
              <w:spacing w:after="0"/>
              <w:rPr>
                <w:sz w:val="20"/>
                <w:szCs w:val="20"/>
                <w:color w:val="auto"/>
              </w:rPr>
            </w:pPr>
            <w:r>
              <w:rPr>
                <w:rFonts w:ascii="Arial" w:cs="Arial" w:eastAsia="Arial" w:hAnsi="Arial"/>
                <w:sz w:val="16"/>
                <w:szCs w:val="16"/>
                <w:color w:val="auto"/>
              </w:rPr>
              <w:t>33,415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33,415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33,415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33,415</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Welfare benefits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Life insurance benefit</w:t>
            </w:r>
          </w:p>
        </w:tc>
        <w:tc>
          <w:tcPr>
            <w:tcW w:w="920" w:type="dxa"/>
            <w:vAlign w:val="bottom"/>
          </w:tcPr>
          <w:p>
            <w:pPr>
              <w:jc w:val="right"/>
              <w:spacing w:after="0"/>
              <w:rPr>
                <w:sz w:val="20"/>
                <w:szCs w:val="20"/>
                <w:color w:val="auto"/>
              </w:rPr>
            </w:pPr>
            <w:r>
              <w:rPr>
                <w:rFonts w:ascii="Arial" w:cs="Arial" w:eastAsia="Arial" w:hAnsi="Arial"/>
                <w:sz w:val="16"/>
                <w:szCs w:val="16"/>
                <w:color w:val="auto"/>
              </w:rPr>
              <w:t>2,768,954</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Avnet Pension</w:t>
            </w:r>
          </w:p>
        </w:tc>
        <w:tc>
          <w:tcPr>
            <w:tcW w:w="920" w:type="dxa"/>
            <w:vAlign w:val="bottom"/>
          </w:tcPr>
          <w:p>
            <w:pPr>
              <w:jc w:val="right"/>
              <w:spacing w:after="0"/>
              <w:rPr>
                <w:sz w:val="20"/>
                <w:szCs w:val="20"/>
                <w:color w:val="auto"/>
              </w:rPr>
            </w:pPr>
            <w:r>
              <w:rPr>
                <w:rFonts w:ascii="Arial" w:cs="Arial" w:eastAsia="Arial" w:hAnsi="Arial"/>
                <w:sz w:val="16"/>
                <w:szCs w:val="16"/>
                <w:color w:val="auto"/>
              </w:rPr>
              <w:t>58,265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116,530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116,530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116,530</w:t>
            </w:r>
          </w:p>
        </w:tc>
      </w:tr>
      <w:tr>
        <w:trPr>
          <w:trHeight w:val="195"/>
        </w:trPr>
        <w:tc>
          <w:tcPr>
            <w:tcW w:w="5020" w:type="dxa"/>
            <w:vAlign w:val="bottom"/>
          </w:tcPr>
          <w:p>
            <w:pPr>
              <w:ind w:left="160"/>
              <w:spacing w:after="0"/>
              <w:rPr>
                <w:sz w:val="20"/>
                <w:szCs w:val="20"/>
                <w:color w:val="auto"/>
              </w:rPr>
            </w:pPr>
            <w:r>
              <w:rPr>
                <w:rFonts w:ascii="Arial" w:cs="Arial" w:eastAsia="Arial" w:hAnsi="Arial"/>
                <w:sz w:val="16"/>
                <w:szCs w:val="16"/>
                <w:color w:val="auto"/>
              </w:rPr>
              <w:t>SERP</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939,530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939,530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939,530</w:t>
            </w:r>
          </w:p>
        </w:tc>
      </w:tr>
      <w:tr>
        <w:trPr>
          <w:trHeight w:val="292"/>
        </w:trPr>
        <w:tc>
          <w:tcPr>
            <w:tcW w:w="5020" w:type="dxa"/>
            <w:vAlign w:val="bottom"/>
          </w:tcPr>
          <w:p>
            <w:pPr>
              <w:spacing w:after="0"/>
              <w:rPr>
                <w:sz w:val="20"/>
                <w:szCs w:val="20"/>
                <w:color w:val="auto"/>
              </w:rPr>
            </w:pPr>
            <w:r>
              <w:rPr>
                <w:rFonts w:ascii="Arial" w:cs="Arial" w:eastAsia="Arial" w:hAnsi="Arial"/>
                <w:sz w:val="16"/>
                <w:szCs w:val="16"/>
                <w:color w:val="auto"/>
              </w:rPr>
              <w:t>Harley Feldberg</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1,478,367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1,478,367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1,478,367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2,955,624</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incentive stock</w:t>
            </w:r>
          </w:p>
        </w:tc>
        <w:tc>
          <w:tcPr>
            <w:tcW w:w="920" w:type="dxa"/>
            <w:vAlign w:val="bottom"/>
          </w:tcPr>
          <w:p>
            <w:pPr>
              <w:jc w:val="right"/>
              <w:spacing w:after="0"/>
              <w:rPr>
                <w:sz w:val="20"/>
                <w:szCs w:val="20"/>
                <w:color w:val="auto"/>
              </w:rPr>
            </w:pPr>
            <w:r>
              <w:rPr>
                <w:rFonts w:ascii="Arial" w:cs="Arial" w:eastAsia="Arial" w:hAnsi="Arial"/>
                <w:sz w:val="16"/>
                <w:szCs w:val="16"/>
                <w:color w:val="auto"/>
              </w:rPr>
              <w:t>781,384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781,384</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781,384</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Settlement of performance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429,829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429,829</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902,602</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Accrued vacation pay out</w:t>
            </w:r>
          </w:p>
        </w:tc>
        <w:tc>
          <w:tcPr>
            <w:tcW w:w="920" w:type="dxa"/>
            <w:vAlign w:val="bottom"/>
          </w:tcPr>
          <w:p>
            <w:pPr>
              <w:jc w:val="right"/>
              <w:spacing w:after="0"/>
              <w:rPr>
                <w:sz w:val="20"/>
                <w:szCs w:val="20"/>
                <w:color w:val="auto"/>
              </w:rPr>
            </w:pPr>
            <w:r>
              <w:rPr>
                <w:rFonts w:ascii="Arial" w:cs="Arial" w:eastAsia="Arial" w:hAnsi="Arial"/>
                <w:sz w:val="16"/>
                <w:szCs w:val="16"/>
                <w:color w:val="auto"/>
              </w:rPr>
              <w:t>51,924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51,924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51,924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51,924</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Welfare benefits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Life insurance benefit</w:t>
            </w:r>
          </w:p>
        </w:tc>
        <w:tc>
          <w:tcPr>
            <w:tcW w:w="920" w:type="dxa"/>
            <w:vAlign w:val="bottom"/>
          </w:tcPr>
          <w:p>
            <w:pPr>
              <w:jc w:val="right"/>
              <w:spacing w:after="0"/>
              <w:rPr>
                <w:sz w:val="20"/>
                <w:szCs w:val="20"/>
                <w:color w:val="auto"/>
              </w:rPr>
            </w:pPr>
            <w:r>
              <w:rPr>
                <w:rFonts w:ascii="Arial" w:cs="Arial" w:eastAsia="Arial" w:hAnsi="Arial"/>
                <w:sz w:val="16"/>
                <w:szCs w:val="16"/>
                <w:color w:val="auto"/>
              </w:rPr>
              <w:t>2,253,074</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20" w:type="dxa"/>
            <w:vAlign w:val="bottom"/>
          </w:tcPr>
          <w:p>
            <w:pPr>
              <w:ind w:left="160"/>
              <w:spacing w:after="0"/>
              <w:rPr>
                <w:sz w:val="20"/>
                <w:szCs w:val="20"/>
                <w:color w:val="auto"/>
              </w:rPr>
            </w:pPr>
            <w:r>
              <w:rPr>
                <w:rFonts w:ascii="Arial" w:cs="Arial" w:eastAsia="Arial" w:hAnsi="Arial"/>
                <w:sz w:val="16"/>
                <w:szCs w:val="16"/>
                <w:color w:val="auto"/>
              </w:rPr>
              <w:t>Avnet Pension</w:t>
            </w:r>
          </w:p>
        </w:tc>
        <w:tc>
          <w:tcPr>
            <w:tcW w:w="920" w:type="dxa"/>
            <w:vAlign w:val="bottom"/>
          </w:tcPr>
          <w:p>
            <w:pPr>
              <w:jc w:val="right"/>
              <w:spacing w:after="0"/>
              <w:rPr>
                <w:sz w:val="20"/>
                <w:szCs w:val="20"/>
                <w:color w:val="auto"/>
              </w:rPr>
            </w:pPr>
            <w:r>
              <w:rPr>
                <w:rFonts w:ascii="Arial" w:cs="Arial" w:eastAsia="Arial" w:hAnsi="Arial"/>
                <w:sz w:val="16"/>
                <w:szCs w:val="16"/>
                <w:color w:val="auto"/>
              </w:rPr>
              <w:t>89,570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179,139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179,139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179,139</w:t>
            </w:r>
          </w:p>
        </w:tc>
      </w:tr>
      <w:tr>
        <w:trPr>
          <w:trHeight w:val="195"/>
        </w:trPr>
        <w:tc>
          <w:tcPr>
            <w:tcW w:w="5020" w:type="dxa"/>
            <w:vAlign w:val="bottom"/>
          </w:tcPr>
          <w:p>
            <w:pPr>
              <w:ind w:left="160"/>
              <w:spacing w:after="0"/>
              <w:rPr>
                <w:sz w:val="20"/>
                <w:szCs w:val="20"/>
                <w:color w:val="auto"/>
              </w:rPr>
            </w:pPr>
            <w:r>
              <w:rPr>
                <w:rFonts w:ascii="Arial" w:cs="Arial" w:eastAsia="Arial" w:hAnsi="Arial"/>
                <w:sz w:val="16"/>
                <w:szCs w:val="16"/>
                <w:color w:val="auto"/>
              </w:rPr>
              <w:t>SERP</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1,154,375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1,154,375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1,154,375</w:t>
            </w:r>
          </w:p>
        </w:tc>
      </w:tr>
    </w:tbl>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5360" w:type="dxa"/>
            <w:vAlign w:val="bottom"/>
          </w:tcPr>
          <w:p>
            <w:pPr>
              <w:spacing w:after="0"/>
              <w:rPr>
                <w:sz w:val="15"/>
                <w:szCs w:val="15"/>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Death</w:t>
            </w:r>
          </w:p>
        </w:tc>
        <w:tc>
          <w:tcPr>
            <w:tcW w:w="400" w:type="dxa"/>
            <w:vAlign w:val="bottom"/>
          </w:tcPr>
          <w:p>
            <w:pPr>
              <w:spacing w:after="0"/>
              <w:rPr>
                <w:sz w:val="15"/>
                <w:szCs w:val="15"/>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Disability</w:t>
            </w:r>
          </w:p>
        </w:tc>
        <w:tc>
          <w:tcPr>
            <w:tcW w:w="3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w/o Cause</w:t>
            </w:r>
          </w:p>
        </w:tc>
        <w:tc>
          <w:tcPr>
            <w:tcW w:w="3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Retirement</w:t>
            </w:r>
          </w:p>
        </w:tc>
      </w:tr>
      <w:tr>
        <w:trPr>
          <w:trHeight w:val="238"/>
        </w:trPr>
        <w:tc>
          <w:tcPr>
            <w:tcW w:w="5360" w:type="dxa"/>
            <w:vAlign w:val="bottom"/>
          </w:tcPr>
          <w:p>
            <w:pPr>
              <w:spacing w:after="0"/>
              <w:rPr>
                <w:sz w:val="20"/>
                <w:szCs w:val="20"/>
                <w:color w:val="auto"/>
              </w:rPr>
            </w:pPr>
            <w:r>
              <w:rPr>
                <w:rFonts w:ascii="Arial" w:cs="Arial" w:eastAsia="Arial" w:hAnsi="Arial"/>
                <w:sz w:val="16"/>
                <w:szCs w:val="16"/>
                <w:color w:val="auto"/>
              </w:rPr>
              <w:t>David Birk</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Settlement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56,899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56,899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56,899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1,167,873</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Settlement of incentive stock</w:t>
            </w:r>
          </w:p>
        </w:tc>
        <w:tc>
          <w:tcPr>
            <w:tcW w:w="820" w:type="dxa"/>
            <w:vAlign w:val="bottom"/>
          </w:tcPr>
          <w:p>
            <w:pPr>
              <w:jc w:val="right"/>
              <w:spacing w:after="0"/>
              <w:rPr>
                <w:sz w:val="20"/>
                <w:szCs w:val="20"/>
                <w:color w:val="auto"/>
              </w:rPr>
            </w:pPr>
            <w:r>
              <w:rPr>
                <w:rFonts w:ascii="Arial" w:cs="Arial" w:eastAsia="Arial" w:hAnsi="Arial"/>
                <w:sz w:val="16"/>
                <w:szCs w:val="16"/>
                <w:color w:val="auto"/>
              </w:rPr>
              <w:t>587,782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587,782</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587,782</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Settlement of performance shares</w:t>
            </w:r>
          </w:p>
        </w:tc>
        <w:tc>
          <w:tcPr>
            <w:tcW w:w="820" w:type="dxa"/>
            <w:vAlign w:val="bottom"/>
          </w:tcPr>
          <w:p>
            <w:pPr>
              <w:jc w:val="right"/>
              <w:spacing w:after="0"/>
              <w:rPr>
                <w:sz w:val="20"/>
                <w:szCs w:val="20"/>
                <w:color w:val="auto"/>
              </w:rPr>
            </w:pPr>
            <w:r>
              <w:rPr>
                <w:rFonts w:ascii="Arial" w:cs="Arial" w:eastAsia="Arial" w:hAnsi="Arial"/>
                <w:sz w:val="16"/>
                <w:szCs w:val="16"/>
                <w:color w:val="auto"/>
              </w:rPr>
              <w:t>314,477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314,477</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639,789</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Accrued vacation pay out</w:t>
            </w:r>
          </w:p>
        </w:tc>
        <w:tc>
          <w:tcPr>
            <w:tcW w:w="820" w:type="dxa"/>
            <w:vAlign w:val="bottom"/>
          </w:tcPr>
          <w:p>
            <w:pPr>
              <w:jc w:val="right"/>
              <w:spacing w:after="0"/>
              <w:rPr>
                <w:sz w:val="20"/>
                <w:szCs w:val="20"/>
                <w:color w:val="auto"/>
              </w:rPr>
            </w:pPr>
            <w:r>
              <w:rPr>
                <w:rFonts w:ascii="Arial" w:cs="Arial" w:eastAsia="Arial" w:hAnsi="Arial"/>
                <w:sz w:val="16"/>
                <w:szCs w:val="16"/>
                <w:color w:val="auto"/>
              </w:rPr>
              <w:t>52,500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52,500</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Welfare benefits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Life insurance benefit</w:t>
            </w:r>
          </w:p>
        </w:tc>
        <w:tc>
          <w:tcPr>
            <w:tcW w:w="820" w:type="dxa"/>
            <w:vAlign w:val="bottom"/>
          </w:tcPr>
          <w:p>
            <w:pPr>
              <w:jc w:val="right"/>
              <w:spacing w:after="0"/>
              <w:rPr>
                <w:sz w:val="20"/>
                <w:szCs w:val="20"/>
                <w:color w:val="auto"/>
              </w:rPr>
            </w:pPr>
            <w:r>
              <w:rPr>
                <w:rFonts w:ascii="Arial" w:cs="Arial" w:eastAsia="Arial" w:hAnsi="Arial"/>
                <w:sz w:val="16"/>
                <w:szCs w:val="16"/>
                <w:color w:val="auto"/>
              </w:rPr>
              <w:t>1,878,150</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360" w:type="dxa"/>
            <w:vAlign w:val="bottom"/>
          </w:tcPr>
          <w:p>
            <w:pPr>
              <w:ind w:left="160"/>
              <w:spacing w:after="0"/>
              <w:rPr>
                <w:sz w:val="20"/>
                <w:szCs w:val="20"/>
                <w:color w:val="auto"/>
              </w:rPr>
            </w:pPr>
            <w:r>
              <w:rPr>
                <w:rFonts w:ascii="Arial" w:cs="Arial" w:eastAsia="Arial" w:hAnsi="Arial"/>
                <w:sz w:val="16"/>
                <w:szCs w:val="16"/>
                <w:color w:val="auto"/>
              </w:rPr>
              <w:t>Avnet Pension</w:t>
            </w:r>
          </w:p>
        </w:tc>
        <w:tc>
          <w:tcPr>
            <w:tcW w:w="820" w:type="dxa"/>
            <w:vAlign w:val="bottom"/>
          </w:tcPr>
          <w:p>
            <w:pPr>
              <w:jc w:val="right"/>
              <w:spacing w:after="0"/>
              <w:rPr>
                <w:sz w:val="20"/>
                <w:szCs w:val="20"/>
                <w:color w:val="auto"/>
              </w:rPr>
            </w:pPr>
            <w:r>
              <w:rPr>
                <w:rFonts w:ascii="Arial" w:cs="Arial" w:eastAsia="Arial" w:hAnsi="Arial"/>
                <w:sz w:val="16"/>
                <w:szCs w:val="16"/>
                <w:color w:val="auto"/>
              </w:rPr>
              <w:t>146,244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292,488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292,488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292,488</w:t>
            </w:r>
          </w:p>
        </w:tc>
      </w:tr>
      <w:tr>
        <w:trPr>
          <w:trHeight w:val="195"/>
        </w:trPr>
        <w:tc>
          <w:tcPr>
            <w:tcW w:w="5360" w:type="dxa"/>
            <w:vAlign w:val="bottom"/>
          </w:tcPr>
          <w:p>
            <w:pPr>
              <w:ind w:left="160"/>
              <w:spacing w:after="0"/>
              <w:rPr>
                <w:sz w:val="20"/>
                <w:szCs w:val="20"/>
                <w:color w:val="auto"/>
              </w:rPr>
            </w:pPr>
            <w:r>
              <w:rPr>
                <w:rFonts w:ascii="Arial" w:cs="Arial" w:eastAsia="Arial" w:hAnsi="Arial"/>
                <w:sz w:val="16"/>
                <w:szCs w:val="16"/>
                <w:color w:val="auto"/>
              </w:rPr>
              <w:t>SERP</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1,314,165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1,314,165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1,314,165</w:t>
            </w:r>
          </w:p>
        </w:tc>
      </w:tr>
    </w:tbl>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Agreements</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Each of our named executive officers is party to a change in control severance agreement providing for benefits only upon both a change in control that is not authorized by the Board of Directors and the subsequent termination of employment of the executive without cause. As the definition of “Change of Control Termination” states, the Company’s payment obligation under the change of control agreements with respect to unearned benefits is triggered only upon the occurrence of a double trigger — a change in control (as defined in the agreement) followed by an involuntary loss of employment within two years thereafter. In the event of a Change of Control Termination, a named executive officer would be entitled to receive all amounts shown under the “Retirement” column above plus (a) severance — Vallee ($6,380,641), Sadowski ($ 2,170,840), Hamada ($3,135,617), Feldberg ($2,666,437), and Birk ($1,997,537); (b) welfare benefits — Vallee ($57,902), Sadowski ($51,876), Hamada ($49,006), Feldberg ($52,938), and Birk ($ 53,174); and (c) excise taxes and gross up — Vallee ($18,409,189), Sadowski ($2,650,293), Hamada ($1,648,746), Feldberg ($2,175,193), and Birk ($878,833).</w:t>
      </w:r>
    </w:p>
    <w:p>
      <w:pPr>
        <w:spacing w:after="0" w:line="1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Director Compensation</w:t>
      </w:r>
    </w:p>
    <w:p>
      <w:pPr>
        <w:spacing w:after="0" w:line="139" w:lineRule="exact"/>
        <w:rPr>
          <w:sz w:val="20"/>
          <w:szCs w:val="20"/>
          <w:color w:val="auto"/>
        </w:rPr>
      </w:pPr>
    </w:p>
    <w:p>
      <w:pPr>
        <w:ind w:left="700" w:right="80"/>
        <w:spacing w:after="0"/>
        <w:rPr>
          <w:sz w:val="20"/>
          <w:szCs w:val="20"/>
          <w:color w:val="auto"/>
        </w:rPr>
      </w:pPr>
      <w:r>
        <w:rPr>
          <w:rFonts w:ascii="Arial" w:cs="Arial" w:eastAsia="Arial" w:hAnsi="Arial"/>
          <w:sz w:val="18"/>
          <w:szCs w:val="18"/>
          <w:color w:val="auto"/>
        </w:rPr>
        <w:t>Directors of Avnet who are also officers or employees of Avnet (currently only Mr. Vallee) do not receive any special or additional remuneration for service on the Board of Directors or any of its committees. Non-employee director compensation for Board service consists of approximately 46% cash and 54% equity.</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 Plan</w:t>
      </w:r>
    </w:p>
    <w:p>
      <w:pPr>
        <w:spacing w:after="0" w:line="139"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Under the Avnet Deferred Compensation Plan for Outside Directors (the “Plan”), a non-employee Director may elect to receive Phantom Stock Units (the “PSUs”) in lieu of some or all of the restricted shares of Common Stock that would otherwise be awarded in connection with the Director’s annual equity compensation. The number of restricted shares or PSUs to be credited to the PSU portion of the Director’s account is determined by dividing $75,000 by the average of the high and low price of the Common Stock on the New York Stock Exchange on the first business day in January of each year. In addition, a non-employee Director may elect to defer all or a portion of his or her annual cash compensation in either a cash or PSU account under the Plan. Compensation deferred as cash is credited at the beginning of each quarter with interest at a rate corresponding to the rate of interest on U.S. Treasury 10-year notes on the first day of that quarter. Compensation deferred under the Plan,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payments, all remaining payments shall be made to the Director’s designated beneficiary.</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Retirement Plan Benefits and Phase-Out</w:t>
      </w:r>
    </w:p>
    <w:p>
      <w:pPr>
        <w:spacing w:after="0" w:line="139"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In May 1996, the Board of Directors terminated the Retirement Plan for Outside Directors of Avnet, Inc. (the “Retirement Plan”) with respect to non-employee Directors elected for the first time after May 21, 1996. Therefore, while members of the Board of Directors as of May 21, 1996 still accrue benefits under the Retirement Plan (Dr.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spacing w:after="0" w:line="275" w:lineRule="auto"/>
        <w:rPr>
          <w:sz w:val="20"/>
          <w:szCs w:val="20"/>
          <w:color w:val="auto"/>
        </w:rPr>
      </w:pPr>
      <w:r>
        <w:rPr>
          <w:rFonts w:ascii="Arial" w:cs="Arial" w:eastAsia="Arial" w:hAnsi="Arial"/>
          <w:sz w:val="17"/>
          <w:szCs w:val="17"/>
          <w:color w:val="auto"/>
        </w:rPr>
        <w:t>The following table shows the total dollar value of compensation received by all non-employee directors in respect of fiscal 2007 and the expense recorded by Avnet in connection with vesting during fiscal 2007 of stock-based compensation.</w:t>
      </w:r>
    </w:p>
    <w:p>
      <w:pPr>
        <w:spacing w:after="0" w:line="8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Pension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Paid in</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3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1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4"/>
                <w:szCs w:val="14"/>
                <w:b w:val="1"/>
                <w:bCs w:val="1"/>
                <w:color w:val="auto"/>
              </w:rPr>
              <w:t>(a)</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(1)(b)</w:t>
            </w:r>
          </w:p>
        </w:tc>
        <w:tc>
          <w:tcPr>
            <w:tcW w:w="38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(2)(c)</w:t>
            </w:r>
          </w:p>
        </w:tc>
        <w:tc>
          <w:tcPr>
            <w:tcW w:w="38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400" w:type="dxa"/>
            <w:vAlign w:val="bottom"/>
          </w:tcPr>
          <w:p>
            <w:pPr>
              <w:spacing w:after="0"/>
              <w:rPr>
                <w:sz w:val="15"/>
                <w:szCs w:val="15"/>
                <w:color w:val="auto"/>
              </w:rPr>
            </w:pPr>
          </w:p>
        </w:tc>
        <w:tc>
          <w:tcPr>
            <w:tcW w:w="7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28"/>
        </w:trPr>
        <w:tc>
          <w:tcPr>
            <w:tcW w:w="4800" w:type="dxa"/>
            <w:vAlign w:val="bottom"/>
          </w:tcPr>
          <w:p>
            <w:pPr>
              <w:spacing w:after="0"/>
              <w:rPr>
                <w:sz w:val="20"/>
                <w:szCs w:val="20"/>
                <w:color w:val="auto"/>
              </w:rPr>
            </w:pPr>
            <w:r>
              <w:rPr>
                <w:rFonts w:ascii="Arial" w:cs="Arial" w:eastAsia="Arial" w:hAnsi="Arial"/>
                <w:sz w:val="18"/>
                <w:szCs w:val="18"/>
                <w:color w:val="auto"/>
              </w:rPr>
              <w:t>Eleanor Baum</w:t>
            </w: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139,973</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J. Veronica Biggins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65,000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141,806</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Lawrence W. Clarkson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72,500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w:t>
            </w: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147,500</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Ehud Houminer</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4,973</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139,973</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James A. Lawrence</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75,000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w:t>
            </w: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Frank R. Noonan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65,000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w:t>
            </w: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Ray M. Robinson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72,500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150,347</w:t>
            </w:r>
          </w:p>
        </w:tc>
        <w:tc>
          <w:tcPr>
            <w:tcW w:w="0" w:type="dxa"/>
            <w:vAlign w:val="bottom"/>
          </w:tcPr>
          <w:p>
            <w:pPr>
              <w:spacing w:after="0"/>
              <w:rPr>
                <w:sz w:val="1"/>
                <w:szCs w:val="1"/>
                <w:color w:val="auto"/>
              </w:rPr>
            </w:pPr>
          </w:p>
        </w:tc>
      </w:t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Gary L. Tooker</w:t>
            </w:r>
          </w:p>
        </w:tc>
        <w:tc>
          <w:tcPr>
            <w:tcW w:w="1280" w:type="dxa"/>
            <w:vAlign w:val="bottom"/>
          </w:tcPr>
          <w:p>
            <w:pPr>
              <w:jc w:val="right"/>
              <w:spacing w:after="0"/>
              <w:rPr>
                <w:sz w:val="20"/>
                <w:szCs w:val="20"/>
                <w:color w:val="auto"/>
              </w:rPr>
            </w:pPr>
            <w:r>
              <w:rPr>
                <w:rFonts w:ascii="Arial" w:cs="Arial" w:eastAsia="Arial" w:hAnsi="Arial"/>
                <w:sz w:val="18"/>
                <w:szCs w:val="18"/>
                <w:color w:val="auto"/>
              </w:rPr>
              <w:t>70,000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9,450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154,450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-1183005</wp:posOffset>
            </wp:positionV>
            <wp:extent cx="26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hanging="322"/>
        <w:spacing w:after="0" w:line="234"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non-employee Director who was elected for the first time prior to May 1996 (and who is therefore eligible to participate in the retirement plan discussed below) receives an annual retainer fee of $60,000 (currently Dr. Baum and Mr. Houminer) and each non-employee Director elected for the first time in or after January 1997 (currently</w:t>
      </w:r>
    </w:p>
    <w:p>
      <w:pPr>
        <w:spacing w:after="0" w:line="2" w:lineRule="exact"/>
        <w:rPr>
          <w:rFonts w:ascii="Arial" w:cs="Arial" w:eastAsia="Arial" w:hAnsi="Arial"/>
          <w:sz w:val="18"/>
          <w:szCs w:val="18"/>
          <w:color w:val="auto"/>
        </w:rPr>
      </w:pPr>
    </w:p>
    <w:p>
      <w:pPr>
        <w:ind w:left="1200" w:right="60"/>
        <w:spacing w:after="0" w:line="237" w:lineRule="auto"/>
        <w:rPr>
          <w:rFonts w:ascii="Arial" w:cs="Arial" w:eastAsia="Arial" w:hAnsi="Arial"/>
          <w:sz w:val="18"/>
          <w:szCs w:val="18"/>
          <w:color w:val="auto"/>
        </w:rPr>
      </w:pPr>
      <w:r>
        <w:rPr>
          <w:rFonts w:ascii="Arial" w:cs="Arial" w:eastAsia="Arial" w:hAnsi="Arial"/>
          <w:sz w:val="18"/>
          <w:szCs w:val="18"/>
          <w:color w:val="auto"/>
        </w:rPr>
        <w:t>Ms. Biggins and Messrs. Clarkson, Lawrence, Noonan, Robinson, Smitham and Tooker) receives an annual retainer fee of $65,000. The chairs of the various committees of the Board of Directors receive the following additional compensation: chair of the Audit Committee receives an annual $10,000 cash retainer; chair of the Compensation Committee receives an annual $7,500 cash retainer; and the chairs of the Corporate Governance Committee and the Finance Committee each receive annual $5,000 cash retainers. As Lead Director, Mr. Clarkson also receives an annual retainer fee of $5,000.</w:t>
      </w:r>
    </w:p>
    <w:p>
      <w:pPr>
        <w:spacing w:after="0" w:line="43" w:lineRule="exact"/>
        <w:rPr>
          <w:rFonts w:ascii="Arial" w:cs="Arial" w:eastAsia="Arial" w:hAnsi="Arial"/>
          <w:sz w:val="18"/>
          <w:szCs w:val="18"/>
          <w:color w:val="auto"/>
        </w:rPr>
      </w:pPr>
    </w:p>
    <w:p>
      <w:pPr>
        <w:ind w:left="1200" w:right="40" w:hanging="322"/>
        <w:spacing w:after="0" w:line="257" w:lineRule="auto"/>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Non-employee Directors are awarded shares equal to $75,000 of Avnet Common Stock in January of each year. Directors may elect to receive these shares as Restricted Common Stock or defer this award in Phantom Share Units under the Avnet Deferred Compensation Plan for Outside Directors. Messrs. Clarkson, Noonan and Tooker have elected to defer their January 2007 stock awards in the form of PSUs in their Deferred Compensation Accounts.</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PROPOSAL TO REAPPROVE THE</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AVNET, INC. EXECUTIVE INCENTIVE PLAN</w:t>
      </w:r>
    </w:p>
    <w:p>
      <w:pPr>
        <w:spacing w:after="0" w:line="90" w:lineRule="exact"/>
        <w:rPr>
          <w:sz w:val="20"/>
          <w:szCs w:val="20"/>
          <w:color w:val="auto"/>
        </w:rPr>
      </w:pPr>
    </w:p>
    <w:p>
      <w:pPr>
        <w:ind w:left="700" w:right="300"/>
        <w:spacing w:after="0" w:line="261" w:lineRule="auto"/>
        <w:rPr>
          <w:sz w:val="20"/>
          <w:szCs w:val="20"/>
          <w:color w:val="auto"/>
        </w:rPr>
      </w:pPr>
      <w:r>
        <w:rPr>
          <w:rFonts w:ascii="Arial" w:cs="Arial" w:eastAsia="Arial" w:hAnsi="Arial"/>
          <w:sz w:val="17"/>
          <w:szCs w:val="17"/>
          <w:color w:val="auto"/>
        </w:rPr>
        <w:t>One of the purposes of the Annual Meeting is to consider and approve the Avnet, Inc. Executive Incentive Plan (the “Incentive Plan” or the “Plan”). The Board of Directors unanimously adopted the Plan and recommends that shareholders approve the Avnet Inc. Executive Incentive Plan, a copy of which is attached to this proxy statement as Appendix A.</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Purpose of the Plan</w:t>
      </w:r>
    </w:p>
    <w:p>
      <w:pPr>
        <w:spacing w:after="0" w:line="112"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The principal purpose of the Plan is to provide incentives to the Company’s executive officers and other members of senior management who have significant responsibility for the success and growth of the Company and to assist the Company in attracting, motivating and retaining executive officers on a competitive basis. The Plan is also designed to allow awards made under the Plan to qualify as performance-based compensation for purposes of Section 162(m) of the Internal Revenue Code (the “Code”), which would exempt such incentive compensation from the one million dollar cap on the deductibility of compensation expenses for federal income tax purposes.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Administration of the Plan</w:t>
      </w:r>
    </w:p>
    <w:p>
      <w:pPr>
        <w:spacing w:after="0" w:line="112" w:lineRule="exact"/>
        <w:rPr>
          <w:sz w:val="20"/>
          <w:szCs w:val="20"/>
          <w:color w:val="auto"/>
        </w:rPr>
      </w:pPr>
    </w:p>
    <w:p>
      <w:pPr>
        <w:ind w:left="700" w:right="180"/>
        <w:spacing w:after="0"/>
        <w:rPr>
          <w:sz w:val="20"/>
          <w:szCs w:val="20"/>
          <w:color w:val="auto"/>
        </w:rPr>
      </w:pPr>
      <w:r>
        <w:rPr>
          <w:rFonts w:ascii="Arial" w:cs="Arial" w:eastAsia="Arial" w:hAnsi="Arial"/>
          <w:sz w:val="18"/>
          <w:szCs w:val="18"/>
          <w:color w:val="auto"/>
        </w:rPr>
        <w:t>The Plan is administered by the Compensation Committee of the Board of Directors (the “Committee”), which is composed of at least two members who qualify as “outside directors” as that term is defined in treasury regulations issued under Section 162(m) of the Code.</w:t>
      </w:r>
    </w:p>
    <w:p>
      <w:pPr>
        <w:spacing w:after="0" w:line="68"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Under the Plan, the Committee has the sole discretion to interpret the Plan, determine who shall participate in the Plan, approve a pre-established objective performance measure or measures, certify the level to which each performance measure was attained prior to any payment under the Plan, approve the amount of awards made under the Plan and determine who shall receive any payment under the Plan. The Committee has full power and authority to administer and interpret the Plan and to adopt such rules, regulations and guidelines for the administration of the Plan and for the conduct of its business, as the Committee deems necessary or advisable. The Committee’s interpretations of the Plan, and all actions taken and determinations made by the Committee are conclusive and binding on all parties concerned, including the Company, its shareholders and any person receiving an award under the Plan.</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Participation in the Plan</w:t>
      </w:r>
    </w:p>
    <w:p>
      <w:pPr>
        <w:spacing w:after="0" w:line="99" w:lineRule="exact"/>
        <w:rPr>
          <w:sz w:val="20"/>
          <w:szCs w:val="20"/>
          <w:color w:val="auto"/>
        </w:rPr>
      </w:pPr>
    </w:p>
    <w:p>
      <w:pPr>
        <w:ind w:left="700" w:right="60"/>
        <w:spacing w:after="0" w:line="239" w:lineRule="auto"/>
        <w:rPr>
          <w:sz w:val="20"/>
          <w:szCs w:val="20"/>
          <w:color w:val="auto"/>
        </w:rPr>
      </w:pPr>
      <w:r>
        <w:rPr>
          <w:rFonts w:ascii="Arial" w:cs="Arial" w:eastAsia="Arial" w:hAnsi="Arial"/>
          <w:sz w:val="18"/>
          <w:szCs w:val="18"/>
          <w:color w:val="auto"/>
        </w:rPr>
        <w:t>Executive officers and other members of senior management of the Company and its affiliates are eligible to receive awards under the Plan. The Committee shall designate the executive officers and other members of senior management who will participate in the Plan each fiscal year. If an individual becomes an executive officer or member of senior management during the fiscal year, such individual may be granted eligibility for an incentive award for that year.</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Awards under the Plan</w:t>
      </w:r>
    </w:p>
    <w:p>
      <w:pPr>
        <w:spacing w:after="0" w:line="99" w:lineRule="exact"/>
        <w:rPr>
          <w:sz w:val="20"/>
          <w:szCs w:val="20"/>
          <w:color w:val="auto"/>
        </w:rPr>
      </w:pPr>
    </w:p>
    <w:p>
      <w:pPr>
        <w:ind w:left="700" w:right="300"/>
        <w:spacing w:after="0" w:line="275" w:lineRule="auto"/>
        <w:rPr>
          <w:sz w:val="20"/>
          <w:szCs w:val="20"/>
          <w:color w:val="auto"/>
        </w:rPr>
      </w:pPr>
      <w:r>
        <w:rPr>
          <w:rFonts w:ascii="Arial" w:cs="Arial" w:eastAsia="Arial" w:hAnsi="Arial"/>
          <w:sz w:val="17"/>
          <w:szCs w:val="17"/>
          <w:color w:val="auto"/>
        </w:rPr>
        <w:t>The Committee will establish incentive award targets for participants. Incentive award targets are expressed as the dollar amount of the incentive award that will be paid to a participant if the corresponding performance goals are achieved.</w:t>
      </w:r>
    </w:p>
    <w:p>
      <w:pPr>
        <w:spacing w:after="0" w:line="38" w:lineRule="exact"/>
        <w:rPr>
          <w:sz w:val="20"/>
          <w:szCs w:val="20"/>
          <w:color w:val="auto"/>
        </w:rPr>
      </w:pPr>
    </w:p>
    <w:p>
      <w:pPr>
        <w:ind w:left="700" w:right="80"/>
        <w:spacing w:after="0" w:line="236" w:lineRule="auto"/>
        <w:rPr>
          <w:sz w:val="20"/>
          <w:szCs w:val="20"/>
          <w:color w:val="auto"/>
        </w:rPr>
      </w:pPr>
      <w:r>
        <w:rPr>
          <w:rFonts w:ascii="Arial" w:cs="Arial" w:eastAsia="Arial" w:hAnsi="Arial"/>
          <w:sz w:val="18"/>
          <w:szCs w:val="18"/>
          <w:color w:val="auto"/>
        </w:rPr>
        <w:t>The Committee will also establish performance goals, which must be achieved for an incentive award to be earned by a participant under the Plan. Performance goals shall be based on any one or more of the following: price of the Company’s Common Stock, shareholder return, return on equity, return on investment, return of working capital, return on capital employed, sales productivity, sales growth, economic profit, economic value added, net income, operating income, gross margin, sales, free cash flow, earnings per share, operating unit contribution, achievement of annual operating profit plans, debt level, market share or similar financial performance measures as may be determined by the Committee. The performance goals may be established on a cumulative basis or on a stand-alone basis with respect to the Company or any of its operating units, or on a relative basis with respect to any peer companies or index selected by the Committee. The performance goals may be based on an analysis of historical performance</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20"/>
        <w:spacing w:after="0"/>
        <w:rPr>
          <w:sz w:val="20"/>
          <w:szCs w:val="20"/>
          <w:color w:val="auto"/>
        </w:rPr>
      </w:pPr>
      <w:r>
        <w:rPr>
          <w:rFonts w:ascii="Arial" w:cs="Arial" w:eastAsia="Arial" w:hAnsi="Arial"/>
          <w:sz w:val="18"/>
          <w:szCs w:val="18"/>
          <w:color w:val="auto"/>
        </w:rPr>
        <w:t>and growth expectations for the business, financial results of other comparable businesses, and progress towards achieving the long-range strategic plan for the business. The performance goals and determination of results shall be based entirely on financial measures.</w:t>
      </w:r>
    </w:p>
    <w:p>
      <w:pPr>
        <w:spacing w:after="0" w:line="81"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The specific performance goals for each participant shall be established in writing by the Committee within ninety days after the commencement of the fiscal year (or within such other time period as may be required by Section 162(m) of the Code) to which the performance goal relates. The performance goal shall be established in such a manner that a third party having knowledge of the relevant facts could determine whether the performance goal has been met. Awards are payable following the completion of the applicable fiscal year or other performance period upon certification by the Committee that the Company achieved the specified performance goal established for the participant. Notwithstanding the attainment by the Company of the specified performance goals, the Committee has the discretion, for each participant, to reduce some or all of an award that would otherwise be paid to such participant. In no event may a participant receive an award or payment of more than $3,000,000 under the Plan in any fiscal year. Because awards are dependent on future Company financial performance, it is not possible to determine at this time the amounts, if any, that may be payable under the Plan.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Plan Amendments and Termination</w:t>
      </w:r>
    </w:p>
    <w:p>
      <w:pPr>
        <w:spacing w:after="0" w:line="112"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The Committee may terminate the Plan at any time or may amend the Plan in whole or in part, from time to time, but no such action shall adversely affect any rights or obligations with respect to any awards previously made under the Plan. Shareholder approval is required for any amendment that would increase the maximum amount which can be paid to any one executive officer under the Plan in any fiscal year, change the specified performance goals for payment of awards, or modify the requirement as to eligibility for participation in the Plan.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12"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The Company has the right to deduct from all awards paid any federal, state, local or foreign taxes required by law to be withheld. The Company shall bear the costs of administering the Plan. Nothing in the Plan confers on any participant the right to continued employment by the Company or affect any right of the Company to terminate the employment of any participant. The Company may establish other bonus plans or programs and pay discretionary bonuses or other incentives to executive officers and other members of senior management outside of this Plan. The Plan is governed by New York law.</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Shareholder Approval</w:t>
      </w:r>
    </w:p>
    <w:p>
      <w:pPr>
        <w:spacing w:after="0" w:line="112" w:lineRule="exact"/>
        <w:rPr>
          <w:sz w:val="20"/>
          <w:szCs w:val="20"/>
          <w:color w:val="auto"/>
        </w:rPr>
      </w:pPr>
    </w:p>
    <w:p>
      <w:pPr>
        <w:ind w:left="700" w:right="60"/>
        <w:spacing w:after="0" w:line="237" w:lineRule="auto"/>
        <w:rPr>
          <w:sz w:val="20"/>
          <w:szCs w:val="20"/>
          <w:color w:val="auto"/>
        </w:rPr>
      </w:pPr>
      <w:r>
        <w:rPr>
          <w:rFonts w:ascii="Arial" w:cs="Arial" w:eastAsia="Arial" w:hAnsi="Arial"/>
          <w:sz w:val="18"/>
          <w:szCs w:val="18"/>
          <w:color w:val="auto"/>
        </w:rPr>
        <w:t>Shareholder approval of the Plan is required to allow awards made under the Plan to qualify as performance-based compensation for purposes of Section 162(m) of the Internal Revenue Code. Under Section 162(m) of the Code, the tax deduction from corporate income for salaries or other compensation will generally be disallowed for compensation in excess of $1,000,000 per annum paid to a “covered employee.” Generally, a “covered employee” is defined in Section 162(m) of the Code to include the chief executive officer and the four other most highly compensated officers of a publicly traded corporation.</w:t>
      </w:r>
    </w:p>
    <w:p>
      <w:pPr>
        <w:spacing w:after="0" w:line="70"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color w:val="auto"/>
        </w:rPr>
        <w:t>Performance-based compensation is not subject to the $ 1,000,000 cap on deductibility if certain requirements are met. Performance-based compensation payable to a covered employee can be exempted from the Section 162(m) limitation if the payment is made solely upon the attainment of pre-established performance goals. This Plan was designed to meet the requirements of Section 162(m) and related regulations regarding performance-based compensation.</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9"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The affirmative vote of a majority of the votes duly cast at the Annual Meeting on this proposal is required for the approval of the Executive Incentive Plan, provided that the total vote cast on this proposal represents over 50% in interest of all the shares entitled to vote. Thus, a shareholder who does not vote at the Annual Meeting will not affect the outcome of the vote so long as at least 50% of the outstanding shares of Common Stock are voted on this proposal. An abstention will count as a negative “vote cast.”</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The Board of Directors recommends a vote FOR approval of the</w:t>
      </w:r>
    </w:p>
    <w:p>
      <w:pPr>
        <w:spacing w:after="0" w:line="1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77" w:lineRule="exact"/>
        <w:rPr>
          <w:sz w:val="20"/>
          <w:szCs w:val="20"/>
          <w:color w:val="auto"/>
        </w:rPr>
      </w:pPr>
    </w:p>
    <w:p>
      <w:pPr>
        <w:ind w:left="700" w:right="180"/>
        <w:spacing w:after="0" w:line="239"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independent registered public accounting firm to audit the consolidated financial statements of Avnet for the fiscal year ending June 28, 2008. Avnet first retained KPMG LLP in April 2002 and the firm has audited the Company’s consolidated financial statements for the last six fiscal years.</w:t>
      </w:r>
    </w:p>
    <w:p>
      <w:pPr>
        <w:spacing w:after="0" w:line="67" w:lineRule="exact"/>
        <w:rPr>
          <w:sz w:val="20"/>
          <w:szCs w:val="20"/>
          <w:color w:val="auto"/>
        </w:rPr>
      </w:pPr>
    </w:p>
    <w:p>
      <w:pPr>
        <w:ind w:left="700" w:right="200"/>
        <w:spacing w:after="0" w:line="236"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87" w:lineRule="exact"/>
        <w:rPr>
          <w:sz w:val="20"/>
          <w:szCs w:val="20"/>
          <w:color w:val="auto"/>
        </w:rPr>
      </w:pPr>
    </w:p>
    <w:p>
      <w:pPr>
        <w:jc w:val="both"/>
        <w:ind w:left="700" w:right="60"/>
        <w:spacing w:after="0"/>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68" w:lineRule="exact"/>
        <w:rPr>
          <w:sz w:val="20"/>
          <w:szCs w:val="20"/>
          <w:color w:val="auto"/>
        </w:rPr>
      </w:pPr>
    </w:p>
    <w:p>
      <w:pPr>
        <w:ind w:left="700" w:right="740"/>
        <w:spacing w:after="0" w:line="246" w:lineRule="auto"/>
        <w:rPr>
          <w:sz w:val="20"/>
          <w:szCs w:val="20"/>
          <w:color w:val="auto"/>
        </w:rPr>
      </w:pPr>
      <w:r>
        <w:rPr>
          <w:rFonts w:ascii="Arial" w:cs="Arial" w:eastAsia="Arial" w:hAnsi="Arial"/>
          <w:sz w:val="18"/>
          <w:szCs w:val="18"/>
          <w:color w:val="auto"/>
        </w:rPr>
        <w:t>For a summary of the fees that were paid to KPMG LLP in fiscal years 2006 and 2007, please refer to the “Principal Accounting Firm Fees” section of this Proxy Statement.</w:t>
      </w:r>
    </w:p>
    <w:p>
      <w:pPr>
        <w:spacing w:after="0" w:line="12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2008.</w:t>
      </w:r>
    </w:p>
    <w:p>
      <w:pPr>
        <w:spacing w:after="0" w:line="20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700" w:right="140"/>
        <w:spacing w:after="0" w:line="239" w:lineRule="auto"/>
        <w:rPr>
          <w:sz w:val="20"/>
          <w:szCs w:val="20"/>
          <w:color w:val="auto"/>
        </w:rPr>
      </w:pPr>
      <w:r>
        <w:rPr>
          <w:rFonts w:ascii="Arial" w:cs="Arial" w:eastAsia="Arial" w:hAnsi="Arial"/>
          <w:sz w:val="18"/>
          <w:szCs w:val="18"/>
          <w:color w:val="auto"/>
        </w:rPr>
        <w:t>Avnet’s Annual Report to its Shareholders on Form 10-K for the fiscal year ended June 30, 2007, including the Company’s audited financial statements, is being delivered with this Proxy Statement. Avnet will provide a copy of its Annual Report on Form 10-K for the year ended June 30, 2007 to each shareholder without charge (other than a reasonable charge for any exhibit requested) upon written request to Secretary, Avnet, Inc., 2211 South 47th Street, Phoenix, Arizona 85034.</w:t>
      </w:r>
    </w:p>
    <w:p>
      <w:pPr>
        <w:spacing w:after="0" w:line="67" w:lineRule="exact"/>
        <w:rPr>
          <w:sz w:val="20"/>
          <w:szCs w:val="20"/>
          <w:color w:val="auto"/>
        </w:rPr>
      </w:pPr>
    </w:p>
    <w:p>
      <w:pPr>
        <w:ind w:left="700" w:right="100"/>
        <w:spacing w:after="0" w:line="257" w:lineRule="auto"/>
        <w:rPr>
          <w:sz w:val="20"/>
          <w:szCs w:val="20"/>
          <w:color w:val="auto"/>
        </w:rPr>
      </w:pPr>
      <w:r>
        <w:rPr>
          <w:rFonts w:ascii="Arial" w:cs="Arial" w:eastAsia="Arial" w:hAnsi="Arial"/>
          <w:sz w:val="17"/>
          <w:szCs w:val="17"/>
          <w:color w:val="auto"/>
        </w:rPr>
        <w:t>The cost of soliciting proxies relating to the Annual Meeting will be borne by Avnet. Directors, officers and employees of Avnet may solicit proxies by telephone or personal interview without being specially compensated.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8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2008 ANNUAL MEETING</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68" w:lineRule="exact"/>
        <w:rPr>
          <w:sz w:val="20"/>
          <w:szCs w:val="20"/>
          <w:color w:val="auto"/>
        </w:rPr>
      </w:pPr>
    </w:p>
    <w:p>
      <w:pPr>
        <w:ind w:left="700" w:right="300"/>
        <w:spacing w:after="0" w:line="238" w:lineRule="auto"/>
        <w:rPr>
          <w:sz w:val="20"/>
          <w:szCs w:val="20"/>
          <w:color w:val="auto"/>
        </w:rPr>
      </w:pPr>
      <w:r>
        <w:rPr>
          <w:rFonts w:ascii="Arial" w:cs="Arial" w:eastAsia="Arial" w:hAnsi="Arial"/>
          <w:sz w:val="18"/>
          <w:szCs w:val="18"/>
          <w:color w:val="auto"/>
        </w:rPr>
        <w:t>Under Rule 14a-8 of the Securities Exchange Act of 1934, some shareholder proposals may be eligible to be included in Avnet’s 2008 proxy statement. Shareholder proposals must be submitted, along with proof of ownership of Avnet stock in accordance with Rule 14a-8(b)(2), to the Company’s principal executive office, at Secretary, Avnet, Inc., 2211 South 47th Street, Phoenix, Arizona 85034. All shareholder proposals submitted pursuant to Rule 14a-8 must be received by May 31, 2008.</w:t>
      </w:r>
    </w:p>
    <w:p>
      <w:pPr>
        <w:spacing w:after="0" w:line="68" w:lineRule="exact"/>
        <w:rPr>
          <w:sz w:val="20"/>
          <w:szCs w:val="20"/>
          <w:color w:val="auto"/>
        </w:rPr>
      </w:pPr>
    </w:p>
    <w:p>
      <w:pPr>
        <w:ind w:left="700" w:right="440"/>
        <w:spacing w:after="0" w:line="246"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Avnet Board of Directors, please see “Corporate Governance — Director Nominations.”</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Alternatively, under the Company’s By-laws, any shareholder wishing to appear at the 2008 Annual Shareholders Meeting and submit a proposal or nominate a person as a director candidate, must submit the proposal or nomination to the Company’s Secretary not earlier than May 1, 2008 and not later than May 31, 2008. Any such shareholder proposal or director nomination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Avnet Common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Avnet Common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Company if elected. If the shareholder proposes another matter to be brought before the annual meeting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 If the Company does not receive notice by Ma 31, 2008, or if it meets other requirements of the SEC rules, the persons named as proxies in the proxy materials relating to the 2008 Annual Meeting will use their discretion in voting the proxies when these matters are raised at the meeting.</w:t>
      </w:r>
    </w:p>
    <w:p>
      <w:pPr>
        <w:spacing w:after="0" w:line="13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99" w:lineRule="exact"/>
        <w:rPr>
          <w:sz w:val="20"/>
          <w:szCs w:val="20"/>
          <w:color w:val="auto"/>
        </w:rPr>
      </w:pPr>
    </w:p>
    <w:p>
      <w:pPr>
        <w:ind w:left="700" w:right="80"/>
        <w:spacing w:after="0" w:line="236"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and ask for Investor Relations.</w:t>
      </w: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1861185"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61185" cy="31750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AVID</w:t>
      </w:r>
      <w:r>
        <w:rPr>
          <w:rFonts w:ascii="Arial" w:cs="Arial" w:eastAsia="Arial" w:hAnsi="Arial"/>
          <w:sz w:val="18"/>
          <w:szCs w:val="18"/>
          <w:color w:val="auto"/>
        </w:rPr>
        <w:t xml:space="preserve"> R. B</w:t>
      </w:r>
      <w:r>
        <w:rPr>
          <w:rFonts w:ascii="Arial" w:cs="Arial" w:eastAsia="Arial" w:hAnsi="Arial"/>
          <w:sz w:val="12"/>
          <w:szCs w:val="12"/>
          <w:color w:val="auto"/>
        </w:rPr>
        <w:t>IRK</w:t>
      </w:r>
    </w:p>
    <w:p>
      <w:pPr>
        <w:ind w:left="700"/>
        <w:spacing w:after="0"/>
        <w:rPr>
          <w:sz w:val="20"/>
          <w:szCs w:val="20"/>
          <w:color w:val="auto"/>
        </w:rPr>
      </w:pPr>
      <w:r>
        <w:rPr>
          <w:rFonts w:ascii="Arial" w:cs="Arial" w:eastAsia="Arial" w:hAnsi="Arial"/>
          <w:sz w:val="18"/>
          <w:szCs w:val="18"/>
          <w:i w:val="1"/>
          <w:iCs w:val="1"/>
          <w:color w:val="auto"/>
        </w:rPr>
        <w:t>Secretary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28, 2007</w:t>
      </w:r>
    </w:p>
    <w:p>
      <w:pPr>
        <w:spacing w:after="0" w:line="20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200" w:lineRule="exact"/>
        <w:rPr>
          <w:sz w:val="20"/>
          <w:szCs w:val="20"/>
          <w:color w:val="auto"/>
        </w:rPr>
      </w:pP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AVNET, INC.</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INCENTIVE PLAN</w:t>
      </w:r>
    </w:p>
    <w:p>
      <w:pPr>
        <w:spacing w:after="0" w:line="203"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Purpose</w:t>
      </w:r>
    </w:p>
    <w:p>
      <w:pPr>
        <w:spacing w:after="0" w:line="139"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principal purpose of the Avnet, Inc. Executive Incentive Plan (the “Plan”) is to provide incentives to executive officers and other members of senior management of Avnet, Inc. (the “Company”) who have significant responsibility for the success and growth of the Company and to assist the Company in attracting, motivating and retaining such employees on a competitive basis.</w:t>
      </w:r>
    </w:p>
    <w:p>
      <w:pPr>
        <w:spacing w:after="0" w:line="193"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Administration of the Plan</w:t>
      </w:r>
    </w:p>
    <w:p>
      <w:pPr>
        <w:spacing w:after="0" w:line="139" w:lineRule="exact"/>
        <w:rPr>
          <w:sz w:val="20"/>
          <w:szCs w:val="20"/>
          <w:color w:val="auto"/>
        </w:rPr>
      </w:pPr>
    </w:p>
    <w:p>
      <w:pPr>
        <w:ind w:left="700" w:right="40"/>
        <w:spacing w:after="0" w:line="237" w:lineRule="auto"/>
        <w:rPr>
          <w:sz w:val="20"/>
          <w:szCs w:val="20"/>
          <w:color w:val="auto"/>
        </w:rPr>
      </w:pPr>
      <w:r>
        <w:rPr>
          <w:rFonts w:ascii="Arial" w:cs="Arial" w:eastAsia="Arial" w:hAnsi="Arial"/>
          <w:sz w:val="18"/>
          <w:szCs w:val="18"/>
          <w:color w:val="auto"/>
        </w:rPr>
        <w:t>The Plan shall be administered by the Compensation Committee of the Board of Directors (the “Committee”). The Committee shall at all times be composed of at least two directors of the Company, each of whom is an “outside director” within the meaning of Section 162(m) of the Internal Revenue Code of 1986, as amended (the “Code”) and Treasury Regulation Section 1.162-27(e)(3). The Committee shall have the sole discretion to (a) interpret the Plan, (b) determine who shall participate in the Plan, (c) approve pre-established objective performance measure or measures; (d) certify the level to which each performance measure was attained prior to any payment under the Plan; (e) approve the amount of awards made under the Plan, and (f) determine who shall receive any payment under the Plan.</w:t>
      </w:r>
    </w:p>
    <w:p>
      <w:pPr>
        <w:spacing w:after="0" w:line="109" w:lineRule="exact"/>
        <w:rPr>
          <w:sz w:val="20"/>
          <w:szCs w:val="20"/>
          <w:color w:val="auto"/>
        </w:rPr>
      </w:pPr>
    </w:p>
    <w:p>
      <w:pPr>
        <w:ind w:left="700" w:right="140"/>
        <w:spacing w:after="0" w:line="237" w:lineRule="auto"/>
        <w:rPr>
          <w:sz w:val="20"/>
          <w:szCs w:val="20"/>
          <w:color w:val="auto"/>
        </w:rPr>
      </w:pPr>
      <w:r>
        <w:rPr>
          <w:rFonts w:ascii="Arial" w:cs="Arial" w:eastAsia="Arial" w:hAnsi="Arial"/>
          <w:sz w:val="18"/>
          <w:szCs w:val="18"/>
          <w:color w:val="auto"/>
        </w:rPr>
        <w:t>The Committee shall have full power and authority to administer and interpret the Plan and to adopt such rules, regulations and guidelines for the administration of the Plan and for the conduct of its business as the Committee deems necessary or advisable. The Committee has the authority to make modifications to the program as may be required by law. The Committee’s interpretations of the Plan, and all actions taken and determinations made by the Committee pursuant to the powers vested in it hereunder, shall be conclusive and binding on all parties concerned, including the Company, its shareholders and any person receiving an award under the Plan.</w:t>
      </w:r>
    </w:p>
    <w:p>
      <w:pPr>
        <w:spacing w:after="0" w:line="19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Eligibility</w:t>
      </w:r>
    </w:p>
    <w:p>
      <w:pPr>
        <w:spacing w:after="0" w:line="139" w:lineRule="exact"/>
        <w:rPr>
          <w:sz w:val="20"/>
          <w:szCs w:val="20"/>
          <w:color w:val="auto"/>
        </w:rPr>
      </w:pPr>
    </w:p>
    <w:p>
      <w:pPr>
        <w:ind w:left="700" w:right="80"/>
        <w:spacing w:after="0" w:line="238" w:lineRule="auto"/>
        <w:rPr>
          <w:sz w:val="20"/>
          <w:szCs w:val="20"/>
          <w:color w:val="auto"/>
        </w:rPr>
      </w:pPr>
      <w:r>
        <w:rPr>
          <w:rFonts w:ascii="Arial" w:cs="Arial" w:eastAsia="Arial" w:hAnsi="Arial"/>
          <w:sz w:val="18"/>
          <w:szCs w:val="18"/>
          <w:color w:val="auto"/>
        </w:rPr>
        <w:t>Executive officers and other members of senior management of the Company and its affiliates shall be eligible to receive awards under the Plan, which awards are intended to qualify as performance-based awards for purposes of Section 162(m) of the Code. The Committee shall designate the executive officers and other members of senior management who will participate in the Plan each fiscal year. If an individual becomes an executive officer or member of senior management during the fiscal year, such individual may be granted eligibility for an incentive award for that year.</w:t>
      </w:r>
    </w:p>
    <w:p>
      <w:pPr>
        <w:spacing w:after="0" w:line="194"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4.</w:t>
        <w:tab/>
        <w:t>Awards under the Plan</w:t>
      </w:r>
    </w:p>
    <w:p>
      <w:pPr>
        <w:spacing w:after="0" w:line="139" w:lineRule="exact"/>
        <w:rPr>
          <w:sz w:val="20"/>
          <w:szCs w:val="20"/>
          <w:color w:val="auto"/>
        </w:rPr>
      </w:pPr>
    </w:p>
    <w:p>
      <w:pPr>
        <w:ind w:left="700" w:right="120"/>
        <w:spacing w:after="0"/>
        <w:rPr>
          <w:sz w:val="20"/>
          <w:szCs w:val="20"/>
          <w:color w:val="auto"/>
        </w:rPr>
      </w:pPr>
      <w:r>
        <w:rPr>
          <w:rFonts w:ascii="Arial" w:cs="Arial" w:eastAsia="Arial" w:hAnsi="Arial"/>
          <w:sz w:val="18"/>
          <w:szCs w:val="18"/>
          <w:color w:val="auto"/>
        </w:rPr>
        <w:t>The Committee shall establish annual and/or long-term incentive award targets for participants. Incentive award targets are expressed as the dollar amount of the incentive award that will be paid to a participant if the corresponding performance goals are achieved.</w:t>
      </w:r>
    </w:p>
    <w:p>
      <w:pPr>
        <w:spacing w:after="0" w:line="108"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The Committee shall also establish annual and/or long-term performance goals, which must be achieved in order for an incentive award to be earned under the Plan. Such performance goals shall be based on any one or more of the following: price of the Company’s Common Stock, shareholder return, return on equity, return on investment, return on capital employed, sales productivity, sales growth, economic profit, economic value added, net income, operating income, gross margin, sales, free cash flow, earnings per share, operating unit contribution, achievement of annual operating profit plans, debt level, market share or similar financial performance measures as may be determined by the Committee. The performance goals may be established on a cumulative basis and may be established on a stand-alone basis with respect to the Company or any of its operating units, or on a relative basis with respect to any peer companies or index selected by the Committee. These performance goals may be based on an analysis of</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80"/>
        <w:spacing w:after="0"/>
        <w:rPr>
          <w:sz w:val="20"/>
          <w:szCs w:val="20"/>
          <w:color w:val="auto"/>
        </w:rPr>
      </w:pPr>
      <w:r>
        <w:rPr>
          <w:rFonts w:ascii="Arial" w:cs="Arial" w:eastAsia="Arial" w:hAnsi="Arial"/>
          <w:sz w:val="18"/>
          <w:szCs w:val="18"/>
          <w:color w:val="auto"/>
        </w:rPr>
        <w:t>historical performance and growth expectations for the business, financial results of other comparable businesses, and progress towards achieving the long-range strategic plan for the business. These performance goals and determination of results shall be based entirely on financial measures.</w:t>
      </w:r>
    </w:p>
    <w:p>
      <w:pPr>
        <w:spacing w:after="0" w:line="108" w:lineRule="exact"/>
        <w:rPr>
          <w:sz w:val="20"/>
          <w:szCs w:val="20"/>
          <w:color w:val="auto"/>
        </w:rPr>
      </w:pPr>
    </w:p>
    <w:p>
      <w:pPr>
        <w:ind w:left="700" w:right="40"/>
        <w:spacing w:after="0" w:line="238" w:lineRule="auto"/>
        <w:rPr>
          <w:sz w:val="20"/>
          <w:szCs w:val="20"/>
          <w:color w:val="auto"/>
        </w:rPr>
      </w:pPr>
      <w:r>
        <w:rPr>
          <w:rFonts w:ascii="Arial" w:cs="Arial" w:eastAsia="Arial" w:hAnsi="Arial"/>
          <w:sz w:val="18"/>
          <w:szCs w:val="18"/>
          <w:color w:val="auto"/>
        </w:rPr>
        <w:t>The specific performance goals for each participant shall be established in writing by the Committee within ninety days after the commencement of the fiscal year or other performance period (or within such other time period as may be required by Section 162(m) of the Code) to which the performance goal relates. The performance goal shall be established in such a manner that a third party having knowledge of the relevant facts could determine whether the performance goal has been met.</w:t>
      </w:r>
    </w:p>
    <w:p>
      <w:pPr>
        <w:spacing w:after="0" w:line="108"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Awards shall be payable following the completion of the applicable fiscal year or other performance period upon certification by the Committee that the Company achieved the specified performance goal established for the participant. Notwithstanding the attainment by the Company of the specified performance goals, the Committee has the discretion, for each participant, to reduce some or all of an award that would otherwise be paid to such participant. In no event may a participant receive an award or payment of more than $3,000,000 under the Plan in any fiscal year.</w:t>
      </w:r>
    </w:p>
    <w:p>
      <w:pPr>
        <w:spacing w:after="0" w:line="194"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Miscellaneous Provisions</w:t>
      </w:r>
    </w:p>
    <w:p>
      <w:pPr>
        <w:spacing w:after="0" w:line="139" w:lineRule="exact"/>
        <w:rPr>
          <w:sz w:val="20"/>
          <w:szCs w:val="20"/>
          <w:color w:val="auto"/>
        </w:rPr>
      </w:pPr>
    </w:p>
    <w:p>
      <w:pPr>
        <w:ind w:left="700" w:right="40"/>
        <w:spacing w:after="0" w:line="238" w:lineRule="auto"/>
        <w:rPr>
          <w:sz w:val="20"/>
          <w:szCs w:val="20"/>
          <w:color w:val="auto"/>
        </w:rPr>
      </w:pPr>
      <w:r>
        <w:rPr>
          <w:rFonts w:ascii="Arial" w:cs="Arial" w:eastAsia="Arial" w:hAnsi="Arial"/>
          <w:sz w:val="18"/>
          <w:szCs w:val="18"/>
          <w:color w:val="auto"/>
        </w:rPr>
        <w:t>The Company shall have the right to deduct from all awards paid any federal, state, local or foreign taxes required by law to be withheld with respect to such awards. Neither the Plan nor any action taken hereunder shall be construed as giving any employee any right to be retained in the employ of the Company or affecting any right the Company has to terminate the employment of any participant. The costs and expenses of administering the Plan shall be borne by the Company and shall not be charged to any award or to any participant receiving an award.</w:t>
      </w:r>
    </w:p>
    <w:p>
      <w:pPr>
        <w:spacing w:after="0" w:line="108" w:lineRule="exact"/>
        <w:rPr>
          <w:sz w:val="20"/>
          <w:szCs w:val="20"/>
          <w:color w:val="auto"/>
        </w:rPr>
      </w:pPr>
    </w:p>
    <w:p>
      <w:pPr>
        <w:ind w:left="700" w:right="140"/>
        <w:spacing w:after="0" w:line="246" w:lineRule="auto"/>
        <w:rPr>
          <w:sz w:val="20"/>
          <w:szCs w:val="20"/>
          <w:color w:val="auto"/>
        </w:rPr>
      </w:pPr>
      <w:r>
        <w:rPr>
          <w:rFonts w:ascii="Arial" w:cs="Arial" w:eastAsia="Arial" w:hAnsi="Arial"/>
          <w:sz w:val="18"/>
          <w:szCs w:val="18"/>
          <w:color w:val="auto"/>
        </w:rPr>
        <w:t>The Plan is not the exclusive method pursuant to which the Company may establish or otherwise make available bonus or incentive payments to its executive officers and other members of senior management.</w:t>
      </w:r>
    </w:p>
    <w:p>
      <w:pPr>
        <w:spacing w:after="0" w:line="102" w:lineRule="exact"/>
        <w:rPr>
          <w:sz w:val="20"/>
          <w:szCs w:val="20"/>
          <w:color w:val="auto"/>
        </w:rPr>
      </w:pPr>
    </w:p>
    <w:p>
      <w:pPr>
        <w:ind w:left="700" w:right="160"/>
        <w:spacing w:after="0" w:line="246" w:lineRule="auto"/>
        <w:rPr>
          <w:sz w:val="20"/>
          <w:szCs w:val="20"/>
          <w:color w:val="auto"/>
        </w:rPr>
      </w:pPr>
      <w:r>
        <w:rPr>
          <w:rFonts w:ascii="Arial" w:cs="Arial" w:eastAsia="Arial" w:hAnsi="Arial"/>
          <w:sz w:val="18"/>
          <w:szCs w:val="18"/>
          <w:color w:val="auto"/>
        </w:rPr>
        <w:t>All rights and obligations under the Plan and any award under the Plan shall be governed by and construed in accordance with the laws of the State of New York, without regard to principles of conflict of laws.</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6. Effective Date, Amendments and Termination</w:t>
      </w:r>
    </w:p>
    <w:p>
      <w:pPr>
        <w:spacing w:after="0" w:line="139"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Plan shall become effective on August 10, 2007 subject to approval by the shareholders of the Company at its 2007 Annual Meeting of Shareholders. The Committee may at any time terminate or from time to time amend the Plan in whole or in part, but no such action shall adversely affect any rights or obligations with respect to any awards previously made under the Plan.</w:t>
      </w:r>
    </w:p>
    <w:p>
      <w:pPr>
        <w:spacing w:after="0" w:line="107"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Shareholder approval is required for any amendment to the Plan which would: (a) increase the maximum amount which can be paid to any one executive officer under the Plan in any fiscal year, (b) change the specified performance goals for payment of awards, or (c) modify the requirement as to eligibility for participation in the Plan.</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4840605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220345</wp:posOffset>
            </wp:positionV>
            <wp:extent cx="6431915" cy="4159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1915" cy="415925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4918075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220345</wp:posOffset>
            </wp:positionV>
            <wp:extent cx="6431915" cy="4244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1915" cy="424497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5267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526732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809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880935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220345</wp:posOffset>
            </wp:positionV>
            <wp:extent cx="6431915" cy="8318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1915" cy="831850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5"/>
    </w:lvl>
    <w:lvl w:ilvl="1">
      <w:lvlJc w:val="left"/>
      <w:lvlText w:val="(%2)"/>
      <w:numFmt w:val="lowerLetter"/>
      <w:start w:val="3"/>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2019-12-12T22:13:05Z</dcterms:created>
  <dcterms:modified xsi:type="dcterms:W3CDTF">2019-12-12T22:13:05Z</dcterms:modified>
</cp:coreProperties>
</file>