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FORM 8-K</w:t>
      </w:r>
    </w:p>
    <w:p>
      <w:pPr>
        <w:spacing w:after="0" w:line="19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Current Report Pursuant</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to Section 13 or 15(d) of the</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4920" w:val="left"/>
        </w:tabs>
        <w:rPr>
          <w:sz w:val="20"/>
          <w:szCs w:val="20"/>
          <w:color w:val="auto"/>
        </w:rPr>
      </w:pPr>
      <w:r>
        <w:rPr>
          <w:rFonts w:ascii="Courier New" w:cs="Courier New" w:eastAsia="Courier New" w:hAnsi="Courier New"/>
          <w:sz w:val="16"/>
          <w:szCs w:val="16"/>
          <w:color w:val="auto"/>
        </w:rPr>
        <w:t>Date of Report (Date of earliest event reported)</w:t>
        <w:tab/>
        <w:t>January 6, 1994</w:t>
      </w:r>
    </w:p>
    <w:p>
      <w:pPr>
        <w:spacing w:after="0" w:line="38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AVNET, INC.</w:t>
      </w:r>
    </w:p>
    <w:p>
      <w:pPr>
        <w:spacing w:after="0" w:line="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8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New York</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(State or Other Jurisdiction of Incorporation)</w:t>
      </w:r>
    </w:p>
    <w:p>
      <w:pPr>
        <w:sectPr>
          <w:pgSz w:w="11900" w:h="16838" w:orient="portrait"/>
          <w:cols w:equalWidth="0" w:num="1">
            <w:col w:w="10219"/>
          </w:cols>
          <w:pgMar w:left="240" w:top="1191" w:right="1440" w:bottom="1440" w:gutter="0" w:footer="0" w:header="0"/>
        </w:sectPr>
      </w:pPr>
    </w:p>
    <w:p>
      <w:pPr>
        <w:spacing w:after="0" w:line="388"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6"/>
          <w:szCs w:val="16"/>
          <w:color w:val="auto"/>
        </w:rPr>
        <w:t>1-4224</w:t>
      </w:r>
    </w:p>
    <w:p>
      <w:pPr>
        <w:spacing w:after="0" w:line="8"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11-1890605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2540" w:space="720"/>
            <w:col w:w="6959"/>
          </w:cols>
          <w:pgMar w:left="240" w:top="1191" w:right="1440" w:bottom="1440" w:gutter="0" w:footer="0" w:header="0"/>
          <w:type w:val="continuous"/>
        </w:sectPr>
      </w:pPr>
    </w:p>
    <w:p>
      <w:pPr>
        <w:spacing w:after="0" w:line="188" w:lineRule="exact"/>
        <w:rPr>
          <w:sz w:val="24"/>
          <w:szCs w:val="24"/>
          <w:color w:val="auto"/>
        </w:rPr>
      </w:pPr>
    </w:p>
    <w:p>
      <w:pPr>
        <w:ind w:left="500" w:right="360"/>
        <w:spacing w:after="0" w:line="255" w:lineRule="auto"/>
        <w:rPr>
          <w:sz w:val="20"/>
          <w:szCs w:val="20"/>
          <w:color w:val="auto"/>
        </w:rPr>
      </w:pPr>
      <w:r>
        <w:rPr>
          <w:rFonts w:ascii="Courier New" w:cs="Courier New" w:eastAsia="Courier New" w:hAnsi="Courier New"/>
          <w:sz w:val="16"/>
          <w:szCs w:val="16"/>
          <w:color w:val="auto"/>
        </w:rPr>
        <w:t>80 Cutter Mill Road, Great Neck, New York (Address of Principal Executive Offices)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11021</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(Zip Code)</w:t>
      </w:r>
    </w:p>
    <w:p>
      <w:pPr>
        <w:spacing w:after="0" w:line="214" w:lineRule="exact"/>
        <w:rPr>
          <w:sz w:val="24"/>
          <w:szCs w:val="24"/>
          <w:color w:val="auto"/>
        </w:rPr>
      </w:pPr>
    </w:p>
    <w:p>
      <w:pPr>
        <w:sectPr>
          <w:pgSz w:w="11900" w:h="16838" w:orient="portrait"/>
          <w:cols w:equalWidth="0" w:num="2">
            <w:col w:w="4900" w:space="720"/>
            <w:col w:w="4599"/>
          </w:cols>
          <w:pgMar w:left="240" w:top="1191" w:right="1440" w:bottom="1440" w:gutter="0" w:footer="0" w:header="0"/>
          <w:type w:val="continuous"/>
        </w:sectPr>
      </w:pPr>
    </w:p>
    <w:p>
      <w:pPr>
        <w:spacing w:after="0" w:line="173"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(516) 466-7000</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N/A</w:t>
      </w:r>
    </w:p>
    <w:p>
      <w:pPr>
        <w:spacing w:after="0" w:line="8" w:lineRule="exact"/>
        <w:rPr>
          <w:sz w:val="24"/>
          <w:szCs w:val="24"/>
          <w:color w:val="auto"/>
        </w:rPr>
      </w:pPr>
    </w:p>
    <w:p>
      <w:pPr>
        <w:jc w:val="right"/>
        <w:ind w:right="361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119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[ITEMS]</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Other Events.</w:t>
      </w:r>
    </w:p>
    <w:p>
      <w:pPr>
        <w:spacing w:after="0" w:line="198" w:lineRule="exact"/>
        <w:rPr>
          <w:sz w:val="20"/>
          <w:szCs w:val="20"/>
          <w:color w:val="auto"/>
        </w:rPr>
      </w:pPr>
    </w:p>
    <w:p>
      <w:pPr>
        <w:ind w:left="100" w:right="2619" w:firstLine="887"/>
        <w:spacing w:after="0" w:line="251" w:lineRule="auto"/>
        <w:rPr>
          <w:sz w:val="20"/>
          <w:szCs w:val="20"/>
          <w:color w:val="auto"/>
        </w:rPr>
      </w:pPr>
      <w:r>
        <w:rPr>
          <w:rFonts w:ascii="Courier New" w:cs="Courier New" w:eastAsia="Courier New" w:hAnsi="Courier New"/>
          <w:sz w:val="16"/>
          <w:szCs w:val="16"/>
          <w:color w:val="auto"/>
        </w:rPr>
        <w:t>In connection with a Registration Statement on Form S-3 to be filed by Avnet, Inc. ("Avnet"), the</w:t>
      </w:r>
    </w:p>
    <w:p>
      <w:pPr>
        <w:ind w:left="100" w:right="3619" w:hanging="97"/>
        <w:spacing w:after="0" w:line="251" w:lineRule="auto"/>
        <w:rPr>
          <w:sz w:val="20"/>
          <w:szCs w:val="20"/>
          <w:color w:val="auto"/>
        </w:rPr>
      </w:pPr>
      <w:r>
        <w:rPr>
          <w:rFonts w:ascii="Courier New" w:cs="Courier New" w:eastAsia="Courier New" w:hAnsi="Courier New"/>
          <w:sz w:val="16"/>
          <w:szCs w:val="16"/>
          <w:color w:val="auto"/>
        </w:rPr>
        <w:t>following financial statements of Hall-Mark Electronics Corporation ("Hall-Mark") and proforma financial</w:t>
      </w:r>
    </w:p>
    <w:p>
      <w:pPr>
        <w:ind w:left="100" w:right="2619" w:hanging="97"/>
        <w:spacing w:after="0" w:line="251" w:lineRule="auto"/>
        <w:rPr>
          <w:sz w:val="20"/>
          <w:szCs w:val="20"/>
          <w:color w:val="auto"/>
        </w:rPr>
      </w:pPr>
      <w:r>
        <w:rPr>
          <w:rFonts w:ascii="Courier New" w:cs="Courier New" w:eastAsia="Courier New" w:hAnsi="Courier New"/>
          <w:sz w:val="16"/>
          <w:szCs w:val="16"/>
          <w:color w:val="auto"/>
        </w:rPr>
        <w:t>information relating to the acquisition by Avnet of Hall-Mark on July 1, 1993 (the "Acquisition"), are filed</w:t>
      </w:r>
    </w:p>
    <w:p>
      <w:pPr>
        <w:ind w:left="100" w:right="3019" w:hanging="97"/>
        <w:spacing w:after="0" w:line="255" w:lineRule="auto"/>
        <w:rPr>
          <w:sz w:val="20"/>
          <w:szCs w:val="20"/>
          <w:color w:val="auto"/>
        </w:rPr>
      </w:pPr>
      <w:r>
        <w:rPr>
          <w:rFonts w:ascii="Courier New" w:cs="Courier New" w:eastAsia="Courier New" w:hAnsi="Courier New"/>
          <w:sz w:val="16"/>
          <w:szCs w:val="16"/>
          <w:color w:val="auto"/>
        </w:rPr>
        <w:t>herewith.</w:t>
      </w:r>
      <w:r>
        <w:rPr>
          <w:sz w:val="20"/>
          <w:szCs w:val="20"/>
          <w:color w:val="auto"/>
        </w:rPr>
        <w:t xml:space="preserve"> </w:t>
      </w:r>
      <w:r>
        <w:rPr>
          <w:rFonts w:ascii="Courier New" w:cs="Courier New" w:eastAsia="Courier New" w:hAnsi="Courier New"/>
          <w:sz w:val="16"/>
          <w:szCs w:val="16"/>
          <w:color w:val="auto"/>
        </w:rPr>
        <w:t>The Acquisition was previously reported in a Form 8-K of Avnet bearing cover date of July 1, 1993.</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w:t>
      </w:r>
    </w:p>
    <w:p>
      <w:pPr>
        <w:spacing w:after="0" w:line="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8" w:lineRule="exact"/>
        <w:rPr>
          <w:sz w:val="20"/>
          <w:szCs w:val="20"/>
          <w:color w:val="auto"/>
        </w:rPr>
      </w:pPr>
    </w:p>
    <w:p>
      <w:pPr>
        <w:ind w:left="7000"/>
        <w:spacing w:after="0"/>
        <w:rPr>
          <w:sz w:val="20"/>
          <w:szCs w:val="20"/>
          <w:color w:val="auto"/>
        </w:rPr>
      </w:pPr>
      <w:r>
        <w:rPr>
          <w:rFonts w:ascii="Courier New" w:cs="Courier New" w:eastAsia="Courier New" w:hAnsi="Courier New"/>
          <w:sz w:val="16"/>
          <w:szCs w:val="16"/>
          <w:color w:val="auto"/>
        </w:rPr>
        <w:t>Pages</w:t>
      </w:r>
    </w:p>
    <w:p>
      <w:pPr>
        <w:spacing w:after="0" w:line="198" w:lineRule="exact"/>
        <w:rPr>
          <w:sz w:val="20"/>
          <w:szCs w:val="20"/>
          <w:color w:val="auto"/>
        </w:rPr>
      </w:pPr>
    </w:p>
    <w:p>
      <w:pPr>
        <w:ind w:left="980" w:hanging="486"/>
        <w:spacing w:after="0"/>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Hall-Mark Consolidated Financial Statements:</w:t>
      </w:r>
    </w:p>
    <w:p>
      <w:pPr>
        <w:spacing w:after="0" w:line="8" w:lineRule="exact"/>
        <w:rPr>
          <w:sz w:val="20"/>
          <w:szCs w:val="20"/>
          <w:color w:val="auto"/>
        </w:rPr>
      </w:pPr>
    </w:p>
    <w:tbl>
      <w:tblPr>
        <w:tblLayout w:type="fixed"/>
        <w:tblInd w:w="1780" w:type="dxa"/>
        <w:tblCellMar>
          <w:top w:w="0" w:type="dxa"/>
          <w:left w:w="0" w:type="dxa"/>
          <w:bottom w:w="0" w:type="dxa"/>
          <w:right w:w="0" w:type="dxa"/>
        </w:tblCellMar>
      </w:tblPr>
      <w:tr>
        <w:trPr>
          <w:trHeight w:val="185"/>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w:t>
            </w:r>
          </w:p>
        </w:tc>
        <w:tc>
          <w:tcPr>
            <w:tcW w:w="900" w:type="dxa"/>
            <w:vAlign w:val="bottom"/>
          </w:tcPr>
          <w:p>
            <w:pPr>
              <w:ind w:left="400"/>
              <w:spacing w:after="0"/>
              <w:rPr>
                <w:sz w:val="20"/>
                <w:szCs w:val="20"/>
                <w:color w:val="auto"/>
              </w:rPr>
            </w:pPr>
            <w:r>
              <w:rPr>
                <w:rFonts w:ascii="Courier New" w:cs="Courier New" w:eastAsia="Courier New" w:hAnsi="Courier New"/>
                <w:sz w:val="16"/>
                <w:szCs w:val="16"/>
                <w:color w:val="auto"/>
              </w:rPr>
              <w:t>3</w:t>
            </w:r>
          </w:p>
        </w:tc>
      </w:tr>
      <w:tr>
        <w:trPr>
          <w:trHeight w:val="190"/>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rPr>
              <w:t>for the six months ended June 30, 1993</w:t>
            </w:r>
          </w:p>
        </w:tc>
        <w:tc>
          <w:tcPr>
            <w:tcW w:w="900" w:type="dxa"/>
            <w:vAlign w:val="bottom"/>
          </w:tcPr>
          <w:p>
            <w:pPr>
              <w:spacing w:after="0"/>
              <w:rPr>
                <w:sz w:val="16"/>
                <w:szCs w:val="16"/>
                <w:color w:val="auto"/>
              </w:rPr>
            </w:pP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and July 3, 1992.</w:t>
            </w:r>
          </w:p>
        </w:tc>
        <w:tc>
          <w:tcPr>
            <w:tcW w:w="3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General notes to the statements of</w:t>
            </w:r>
          </w:p>
        </w:tc>
        <w:tc>
          <w:tcPr>
            <w:tcW w:w="900" w:type="dxa"/>
            <w:vAlign w:val="bottom"/>
          </w:tcPr>
          <w:p>
            <w:pPr>
              <w:ind w:left="400"/>
              <w:spacing w:after="0"/>
              <w:rPr>
                <w:sz w:val="20"/>
                <w:szCs w:val="20"/>
                <w:color w:val="auto"/>
              </w:rPr>
            </w:pPr>
            <w:r>
              <w:rPr>
                <w:rFonts w:ascii="Courier New" w:cs="Courier New" w:eastAsia="Courier New" w:hAnsi="Courier New"/>
                <w:sz w:val="16"/>
                <w:szCs w:val="16"/>
                <w:color w:val="auto"/>
              </w:rPr>
              <w:t>4</w:t>
            </w:r>
          </w:p>
        </w:tc>
      </w:tr>
      <w:tr>
        <w:trPr>
          <w:trHeight w:val="190"/>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income for the six months ended</w:t>
            </w:r>
          </w:p>
        </w:tc>
        <w:tc>
          <w:tcPr>
            <w:tcW w:w="900" w:type="dxa"/>
            <w:vAlign w:val="bottom"/>
          </w:tcPr>
          <w:p>
            <w:pPr>
              <w:spacing w:after="0"/>
              <w:rPr>
                <w:sz w:val="16"/>
                <w:szCs w:val="16"/>
                <w:color w:val="auto"/>
              </w:rPr>
            </w:pPr>
          </w:p>
        </w:tc>
      </w:tr>
      <w:tr>
        <w:trPr>
          <w:trHeight w:val="190"/>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30, 1993 and July 3, 1992.</w:t>
            </w:r>
          </w:p>
        </w:tc>
        <w:tc>
          <w:tcPr>
            <w:tcW w:w="900" w:type="dxa"/>
            <w:vAlign w:val="bottom"/>
          </w:tcPr>
          <w:p>
            <w:pPr>
              <w:spacing w:after="0"/>
              <w:rPr>
                <w:sz w:val="16"/>
                <w:szCs w:val="16"/>
                <w:color w:val="auto"/>
              </w:rPr>
            </w:pPr>
          </w:p>
        </w:tc>
      </w:tr>
      <w:tr>
        <w:trPr>
          <w:trHeight w:val="379"/>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Annual Financial</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Statements:</w:t>
            </w:r>
          </w:p>
        </w:tc>
        <w:tc>
          <w:tcPr>
            <w:tcW w:w="900" w:type="dxa"/>
            <w:vAlign w:val="bottom"/>
          </w:tcPr>
          <w:p>
            <w:pPr>
              <w:spacing w:after="0"/>
              <w:rPr>
                <w:sz w:val="24"/>
                <w:szCs w:val="24"/>
                <w:color w:val="auto"/>
              </w:rPr>
            </w:pPr>
          </w:p>
        </w:tc>
      </w:tr>
      <w:tr>
        <w:trPr>
          <w:trHeight w:val="379"/>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Consolidated</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statements of operations</w:t>
            </w:r>
          </w:p>
        </w:tc>
        <w:tc>
          <w:tcPr>
            <w:tcW w:w="900" w:type="dxa"/>
            <w:vAlign w:val="bottom"/>
          </w:tcPr>
          <w:p>
            <w:pPr>
              <w:ind w:left="500"/>
              <w:spacing w:after="0"/>
              <w:rPr>
                <w:sz w:val="20"/>
                <w:szCs w:val="20"/>
                <w:color w:val="auto"/>
              </w:rPr>
            </w:pPr>
            <w:r>
              <w:rPr>
                <w:rFonts w:ascii="Courier New" w:cs="Courier New" w:eastAsia="Courier New" w:hAnsi="Courier New"/>
                <w:sz w:val="16"/>
                <w:szCs w:val="16"/>
                <w:color w:val="auto"/>
              </w:rPr>
              <w:t>5</w:t>
            </w:r>
          </w:p>
        </w:tc>
      </w:tr>
      <w:tr>
        <w:trPr>
          <w:trHeight w:val="190"/>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for the years ended December 31, 1992,</w:t>
            </w:r>
          </w:p>
        </w:tc>
        <w:tc>
          <w:tcPr>
            <w:tcW w:w="900" w:type="dxa"/>
            <w:vAlign w:val="bottom"/>
          </w:tcPr>
          <w:p>
            <w:pPr>
              <w:spacing w:after="0"/>
              <w:rPr>
                <w:sz w:val="16"/>
                <w:szCs w:val="16"/>
                <w:color w:val="auto"/>
              </w:rPr>
            </w:pPr>
          </w:p>
        </w:tc>
      </w:tr>
      <w:tr>
        <w:trPr>
          <w:trHeight w:val="190"/>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1991 and 1990.</w:t>
            </w:r>
          </w:p>
        </w:tc>
        <w:tc>
          <w:tcPr>
            <w:tcW w:w="900" w:type="dxa"/>
            <w:vAlign w:val="bottom"/>
          </w:tcPr>
          <w:p>
            <w:pPr>
              <w:spacing w:after="0"/>
              <w:rPr>
                <w:sz w:val="16"/>
                <w:szCs w:val="16"/>
                <w:color w:val="auto"/>
              </w:rPr>
            </w:pPr>
          </w:p>
        </w:tc>
      </w:tr>
      <w:tr>
        <w:trPr>
          <w:trHeight w:val="379"/>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Consolidated</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balance sheets at</w:t>
            </w:r>
          </w:p>
        </w:tc>
        <w:tc>
          <w:tcPr>
            <w:tcW w:w="900" w:type="dxa"/>
            <w:vAlign w:val="bottom"/>
          </w:tcPr>
          <w:p>
            <w:pPr>
              <w:ind w:left="500"/>
              <w:spacing w:after="0"/>
              <w:rPr>
                <w:sz w:val="20"/>
                <w:szCs w:val="20"/>
                <w:color w:val="auto"/>
              </w:rPr>
            </w:pPr>
            <w:r>
              <w:rPr>
                <w:rFonts w:ascii="Courier New" w:cs="Courier New" w:eastAsia="Courier New" w:hAnsi="Courier New"/>
                <w:sz w:val="16"/>
                <w:szCs w:val="16"/>
                <w:color w:val="auto"/>
              </w:rPr>
              <w:t>6</w:t>
            </w:r>
          </w:p>
        </w:tc>
      </w:tr>
      <w:tr>
        <w:trPr>
          <w:trHeight w:val="190"/>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December 31,</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1992 and 1991.</w:t>
            </w:r>
          </w:p>
        </w:tc>
        <w:tc>
          <w:tcPr>
            <w:tcW w:w="900" w:type="dxa"/>
            <w:vAlign w:val="bottom"/>
          </w:tcPr>
          <w:p>
            <w:pPr>
              <w:spacing w:after="0"/>
              <w:rPr>
                <w:sz w:val="16"/>
                <w:szCs w:val="16"/>
                <w:color w:val="auto"/>
              </w:rPr>
            </w:pPr>
          </w:p>
        </w:tc>
      </w:tr>
      <w:tr>
        <w:trPr>
          <w:trHeight w:val="379"/>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Consolidated</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statements of cash</w:t>
            </w:r>
          </w:p>
        </w:tc>
        <w:tc>
          <w:tcPr>
            <w:tcW w:w="900" w:type="dxa"/>
            <w:vAlign w:val="bottom"/>
          </w:tcPr>
          <w:p>
            <w:pPr>
              <w:ind w:left="500"/>
              <w:spacing w:after="0"/>
              <w:rPr>
                <w:sz w:val="20"/>
                <w:szCs w:val="20"/>
                <w:color w:val="auto"/>
              </w:rPr>
            </w:pPr>
            <w:r>
              <w:rPr>
                <w:rFonts w:ascii="Courier New" w:cs="Courier New" w:eastAsia="Courier New" w:hAnsi="Courier New"/>
                <w:sz w:val="16"/>
                <w:szCs w:val="16"/>
                <w:color w:val="auto"/>
              </w:rPr>
              <w:t>7</w:t>
            </w:r>
          </w:p>
        </w:tc>
      </w:tr>
      <w:tr>
        <w:trPr>
          <w:trHeight w:val="190"/>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flows for the years ended</w:t>
            </w:r>
          </w:p>
        </w:tc>
        <w:tc>
          <w:tcPr>
            <w:tcW w:w="900" w:type="dxa"/>
            <w:vAlign w:val="bottom"/>
          </w:tcPr>
          <w:p>
            <w:pPr>
              <w:spacing w:after="0"/>
              <w:rPr>
                <w:sz w:val="16"/>
                <w:szCs w:val="16"/>
                <w:color w:val="auto"/>
              </w:rPr>
            </w:pPr>
          </w:p>
        </w:tc>
      </w:tr>
      <w:tr>
        <w:trPr>
          <w:trHeight w:val="190"/>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December 31,</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1992, 1991 and 1990.</w:t>
            </w:r>
          </w:p>
        </w:tc>
        <w:tc>
          <w:tcPr>
            <w:tcW w:w="900" w:type="dxa"/>
            <w:vAlign w:val="bottom"/>
          </w:tcPr>
          <w:p>
            <w:pPr>
              <w:spacing w:after="0"/>
              <w:rPr>
                <w:sz w:val="16"/>
                <w:szCs w:val="16"/>
                <w:color w:val="auto"/>
              </w:rPr>
            </w:pPr>
          </w:p>
        </w:tc>
      </w:tr>
      <w:tr>
        <w:trPr>
          <w:trHeight w:val="379"/>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Consolidated</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statements of shareholders'</w:t>
            </w:r>
          </w:p>
        </w:tc>
        <w:tc>
          <w:tcPr>
            <w:tcW w:w="900" w:type="dxa"/>
            <w:vAlign w:val="bottom"/>
          </w:tcPr>
          <w:p>
            <w:pPr>
              <w:ind w:left="500"/>
              <w:spacing w:after="0"/>
              <w:rPr>
                <w:sz w:val="20"/>
                <w:szCs w:val="20"/>
                <w:color w:val="auto"/>
              </w:rPr>
            </w:pPr>
            <w:r>
              <w:rPr>
                <w:rFonts w:ascii="Courier New" w:cs="Courier New" w:eastAsia="Courier New" w:hAnsi="Courier New"/>
                <w:sz w:val="16"/>
                <w:szCs w:val="16"/>
                <w:color w:val="auto"/>
              </w:rPr>
              <w:t>8</w:t>
            </w:r>
          </w:p>
        </w:tc>
      </w:tr>
      <w:tr>
        <w:trPr>
          <w:trHeight w:val="190"/>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equity for the years ended</w:t>
            </w:r>
          </w:p>
        </w:tc>
        <w:tc>
          <w:tcPr>
            <w:tcW w:w="900" w:type="dxa"/>
            <w:vAlign w:val="bottom"/>
          </w:tcPr>
          <w:p>
            <w:pPr>
              <w:spacing w:after="0"/>
              <w:rPr>
                <w:sz w:val="16"/>
                <w:szCs w:val="16"/>
                <w:color w:val="auto"/>
              </w:rPr>
            </w:pPr>
          </w:p>
        </w:tc>
      </w:tr>
      <w:tr>
        <w:trPr>
          <w:trHeight w:val="190"/>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December 31,</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1992, 1991 and 1990.</w:t>
            </w:r>
          </w:p>
        </w:tc>
        <w:tc>
          <w:tcPr>
            <w:tcW w:w="900" w:type="dxa"/>
            <w:vAlign w:val="bottom"/>
          </w:tcPr>
          <w:p>
            <w:pPr>
              <w:spacing w:after="0"/>
              <w:rPr>
                <w:sz w:val="16"/>
                <w:szCs w:val="16"/>
                <w:color w:val="auto"/>
              </w:rPr>
            </w:pPr>
          </w:p>
        </w:tc>
      </w:tr>
      <w:tr>
        <w:trPr>
          <w:trHeight w:val="379"/>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900" w:type="dxa"/>
            <w:vAlign w:val="bottom"/>
          </w:tcPr>
          <w:p>
            <w:pPr>
              <w:ind w:left="500"/>
              <w:spacing w:after="0"/>
              <w:rPr>
                <w:sz w:val="20"/>
                <w:szCs w:val="20"/>
                <w:color w:val="auto"/>
              </w:rPr>
            </w:pPr>
            <w:r>
              <w:rPr>
                <w:rFonts w:ascii="Courier New" w:cs="Courier New" w:eastAsia="Courier New" w:hAnsi="Courier New"/>
                <w:sz w:val="16"/>
                <w:szCs w:val="16"/>
                <w:color w:val="auto"/>
                <w:w w:val="98"/>
              </w:rPr>
              <w:t>9-14</w:t>
            </w:r>
          </w:p>
        </w:tc>
      </w:tr>
      <w:tr>
        <w:trPr>
          <w:trHeight w:val="379"/>
        </w:trPr>
        <w:tc>
          <w:tcPr>
            <w:tcW w:w="5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Report of independent accountants</w:t>
            </w:r>
          </w:p>
        </w:tc>
        <w:tc>
          <w:tcPr>
            <w:tcW w:w="900" w:type="dxa"/>
            <w:vAlign w:val="bottom"/>
          </w:tcPr>
          <w:p>
            <w:pPr>
              <w:ind w:left="500"/>
              <w:spacing w:after="0"/>
              <w:rPr>
                <w:sz w:val="20"/>
                <w:szCs w:val="20"/>
                <w:color w:val="auto"/>
              </w:rPr>
            </w:pPr>
            <w:r>
              <w:rPr>
                <w:rFonts w:ascii="Courier New" w:cs="Courier New" w:eastAsia="Courier New" w:hAnsi="Courier New"/>
                <w:sz w:val="16"/>
                <w:szCs w:val="16"/>
                <w:color w:val="auto"/>
              </w:rPr>
              <w:t>15</w:t>
            </w:r>
          </w:p>
        </w:tc>
      </w:tr>
    </w:tbl>
    <w:p>
      <w:pPr>
        <w:sectPr>
          <w:pgSz w:w="11900" w:h="16838" w:orient="portrait"/>
          <w:cols w:equalWidth="0" w:num="1">
            <w:col w:w="10219"/>
          </w:cols>
          <w:pgMar w:left="240" w:top="496"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6120" w:type="dxa"/>
            <w:vAlign w:val="bottom"/>
            <w:gridSpan w:val="3"/>
          </w:tcPr>
          <w:p>
            <w:pPr>
              <w:ind w:left="2360"/>
              <w:spacing w:after="0"/>
              <w:rPr>
                <w:sz w:val="20"/>
                <w:szCs w:val="20"/>
                <w:color w:val="auto"/>
              </w:rPr>
            </w:pPr>
            <w:r>
              <w:rPr>
                <w:rFonts w:ascii="Courier New" w:cs="Courier New" w:eastAsia="Courier New" w:hAnsi="Courier New"/>
                <w:sz w:val="16"/>
                <w:szCs w:val="16"/>
                <w:color w:val="auto"/>
              </w:rPr>
              <w:t>Hall-Mark Electronics Corporation</w:t>
            </w:r>
          </w:p>
        </w:tc>
        <w:tc>
          <w:tcPr>
            <w:tcW w:w="1760" w:type="dxa"/>
            <w:vAlign w:val="bottom"/>
          </w:tcPr>
          <w:p>
            <w:pPr>
              <w:spacing w:after="0"/>
              <w:rPr>
                <w:sz w:val="16"/>
                <w:szCs w:val="16"/>
                <w:color w:val="auto"/>
              </w:rPr>
            </w:pPr>
          </w:p>
        </w:tc>
      </w:tr>
      <w:tr>
        <w:trPr>
          <w:trHeight w:val="190"/>
        </w:trPr>
        <w:tc>
          <w:tcPr>
            <w:tcW w:w="6120" w:type="dxa"/>
            <w:vAlign w:val="bottom"/>
            <w:gridSpan w:val="3"/>
          </w:tcPr>
          <w:p>
            <w:pPr>
              <w:ind w:left="2360"/>
              <w:spacing w:after="0"/>
              <w:rPr>
                <w:sz w:val="20"/>
                <w:szCs w:val="20"/>
                <w:color w:val="auto"/>
              </w:rPr>
            </w:pPr>
            <w:r>
              <w:rPr>
                <w:rFonts w:ascii="Courier New" w:cs="Courier New" w:eastAsia="Courier New" w:hAnsi="Courier New"/>
                <w:sz w:val="16"/>
                <w:szCs w:val="16"/>
                <w:color w:val="auto"/>
              </w:rPr>
              <w:t>Consolidated Statements of Income</w:t>
            </w:r>
          </w:p>
        </w:tc>
        <w:tc>
          <w:tcPr>
            <w:tcW w:w="1760" w:type="dxa"/>
            <w:vAlign w:val="bottom"/>
          </w:tcPr>
          <w:p>
            <w:pPr>
              <w:spacing w:after="0"/>
              <w:rPr>
                <w:sz w:val="16"/>
                <w:szCs w:val="16"/>
                <w:color w:val="auto"/>
              </w:rPr>
            </w:pPr>
          </w:p>
        </w:tc>
      </w:tr>
      <w:tr>
        <w:trPr>
          <w:trHeight w:val="190"/>
        </w:trPr>
        <w:tc>
          <w:tcPr>
            <w:tcW w:w="5180" w:type="dxa"/>
            <w:vAlign w:val="bottom"/>
            <w:gridSpan w:val="2"/>
          </w:tcPr>
          <w:p>
            <w:pPr>
              <w:ind w:left="2460"/>
              <w:spacing w:after="0"/>
              <w:rPr>
                <w:sz w:val="20"/>
                <w:szCs w:val="20"/>
                <w:color w:val="auto"/>
              </w:rPr>
            </w:pPr>
            <w:r>
              <w:rPr>
                <w:rFonts w:ascii="Courier New" w:cs="Courier New" w:eastAsia="Courier New" w:hAnsi="Courier New"/>
                <w:sz w:val="16"/>
                <w:szCs w:val="16"/>
                <w:color w:val="auto"/>
              </w:rPr>
              <w:t>(Thousands except per share</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data)</w:t>
            </w:r>
          </w:p>
        </w:tc>
        <w:tc>
          <w:tcPr>
            <w:tcW w:w="1760" w:type="dxa"/>
            <w:vAlign w:val="bottom"/>
          </w:tcPr>
          <w:p>
            <w:pPr>
              <w:spacing w:after="0"/>
              <w:rPr>
                <w:sz w:val="16"/>
                <w:szCs w:val="16"/>
                <w:color w:val="auto"/>
              </w:rPr>
            </w:pPr>
          </w:p>
        </w:tc>
      </w:tr>
      <w:tr>
        <w:trPr>
          <w:trHeight w:val="190"/>
        </w:trPr>
        <w:tc>
          <w:tcPr>
            <w:tcW w:w="3640" w:type="dxa"/>
            <w:vAlign w:val="bottom"/>
          </w:tcPr>
          <w:p>
            <w:pPr>
              <w:spacing w:after="0"/>
              <w:rPr>
                <w:sz w:val="16"/>
                <w:szCs w:val="16"/>
                <w:color w:val="auto"/>
              </w:rPr>
            </w:pPr>
          </w:p>
        </w:tc>
        <w:tc>
          <w:tcPr>
            <w:tcW w:w="15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(unaudited)</w:t>
            </w: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79"/>
        </w:trPr>
        <w:tc>
          <w:tcPr>
            <w:tcW w:w="3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Six Months Ended</w:t>
            </w:r>
          </w:p>
        </w:tc>
      </w:tr>
      <w:tr>
        <w:trPr>
          <w:trHeight w:val="379"/>
        </w:trPr>
        <w:tc>
          <w:tcPr>
            <w:tcW w:w="3640" w:type="dxa"/>
            <w:vAlign w:val="bottom"/>
          </w:tcPr>
          <w:p>
            <w:pPr>
              <w:spacing w:after="0"/>
              <w:rPr>
                <w:sz w:val="24"/>
                <w:szCs w:val="24"/>
                <w:color w:val="auto"/>
              </w:rPr>
            </w:pPr>
          </w:p>
        </w:tc>
        <w:tc>
          <w:tcPr>
            <w:tcW w:w="24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June 30, 1993</w:t>
            </w:r>
          </w:p>
        </w:tc>
        <w:tc>
          <w:tcPr>
            <w:tcW w:w="17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July 3, 1992</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$389,235</w:t>
            </w:r>
          </w:p>
        </w:tc>
        <w:tc>
          <w:tcPr>
            <w:tcW w:w="940" w:type="dxa"/>
            <w:vAlign w:val="bottom"/>
          </w:tcPr>
          <w:p>
            <w:pPr>
              <w:spacing w:after="0"/>
              <w:rPr>
                <w:sz w:val="24"/>
                <w:szCs w:val="24"/>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$340,018</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Cost of sales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303,473</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265,711</w:t>
            </w: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Selling, shipping, general</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700"/>
              <w:spacing w:after="0"/>
              <w:rPr>
                <w:sz w:val="20"/>
                <w:szCs w:val="20"/>
                <w:color w:val="auto"/>
              </w:rPr>
            </w:pPr>
            <w:r>
              <w:rPr>
                <w:rFonts w:ascii="Courier New" w:cs="Courier New" w:eastAsia="Courier New" w:hAnsi="Courier New"/>
                <w:sz w:val="16"/>
                <w:szCs w:val="16"/>
                <w:color w:val="auto"/>
              </w:rPr>
              <w:t>&amp; administrative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63,162</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57,226</w:t>
            </w: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3,259</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8,368</w:t>
            </w:r>
          </w:p>
        </w:tc>
      </w:tr>
      <w:tr>
        <w:trPr>
          <w:trHeight w:val="190"/>
        </w:trPr>
        <w:tc>
          <w:tcPr>
            <w:tcW w:w="36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369,894</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331,305</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cumulative effect of change</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in accounting for income</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taxes and extraordinary gain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19,341</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8,713</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8,531</w:t>
            </w:r>
          </w:p>
        </w:tc>
        <w:tc>
          <w:tcPr>
            <w:tcW w:w="940" w:type="dxa"/>
            <w:vAlign w:val="bottom"/>
          </w:tcPr>
          <w:p>
            <w:pPr>
              <w:spacing w:after="0"/>
              <w:rPr>
                <w:sz w:val="24"/>
                <w:szCs w:val="24"/>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811</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of accounting change and</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extraordinary gain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10,810</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7,902</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method</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of accounting for income taxes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890</w:t>
            </w: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Extraordinary gain on early</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extinguishment of debt (net of</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income taxes of $1,225)</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6"/>
                <w:szCs w:val="16"/>
                <w:color w:val="auto"/>
              </w:rPr>
            </w:pPr>
          </w:p>
        </w:tc>
        <w:tc>
          <w:tcPr>
            <w:tcW w:w="17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2,408</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11,700</w:t>
            </w:r>
          </w:p>
        </w:tc>
        <w:tc>
          <w:tcPr>
            <w:tcW w:w="940" w:type="dxa"/>
            <w:vAlign w:val="bottom"/>
          </w:tcPr>
          <w:p>
            <w:pPr>
              <w:spacing w:after="0"/>
              <w:rPr>
                <w:sz w:val="24"/>
                <w:szCs w:val="24"/>
                <w:color w:val="auto"/>
              </w:rPr>
            </w:pPr>
          </w:p>
        </w:tc>
        <w:tc>
          <w:tcPr>
            <w:tcW w:w="17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10,310</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Preferred dividend requirement</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(1,803)</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income applicable to</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common stock</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$11,700</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$8,507</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Income before cumulative</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700"/>
              <w:spacing w:after="0"/>
              <w:rPr>
                <w:sz w:val="20"/>
                <w:szCs w:val="20"/>
                <w:color w:val="auto"/>
              </w:rPr>
            </w:pPr>
            <w:r>
              <w:rPr>
                <w:rFonts w:ascii="Courier New" w:cs="Courier New" w:eastAsia="Courier New" w:hAnsi="Courier New"/>
                <w:sz w:val="16"/>
                <w:szCs w:val="16"/>
                <w:color w:val="auto"/>
              </w:rPr>
              <w:t>effect of accounting change</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700"/>
              <w:spacing w:after="0"/>
              <w:rPr>
                <w:sz w:val="20"/>
                <w:szCs w:val="20"/>
                <w:color w:val="auto"/>
              </w:rPr>
            </w:pPr>
            <w:r>
              <w:rPr>
                <w:rFonts w:ascii="Courier New" w:cs="Courier New" w:eastAsia="Courier New" w:hAnsi="Courier New"/>
                <w:sz w:val="16"/>
                <w:szCs w:val="16"/>
                <w:color w:val="auto"/>
              </w:rPr>
              <w:t>and extraordinary gain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c>
          <w:tcPr>
            <w:tcW w:w="940" w:type="dxa"/>
            <w:vAlign w:val="bottom"/>
          </w:tcPr>
          <w:p>
            <w:pPr>
              <w:spacing w:after="0"/>
              <w:rPr>
                <w:sz w:val="16"/>
                <w:szCs w:val="16"/>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$0.96</w:t>
            </w:r>
          </w:p>
        </w:tc>
      </w:tr>
      <w:tr>
        <w:trPr>
          <w:trHeight w:val="379"/>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Cumulative effect of change</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3640" w:type="dxa"/>
            <w:vAlign w:val="bottom"/>
          </w:tcPr>
          <w:p>
            <w:pPr>
              <w:ind w:left="700"/>
              <w:spacing w:after="0"/>
              <w:rPr>
                <w:sz w:val="20"/>
                <w:szCs w:val="20"/>
                <w:color w:val="auto"/>
              </w:rPr>
            </w:pPr>
            <w:r>
              <w:rPr>
                <w:rFonts w:ascii="Courier New" w:cs="Courier New" w:eastAsia="Courier New" w:hAnsi="Courier New"/>
                <w:sz w:val="16"/>
                <w:szCs w:val="16"/>
                <w:color w:val="auto"/>
              </w:rPr>
              <w:t>in method of accounting for</w:t>
            </w: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640" w:type="dxa"/>
            <w:vAlign w:val="bottom"/>
          </w:tcPr>
          <w:p>
            <w:pPr>
              <w:ind w:left="700"/>
              <w:spacing w:after="0"/>
              <w:rPr>
                <w:sz w:val="20"/>
                <w:szCs w:val="20"/>
                <w:color w:val="auto"/>
              </w:rPr>
            </w:pPr>
            <w:r>
              <w:rPr>
                <w:rFonts w:ascii="Courier New" w:cs="Courier New" w:eastAsia="Courier New" w:hAnsi="Courier New"/>
                <w:sz w:val="16"/>
                <w:szCs w:val="16"/>
                <w:color w:val="auto"/>
              </w:rPr>
              <w:t>income taxes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c>
          <w:tcPr>
            <w:tcW w:w="940" w:type="dxa"/>
            <w:vAlign w:val="bottom"/>
          </w:tcPr>
          <w:p>
            <w:pPr>
              <w:spacing w:after="0"/>
              <w:rPr>
                <w:sz w:val="16"/>
                <w:szCs w:val="16"/>
                <w:color w:val="auto"/>
              </w:rPr>
            </w:pPr>
          </w:p>
        </w:tc>
        <w:tc>
          <w:tcPr>
            <w:tcW w:w="17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379"/>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Extraordinary gain</w:t>
            </w:r>
          </w:p>
        </w:tc>
        <w:tc>
          <w:tcPr>
            <w:tcW w:w="15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24"/>
                <w:szCs w:val="24"/>
                <w:color w:val="auto"/>
              </w:rPr>
            </w:pPr>
          </w:p>
        </w:tc>
        <w:tc>
          <w:tcPr>
            <w:tcW w:w="17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0.34</w:t>
            </w:r>
          </w:p>
        </w:tc>
      </w:tr>
      <w:tr>
        <w:trPr>
          <w:trHeight w:val="379"/>
        </w:trPr>
        <w:tc>
          <w:tcPr>
            <w:tcW w:w="3640" w:type="dxa"/>
            <w:vAlign w:val="bottom"/>
          </w:tcPr>
          <w:p>
            <w:pPr>
              <w:ind w:left="400"/>
              <w:spacing w:after="0"/>
              <w:rPr>
                <w:sz w:val="20"/>
                <w:szCs w:val="20"/>
                <w:color w:val="auto"/>
              </w:rPr>
            </w:pPr>
            <w:r>
              <w:rPr>
                <w:rFonts w:ascii="Courier New" w:cs="Courier New" w:eastAsia="Courier New" w:hAnsi="Courier New"/>
                <w:sz w:val="16"/>
                <w:szCs w:val="16"/>
                <w:color w:val="auto"/>
              </w:rPr>
              <w:t>Net income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c>
          <w:tcPr>
            <w:tcW w:w="940" w:type="dxa"/>
            <w:vAlign w:val="bottom"/>
          </w:tcPr>
          <w:p>
            <w:pPr>
              <w:spacing w:after="0"/>
              <w:rPr>
                <w:sz w:val="24"/>
                <w:szCs w:val="24"/>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$1.09</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10,709</w:t>
            </w:r>
          </w:p>
        </w:tc>
        <w:tc>
          <w:tcPr>
            <w:tcW w:w="940" w:type="dxa"/>
            <w:vAlign w:val="bottom"/>
          </w:tcPr>
          <w:p>
            <w:pPr>
              <w:spacing w:after="0"/>
              <w:rPr>
                <w:sz w:val="24"/>
                <w:szCs w:val="24"/>
                <w:color w:val="auto"/>
              </w:rPr>
            </w:pPr>
          </w:p>
        </w:tc>
        <w:tc>
          <w:tcPr>
            <w:tcW w:w="17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7,037</w:t>
            </w:r>
          </w:p>
        </w:tc>
      </w:tr>
    </w:tbl>
    <w:p>
      <w:pPr>
        <w:sectPr>
          <w:pgSz w:w="11900" w:h="16838" w:orient="portrait"/>
          <w:cols w:equalWidth="0" w:num="1">
            <w:col w:w="10219"/>
          </w:cols>
          <w:pgMar w:left="240" w:top="685" w:right="1440" w:bottom="1440" w:gutter="0" w:footer="0" w:header="0"/>
        </w:sectPr>
      </w:pPr>
    </w:p>
    <w:bookmarkStart w:id="4" w:name="page5"/>
    <w:bookmarkEnd w:id="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right="2719" w:firstLine="394"/>
        <w:spacing w:after="0" w:line="255" w:lineRule="auto"/>
        <w:rPr>
          <w:sz w:val="20"/>
          <w:szCs w:val="20"/>
          <w:color w:val="auto"/>
        </w:rPr>
      </w:pPr>
      <w:r>
        <w:rPr>
          <w:rFonts w:ascii="Courier New" w:cs="Courier New" w:eastAsia="Courier New" w:hAnsi="Courier New"/>
          <w:sz w:val="16"/>
          <w:szCs w:val="16"/>
          <w:color w:val="auto"/>
        </w:rPr>
        <w:t>General notes to the Hall-Mark consolidated statements of income for the six months ended June 30, 1993 and July 3, 1992.</w:t>
      </w:r>
    </w:p>
    <w:p>
      <w:pPr>
        <w:spacing w:after="0" w:line="184" w:lineRule="exact"/>
        <w:rPr>
          <w:sz w:val="20"/>
          <w:szCs w:val="20"/>
          <w:color w:val="auto"/>
        </w:rPr>
      </w:pPr>
    </w:p>
    <w:p>
      <w:pPr>
        <w:ind w:right="2719" w:firstLine="394"/>
        <w:spacing w:after="0" w:line="253" w:lineRule="auto"/>
        <w:rPr>
          <w:sz w:val="20"/>
          <w:szCs w:val="20"/>
          <w:color w:val="auto"/>
        </w:rPr>
      </w:pPr>
      <w:r>
        <w:rPr>
          <w:rFonts w:ascii="Courier New" w:cs="Courier New" w:eastAsia="Courier New" w:hAnsi="Courier New"/>
          <w:sz w:val="16"/>
          <w:szCs w:val="16"/>
          <w:color w:val="auto"/>
        </w:rPr>
        <w:t>The preceding unaudited consolidated statements of income cover the six month period subsequent to Hall-Mark's 1992 fiscal year end and prior to its acquisition by Avnet on July 1, 1993, and the comparable prior year period.</w:t>
      </w:r>
    </w:p>
    <w:p>
      <w:pPr>
        <w:spacing w:after="0" w:line="185"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statement of income for the six month period ended June 30, 1993 includes a net after tax charge of $1,190,000, or $0.11 per share, relating to a tax benefit reflected in the income statement of Hall-Mark for the year ended December 31, 1992 arising from the the then expected utilization of $3,500,000 of tax net operating loss carryforwards. Avnet believes that it will be unable to derive a tax benefit from such tax loss carryforwards and, therefore, has reflected an appropriate charge to the statement of income for the period ended June 30,1993. The statement of income of Hall-Mark for the year ended December 31, 1992 (included on page 5) has not been retroactively adjusted because the impact of this adjustment is not material to Hall-Mark's results of operations for that period or its financial position at December 31, 1992.</w:t>
      </w:r>
    </w:p>
    <w:p>
      <w:pPr>
        <w:sectPr>
          <w:pgSz w:w="11900" w:h="16838" w:orient="portrait"/>
          <w:cols w:equalWidth="0" w:num="1">
            <w:col w:w="10219"/>
          </w:cols>
          <w:pgMar w:left="240" w:top="685" w:right="1440" w:bottom="1440" w:gutter="0" w:footer="0" w:header="0"/>
        </w:sectPr>
      </w:pPr>
    </w:p>
    <w:bookmarkStart w:id="6" w:name="page7"/>
    <w:bookmarkEnd w:id="6"/>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5"/>
        </w:trPr>
        <w:tc>
          <w:tcPr>
            <w:tcW w:w="592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HALL-MARK ELECTRONICS</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CORPORATION</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592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CONSOLIDATED STATEMENTS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OF OPERATIONS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58"/>
        </w:trPr>
        <w:tc>
          <w:tcPr>
            <w:tcW w:w="4440" w:type="dxa"/>
            <w:vAlign w:val="bottom"/>
          </w:tcPr>
          <w:p>
            <w:pPr>
              <w:spacing w:after="0"/>
              <w:rPr>
                <w:sz w:val="24"/>
                <w:szCs w:val="24"/>
                <w:color w:val="auto"/>
              </w:rPr>
            </w:pP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Years Ended</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900" w:type="dxa"/>
            <w:vAlign w:val="bottom"/>
          </w:tcPr>
          <w:p>
            <w:pPr>
              <w:spacing w:after="0"/>
              <w:rPr>
                <w:sz w:val="16"/>
                <w:szCs w:val="16"/>
                <w:color w:val="auto"/>
              </w:rPr>
            </w:pP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1990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4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 thousands, except</w:t>
            </w:r>
          </w:p>
        </w:tc>
        <w:tc>
          <w:tcPr>
            <w:tcW w:w="1960" w:type="dxa"/>
            <w:vAlign w:val="bottom"/>
            <w:gridSpan w:val="3"/>
          </w:tcPr>
          <w:p>
            <w:pPr>
              <w:jc w:val="right"/>
              <w:ind w:right="398"/>
              <w:spacing w:after="0"/>
              <w:rPr>
                <w:sz w:val="20"/>
                <w:szCs w:val="20"/>
                <w:color w:val="auto"/>
              </w:rPr>
            </w:pPr>
            <w:r>
              <w:rPr>
                <w:rFonts w:ascii="Courier New" w:cs="Courier New" w:eastAsia="Courier New" w:hAnsi="Courier New"/>
                <w:sz w:val="16"/>
                <w:szCs w:val="16"/>
                <w:color w:val="auto"/>
              </w:rPr>
              <w:t>per share data)</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695,000</w:t>
            </w: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560,144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589,894</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541,643</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430,594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457,742</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153,357</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129,550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132,152</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107,653</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98,934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102,158</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7,802</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11,612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13,098</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37,902</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19,004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16,896</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Gain on sale of facility</w:t>
            </w:r>
          </w:p>
        </w:tc>
        <w:tc>
          <w:tcPr>
            <w:tcW w:w="5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1,414</w:t>
            </w:r>
          </w:p>
        </w:tc>
        <w:tc>
          <w:tcPr>
            <w:tcW w:w="100" w:type="dxa"/>
            <w:vAlign w:val="bottom"/>
          </w:tcPr>
          <w:p>
            <w:pPr>
              <w:spacing w:after="0"/>
              <w:rPr>
                <w:sz w:val="16"/>
                <w:szCs w:val="16"/>
                <w:color w:val="auto"/>
              </w:rPr>
            </w:pPr>
          </w:p>
        </w:tc>
        <w:tc>
          <w:tcPr>
            <w:tcW w:w="7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12,207</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20,241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24,435</w:t>
            </w:r>
          </w:p>
        </w:tc>
      </w:tr>
      <w:tr>
        <w:trPr>
          <w:trHeight w:val="190"/>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income taxes and extraordinary</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items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25,695</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177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(7,539)</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4,168</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520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21,527</w:t>
            </w:r>
          </w:p>
        </w:tc>
        <w:tc>
          <w:tcPr>
            <w:tcW w:w="128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(343)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(7,691)</w:t>
            </w:r>
          </w:p>
        </w:tc>
      </w:tr>
      <w:tr>
        <w:trPr>
          <w:trHeight w:val="190"/>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rPr>
              <w:t>Extraordinary gain (loss) on early extinguishment</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of debt (net of income tax effects)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4,254</w:t>
            </w:r>
          </w:p>
        </w:tc>
        <w:tc>
          <w:tcPr>
            <w:tcW w:w="128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(1,133)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8,140</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25,781</w:t>
            </w:r>
          </w:p>
        </w:tc>
        <w:tc>
          <w:tcPr>
            <w:tcW w:w="128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(1,476)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Preferred dividend requirements</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(1,924)</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(2,085)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(2,645)</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income (loss) applicable to common stock</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23,857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(3,561)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(2,196)</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Income (loss) per common share:</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Income (loss) before extraordinary items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(0.51)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r>
        <w:trPr>
          <w:trHeight w:val="190"/>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Extraordinary gain (loss)</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0.48</w:t>
            </w:r>
          </w:p>
        </w:tc>
        <w:tc>
          <w:tcPr>
            <w:tcW w:w="128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(0.24)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r>
      <w:tr>
        <w:trPr>
          <w:trHeight w:val="190"/>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Net income (loss)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2.78</w:t>
            </w: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(0.75)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(0.46)</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and dilutive</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equivalents outstanding</w:t>
            </w:r>
          </w:p>
        </w:tc>
        <w:tc>
          <w:tcPr>
            <w:tcW w:w="58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8,803</w:t>
            </w:r>
          </w:p>
        </w:tc>
        <w:tc>
          <w:tcPr>
            <w:tcW w:w="128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4,762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4,777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685"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52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8"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3"/>
          </w:tcPr>
          <w:p>
            <w:pPr>
              <w:jc w:val="right"/>
              <w:ind w:right="49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1992</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3"/>
          </w:tcPr>
          <w:p>
            <w:pPr>
              <w:jc w:val="right"/>
              <w:ind w:right="598"/>
              <w:spacing w:after="0"/>
              <w:rPr>
                <w:sz w:val="20"/>
                <w:szCs w:val="20"/>
                <w:color w:val="auto"/>
              </w:rPr>
            </w:pPr>
            <w:r>
              <w:rPr>
                <w:rFonts w:ascii="Courier New" w:cs="Courier New" w:eastAsia="Courier New" w:hAnsi="Courier New"/>
                <w:sz w:val="16"/>
                <w:szCs w:val="16"/>
                <w:color w:val="auto"/>
              </w:rPr>
              <w:t>(In thousands)</w:t>
            </w:r>
          </w:p>
        </w:tc>
      </w:tr>
      <w:tr>
        <w:trPr>
          <w:trHeight w:val="190"/>
        </w:trPr>
        <w:tc>
          <w:tcPr>
            <w:tcW w:w="6600" w:type="dxa"/>
            <w:vAlign w:val="bottom"/>
          </w:tcPr>
          <w:p>
            <w:pPr>
              <w:ind w:left="1680"/>
              <w:spacing w:after="0"/>
              <w:rPr>
                <w:sz w:val="20"/>
                <w:szCs w:val="20"/>
                <w:color w:val="auto"/>
              </w:rPr>
            </w:pPr>
            <w:r>
              <w:rPr>
                <w:rFonts w:ascii="Courier New" w:cs="Courier New" w:eastAsia="Courier New" w:hAnsi="Courier New"/>
                <w:sz w:val="16"/>
                <w:szCs w:val="16"/>
                <w:color w:val="auto"/>
              </w:rPr>
              <w:t>ASSETS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66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Cash</w:t>
            </w:r>
          </w:p>
        </w:tc>
        <w:tc>
          <w:tcPr>
            <w:tcW w:w="36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18</w:t>
            </w:r>
          </w:p>
        </w:tc>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of $2,086,000 and $1,813,000, respectively)</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89,894</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73,597</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Inventories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106,185</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96,878</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Prepaid expenses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2,121</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1,872</w:t>
            </w:r>
          </w:p>
        </w:tc>
      </w:tr>
      <w:tr>
        <w:trPr>
          <w:trHeight w:val="190"/>
        </w:trPr>
        <w:tc>
          <w:tcPr>
            <w:tcW w:w="6600" w:type="dxa"/>
            <w:vAlign w:val="bottom"/>
          </w:tcPr>
          <w:p>
            <w:pPr>
              <w:ind w:left="500"/>
              <w:spacing w:after="0"/>
              <w:rPr>
                <w:sz w:val="20"/>
                <w:szCs w:val="20"/>
                <w:color w:val="auto"/>
              </w:rPr>
            </w:pPr>
            <w:r>
              <w:rPr>
                <w:rFonts w:ascii="Courier New" w:cs="Courier New" w:eastAsia="Courier New" w:hAnsi="Courier New"/>
                <w:sz w:val="16"/>
                <w:szCs w:val="16"/>
                <w:color w:val="auto"/>
              </w:rPr>
              <w:t>Total current assets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198,218</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172,363</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12,547</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13,665</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Cost in excess of net assets of businesses acquired</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37,690</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37,690</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Debt issuance costs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3,578</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4,937</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Other intangibles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2,855</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2,855</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Less allowance for amortization</w:t>
            </w:r>
          </w:p>
        </w:tc>
        <w:tc>
          <w:tcPr>
            <w:tcW w:w="360" w:type="dxa"/>
            <w:vAlign w:val="bottom"/>
          </w:tcPr>
          <w:p>
            <w:pPr>
              <w:spacing w:after="0"/>
              <w:rPr>
                <w:sz w:val="16"/>
                <w:szCs w:val="16"/>
                <w:color w:val="auto"/>
              </w:rPr>
            </w:pPr>
          </w:p>
        </w:tc>
        <w:tc>
          <w:tcPr>
            <w:tcW w:w="10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(7,265)</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(7,588)</w:t>
            </w:r>
          </w:p>
        </w:tc>
      </w:t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36,858</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37,894</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Capitalized software development costs (less accumulated</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amortization of $4,148,000 and $2,074,000, respectively)</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6,380</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8,454</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835</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845</w:t>
            </w:r>
          </w:p>
        </w:tc>
      </w:tr>
      <w:tr>
        <w:trPr>
          <w:trHeight w:val="190"/>
        </w:trPr>
        <w:tc>
          <w:tcPr>
            <w:tcW w:w="6600" w:type="dxa"/>
            <w:vAlign w:val="bottom"/>
          </w:tcPr>
          <w:p>
            <w:pPr>
              <w:ind w:left="500"/>
              <w:spacing w:after="0"/>
              <w:rPr>
                <w:sz w:val="20"/>
                <w:szCs w:val="20"/>
                <w:color w:val="auto"/>
              </w:rPr>
            </w:pPr>
            <w:r>
              <w:rPr>
                <w:rFonts w:ascii="Courier New" w:cs="Courier New" w:eastAsia="Courier New" w:hAnsi="Courier New"/>
                <w:sz w:val="16"/>
                <w:szCs w:val="16"/>
                <w:color w:val="auto"/>
              </w:rPr>
              <w:t>Total other assets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44,073</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47,193</w:t>
            </w:r>
          </w:p>
        </w:tc>
      </w:tr>
      <w:tr>
        <w:trPr>
          <w:trHeight w:val="190"/>
        </w:trPr>
        <w:tc>
          <w:tcPr>
            <w:tcW w:w="66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254,838</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$ 233,221</w:t>
            </w:r>
          </w:p>
        </w:tc>
      </w:tr>
      <w:tr>
        <w:trPr>
          <w:trHeight w:val="379"/>
        </w:trPr>
        <w:tc>
          <w:tcPr>
            <w:tcW w:w="6600" w:type="dxa"/>
            <w:vAlign w:val="bottom"/>
          </w:tcPr>
          <w:p>
            <w:pPr>
              <w:ind w:left="780"/>
              <w:spacing w:after="0"/>
              <w:rPr>
                <w:sz w:val="20"/>
                <w:szCs w:val="20"/>
                <w:color w:val="auto"/>
              </w:rPr>
            </w:pPr>
            <w:r>
              <w:rPr>
                <w:rFonts w:ascii="Courier New" w:cs="Courier New" w:eastAsia="Courier New" w:hAnsi="Courier New"/>
                <w:sz w:val="16"/>
                <w:szCs w:val="16"/>
                <w:color w:val="auto"/>
              </w:rPr>
              <w:t>LIABILITIES AND STOCKHOLDERS' EQUITY</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9"/>
        </w:trPr>
        <w:tc>
          <w:tcPr>
            <w:tcW w:w="66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35,674</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31,654</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Other accrued liabilities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8,351</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7,584</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Accrued interest payable</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835</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3,487</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Current maturities of long-term debt</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46</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w:t>
            </w:r>
          </w:p>
        </w:tc>
      </w:tr>
      <w:tr>
        <w:trPr>
          <w:trHeight w:val="190"/>
        </w:trPr>
        <w:tc>
          <w:tcPr>
            <w:tcW w:w="6600" w:type="dxa"/>
            <w:vAlign w:val="bottom"/>
          </w:tcPr>
          <w:p>
            <w:pPr>
              <w:ind w:left="500"/>
              <w:spacing w:after="0"/>
              <w:rPr>
                <w:sz w:val="20"/>
                <w:szCs w:val="20"/>
                <w:color w:val="auto"/>
              </w:rPr>
            </w:pPr>
            <w:r>
              <w:rPr>
                <w:rFonts w:ascii="Courier New" w:cs="Courier New" w:eastAsia="Courier New" w:hAnsi="Courier New"/>
                <w:sz w:val="16"/>
                <w:szCs w:val="16"/>
                <w:color w:val="auto"/>
              </w:rPr>
              <w:t>Total current liabilities</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44,906</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42,767</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60" w:type="dxa"/>
            <w:vAlign w:val="bottom"/>
          </w:tcPr>
          <w:p>
            <w:pPr>
              <w:spacing w:after="0"/>
              <w:rPr>
                <w:sz w:val="16"/>
                <w:szCs w:val="16"/>
                <w:color w:val="auto"/>
              </w:rPr>
            </w:pPr>
          </w:p>
        </w:tc>
        <w:tc>
          <w:tcPr>
            <w:tcW w:w="10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890</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260</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60" w:type="dxa"/>
            <w:vAlign w:val="bottom"/>
          </w:tcPr>
          <w:p>
            <w:pPr>
              <w:spacing w:after="0"/>
              <w:rPr>
                <w:sz w:val="16"/>
                <w:szCs w:val="16"/>
                <w:color w:val="auto"/>
              </w:rPr>
            </w:pPr>
          </w:p>
        </w:tc>
        <w:tc>
          <w:tcPr>
            <w:tcW w:w="10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109,756</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148,798</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(Notes 9 and 10)</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Series A 14% cumulative preferred stock, $.01 par value;</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500"/>
              <w:spacing w:after="0"/>
              <w:rPr>
                <w:sz w:val="20"/>
                <w:szCs w:val="20"/>
                <w:color w:val="auto"/>
              </w:rPr>
            </w:pPr>
            <w:r>
              <w:rPr>
                <w:rFonts w:ascii="Courier New" w:cs="Courier New" w:eastAsia="Courier New" w:hAnsi="Courier New"/>
                <w:sz w:val="16"/>
                <w:szCs w:val="16"/>
                <w:color w:val="auto"/>
              </w:rPr>
              <w:t>2,000,000 and 26,300 shares authorized, -0- and 25,657</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500"/>
              <w:spacing w:after="0"/>
              <w:rPr>
                <w:sz w:val="20"/>
                <w:szCs w:val="20"/>
                <w:color w:val="auto"/>
              </w:rPr>
            </w:pPr>
            <w:r>
              <w:rPr>
                <w:rFonts w:ascii="Courier New" w:cs="Courier New" w:eastAsia="Courier New" w:hAnsi="Courier New"/>
                <w:sz w:val="16"/>
                <w:szCs w:val="16"/>
                <w:color w:val="auto"/>
              </w:rPr>
              <w:t>shares issued and outstanding, respectively (aggregate</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500"/>
              <w:spacing w:after="0"/>
              <w:rPr>
                <w:sz w:val="20"/>
                <w:szCs w:val="20"/>
                <w:color w:val="auto"/>
              </w:rPr>
            </w:pPr>
            <w:r>
              <w:rPr>
                <w:rFonts w:ascii="Courier New" w:cs="Courier New" w:eastAsia="Courier New" w:hAnsi="Courier New"/>
                <w:sz w:val="16"/>
                <w:szCs w:val="16"/>
                <w:color w:val="auto"/>
              </w:rPr>
              <w:t>liquidation preference of $ -0- and $29,011,000, respectively)</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Common stock, $.01 par value; 20,000,000 and 7,500,000</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shares authorized, 10,180,457 and 3,500,000 shares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issued, respectively</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102</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Paid-in capital</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104,026</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71,972</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Notes receivable from sale of stock</w:t>
            </w:r>
          </w:p>
        </w:tc>
        <w:tc>
          <w:tcPr>
            <w:tcW w:w="360" w:type="dxa"/>
            <w:vAlign w:val="bottom"/>
          </w:tcPr>
          <w:p>
            <w:pPr>
              <w:spacing w:after="0"/>
              <w:rPr>
                <w:sz w:val="16"/>
                <w:szCs w:val="16"/>
                <w:color w:val="auto"/>
              </w:rPr>
            </w:pPr>
          </w:p>
        </w:tc>
        <w:tc>
          <w:tcPr>
            <w:tcW w:w="10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(1,520)</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(1,740)</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Accumulated deficit</w:t>
            </w:r>
          </w:p>
        </w:tc>
        <w:tc>
          <w:tcPr>
            <w:tcW w:w="360" w:type="dxa"/>
            <w:vAlign w:val="bottom"/>
          </w:tcPr>
          <w:p>
            <w:pPr>
              <w:spacing w:after="0"/>
              <w:rPr>
                <w:sz w:val="16"/>
                <w:szCs w:val="16"/>
                <w:color w:val="auto"/>
              </w:rPr>
            </w:pPr>
          </w:p>
        </w:tc>
        <w:tc>
          <w:tcPr>
            <w:tcW w:w="10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(2,706)</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(28,487)</w:t>
            </w:r>
          </w:p>
        </w:tc>
      </w:t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99,902</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41,780</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Less common stock in treasury, at cost, 67,308 and</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600" w:type="dxa"/>
            <w:vAlign w:val="bottom"/>
          </w:tcPr>
          <w:p>
            <w:pPr>
              <w:ind w:left="500"/>
              <w:spacing w:after="0"/>
              <w:rPr>
                <w:sz w:val="20"/>
                <w:szCs w:val="20"/>
                <w:color w:val="auto"/>
              </w:rPr>
            </w:pPr>
            <w:r>
              <w:rPr>
                <w:rFonts w:ascii="Courier New" w:cs="Courier New" w:eastAsia="Courier New" w:hAnsi="Courier New"/>
                <w:sz w:val="16"/>
                <w:szCs w:val="16"/>
                <w:color w:val="auto"/>
              </w:rPr>
              <w:t>52,000 shares, respectively</w:t>
            </w:r>
          </w:p>
        </w:tc>
        <w:tc>
          <w:tcPr>
            <w:tcW w:w="360" w:type="dxa"/>
            <w:vAlign w:val="bottom"/>
          </w:tcPr>
          <w:p>
            <w:pPr>
              <w:spacing w:after="0"/>
              <w:rPr>
                <w:sz w:val="16"/>
                <w:szCs w:val="16"/>
                <w:color w:val="auto"/>
              </w:rPr>
            </w:pPr>
          </w:p>
        </w:tc>
        <w:tc>
          <w:tcPr>
            <w:tcW w:w="10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(616)</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r>
      <w:tr>
        <w:trPr>
          <w:trHeight w:val="190"/>
        </w:trPr>
        <w:tc>
          <w:tcPr>
            <w:tcW w:w="6600" w:type="dxa"/>
            <w:vAlign w:val="bottom"/>
          </w:tcPr>
          <w:p>
            <w:pPr>
              <w:ind w:left="300"/>
              <w:spacing w:after="0"/>
              <w:rPr>
                <w:sz w:val="20"/>
                <w:szCs w:val="20"/>
                <w:color w:val="auto"/>
              </w:rPr>
            </w:pPr>
            <w:r>
              <w:rPr>
                <w:rFonts w:ascii="Courier New" w:cs="Courier New" w:eastAsia="Courier New" w:hAnsi="Courier New"/>
                <w:sz w:val="16"/>
                <w:szCs w:val="16"/>
                <w:color w:val="auto"/>
              </w:rPr>
              <w:t>Total stockholders' equity</w:t>
            </w:r>
          </w:p>
        </w:tc>
        <w:tc>
          <w:tcPr>
            <w:tcW w:w="360" w:type="dxa"/>
            <w:vAlign w:val="bottom"/>
          </w:tcPr>
          <w:p>
            <w:pPr>
              <w:spacing w:after="0"/>
              <w:rPr>
                <w:sz w:val="16"/>
                <w:szCs w:val="16"/>
                <w:color w:val="auto"/>
              </w:rPr>
            </w:pP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99,286</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41,396</w:t>
            </w:r>
          </w:p>
        </w:tc>
      </w:tr>
      <w:tr>
        <w:trPr>
          <w:trHeight w:val="190"/>
        </w:trPr>
        <w:tc>
          <w:tcPr>
            <w:tcW w:w="66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254,838</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$ 233,221</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1064"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10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Years Ended</w:t>
            </w: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6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December 31,</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1992</w:t>
            </w:r>
          </w:p>
        </w:tc>
        <w:tc>
          <w:tcPr>
            <w:tcW w:w="64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1991</w:t>
            </w:r>
          </w:p>
        </w:tc>
        <w:tc>
          <w:tcPr>
            <w:tcW w:w="60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1990</w:t>
            </w:r>
          </w:p>
        </w:tc>
      </w:t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 thousands)</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Cash flows provided by (used in) operating activities: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25,781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(1,476)</w:t>
            </w:r>
          </w:p>
        </w:tc>
        <w:tc>
          <w:tcPr>
            <w:tcW w:w="600" w:type="dxa"/>
            <w:vAlign w:val="bottom"/>
          </w:tcPr>
          <w:p>
            <w:pPr>
              <w:ind w:left="50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449</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by operating activities: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Extraordinary (gain) loss on early extinguishment of debt</w:t>
            </w:r>
          </w:p>
        </w:tc>
        <w:tc>
          <w:tcPr>
            <w:tcW w:w="34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(7,119)</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1,166</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(8,140)</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Gain on sale of facility</w:t>
            </w: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(1,414)</w:t>
            </w:r>
          </w:p>
        </w:tc>
        <w:tc>
          <w:tcPr>
            <w:tcW w:w="6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 amortization</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7,802</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11,612</w:t>
            </w:r>
          </w:p>
        </w:tc>
        <w:tc>
          <w:tcPr>
            <w:tcW w:w="14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13,098</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discount on long-term debt</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181</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306</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2,246</w:t>
            </w:r>
          </w:p>
        </w:tc>
      </w:tr>
      <w:tr>
        <w:trPr>
          <w:trHeight w:val="190"/>
        </w:trPr>
        <w:tc>
          <w:tcPr>
            <w:tcW w:w="6360" w:type="dxa"/>
            <w:vAlign w:val="bottom"/>
          </w:tcPr>
          <w:p>
            <w:pPr>
              <w:ind w:left="1680"/>
              <w:spacing w:after="0"/>
              <w:rPr>
                <w:sz w:val="20"/>
                <w:szCs w:val="20"/>
                <w:color w:val="auto"/>
              </w:rPr>
            </w:pPr>
            <w:r>
              <w:rPr>
                <w:rFonts w:ascii="Courier New" w:cs="Courier New" w:eastAsia="Courier New" w:hAnsi="Courier New"/>
                <w:sz w:val="16"/>
                <w:szCs w:val="16"/>
                <w:color w:val="auto"/>
              </w:rPr>
              <w:t>Provision for losses on accounts receivable</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3,438</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2,666</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4,131</w:t>
            </w:r>
          </w:p>
        </w:tc>
      </w:tr>
      <w:tr>
        <w:trPr>
          <w:trHeight w:val="379"/>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24"/>
                <w:szCs w:val="24"/>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630</w:t>
            </w:r>
          </w:p>
        </w:tc>
        <w:tc>
          <w:tcPr>
            <w:tcW w:w="640" w:type="dxa"/>
            <w:vAlign w:val="bottom"/>
          </w:tcPr>
          <w:p>
            <w:pPr>
              <w:spacing w:after="0"/>
              <w:rPr>
                <w:sz w:val="24"/>
                <w:szCs w:val="24"/>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260</w:t>
            </w:r>
          </w:p>
        </w:tc>
        <w:tc>
          <w:tcPr>
            <w:tcW w:w="600" w:type="dxa"/>
            <w:vAlign w:val="bottom"/>
          </w:tcPr>
          <w:p>
            <w:pPr>
              <w:spacing w:after="0"/>
              <w:rPr>
                <w:sz w:val="24"/>
                <w:szCs w:val="24"/>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Interest paid with notes</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2,701</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4,918</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4,447</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(Increase) decrease in accounts receivable</w:t>
            </w:r>
          </w:p>
        </w:tc>
        <w:tc>
          <w:tcPr>
            <w:tcW w:w="340" w:type="dxa"/>
            <w:vAlign w:val="bottom"/>
          </w:tcPr>
          <w:p>
            <w:pPr>
              <w:spacing w:after="0"/>
              <w:rPr>
                <w:sz w:val="24"/>
                <w:szCs w:val="24"/>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(19,735)</w:t>
            </w:r>
          </w:p>
        </w:tc>
        <w:tc>
          <w:tcPr>
            <w:tcW w:w="640" w:type="dxa"/>
            <w:vAlign w:val="bottom"/>
          </w:tcPr>
          <w:p>
            <w:pPr>
              <w:spacing w:after="0"/>
              <w:rPr>
                <w:sz w:val="24"/>
                <w:szCs w:val="24"/>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1,384</w:t>
            </w:r>
          </w:p>
        </w:tc>
        <w:tc>
          <w:tcPr>
            <w:tcW w:w="600" w:type="dxa"/>
            <w:vAlign w:val="bottom"/>
          </w:tcPr>
          <w:p>
            <w:pPr>
              <w:spacing w:after="0"/>
              <w:rPr>
                <w:sz w:val="24"/>
                <w:szCs w:val="24"/>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1,392</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(Increase) decrease in inventories</w:t>
            </w:r>
          </w:p>
        </w:tc>
        <w:tc>
          <w:tcPr>
            <w:tcW w:w="34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(9,307)</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(4,840)</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(2,137)</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(Increase) decrease in prepaid expenses</w:t>
            </w:r>
          </w:p>
        </w:tc>
        <w:tc>
          <w:tcPr>
            <w:tcW w:w="34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(249)</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(133)</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(468)</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Increase (decrease) in accounts payable</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4,020</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(1,318)</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4,321</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Increase (decrease) in other accrued liabilities</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767</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(2,822)</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797</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Increase (decrease) in accrued interest payable</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103</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64</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(916)</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4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9,013</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10,373</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19,220</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Cash flows provided by (used in) investing activities: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Capitalized software development costs</w:t>
            </w: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(661)</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Additions to property and equipment</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(2,713)</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(2,958)</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(2,042)</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Retirements of property and equipment</w:t>
            </w:r>
          </w:p>
        </w:tc>
        <w:tc>
          <w:tcPr>
            <w:tcW w:w="34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128</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829</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sale of facility</w:t>
            </w: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1,680</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34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189</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629</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w:t>
            </w:r>
          </w:p>
        </w:tc>
      </w:tr>
      <w:tr>
        <w:trPr>
          <w:trHeight w:val="190"/>
        </w:trPr>
        <w:tc>
          <w:tcPr>
            <w:tcW w:w="6360" w:type="dxa"/>
            <w:vAlign w:val="bottom"/>
          </w:tcPr>
          <w:p>
            <w:pPr>
              <w:ind w:left="600"/>
              <w:spacing w:after="0"/>
              <w:rPr>
                <w:sz w:val="20"/>
                <w:szCs w:val="20"/>
                <w:color w:val="auto"/>
              </w:rPr>
            </w:pPr>
            <w:r>
              <w:rPr>
                <w:rFonts w:ascii="Courier New" w:cs="Courier New" w:eastAsia="Courier New" w:hAnsi="Courier New"/>
                <w:sz w:val="16"/>
                <w:szCs w:val="16"/>
                <w:color w:val="auto"/>
              </w:rPr>
              <w:t>Net cash used in investing activities</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(2,396)</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(522)</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(1,835)</w:t>
            </w:r>
          </w:p>
        </w:tc>
      </w:tr>
      <w:tr>
        <w:trPr>
          <w:trHeight w:val="379"/>
        </w:trPr>
        <w:tc>
          <w:tcPr>
            <w:tcW w:w="6360" w:type="dxa"/>
            <w:vAlign w:val="bottom"/>
          </w:tcPr>
          <w:p>
            <w:pPr>
              <w:spacing w:after="0"/>
              <w:rPr>
                <w:sz w:val="20"/>
                <w:szCs w:val="20"/>
                <w:color w:val="auto"/>
              </w:rPr>
            </w:pPr>
            <w:r>
              <w:rPr>
                <w:rFonts w:ascii="Courier New" w:cs="Courier New" w:eastAsia="Courier New" w:hAnsi="Courier New"/>
                <w:sz w:val="16"/>
                <w:szCs w:val="16"/>
                <w:color w:val="auto"/>
              </w:rPr>
              <w:t>Cash flows provided by (used in) financing activities: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Redemption of senior subordinated notes</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(44,650)</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(20,941)</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(8,583)</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Redemption of junior subordinated notes</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(24,984)</w:t>
            </w:r>
          </w:p>
        </w:tc>
        <w:tc>
          <w:tcPr>
            <w:tcW w:w="64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(1,104)</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Net increase (decrease) in bank borrowings</w:t>
            </w:r>
          </w:p>
        </w:tc>
        <w:tc>
          <w:tcPr>
            <w:tcW w:w="13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34,224</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4,477</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(17,021)</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Decrease in other long-term debt</w:t>
            </w: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(41)</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Payment of debt issuance costs</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(3,273)</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(349)</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Repurchase of preferred stock and common stock warrants</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(7,863)</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(6,083)</w:t>
            </w:r>
          </w:p>
        </w:tc>
        <w:tc>
          <w:tcPr>
            <w:tcW w:w="6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Issuance of preferred stock</w:t>
            </w: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13,070</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10,000</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Issuance of common stock</w:t>
            </w:r>
          </w:p>
        </w:tc>
        <w:tc>
          <w:tcPr>
            <w:tcW w:w="13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39,984</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8"/>
              </w:rPr>
              <w:t>----</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Payments received on notes receivable from sale of stock</w:t>
            </w:r>
          </w:p>
        </w:tc>
        <w:tc>
          <w:tcPr>
            <w:tcW w:w="34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40</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31</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224</w:t>
            </w:r>
          </w:p>
        </w:tc>
      </w:tr>
      <w:tr>
        <w:trPr>
          <w:trHeight w:val="190"/>
        </w:trPr>
        <w:tc>
          <w:tcPr>
            <w:tcW w:w="6360" w:type="dxa"/>
            <w:vAlign w:val="bottom"/>
          </w:tcPr>
          <w:p>
            <w:pPr>
              <w:ind w:left="300"/>
              <w:spacing w:after="0"/>
              <w:rPr>
                <w:sz w:val="20"/>
                <w:szCs w:val="20"/>
                <w:color w:val="auto"/>
              </w:rPr>
            </w:pPr>
            <w:r>
              <w:rPr>
                <w:rFonts w:ascii="Courier New" w:cs="Courier New" w:eastAsia="Courier New" w:hAnsi="Courier New"/>
                <w:sz w:val="16"/>
                <w:szCs w:val="16"/>
                <w:color w:val="auto"/>
              </w:rPr>
              <w:t>Repurchase of common stock</w:t>
            </w: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(52)</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w:t>
            </w:r>
          </w:p>
        </w:tc>
        <w:tc>
          <w:tcPr>
            <w:tcW w:w="14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(304)</w:t>
            </w:r>
          </w:p>
        </w:tc>
      </w:tr>
      <w:tr>
        <w:trPr>
          <w:trHeight w:val="190"/>
        </w:trPr>
        <w:tc>
          <w:tcPr>
            <w:tcW w:w="6360" w:type="dxa"/>
            <w:vAlign w:val="bottom"/>
          </w:tcPr>
          <w:p>
            <w:pPr>
              <w:ind w:left="1680"/>
              <w:spacing w:after="0"/>
              <w:rPr>
                <w:sz w:val="20"/>
                <w:szCs w:val="20"/>
                <w:color w:val="auto"/>
              </w:rPr>
            </w:pPr>
            <w:r>
              <w:rPr>
                <w:rFonts w:ascii="Courier New" w:cs="Courier New" w:eastAsia="Courier New" w:hAnsi="Courier New"/>
                <w:sz w:val="16"/>
                <w:szCs w:val="16"/>
                <w:color w:val="auto"/>
              </w:rPr>
              <w:t>Net cash used in financing activities</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(6,615)</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(9,913)</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(17,323)</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34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(62)</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62</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34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16</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78</w:t>
            </w:r>
          </w:p>
        </w:tc>
        <w:tc>
          <w:tcPr>
            <w:tcW w:w="6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18</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w:t>
            </w:r>
          </w:p>
        </w:tc>
        <w:tc>
          <w:tcPr>
            <w:tcW w:w="600" w:type="dxa"/>
            <w:vAlign w:val="bottom"/>
          </w:tcPr>
          <w:p>
            <w:pPr>
              <w:ind w:left="50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78</w:t>
            </w:r>
          </w:p>
        </w:tc>
      </w:tr>
      <w:tr>
        <w:trPr>
          <w:trHeight w:val="190"/>
        </w:trPr>
        <w:tc>
          <w:tcPr>
            <w:tcW w:w="6360" w:type="dxa"/>
            <w:vAlign w:val="bottom"/>
          </w:tcPr>
          <w:p>
            <w:pPr>
              <w:spacing w:after="0"/>
              <w:rPr>
                <w:sz w:val="20"/>
                <w:szCs w:val="20"/>
                <w:color w:val="auto"/>
              </w:rPr>
            </w:pPr>
            <w:r>
              <w:rPr>
                <w:rFonts w:ascii="Courier New" w:cs="Courier New" w:eastAsia="Courier New" w:hAnsi="Courier New"/>
                <w:sz w:val="16"/>
                <w:szCs w:val="16"/>
                <w:color w:val="auto"/>
              </w:rPr>
              <w:t>Supplemental disclosure of noncash activities: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Issuance of notes in payment of interest</w:t>
            </w:r>
          </w:p>
        </w:tc>
        <w:tc>
          <w:tcPr>
            <w:tcW w:w="138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$ 2,701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4,918</w:t>
            </w:r>
          </w:p>
        </w:tc>
        <w:tc>
          <w:tcPr>
            <w:tcW w:w="14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$4,447</w:t>
            </w:r>
          </w:p>
        </w:tc>
      </w:tr>
      <w:tr>
        <w:trPr>
          <w:trHeight w:val="190"/>
        </w:trPr>
        <w:tc>
          <w:tcPr>
            <w:tcW w:w="6360" w:type="dxa"/>
            <w:vAlign w:val="bottom"/>
          </w:tcPr>
          <w:p>
            <w:pPr>
              <w:ind w:left="400"/>
              <w:spacing w:after="0"/>
              <w:rPr>
                <w:sz w:val="20"/>
                <w:szCs w:val="20"/>
                <w:color w:val="auto"/>
              </w:rPr>
            </w:pPr>
            <w:r>
              <w:rPr>
                <w:rFonts w:ascii="Courier New" w:cs="Courier New" w:eastAsia="Courier New" w:hAnsi="Courier New"/>
                <w:sz w:val="16"/>
                <w:szCs w:val="16"/>
                <w:color w:val="auto"/>
              </w:rPr>
              <w:t>Issuance of senior subordordinated notes in exchange for</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preferred stock</w:t>
            </w:r>
          </w:p>
        </w:tc>
        <w:tc>
          <w:tcPr>
            <w:tcW w:w="340" w:type="dxa"/>
            <w:vAlign w:val="bottom"/>
          </w:tcPr>
          <w:p>
            <w:pPr>
              <w:spacing w:after="0"/>
              <w:rPr>
                <w:sz w:val="16"/>
                <w:szCs w:val="16"/>
                <w:color w:val="auto"/>
              </w:rPr>
            </w:pPr>
          </w:p>
        </w:tc>
        <w:tc>
          <w:tcPr>
            <w:tcW w:w="10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8"/>
              </w:rPr>
              <w:t>----</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2,000</w:t>
            </w:r>
          </w:p>
        </w:tc>
        <w:tc>
          <w:tcPr>
            <w:tcW w:w="6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Issuance of senior subordinated notes in exchange for</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reset notes</w:t>
            </w:r>
          </w:p>
        </w:tc>
        <w:tc>
          <w:tcPr>
            <w:tcW w:w="340" w:type="dxa"/>
            <w:vAlign w:val="bottom"/>
          </w:tcPr>
          <w:p>
            <w:pPr>
              <w:spacing w:after="0"/>
              <w:rPr>
                <w:sz w:val="16"/>
                <w:szCs w:val="16"/>
                <w:color w:val="auto"/>
              </w:rPr>
            </w:pPr>
          </w:p>
        </w:tc>
        <w:tc>
          <w:tcPr>
            <w:tcW w:w="10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8"/>
              </w:rPr>
              <w:t>----</w:t>
            </w:r>
          </w:p>
        </w:tc>
        <w:tc>
          <w:tcPr>
            <w:tcW w:w="64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61,395</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Issuance of preferred stock in exchange for reset notes</w:t>
            </w:r>
          </w:p>
        </w:tc>
        <w:tc>
          <w:tcPr>
            <w:tcW w:w="340" w:type="dxa"/>
            <w:vAlign w:val="bottom"/>
          </w:tcPr>
          <w:p>
            <w:pPr>
              <w:spacing w:after="0"/>
              <w:rPr>
                <w:sz w:val="16"/>
                <w:szCs w:val="16"/>
                <w:color w:val="auto"/>
              </w:rPr>
            </w:pPr>
          </w:p>
        </w:tc>
        <w:tc>
          <w:tcPr>
            <w:tcW w:w="10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8"/>
              </w:rPr>
              <w:t>----</w:t>
            </w:r>
          </w:p>
        </w:tc>
        <w:tc>
          <w:tcPr>
            <w:tcW w:w="6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16,238</w:t>
            </w: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Use of preferred stock to exercise warrants for common stock</w:t>
            </w: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23,070</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Surrender of common stock warrants for common stock</w:t>
            </w: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210</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190"/>
        </w:trPr>
        <w:tc>
          <w:tcPr>
            <w:tcW w:w="6360" w:type="dxa"/>
            <w:vAlign w:val="bottom"/>
          </w:tcPr>
          <w:p>
            <w:pPr>
              <w:ind w:left="200"/>
              <w:spacing w:after="0"/>
              <w:rPr>
                <w:sz w:val="20"/>
                <w:szCs w:val="20"/>
                <w:color w:val="auto"/>
              </w:rPr>
            </w:pPr>
            <w:r>
              <w:rPr>
                <w:rFonts w:ascii="Courier New" w:cs="Courier New" w:eastAsia="Courier New" w:hAnsi="Courier New"/>
                <w:sz w:val="16"/>
                <w:szCs w:val="16"/>
                <w:color w:val="auto"/>
              </w:rPr>
              <w:t>Receipt of common stock to treasury as payment of notes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360" w:type="dxa"/>
            <w:vAlign w:val="bottom"/>
          </w:tcPr>
          <w:p>
            <w:pPr>
              <w:ind w:left="500"/>
              <w:spacing w:after="0"/>
              <w:rPr>
                <w:sz w:val="20"/>
                <w:szCs w:val="20"/>
                <w:color w:val="auto"/>
              </w:rPr>
            </w:pPr>
            <w:r>
              <w:rPr>
                <w:rFonts w:ascii="Courier New" w:cs="Courier New" w:eastAsia="Courier New" w:hAnsi="Courier New"/>
                <w:sz w:val="16"/>
                <w:szCs w:val="16"/>
                <w:color w:val="auto"/>
              </w:rPr>
              <w:t>receivable from sale of stock</w:t>
            </w:r>
          </w:p>
        </w:tc>
        <w:tc>
          <w:tcPr>
            <w:tcW w:w="3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180</w:t>
            </w:r>
          </w:p>
        </w:tc>
        <w:tc>
          <w:tcPr>
            <w:tcW w:w="6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840"/>
          </w:cols>
          <w:pgMar w:left="240" w:top="875" w:right="819" w:bottom="1440" w:gutter="0" w:footer="0" w:header="0"/>
        </w:sectPr>
      </w:pPr>
    </w:p>
    <w:bookmarkStart w:id="12" w:name="page13"/>
    <w:bookmarkEnd w:id="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59"/>
        <w:spacing w:after="0"/>
        <w:rPr>
          <w:sz w:val="20"/>
          <w:szCs w:val="20"/>
          <w:color w:val="auto"/>
        </w:rPr>
      </w:pPr>
      <w:r>
        <w:rPr>
          <w:rFonts w:ascii="Courier New" w:cs="Courier New" w:eastAsia="Courier New" w:hAnsi="Courier New"/>
          <w:sz w:val="16"/>
          <w:szCs w:val="16"/>
          <w:color w:val="auto"/>
        </w:rPr>
        <w:t>HALL-MARK ELECTRONICS CORPORATION</w:t>
      </w:r>
    </w:p>
    <w:p>
      <w:pPr>
        <w:spacing w:after="0" w:line="8"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gridSpan w:val="2"/>
          </w:tcPr>
          <w:p>
            <w:pPr>
              <w:ind w:left="1580"/>
              <w:spacing w:after="0"/>
              <w:rPr>
                <w:sz w:val="20"/>
                <w:szCs w:val="20"/>
                <w:color w:val="auto"/>
              </w:rPr>
            </w:pPr>
            <w:r>
              <w:rPr>
                <w:rFonts w:ascii="Courier New" w:cs="Courier New" w:eastAsia="Courier New" w:hAnsi="Courier New"/>
                <w:sz w:val="16"/>
                <w:szCs w:val="16"/>
                <w:color w:val="auto"/>
              </w:rPr>
              <w:t>Series</w:t>
            </w:r>
          </w:p>
        </w:tc>
        <w:tc>
          <w:tcPr>
            <w:tcW w:w="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Common</w:t>
            </w:r>
          </w:p>
        </w:tc>
        <w:tc>
          <w:tcPr>
            <w:tcW w:w="5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Paid-In</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Notes</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Accumulated</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Treasury</w:t>
            </w:r>
          </w:p>
        </w:tc>
        <w:tc>
          <w:tcPr>
            <w:tcW w:w="98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2660" w:type="dxa"/>
            <w:vAlign w:val="bottom"/>
            <w:gridSpan w:val="3"/>
          </w:tcPr>
          <w:p>
            <w:pPr>
              <w:ind w:left="1580"/>
              <w:spacing w:after="0"/>
              <w:rPr>
                <w:sz w:val="20"/>
                <w:szCs w:val="20"/>
                <w:color w:val="auto"/>
              </w:rPr>
            </w:pPr>
            <w:r>
              <w:rPr>
                <w:rFonts w:ascii="Courier New" w:cs="Courier New" w:eastAsia="Courier New" w:hAnsi="Courier New"/>
                <w:sz w:val="16"/>
                <w:szCs w:val="16"/>
                <w:color w:val="auto"/>
              </w:rPr>
              <w:t>Preferred</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5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Capital</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Receivable</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Deficit</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2180" w:type="dxa"/>
            <w:vAlign w:val="bottom"/>
            <w:gridSpan w:val="2"/>
          </w:tcPr>
          <w:p>
            <w:pPr>
              <w:ind w:left="1580"/>
              <w:spacing w:after="0"/>
              <w:rPr>
                <w:sz w:val="20"/>
                <w:szCs w:val="20"/>
                <w:color w:val="auto"/>
              </w:rPr>
            </w:pPr>
            <w:r>
              <w:rPr>
                <w:rFonts w:ascii="Courier New" w:cs="Courier New" w:eastAsia="Courier New" w:hAnsi="Courier New"/>
                <w:sz w:val="16"/>
                <w:szCs w:val="16"/>
                <w:color w:val="auto"/>
              </w:rPr>
              <w:t>Stock</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from Sale</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of Stock</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(in</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thousands)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Balance as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January 1, 1990</w:t>
            </w:r>
          </w:p>
        </w:tc>
        <w:tc>
          <w:tcPr>
            <w:tcW w:w="50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0"/>
              </w:rPr>
              <w:t>---</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35</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40,933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$(27,460)</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$ 11,513</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3"/>
              </w:rPr>
              <w:t>----</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26,238</w:t>
            </w:r>
          </w:p>
        </w:tc>
        <w:tc>
          <w:tcPr>
            <w:tcW w:w="20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26,238</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Repurchase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common</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stock warrants</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3"/>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c>
          <w:tcPr>
            <w:tcW w:w="20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(186)</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Payments received</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on notes receivable</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3"/>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224</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224</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Repurchase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(304)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(304)</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00" w:type="dxa"/>
            <w:vAlign w:val="bottom"/>
          </w:tcPr>
          <w:p>
            <w:pPr>
              <w:spacing w:after="0"/>
              <w:rPr>
                <w:sz w:val="24"/>
                <w:szCs w:val="24"/>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449</w:t>
            </w:r>
          </w:p>
        </w:tc>
        <w:tc>
          <w:tcPr>
            <w:tcW w:w="300" w:type="dxa"/>
            <w:vAlign w:val="bottom"/>
          </w:tcPr>
          <w:p>
            <w:pPr>
              <w:spacing w:after="0"/>
              <w:rPr>
                <w:sz w:val="24"/>
                <w:szCs w:val="24"/>
                <w:color w:val="auto"/>
              </w:rPr>
            </w:pP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449</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Balance as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December 31, 1990</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35</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66,985</w:t>
            </w:r>
          </w:p>
        </w:tc>
        <w:tc>
          <w:tcPr>
            <w:tcW w:w="20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(1,771)</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(27,011)</w:t>
            </w:r>
          </w:p>
        </w:tc>
        <w:tc>
          <w:tcPr>
            <w:tcW w:w="30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(304)</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37,934</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Issuance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13,070</w:t>
            </w:r>
          </w:p>
        </w:tc>
        <w:tc>
          <w:tcPr>
            <w:tcW w:w="20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13,070</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Repurchase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warrants</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(2,105)</w:t>
            </w:r>
          </w:p>
        </w:tc>
        <w:tc>
          <w:tcPr>
            <w:tcW w:w="20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(2,105)</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Repurchase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(5,978)</w:t>
            </w:r>
          </w:p>
        </w:tc>
        <w:tc>
          <w:tcPr>
            <w:tcW w:w="20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(5,978)</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Payments received</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on notes receivable</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31</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Repurchase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500" w:type="dxa"/>
            <w:vAlign w:val="bottom"/>
          </w:tcPr>
          <w:p>
            <w:pPr>
              <w:spacing w:after="0"/>
              <w:rPr>
                <w:sz w:val="24"/>
                <w:szCs w:val="24"/>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(1,476)</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w w:val="98"/>
              </w:rPr>
              <w:t>(1,476)</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Balance as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December 31, 1991</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71,972</w:t>
            </w:r>
          </w:p>
        </w:tc>
        <w:tc>
          <w:tcPr>
            <w:tcW w:w="2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(1,740)</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(28,487)</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41,396</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Repurchase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(7,863)</w:t>
            </w: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w w:val="98"/>
              </w:rPr>
              <w:t>(7,863)</w:t>
            </w:r>
          </w:p>
        </w:tc>
      </w:tr>
      <w:tr>
        <w:trPr>
          <w:trHeight w:val="379"/>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Issuance of common</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39,944</w:t>
            </w:r>
          </w:p>
        </w:tc>
        <w:tc>
          <w:tcPr>
            <w:tcW w:w="20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39,984</w:t>
            </w:r>
          </w:p>
        </w:tc>
      </w:tr>
      <w:tr>
        <w:trPr>
          <w:trHeight w:val="379"/>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Exercise of common</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stock warrants</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20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Payments received</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on notes receivable</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220</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220</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Repurchase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500" w:type="dxa"/>
            <w:vAlign w:val="bottom"/>
          </w:tcPr>
          <w:p>
            <w:pPr>
              <w:spacing w:after="0"/>
              <w:rPr>
                <w:sz w:val="16"/>
                <w:szCs w:val="16"/>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(232)</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00" w:type="dxa"/>
            <w:vAlign w:val="bottom"/>
          </w:tcPr>
          <w:p>
            <w:pPr>
              <w:spacing w:after="0"/>
              <w:rPr>
                <w:sz w:val="24"/>
                <w:szCs w:val="24"/>
                <w:color w:val="auto"/>
              </w:rPr>
            </w:pP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25.781</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25,781</w:t>
            </w:r>
          </w:p>
        </w:tc>
      </w:tr>
      <w:tr>
        <w:trPr>
          <w:trHeight w:val="379"/>
        </w:trPr>
        <w:tc>
          <w:tcPr>
            <w:tcW w:w="1680" w:type="dxa"/>
            <w:vAlign w:val="bottom"/>
          </w:tcPr>
          <w:p>
            <w:pPr>
              <w:spacing w:after="0"/>
              <w:rPr>
                <w:sz w:val="20"/>
                <w:szCs w:val="20"/>
                <w:color w:val="auto"/>
              </w:rPr>
            </w:pPr>
            <w:r>
              <w:rPr>
                <w:rFonts w:ascii="Courier New" w:cs="Courier New" w:eastAsia="Courier New" w:hAnsi="Courier New"/>
                <w:sz w:val="16"/>
                <w:szCs w:val="16"/>
                <w:color w:val="auto"/>
              </w:rPr>
              <w:t>Balance as of</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1680" w:type="dxa"/>
            <w:vAlign w:val="bottom"/>
          </w:tcPr>
          <w:p>
            <w:pPr>
              <w:spacing w:after="0"/>
              <w:rPr>
                <w:sz w:val="20"/>
                <w:szCs w:val="20"/>
                <w:color w:val="auto"/>
              </w:rPr>
            </w:pPr>
            <w:r>
              <w:rPr>
                <w:rFonts w:ascii="Courier New" w:cs="Courier New" w:eastAsia="Courier New" w:hAnsi="Courier New"/>
                <w:sz w:val="16"/>
                <w:szCs w:val="16"/>
                <w:color w:val="auto"/>
              </w:rPr>
              <w:t>December 31, 1992</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104,026</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(1,520)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(2,706)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(616)</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w w:val="98"/>
              </w:rPr>
              <w:t>$99,286</w:t>
            </w:r>
          </w:p>
        </w:tc>
      </w:tr>
    </w:tbl>
    <w:p>
      <w:pPr>
        <w:spacing w:after="0" w:line="200" w:lineRule="exact"/>
        <w:rPr>
          <w:sz w:val="20"/>
          <w:szCs w:val="20"/>
          <w:color w:val="auto"/>
        </w:rPr>
      </w:pPr>
    </w:p>
    <w:p>
      <w:pPr>
        <w:spacing w:after="0" w:line="373"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875"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374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8" w:lineRule="exact"/>
        <w:rPr>
          <w:sz w:val="20"/>
          <w:szCs w:val="20"/>
          <w:color w:val="auto"/>
        </w:rPr>
      </w:pPr>
    </w:p>
    <w:p>
      <w:pPr>
        <w:ind w:left="200" w:right="5579" w:hanging="199"/>
        <w:spacing w:after="0" w:line="502" w:lineRule="auto"/>
        <w:tabs>
          <w:tab w:leader="none" w:pos="4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Presentation</w:t>
      </w:r>
    </w:p>
    <w:tbl>
      <w:tblPr>
        <w:tblLayout w:type="fixed"/>
        <w:tblInd w:w="0" w:type="dxa"/>
        <w:tblCellMar>
          <w:top w:w="0" w:type="dxa"/>
          <w:left w:w="0" w:type="dxa"/>
          <w:bottom w:w="0" w:type="dxa"/>
          <w:right w:w="0" w:type="dxa"/>
        </w:tblCellMar>
      </w:tblPr>
      <w:tr>
        <w:trPr>
          <w:trHeight w:val="185"/>
        </w:trPr>
        <w:tc>
          <w:tcPr>
            <w:tcW w:w="300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The consolidated financial</w:t>
            </w:r>
          </w:p>
        </w:tc>
        <w:tc>
          <w:tcPr>
            <w:tcW w:w="4400" w:type="dxa"/>
            <w:vAlign w:val="bottom"/>
          </w:tcPr>
          <w:p>
            <w:pPr>
              <w:ind w:left="60"/>
              <w:spacing w:after="0"/>
              <w:rPr>
                <w:sz w:val="20"/>
                <w:szCs w:val="20"/>
                <w:color w:val="auto"/>
              </w:rPr>
            </w:pPr>
            <w:r>
              <w:rPr>
                <w:rFonts w:ascii="Courier New" w:cs="Courier New" w:eastAsia="Courier New" w:hAnsi="Courier New"/>
                <w:sz w:val="16"/>
                <w:szCs w:val="16"/>
                <w:color w:val="auto"/>
              </w:rPr>
              <w:t>statements include the accounts of Hall-Mark</w:t>
            </w: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Electronics</w:t>
            </w:r>
          </w:p>
        </w:tc>
        <w:tc>
          <w:tcPr>
            <w:tcW w:w="6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Corporation ("Hall-</w:t>
            </w: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Mark" or the</w:t>
            </w:r>
          </w:p>
        </w:tc>
        <w:tc>
          <w:tcPr>
            <w:tcW w:w="6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"Company"), an industrial distributor of electronic components</w:t>
            </w: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and systems</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products, and the</w:t>
            </w:r>
          </w:p>
        </w:tc>
        <w:tc>
          <w:tcPr>
            <w:tcW w:w="4400" w:type="dxa"/>
            <w:vAlign w:val="bottom"/>
          </w:tcPr>
          <w:p>
            <w:pPr>
              <w:spacing w:after="0"/>
              <w:rPr>
                <w:sz w:val="16"/>
                <w:szCs w:val="16"/>
                <w:color w:val="auto"/>
              </w:rPr>
            </w:pPr>
          </w:p>
        </w:tc>
      </w:tr>
      <w:tr>
        <w:trPr>
          <w:trHeight w:val="190"/>
        </w:trPr>
        <w:tc>
          <w:tcPr>
            <w:tcW w:w="7400" w:type="dxa"/>
            <w:vAlign w:val="bottom"/>
            <w:gridSpan w:val="3"/>
          </w:tcPr>
          <w:p>
            <w:pPr>
              <w:spacing w:after="0"/>
              <w:rPr>
                <w:sz w:val="20"/>
                <w:szCs w:val="20"/>
                <w:color w:val="auto"/>
              </w:rPr>
            </w:pPr>
            <w:r>
              <w:rPr>
                <w:rFonts w:ascii="Courier New" w:cs="Courier New" w:eastAsia="Courier New" w:hAnsi="Courier New"/>
                <w:sz w:val="16"/>
                <w:szCs w:val="16"/>
                <w:color w:val="auto"/>
              </w:rPr>
              <w:t>accounts of Allied Electronics, Inc., a wholly-owned subsidiary.  All</w:t>
            </w: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significant</w:t>
            </w:r>
          </w:p>
        </w:tc>
        <w:tc>
          <w:tcPr>
            <w:tcW w:w="6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intercompany balances and</w:t>
            </w:r>
          </w:p>
        </w:tc>
      </w:tr>
      <w:tr>
        <w:trPr>
          <w:trHeight w:val="190"/>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transactions</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are eliminated in</w:t>
            </w:r>
          </w:p>
        </w:tc>
        <w:tc>
          <w:tcPr>
            <w:tcW w:w="4400" w:type="dxa"/>
            <w:vAlign w:val="bottom"/>
          </w:tcPr>
          <w:p>
            <w:pPr>
              <w:ind w:left="60"/>
              <w:spacing w:after="0"/>
              <w:rPr>
                <w:sz w:val="20"/>
                <w:szCs w:val="20"/>
                <w:color w:val="auto"/>
              </w:rPr>
            </w:pPr>
            <w:r>
              <w:rPr>
                <w:rFonts w:ascii="Courier New" w:cs="Courier New" w:eastAsia="Courier New" w:hAnsi="Courier New"/>
                <w:sz w:val="16"/>
                <w:szCs w:val="16"/>
                <w:color w:val="auto"/>
              </w:rPr>
              <w:t>consolidation.</w:t>
            </w:r>
          </w:p>
        </w:tc>
      </w:tr>
    </w:tbl>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Recognition</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Company recognizes revenue upon shipment of product to the customer.</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Inventories</w:t>
      </w:r>
    </w:p>
    <w:p>
      <w:pPr>
        <w:spacing w:after="0" w:line="198" w:lineRule="exact"/>
        <w:rPr>
          <w:sz w:val="20"/>
          <w:szCs w:val="20"/>
          <w:color w:val="auto"/>
        </w:rPr>
      </w:pPr>
    </w:p>
    <w:p>
      <w:pPr>
        <w:ind w:left="100" w:right="2619" w:firstLine="296"/>
        <w:spacing w:after="0" w:line="251" w:lineRule="auto"/>
        <w:rPr>
          <w:sz w:val="20"/>
          <w:szCs w:val="20"/>
          <w:color w:val="auto"/>
        </w:rPr>
      </w:pPr>
      <w:r>
        <w:rPr>
          <w:rFonts w:ascii="Courier New" w:cs="Courier New" w:eastAsia="Courier New" w:hAnsi="Courier New"/>
          <w:sz w:val="16"/>
          <w:szCs w:val="16"/>
          <w:color w:val="auto"/>
        </w:rPr>
        <w:t>Inventories, which consist of purchased electronic components and systems products held for resale,</w:t>
      </w:r>
    </w:p>
    <w:p>
      <w:pPr>
        <w:ind w:left="100" w:right="3419" w:hanging="97"/>
        <w:spacing w:after="0" w:line="247" w:lineRule="auto"/>
        <w:rPr>
          <w:sz w:val="20"/>
          <w:szCs w:val="20"/>
          <w:color w:val="auto"/>
        </w:rPr>
      </w:pPr>
      <w:r>
        <w:rPr>
          <w:rFonts w:ascii="Courier New" w:cs="Courier New" w:eastAsia="Courier New" w:hAnsi="Courier New"/>
          <w:sz w:val="16"/>
          <w:szCs w:val="16"/>
          <w:color w:val="auto"/>
        </w:rPr>
        <w:t>are stated at the lower of cost or market.</w:t>
      </w:r>
      <w:r>
        <w:rPr>
          <w:sz w:val="20"/>
          <w:szCs w:val="20"/>
          <w:color w:val="auto"/>
        </w:rPr>
        <w:t xml:space="preserve"> </w:t>
      </w:r>
      <w:r>
        <w:rPr>
          <w:rFonts w:ascii="Courier New" w:cs="Courier New" w:eastAsia="Courier New" w:hAnsi="Courier New"/>
          <w:sz w:val="16"/>
          <w:szCs w:val="16"/>
          <w:color w:val="auto"/>
        </w:rPr>
        <w:t>Cost is determined on the first-in, first-out ("FIFO") method.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Incoming goods are recorded when received.</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Property and Equipment</w:t>
      </w:r>
    </w:p>
    <w:p>
      <w:pPr>
        <w:spacing w:after="0" w:line="198" w:lineRule="exact"/>
        <w:rPr>
          <w:sz w:val="20"/>
          <w:szCs w:val="20"/>
          <w:color w:val="auto"/>
        </w:rPr>
      </w:pPr>
    </w:p>
    <w:p>
      <w:pPr>
        <w:ind w:left="100" w:right="3119" w:firstLine="296"/>
        <w:spacing w:after="0" w:line="251" w:lineRule="auto"/>
        <w:rPr>
          <w:sz w:val="20"/>
          <w:szCs w:val="20"/>
          <w:color w:val="auto"/>
        </w:rPr>
      </w:pPr>
      <w:r>
        <w:rPr>
          <w:rFonts w:ascii="Courier New" w:cs="Courier New" w:eastAsia="Courier New" w:hAnsi="Courier New"/>
          <w:sz w:val="16"/>
          <w:szCs w:val="16"/>
          <w:color w:val="auto"/>
        </w:rPr>
        <w:t>Property and equipment are stated at cost. Depreciation is provided using the straight-line method over</w:t>
      </w:r>
    </w:p>
    <w:p>
      <w:pPr>
        <w:spacing w:after="0"/>
        <w:rPr>
          <w:sz w:val="20"/>
          <w:szCs w:val="20"/>
          <w:color w:val="auto"/>
        </w:rPr>
      </w:pPr>
      <w:r>
        <w:rPr>
          <w:rFonts w:ascii="Courier New" w:cs="Courier New" w:eastAsia="Courier New" w:hAnsi="Courier New"/>
          <w:sz w:val="16"/>
          <w:szCs w:val="16"/>
          <w:color w:val="auto"/>
        </w:rPr>
        <w:t>the estimated lives of the assets, ranging from three to 20 years.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Cost in Excess of Net Assets of Businesses Acquired</w:t>
      </w:r>
    </w:p>
    <w:p>
      <w:pPr>
        <w:spacing w:after="0" w:line="198" w:lineRule="exact"/>
        <w:rPr>
          <w:sz w:val="20"/>
          <w:szCs w:val="20"/>
          <w:color w:val="auto"/>
        </w:rPr>
      </w:pPr>
    </w:p>
    <w:p>
      <w:pPr>
        <w:ind w:left="100" w:right="2919" w:firstLine="296"/>
        <w:spacing w:after="0" w:line="251" w:lineRule="auto"/>
        <w:rPr>
          <w:sz w:val="20"/>
          <w:szCs w:val="20"/>
          <w:color w:val="auto"/>
        </w:rPr>
      </w:pPr>
      <w:r>
        <w:rPr>
          <w:rFonts w:ascii="Courier New" w:cs="Courier New" w:eastAsia="Courier New" w:hAnsi="Courier New"/>
          <w:sz w:val="16"/>
          <w:szCs w:val="16"/>
          <w:color w:val="auto"/>
        </w:rPr>
        <w:t>Cost in excess of net assets of businesses acquired is amortized using the straight-line method over</w:t>
      </w:r>
    </w:p>
    <w:p>
      <w:pPr>
        <w:spacing w:after="0"/>
        <w:rPr>
          <w:sz w:val="20"/>
          <w:szCs w:val="20"/>
          <w:color w:val="auto"/>
        </w:rPr>
      </w:pPr>
      <w:r>
        <w:rPr>
          <w:rFonts w:ascii="Courier New" w:cs="Courier New" w:eastAsia="Courier New" w:hAnsi="Courier New"/>
          <w:sz w:val="16"/>
          <w:szCs w:val="16"/>
          <w:color w:val="auto"/>
        </w:rPr>
        <w:t>40 years.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Covenant Not to Compete</w:t>
      </w:r>
    </w:p>
    <w:p>
      <w:pPr>
        <w:spacing w:after="0" w:line="198" w:lineRule="exact"/>
        <w:rPr>
          <w:sz w:val="20"/>
          <w:szCs w:val="20"/>
          <w:color w:val="auto"/>
        </w:rPr>
      </w:pPr>
    </w:p>
    <w:p>
      <w:pPr>
        <w:ind w:left="100" w:right="3019" w:firstLine="296"/>
        <w:spacing w:after="0" w:line="251" w:lineRule="auto"/>
        <w:rPr>
          <w:sz w:val="20"/>
          <w:szCs w:val="20"/>
          <w:color w:val="auto"/>
        </w:rPr>
      </w:pPr>
      <w:r>
        <w:rPr>
          <w:rFonts w:ascii="Courier New" w:cs="Courier New" w:eastAsia="Courier New" w:hAnsi="Courier New"/>
          <w:sz w:val="16"/>
          <w:szCs w:val="16"/>
          <w:color w:val="auto"/>
        </w:rPr>
        <w:t>The cost of the covenant not to compete, entered into in August 1988, has been amortized using the</w:t>
      </w:r>
    </w:p>
    <w:p>
      <w:pPr>
        <w:ind w:left="100" w:right="2619" w:hanging="97"/>
        <w:spacing w:after="0" w:line="247" w:lineRule="auto"/>
        <w:rPr>
          <w:sz w:val="20"/>
          <w:szCs w:val="20"/>
          <w:color w:val="auto"/>
        </w:rPr>
      </w:pPr>
      <w:r>
        <w:rPr>
          <w:rFonts w:ascii="Courier New" w:cs="Courier New" w:eastAsia="Courier New" w:hAnsi="Courier New"/>
          <w:sz w:val="16"/>
          <w:szCs w:val="16"/>
          <w:color w:val="auto"/>
        </w:rPr>
        <w:t>straight-line method over three years.</w:t>
      </w:r>
      <w:r>
        <w:rPr>
          <w:sz w:val="20"/>
          <w:szCs w:val="20"/>
          <w:color w:val="auto"/>
        </w:rPr>
        <w:t xml:space="preserve"> </w:t>
      </w:r>
      <w:r>
        <w:rPr>
          <w:rFonts w:ascii="Courier New" w:cs="Courier New" w:eastAsia="Courier New" w:hAnsi="Courier New"/>
          <w:sz w:val="16"/>
          <w:szCs w:val="16"/>
          <w:color w:val="auto"/>
        </w:rPr>
        <w:t>The covenant not to compete was fully amortized during 1991.</w:t>
      </w:r>
    </w:p>
    <w:p>
      <w:pPr>
        <w:spacing w:after="0" w:line="38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Debt Issuance Costs</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Debt issuance costs are amortized over the terms of the related debt.</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Intangibles</w:t>
      </w:r>
    </w:p>
    <w:p>
      <w:pPr>
        <w:spacing w:after="0" w:line="198" w:lineRule="exact"/>
        <w:rPr>
          <w:sz w:val="20"/>
          <w:szCs w:val="20"/>
          <w:color w:val="auto"/>
        </w:rPr>
      </w:pPr>
    </w:p>
    <w:p>
      <w:pPr>
        <w:ind w:left="100" w:right="2719" w:firstLine="296"/>
        <w:spacing w:after="0" w:line="251" w:lineRule="auto"/>
        <w:rPr>
          <w:sz w:val="20"/>
          <w:szCs w:val="20"/>
          <w:color w:val="auto"/>
        </w:rPr>
      </w:pPr>
      <w:r>
        <w:rPr>
          <w:rFonts w:ascii="Courier New" w:cs="Courier New" w:eastAsia="Courier New" w:hAnsi="Courier New"/>
          <w:sz w:val="16"/>
          <w:szCs w:val="16"/>
          <w:color w:val="auto"/>
        </w:rPr>
        <w:t>Other intangibles consist principally of customer lists, which are being amortized using the straight-line</w:t>
      </w:r>
    </w:p>
    <w:p>
      <w:pPr>
        <w:spacing w:after="0"/>
        <w:rPr>
          <w:sz w:val="20"/>
          <w:szCs w:val="20"/>
          <w:color w:val="auto"/>
        </w:rPr>
      </w:pPr>
      <w:r>
        <w:rPr>
          <w:rFonts w:ascii="Courier New" w:cs="Courier New" w:eastAsia="Courier New" w:hAnsi="Courier New"/>
          <w:sz w:val="16"/>
          <w:szCs w:val="16"/>
          <w:color w:val="auto"/>
        </w:rPr>
        <w:t>method over seven years.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Capitalized Software Development Costs</w:t>
      </w:r>
    </w:p>
    <w:p>
      <w:pPr>
        <w:spacing w:after="0" w:line="198" w:lineRule="exact"/>
        <w:rPr>
          <w:sz w:val="20"/>
          <w:szCs w:val="20"/>
          <w:color w:val="auto"/>
        </w:rPr>
      </w:pPr>
    </w:p>
    <w:p>
      <w:pPr>
        <w:ind w:left="100" w:right="2339" w:firstLine="296"/>
        <w:spacing w:after="0" w:line="251" w:lineRule="auto"/>
        <w:rPr>
          <w:sz w:val="20"/>
          <w:szCs w:val="20"/>
          <w:color w:val="auto"/>
        </w:rPr>
      </w:pPr>
      <w:r>
        <w:rPr>
          <w:rFonts w:ascii="Courier New" w:cs="Courier New" w:eastAsia="Courier New" w:hAnsi="Courier New"/>
          <w:sz w:val="16"/>
          <w:szCs w:val="16"/>
          <w:color w:val="auto"/>
        </w:rPr>
        <w:t>Direct expenses related to acquiring or developing new software applications for the Company's internal</w:t>
      </w:r>
    </w:p>
    <w:p>
      <w:pPr>
        <w:ind w:left="100" w:right="3819" w:hanging="97"/>
        <w:spacing w:after="0" w:line="251" w:lineRule="auto"/>
        <w:rPr>
          <w:sz w:val="20"/>
          <w:szCs w:val="20"/>
          <w:color w:val="auto"/>
        </w:rPr>
      </w:pPr>
      <w:r>
        <w:rPr>
          <w:rFonts w:ascii="Courier New" w:cs="Courier New" w:eastAsia="Courier New" w:hAnsi="Courier New"/>
          <w:sz w:val="16"/>
          <w:szCs w:val="16"/>
          <w:color w:val="auto"/>
        </w:rPr>
        <w:t>use are capitalized and amortized, upon implementation, using the straight-line method over the estimated</w:t>
      </w:r>
    </w:p>
    <w:p>
      <w:pPr>
        <w:spacing w:after="0"/>
        <w:rPr>
          <w:sz w:val="20"/>
          <w:szCs w:val="20"/>
          <w:color w:val="auto"/>
        </w:rPr>
      </w:pPr>
      <w:r>
        <w:rPr>
          <w:rFonts w:ascii="Courier New" w:cs="Courier New" w:eastAsia="Courier New" w:hAnsi="Courier New"/>
          <w:sz w:val="16"/>
          <w:szCs w:val="16"/>
          <w:color w:val="auto"/>
        </w:rPr>
        <w:t>useful lives of the applications, ranging from five to seven years.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Taxes</w:t>
      </w:r>
    </w:p>
    <w:p>
      <w:pPr>
        <w:spacing w:after="0" w:line="198" w:lineRule="exact"/>
        <w:rPr>
          <w:sz w:val="20"/>
          <w:szCs w:val="20"/>
          <w:color w:val="auto"/>
        </w:rPr>
      </w:pPr>
    </w:p>
    <w:p>
      <w:pPr>
        <w:ind w:left="100" w:right="3019" w:firstLine="296"/>
        <w:spacing w:after="0" w:line="251" w:lineRule="auto"/>
        <w:rPr>
          <w:sz w:val="20"/>
          <w:szCs w:val="20"/>
          <w:color w:val="auto"/>
        </w:rPr>
      </w:pPr>
      <w:r>
        <w:rPr>
          <w:rFonts w:ascii="Courier New" w:cs="Courier New" w:eastAsia="Courier New" w:hAnsi="Courier New"/>
          <w:sz w:val="16"/>
          <w:szCs w:val="16"/>
          <w:color w:val="auto"/>
        </w:rPr>
        <w:t>Deferred income taxes are recorded to reflect the tax consequences on future years resulting from</w:t>
      </w:r>
    </w:p>
    <w:p>
      <w:pPr>
        <w:ind w:left="100" w:right="2519" w:hanging="97"/>
        <w:spacing w:after="0" w:line="251" w:lineRule="auto"/>
        <w:rPr>
          <w:sz w:val="20"/>
          <w:szCs w:val="20"/>
          <w:color w:val="auto"/>
        </w:rPr>
      </w:pPr>
      <w:r>
        <w:rPr>
          <w:rFonts w:ascii="Courier New" w:cs="Courier New" w:eastAsia="Courier New" w:hAnsi="Courier New"/>
          <w:sz w:val="16"/>
          <w:szCs w:val="16"/>
          <w:color w:val="auto"/>
        </w:rPr>
        <w:t>differences between the tax bases of assets and liabilities and their reported amounts in the financial</w:t>
      </w:r>
    </w:p>
    <w:p>
      <w:pPr>
        <w:spacing w:after="0"/>
        <w:rPr>
          <w:sz w:val="20"/>
          <w:szCs w:val="20"/>
          <w:color w:val="auto"/>
        </w:rPr>
      </w:pPr>
      <w:r>
        <w:rPr>
          <w:rFonts w:ascii="Courier New" w:cs="Courier New" w:eastAsia="Courier New" w:hAnsi="Courier New"/>
          <w:sz w:val="16"/>
          <w:szCs w:val="16"/>
          <w:color w:val="auto"/>
        </w:rPr>
        <w:t>statements.</w:t>
      </w:r>
    </w:p>
    <w:p>
      <w:pPr>
        <w:spacing w:after="0" w:line="198" w:lineRule="exact"/>
        <w:rPr>
          <w:sz w:val="20"/>
          <w:szCs w:val="20"/>
          <w:color w:val="auto"/>
        </w:rPr>
      </w:pPr>
    </w:p>
    <w:p>
      <w:pPr>
        <w:ind w:left="100" w:right="2439" w:firstLine="296"/>
        <w:spacing w:after="0" w:line="251" w:lineRule="auto"/>
        <w:rPr>
          <w:sz w:val="20"/>
          <w:szCs w:val="20"/>
          <w:color w:val="auto"/>
        </w:rPr>
      </w:pPr>
      <w:r>
        <w:rPr>
          <w:rFonts w:ascii="Courier New" w:cs="Courier New" w:eastAsia="Courier New" w:hAnsi="Courier New"/>
          <w:sz w:val="16"/>
          <w:szCs w:val="16"/>
          <w:color w:val="auto"/>
        </w:rPr>
        <w:t>In February 1992, the Financial Accounting Standards Board issued Statement of Financial Accounting</w:t>
      </w:r>
    </w:p>
    <w:p>
      <w:pPr>
        <w:ind w:left="100" w:right="2339" w:hanging="97"/>
        <w:spacing w:after="0" w:line="251" w:lineRule="auto"/>
        <w:rPr>
          <w:sz w:val="20"/>
          <w:szCs w:val="20"/>
          <w:color w:val="auto"/>
        </w:rPr>
      </w:pPr>
      <w:r>
        <w:rPr>
          <w:rFonts w:ascii="Courier New" w:cs="Courier New" w:eastAsia="Courier New" w:hAnsi="Courier New"/>
          <w:sz w:val="16"/>
          <w:szCs w:val="16"/>
          <w:color w:val="auto"/>
        </w:rPr>
        <w:t>Standards No. 109 ("SFAS No. 109"), which requires changes in the accounting and reporting for income</w:t>
      </w:r>
    </w:p>
    <w:p>
      <w:pPr>
        <w:spacing w:after="0"/>
        <w:rPr>
          <w:sz w:val="20"/>
          <w:szCs w:val="20"/>
          <w:color w:val="auto"/>
        </w:rPr>
      </w:pPr>
      <w:r>
        <w:rPr>
          <w:rFonts w:ascii="Courier New" w:cs="Courier New" w:eastAsia="Courier New" w:hAnsi="Courier New"/>
          <w:sz w:val="16"/>
          <w:szCs w:val="16"/>
          <w:color w:val="auto"/>
        </w:rPr>
        <w:t>taxes and is effective for fiscal years beginning after December 15, 1992.</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Company plans to adopt</w:t>
      </w:r>
    </w:p>
    <w:p>
      <w:pPr>
        <w:spacing w:after="0" w:line="8" w:lineRule="exact"/>
        <w:rPr>
          <w:sz w:val="20"/>
          <w:szCs w:val="20"/>
          <w:color w:val="auto"/>
        </w:rPr>
      </w:pPr>
    </w:p>
    <w:p>
      <w:pPr>
        <w:ind w:left="100" w:right="2619" w:hanging="97"/>
        <w:spacing w:after="0" w:line="251" w:lineRule="auto"/>
        <w:rPr>
          <w:sz w:val="20"/>
          <w:szCs w:val="20"/>
          <w:color w:val="auto"/>
        </w:rPr>
      </w:pPr>
      <w:r>
        <w:rPr>
          <w:rFonts w:ascii="Courier New" w:cs="Courier New" w:eastAsia="Courier New" w:hAnsi="Courier New"/>
          <w:sz w:val="16"/>
          <w:szCs w:val="16"/>
          <w:color w:val="auto"/>
        </w:rPr>
        <w:t>SFAS No. 109 on a prospective basis in the first quarter of 1993 and believes that application of the new</w:t>
      </w:r>
    </w:p>
    <w:p>
      <w:pPr>
        <w:spacing w:after="0"/>
        <w:rPr>
          <w:sz w:val="20"/>
          <w:szCs w:val="20"/>
          <w:color w:val="auto"/>
        </w:rPr>
      </w:pPr>
      <w:r>
        <w:rPr>
          <w:rFonts w:ascii="Courier New" w:cs="Courier New" w:eastAsia="Courier New" w:hAnsi="Courier New"/>
          <w:sz w:val="16"/>
          <w:szCs w:val="16"/>
          <w:color w:val="auto"/>
        </w:rPr>
        <w:t>rules will virtually eliminate the Company's existing deferred tax liabilities.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w:t>
      </w:r>
    </w:p>
    <w:p>
      <w:pPr>
        <w:spacing w:after="0" w:line="198" w:lineRule="exact"/>
        <w:rPr>
          <w:sz w:val="20"/>
          <w:szCs w:val="20"/>
          <w:color w:val="auto"/>
        </w:rPr>
      </w:pPr>
    </w:p>
    <w:p>
      <w:pPr>
        <w:ind w:left="400"/>
        <w:spacing w:after="0"/>
        <w:tabs>
          <w:tab w:leader="none" w:pos="5500" w:val="left"/>
        </w:tabs>
        <w:rPr>
          <w:sz w:val="20"/>
          <w:szCs w:val="20"/>
          <w:color w:val="auto"/>
        </w:rPr>
      </w:pPr>
      <w:r>
        <w:rPr>
          <w:rFonts w:ascii="Courier New" w:cs="Courier New" w:eastAsia="Courier New" w:hAnsi="Courier New"/>
          <w:sz w:val="16"/>
          <w:szCs w:val="16"/>
          <w:color w:val="auto"/>
        </w:rPr>
        <w:t>Other consists primarily of long-term investments.</w:t>
        <w:tab/>
        <w:t>Long-term investments</w:t>
      </w:r>
    </w:p>
    <w:p>
      <w:pPr>
        <w:sectPr>
          <w:pgSz w:w="11900" w:h="16838" w:orient="portrait"/>
          <w:cols w:equalWidth="0" w:num="1">
            <w:col w:w="10219"/>
          </w:cols>
          <w:pgMar w:left="240" w:top="496" w:right="1440" w:bottom="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6"/>
          <w:szCs w:val="16"/>
          <w:color w:val="auto"/>
        </w:rPr>
        <w:t>are carried at the lower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aggregate cost or market.</w:t>
      </w:r>
    </w:p>
    <w:p>
      <w:pPr>
        <w:sectPr>
          <w:pgSz w:w="11900" w:h="16838" w:orient="portrait"/>
          <w:cols w:equalWidth="0" w:num="1">
            <w:col w:w="10219"/>
          </w:cols>
          <w:pgMar w:left="240" w:top="142" w:right="1440" w:bottom="1440"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306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20"/>
                <w:szCs w:val="20"/>
                <w:color w:val="auto"/>
              </w:rPr>
            </w:pPr>
            <w:r>
              <w:rPr>
                <w:rFonts w:ascii="Courier New" w:cs="Courier New" w:eastAsia="Courier New" w:hAnsi="Courier New"/>
                <w:sz w:val="16"/>
                <w:szCs w:val="16"/>
                <w:color w:val="auto"/>
              </w:rPr>
              <w:t>(2)  Property and Equipment</w:t>
            </w: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9"/>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Property and equipment consists of:</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1992</w:t>
            </w:r>
          </w:p>
        </w:tc>
        <w:tc>
          <w:tcPr>
            <w:tcW w:w="15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 thousands)</w:t>
            </w:r>
          </w:p>
        </w:tc>
      </w:tr>
      <w:tr>
        <w:trPr>
          <w:trHeight w:val="379"/>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Land</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1,605</w:t>
            </w:r>
          </w:p>
        </w:tc>
        <w:tc>
          <w:tcPr>
            <w:tcW w:w="1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$ 1,605</w:t>
            </w:r>
          </w:p>
        </w:tc>
      </w:tr>
      <w:tr>
        <w:trPr>
          <w:trHeight w:val="190"/>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Buildings and leasehold improvements</w:t>
            </w:r>
          </w:p>
        </w:tc>
        <w:tc>
          <w:tcPr>
            <w:tcW w:w="9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12,036</w:t>
            </w:r>
          </w:p>
        </w:tc>
        <w:tc>
          <w:tcPr>
            <w:tcW w:w="1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11,815</w:t>
            </w:r>
          </w:p>
        </w:tc>
      </w:tr>
      <w:tr>
        <w:trPr>
          <w:trHeight w:val="190"/>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Machinery and equipment</w:t>
            </w:r>
          </w:p>
        </w:tc>
        <w:tc>
          <w:tcPr>
            <w:tcW w:w="9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21,609</w:t>
            </w:r>
          </w:p>
        </w:tc>
        <w:tc>
          <w:tcPr>
            <w:tcW w:w="1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19,947</w:t>
            </w:r>
          </w:p>
        </w:tc>
      </w:t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35,250</w:t>
            </w:r>
          </w:p>
        </w:tc>
        <w:tc>
          <w:tcPr>
            <w:tcW w:w="1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33,367</w:t>
            </w:r>
          </w:p>
        </w:tc>
      </w:tr>
      <w:tr>
        <w:trPr>
          <w:trHeight w:val="190"/>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Less allowance for depreciation and amortization</w:t>
            </w: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(22,703)</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(19,702)</w:t>
            </w:r>
          </w:p>
        </w:tc>
      </w:tr>
      <w:tr>
        <w:trPr>
          <w:trHeight w:val="190"/>
        </w:trPr>
        <w:tc>
          <w:tcPr>
            <w:tcW w:w="5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12,547</w:t>
            </w:r>
          </w:p>
        </w:tc>
        <w:tc>
          <w:tcPr>
            <w:tcW w:w="1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$13,665</w:t>
            </w:r>
          </w:p>
        </w:tc>
      </w:tr>
      <w:tr>
        <w:trPr>
          <w:trHeight w:val="379"/>
        </w:trPr>
        <w:tc>
          <w:tcPr>
            <w:tcW w:w="6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Depreciation and amortization expense was $3,703,000, $3,735,000</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and</w:t>
            </w:r>
          </w:p>
        </w:tc>
        <w:tc>
          <w:tcPr>
            <w:tcW w:w="1580" w:type="dxa"/>
            <w:vAlign w:val="bottom"/>
          </w:tcPr>
          <w:p>
            <w:pPr>
              <w:spacing w:after="0"/>
              <w:rPr>
                <w:sz w:val="24"/>
                <w:szCs w:val="24"/>
                <w:color w:val="auto"/>
              </w:rPr>
            </w:pPr>
          </w:p>
        </w:tc>
      </w:tr>
    </w:tbl>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$4,093,000 for fiscal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 1991, and 1990, respectively.</w:t>
      </w:r>
    </w:p>
    <w:p>
      <w:pPr>
        <w:spacing w:after="0" w:line="198" w:lineRule="exact"/>
        <w:rPr>
          <w:sz w:val="20"/>
          <w:szCs w:val="20"/>
          <w:color w:val="auto"/>
        </w:rPr>
      </w:pPr>
    </w:p>
    <w:p>
      <w:pPr>
        <w:ind w:left="100" w:right="2919" w:firstLine="296"/>
        <w:spacing w:after="0" w:line="251" w:lineRule="auto"/>
        <w:rPr>
          <w:sz w:val="20"/>
          <w:szCs w:val="20"/>
          <w:color w:val="auto"/>
        </w:rPr>
      </w:pPr>
      <w:r>
        <w:rPr>
          <w:rFonts w:ascii="Courier New" w:cs="Courier New" w:eastAsia="Courier New" w:hAnsi="Courier New"/>
          <w:sz w:val="16"/>
          <w:szCs w:val="16"/>
          <w:color w:val="auto"/>
        </w:rPr>
        <w:t>In January 1991, the Company sold its Huntsville, Alabama facility for approximately $1,680,000 in cash</w:t>
      </w:r>
    </w:p>
    <w:p>
      <w:pPr>
        <w:ind w:left="100" w:right="2719" w:hanging="97"/>
        <w:spacing w:after="0" w:line="247" w:lineRule="auto"/>
        <w:rPr>
          <w:sz w:val="20"/>
          <w:szCs w:val="20"/>
          <w:color w:val="auto"/>
        </w:rPr>
      </w:pPr>
      <w:r>
        <w:rPr>
          <w:rFonts w:ascii="Courier New" w:cs="Courier New" w:eastAsia="Courier New" w:hAnsi="Courier New"/>
          <w:sz w:val="16"/>
          <w:szCs w:val="16"/>
          <w:color w:val="auto"/>
        </w:rPr>
        <w:t>resulting in a pre-tax gain of $1,414,000.</w:t>
      </w:r>
      <w:r>
        <w:rPr>
          <w:sz w:val="20"/>
          <w:szCs w:val="20"/>
          <w:color w:val="auto"/>
        </w:rPr>
        <w:t xml:space="preserve"> </w:t>
      </w:r>
      <w:r>
        <w:rPr>
          <w:rFonts w:ascii="Courier New" w:cs="Courier New" w:eastAsia="Courier New" w:hAnsi="Courier New"/>
          <w:sz w:val="16"/>
          <w:szCs w:val="16"/>
          <w:color w:val="auto"/>
        </w:rPr>
        <w:t>The branch previously located in this facility has relocated to</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leased office space.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(3)</w:t>
            </w:r>
          </w:p>
        </w:tc>
        <w:tc>
          <w:tcPr>
            <w:tcW w:w="5880" w:type="dxa"/>
            <w:vAlign w:val="bottom"/>
          </w:tcPr>
          <w:p>
            <w:pPr>
              <w:ind w:left="160"/>
              <w:spacing w:after="0"/>
              <w:rPr>
                <w:sz w:val="20"/>
                <w:szCs w:val="20"/>
                <w:color w:val="auto"/>
              </w:rPr>
            </w:pPr>
            <w:r>
              <w:rPr>
                <w:rFonts w:ascii="Courier New" w:cs="Courier New" w:eastAsia="Courier New" w:hAnsi="Courier New"/>
                <w:sz w:val="16"/>
                <w:szCs w:val="16"/>
                <w:color w:val="auto"/>
              </w:rPr>
              <w:t>Other Assets</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9"/>
        </w:trPr>
        <w:tc>
          <w:tcPr>
            <w:tcW w:w="340" w:type="dxa"/>
            <w:vAlign w:val="bottom"/>
          </w:tcPr>
          <w:p>
            <w:pPr>
              <w:spacing w:after="0"/>
              <w:rPr>
                <w:sz w:val="24"/>
                <w:szCs w:val="24"/>
                <w:color w:val="auto"/>
              </w:rPr>
            </w:pP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Allowance for amortization of other assets consists of:</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9"/>
        </w:trPr>
        <w:tc>
          <w:tcPr>
            <w:tcW w:w="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10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(In thousands)</w:t>
            </w:r>
          </w:p>
        </w:tc>
      </w:tr>
      <w:tr>
        <w:trPr>
          <w:trHeight w:val="379"/>
        </w:trPr>
        <w:tc>
          <w:tcPr>
            <w:tcW w:w="340" w:type="dxa"/>
            <w:vAlign w:val="bottom"/>
          </w:tcPr>
          <w:p>
            <w:pPr>
              <w:spacing w:after="0"/>
              <w:rPr>
                <w:sz w:val="24"/>
                <w:szCs w:val="24"/>
                <w:color w:val="auto"/>
              </w:rPr>
            </w:pP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Cost in excess of assets of business acquired</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4,169</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3,232</w:t>
            </w:r>
          </w:p>
        </w:tc>
      </w:tr>
      <w:tr>
        <w:trPr>
          <w:trHeight w:val="190"/>
        </w:trPr>
        <w:tc>
          <w:tcPr>
            <w:tcW w:w="340" w:type="dxa"/>
            <w:vAlign w:val="bottom"/>
          </w:tcPr>
          <w:p>
            <w:pPr>
              <w:spacing w:after="0"/>
              <w:rPr>
                <w:sz w:val="16"/>
                <w:szCs w:val="16"/>
                <w:color w:val="auto"/>
              </w:rPr>
            </w:pP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Debt issuance costs</w:t>
            </w:r>
          </w:p>
        </w:tc>
        <w:tc>
          <w:tcPr>
            <w:tcW w:w="5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296</w:t>
            </w:r>
          </w:p>
        </w:tc>
        <w:tc>
          <w:tcPr>
            <w:tcW w:w="1040" w:type="dxa"/>
            <w:vAlign w:val="bottom"/>
          </w:tcPr>
          <w:p>
            <w:pPr>
              <w:spacing w:after="0"/>
              <w:rPr>
                <w:sz w:val="16"/>
                <w:szCs w:val="16"/>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1,973</w:t>
            </w:r>
          </w:p>
        </w:tc>
      </w:tr>
      <w:tr>
        <w:trPr>
          <w:trHeight w:val="190"/>
        </w:trPr>
        <w:tc>
          <w:tcPr>
            <w:tcW w:w="340" w:type="dxa"/>
            <w:vAlign w:val="bottom"/>
          </w:tcPr>
          <w:p>
            <w:pPr>
              <w:spacing w:after="0"/>
              <w:rPr>
                <w:sz w:val="16"/>
                <w:szCs w:val="16"/>
                <w:color w:val="auto"/>
              </w:rPr>
            </w:pP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Other intangibles</w:t>
            </w:r>
          </w:p>
        </w:tc>
        <w:tc>
          <w:tcPr>
            <w:tcW w:w="5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2,800</w:t>
            </w:r>
          </w:p>
        </w:tc>
        <w:tc>
          <w:tcPr>
            <w:tcW w:w="1040" w:type="dxa"/>
            <w:vAlign w:val="bottom"/>
          </w:tcPr>
          <w:p>
            <w:pPr>
              <w:spacing w:after="0"/>
              <w:rPr>
                <w:sz w:val="16"/>
                <w:szCs w:val="16"/>
                <w:color w:val="auto"/>
              </w:rPr>
            </w:pP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2,383</w:t>
            </w:r>
          </w:p>
        </w:tc>
      </w:tr>
      <w:tr>
        <w:trPr>
          <w:trHeight w:val="379"/>
        </w:trPr>
        <w:tc>
          <w:tcPr>
            <w:tcW w:w="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7,265</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7,588</w:t>
            </w:r>
          </w:p>
        </w:tc>
      </w:tr>
      <w:tr>
        <w:trPr>
          <w:trHeight w:val="379"/>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(4)</w:t>
            </w:r>
          </w:p>
        </w:tc>
        <w:tc>
          <w:tcPr>
            <w:tcW w:w="5880" w:type="dxa"/>
            <w:vAlign w:val="bottom"/>
          </w:tcPr>
          <w:p>
            <w:pPr>
              <w:ind w:left="160"/>
              <w:spacing w:after="0"/>
              <w:rPr>
                <w:sz w:val="20"/>
                <w:szCs w:val="20"/>
                <w:color w:val="auto"/>
              </w:rPr>
            </w:pPr>
            <w:r>
              <w:rPr>
                <w:rFonts w:ascii="Courier New" w:cs="Courier New" w:eastAsia="Courier New" w:hAnsi="Courier New"/>
                <w:sz w:val="16"/>
                <w:szCs w:val="16"/>
                <w:color w:val="auto"/>
              </w:rPr>
              <w:t>Other Accrued Liabilities</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94" w:lineRule="exact"/>
        <w:rPr>
          <w:sz w:val="20"/>
          <w:szCs w:val="20"/>
          <w:color w:val="auto"/>
        </w:rPr>
      </w:pPr>
    </w:p>
    <w:p>
      <w:pPr>
        <w:ind w:right="2719" w:firstLine="394"/>
        <w:spacing w:after="0" w:line="251" w:lineRule="auto"/>
        <w:rPr>
          <w:sz w:val="20"/>
          <w:szCs w:val="20"/>
          <w:color w:val="auto"/>
        </w:rPr>
      </w:pPr>
      <w:r>
        <w:rPr>
          <w:rFonts w:ascii="Courier New" w:cs="Courier New" w:eastAsia="Courier New" w:hAnsi="Courier New"/>
          <w:sz w:val="16"/>
          <w:szCs w:val="16"/>
          <w:color w:val="auto"/>
        </w:rPr>
        <w:t>Other accrued liabilities include accrued payroll costs of approximately $3,586,000 and $2,676,000 as</w:t>
      </w:r>
    </w:p>
    <w:p>
      <w:pPr>
        <w:spacing w:after="0"/>
        <w:rPr>
          <w:sz w:val="20"/>
          <w:szCs w:val="20"/>
          <w:color w:val="auto"/>
        </w:rPr>
      </w:pPr>
      <w:r>
        <w:rPr>
          <w:rFonts w:ascii="Courier New" w:cs="Courier New" w:eastAsia="Courier New" w:hAnsi="Courier New"/>
          <w:sz w:val="16"/>
          <w:szCs w:val="16"/>
          <w:color w:val="auto"/>
        </w:rPr>
        <w:t>of December 31, 1992 and 1991, respectively.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20"/>
                <w:szCs w:val="20"/>
                <w:color w:val="auto"/>
              </w:rPr>
            </w:pPr>
            <w:r>
              <w:rPr>
                <w:rFonts w:ascii="Courier New" w:cs="Courier New" w:eastAsia="Courier New" w:hAnsi="Courier New"/>
                <w:sz w:val="16"/>
                <w:szCs w:val="16"/>
                <w:color w:val="auto"/>
              </w:rPr>
              <w:t>(5)  Long-Term Debt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9"/>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Long-term debt consists of:</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9"/>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1992</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 thousands)</w:t>
            </w:r>
          </w:p>
        </w:tc>
      </w:tr>
      <w:tr>
        <w:trPr>
          <w:trHeight w:val="190"/>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Revolving bank borrowings pursuant to a senior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credit agreement due July 31, 1997 . . . . .</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$ 108,240</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w:t>
            </w:r>
          </w:p>
        </w:tc>
      </w:tr>
      <w:tr>
        <w:trPr>
          <w:trHeight w:val="190"/>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Revolving bank borrowings pursuant to a senior credit agreement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due August 31, 1996. . . . . . . . . . . . . . . . .</w:t>
            </w:r>
          </w:p>
        </w:tc>
        <w:tc>
          <w:tcPr>
            <w:tcW w:w="16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74,016</w:t>
            </w:r>
          </w:p>
        </w:tc>
      </w:tr>
      <w:tr>
        <w:trPr>
          <w:trHeight w:val="190"/>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Senior Subordinated Notes due December 1, 1996 . . . . . . . .</w:t>
            </w:r>
          </w:p>
        </w:tc>
        <w:tc>
          <w:tcPr>
            <w:tcW w:w="16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44,564</w:t>
            </w:r>
          </w:p>
        </w:tc>
      </w:tr>
      <w:tr>
        <w:trPr>
          <w:trHeight w:val="190"/>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Junior Subordinated Notes due December 1, 1999 . . . . . . . .</w:t>
            </w:r>
          </w:p>
        </w:tc>
        <w:tc>
          <w:tcPr>
            <w:tcW w:w="160" w:type="dxa"/>
            <w:vAlign w:val="bottom"/>
          </w:tcPr>
          <w:p>
            <w:pPr>
              <w:spacing w:after="0"/>
              <w:rPr>
                <w:sz w:val="16"/>
                <w:szCs w:val="16"/>
                <w:color w:val="auto"/>
              </w:rPr>
            </w:pPr>
          </w:p>
        </w:tc>
        <w:tc>
          <w:tcPr>
            <w:tcW w:w="13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28,657</w:t>
            </w:r>
          </w:p>
        </w:tc>
      </w:tr>
      <w:tr>
        <w:trPr>
          <w:trHeight w:val="190"/>
        </w:trPr>
        <w:tc>
          <w:tcPr>
            <w:tcW w:w="808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9 1/8% note, due January 31, 2008, payable in monthly installments</w:t>
            </w:r>
          </w:p>
        </w:tc>
        <w:tc>
          <w:tcPr>
            <w:tcW w:w="1580" w:type="dxa"/>
            <w:vAlign w:val="bottom"/>
          </w:tcPr>
          <w:p>
            <w:pPr>
              <w:spacing w:after="0"/>
              <w:rPr>
                <w:sz w:val="16"/>
                <w:szCs w:val="16"/>
                <w:color w:val="auto"/>
              </w:rPr>
            </w:pPr>
          </w:p>
        </w:tc>
      </w:tr>
      <w:tr>
        <w:trPr>
          <w:trHeight w:val="190"/>
        </w:trPr>
        <w:tc>
          <w:tcPr>
            <w:tcW w:w="676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of $12,000 including principal and interest, collateralized by</w:t>
            </w: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land, buildings and improvements, and callable at the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lender's option in 1998. . . . . . . . . . . . . . .</w:t>
            </w:r>
          </w:p>
        </w:tc>
        <w:tc>
          <w:tcPr>
            <w:tcW w:w="160" w:type="dxa"/>
            <w:vAlign w:val="bottom"/>
          </w:tcPr>
          <w:p>
            <w:pPr>
              <w:spacing w:after="0"/>
              <w:rPr>
                <w:sz w:val="16"/>
                <w:szCs w:val="16"/>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1,163</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1,197</w:t>
            </w:r>
          </w:p>
        </w:tc>
      </w:tr>
      <w:tr>
        <w:trPr>
          <w:trHeight w:val="190"/>
        </w:trPr>
        <w:tc>
          <w:tcPr>
            <w:tcW w:w="808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10 3/8% note, due February 1, 2011, payable in monthly installments</w:t>
            </w:r>
          </w:p>
        </w:tc>
        <w:tc>
          <w:tcPr>
            <w:tcW w:w="15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of $4,000 including principal and interest, collateralized by</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0"/>
        </w:trPr>
        <w:tc>
          <w:tcPr>
            <w:tcW w:w="6600" w:type="dxa"/>
            <w:vAlign w:val="bottom"/>
          </w:tcPr>
          <w:p>
            <w:pPr>
              <w:ind w:left="600"/>
              <w:spacing w:after="0"/>
              <w:rPr>
                <w:sz w:val="20"/>
                <w:szCs w:val="20"/>
                <w:color w:val="auto"/>
              </w:rPr>
            </w:pPr>
            <w:r>
              <w:rPr>
                <w:rFonts w:ascii="Courier New" w:cs="Courier New" w:eastAsia="Courier New" w:hAnsi="Courier New"/>
                <w:sz w:val="16"/>
                <w:szCs w:val="16"/>
                <w:color w:val="auto"/>
              </w:rPr>
              <w:t>land, buildings and improvements . . . . . . . . . .</w:t>
            </w:r>
          </w:p>
        </w:tc>
        <w:tc>
          <w:tcPr>
            <w:tcW w:w="160" w:type="dxa"/>
            <w:vAlign w:val="bottom"/>
          </w:tcPr>
          <w:p>
            <w:pPr>
              <w:spacing w:after="0"/>
              <w:rPr>
                <w:sz w:val="16"/>
                <w:szCs w:val="16"/>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399</w:t>
            </w:r>
          </w:p>
        </w:tc>
        <w:tc>
          <w:tcPr>
            <w:tcW w:w="1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406</w:t>
            </w: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109,802</w:t>
            </w:r>
          </w:p>
        </w:tc>
        <w:tc>
          <w:tcPr>
            <w:tcW w:w="1580" w:type="dxa"/>
            <w:vAlign w:val="bottom"/>
          </w:tcPr>
          <w:p>
            <w:pPr>
              <w:ind w:left="700"/>
              <w:spacing w:after="0"/>
              <w:rPr>
                <w:sz w:val="20"/>
                <w:szCs w:val="20"/>
                <w:color w:val="auto"/>
              </w:rPr>
            </w:pPr>
            <w:r>
              <w:rPr>
                <w:rFonts w:ascii="Courier New" w:cs="Courier New" w:eastAsia="Courier New" w:hAnsi="Courier New"/>
                <w:sz w:val="16"/>
                <w:szCs w:val="16"/>
                <w:color w:val="auto"/>
              </w:rPr>
              <w:t>148,840</w:t>
            </w:r>
          </w:p>
        </w:tc>
      </w:tr>
      <w:tr>
        <w:trPr>
          <w:trHeight w:val="190"/>
        </w:trPr>
        <w:tc>
          <w:tcPr>
            <w:tcW w:w="6600" w:type="dxa"/>
            <w:vAlign w:val="bottom"/>
          </w:tcPr>
          <w:p>
            <w:pPr>
              <w:ind w:left="400"/>
              <w:spacing w:after="0"/>
              <w:rPr>
                <w:sz w:val="20"/>
                <w:szCs w:val="20"/>
                <w:color w:val="auto"/>
              </w:rPr>
            </w:pPr>
            <w:r>
              <w:rPr>
                <w:rFonts w:ascii="Courier New" w:cs="Courier New" w:eastAsia="Courier New" w:hAnsi="Courier New"/>
                <w:sz w:val="16"/>
                <w:szCs w:val="16"/>
                <w:color w:val="auto"/>
              </w:rPr>
              <w:t>Less current maturities. . . . . . . .</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8"/>
              </w:rPr>
              <w:t>. . .(46)</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(42)</w:t>
            </w: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$ 109,756</w:t>
            </w:r>
          </w:p>
        </w:tc>
        <w:tc>
          <w:tcPr>
            <w:tcW w:w="1580" w:type="dxa"/>
            <w:vAlign w:val="bottom"/>
          </w:tcPr>
          <w:p>
            <w:pPr>
              <w:ind w:left="700"/>
              <w:spacing w:after="0"/>
              <w:rPr>
                <w:sz w:val="20"/>
                <w:szCs w:val="20"/>
                <w:color w:val="auto"/>
              </w:rPr>
            </w:pPr>
            <w:r>
              <w:rPr>
                <w:rFonts w:ascii="Courier New" w:cs="Courier New" w:eastAsia="Courier New" w:hAnsi="Courier New"/>
                <w:sz w:val="16"/>
                <w:szCs w:val="16"/>
                <w:color w:val="auto"/>
              </w:rPr>
              <w:t>$148,798</w:t>
            </w:r>
          </w:p>
        </w:tc>
      </w:tr>
      <w:tr>
        <w:trPr>
          <w:trHeight w:val="379"/>
        </w:trPr>
        <w:tc>
          <w:tcPr>
            <w:tcW w:w="808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Scheduled maturities of long-term debt are as follows (in thousands):</w:t>
            </w:r>
          </w:p>
        </w:tc>
        <w:tc>
          <w:tcPr>
            <w:tcW w:w="1580" w:type="dxa"/>
            <w:vAlign w:val="bottom"/>
          </w:tcPr>
          <w:p>
            <w:pPr>
              <w:spacing w:after="0"/>
              <w:rPr>
                <w:sz w:val="24"/>
                <w:szCs w:val="24"/>
                <w:color w:val="auto"/>
              </w:rPr>
            </w:pPr>
          </w:p>
        </w:tc>
      </w:tr>
      <w:tr>
        <w:trPr>
          <w:trHeight w:val="379"/>
        </w:trPr>
        <w:tc>
          <w:tcPr>
            <w:tcW w:w="6600" w:type="dxa"/>
            <w:vAlign w:val="bottom"/>
          </w:tcPr>
          <w:p>
            <w:pPr>
              <w:ind w:left="2360"/>
              <w:spacing w:after="0"/>
              <w:rPr>
                <w:sz w:val="20"/>
                <w:szCs w:val="20"/>
                <w:color w:val="auto"/>
              </w:rPr>
            </w:pPr>
            <w:r>
              <w:rPr>
                <w:rFonts w:ascii="Courier New" w:cs="Courier New" w:eastAsia="Courier New" w:hAnsi="Courier New"/>
                <w:sz w:val="16"/>
                <w:szCs w:val="16"/>
                <w:color w:val="auto"/>
              </w:rPr>
              <w:t>1993 . . . . . . . . . . . . . . . . . . .</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46</w:t>
            </w:r>
          </w:p>
        </w:tc>
        <w:tc>
          <w:tcPr>
            <w:tcW w:w="1580" w:type="dxa"/>
            <w:vAlign w:val="bottom"/>
          </w:tcPr>
          <w:p>
            <w:pPr>
              <w:spacing w:after="0"/>
              <w:rPr>
                <w:sz w:val="24"/>
                <w:szCs w:val="24"/>
                <w:color w:val="auto"/>
              </w:rPr>
            </w:pPr>
          </w:p>
        </w:tc>
      </w:tr>
      <w:tr>
        <w:trPr>
          <w:trHeight w:val="190"/>
        </w:trPr>
        <w:tc>
          <w:tcPr>
            <w:tcW w:w="6600" w:type="dxa"/>
            <w:vAlign w:val="bottom"/>
          </w:tcPr>
          <w:p>
            <w:pPr>
              <w:ind w:left="2360"/>
              <w:spacing w:after="0"/>
              <w:rPr>
                <w:sz w:val="20"/>
                <w:szCs w:val="20"/>
                <w:color w:val="auto"/>
              </w:rPr>
            </w:pPr>
            <w:r>
              <w:rPr>
                <w:rFonts w:ascii="Courier New" w:cs="Courier New" w:eastAsia="Courier New" w:hAnsi="Courier New"/>
                <w:sz w:val="16"/>
                <w:szCs w:val="16"/>
                <w:color w:val="auto"/>
              </w:rPr>
              <w:t>1994 . . . . . . . . . . . . . . . . . . .</w:t>
            </w:r>
          </w:p>
        </w:tc>
        <w:tc>
          <w:tcPr>
            <w:tcW w:w="160" w:type="dxa"/>
            <w:vAlign w:val="bottom"/>
          </w:tcPr>
          <w:p>
            <w:pPr>
              <w:spacing w:after="0"/>
              <w:rPr>
                <w:sz w:val="16"/>
                <w:szCs w:val="16"/>
                <w:color w:val="auto"/>
              </w:rPr>
            </w:pP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51</w:t>
            </w:r>
          </w:p>
        </w:tc>
        <w:tc>
          <w:tcPr>
            <w:tcW w:w="1580" w:type="dxa"/>
            <w:vAlign w:val="bottom"/>
          </w:tcPr>
          <w:p>
            <w:pPr>
              <w:spacing w:after="0"/>
              <w:rPr>
                <w:sz w:val="16"/>
                <w:szCs w:val="16"/>
                <w:color w:val="auto"/>
              </w:rPr>
            </w:pPr>
          </w:p>
        </w:tc>
      </w:tr>
      <w:tr>
        <w:trPr>
          <w:trHeight w:val="190"/>
        </w:trPr>
        <w:tc>
          <w:tcPr>
            <w:tcW w:w="6600" w:type="dxa"/>
            <w:vAlign w:val="bottom"/>
          </w:tcPr>
          <w:p>
            <w:pPr>
              <w:ind w:left="2360"/>
              <w:spacing w:after="0"/>
              <w:rPr>
                <w:sz w:val="20"/>
                <w:szCs w:val="20"/>
                <w:color w:val="auto"/>
              </w:rPr>
            </w:pPr>
            <w:r>
              <w:rPr>
                <w:rFonts w:ascii="Courier New" w:cs="Courier New" w:eastAsia="Courier New" w:hAnsi="Courier New"/>
                <w:sz w:val="16"/>
                <w:szCs w:val="16"/>
                <w:color w:val="auto"/>
              </w:rPr>
              <w:t>1995 . . . . . . . . . . . . . . . . . . .</w:t>
            </w:r>
          </w:p>
        </w:tc>
        <w:tc>
          <w:tcPr>
            <w:tcW w:w="160" w:type="dxa"/>
            <w:vAlign w:val="bottom"/>
          </w:tcPr>
          <w:p>
            <w:pPr>
              <w:spacing w:after="0"/>
              <w:rPr>
                <w:sz w:val="16"/>
                <w:szCs w:val="16"/>
                <w:color w:val="auto"/>
              </w:rPr>
            </w:pP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55</w:t>
            </w:r>
          </w:p>
        </w:tc>
        <w:tc>
          <w:tcPr>
            <w:tcW w:w="1580" w:type="dxa"/>
            <w:vAlign w:val="bottom"/>
          </w:tcPr>
          <w:p>
            <w:pPr>
              <w:spacing w:after="0"/>
              <w:rPr>
                <w:sz w:val="16"/>
                <w:szCs w:val="16"/>
                <w:color w:val="auto"/>
              </w:rPr>
            </w:pPr>
          </w:p>
        </w:tc>
      </w:tr>
      <w:tr>
        <w:trPr>
          <w:trHeight w:val="190"/>
        </w:trPr>
        <w:tc>
          <w:tcPr>
            <w:tcW w:w="6600" w:type="dxa"/>
            <w:vAlign w:val="bottom"/>
          </w:tcPr>
          <w:p>
            <w:pPr>
              <w:ind w:left="2360"/>
              <w:spacing w:after="0"/>
              <w:rPr>
                <w:sz w:val="20"/>
                <w:szCs w:val="20"/>
                <w:color w:val="auto"/>
              </w:rPr>
            </w:pPr>
            <w:r>
              <w:rPr>
                <w:rFonts w:ascii="Courier New" w:cs="Courier New" w:eastAsia="Courier New" w:hAnsi="Courier New"/>
                <w:sz w:val="16"/>
                <w:szCs w:val="16"/>
                <w:color w:val="auto"/>
              </w:rPr>
              <w:t>1996 . . . . . . . . . . . . . . . . . . .</w:t>
            </w:r>
          </w:p>
        </w:tc>
        <w:tc>
          <w:tcPr>
            <w:tcW w:w="160" w:type="dxa"/>
            <w:vAlign w:val="bottom"/>
          </w:tcPr>
          <w:p>
            <w:pPr>
              <w:spacing w:after="0"/>
              <w:rPr>
                <w:sz w:val="16"/>
                <w:szCs w:val="16"/>
                <w:color w:val="auto"/>
              </w:rPr>
            </w:pP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61</w:t>
            </w:r>
          </w:p>
        </w:tc>
        <w:tc>
          <w:tcPr>
            <w:tcW w:w="1580" w:type="dxa"/>
            <w:vAlign w:val="bottom"/>
          </w:tcPr>
          <w:p>
            <w:pPr>
              <w:spacing w:after="0"/>
              <w:rPr>
                <w:sz w:val="16"/>
                <w:szCs w:val="16"/>
                <w:color w:val="auto"/>
              </w:rPr>
            </w:pPr>
          </w:p>
        </w:tc>
      </w:tr>
      <w:tr>
        <w:trPr>
          <w:trHeight w:val="190"/>
        </w:trPr>
        <w:tc>
          <w:tcPr>
            <w:tcW w:w="6600" w:type="dxa"/>
            <w:vAlign w:val="bottom"/>
          </w:tcPr>
          <w:p>
            <w:pPr>
              <w:ind w:left="2360"/>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16"/>
                <w:szCs w:val="16"/>
                <w:color w:val="auto"/>
              </w:rPr>
            </w:pP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108,307</w:t>
            </w:r>
          </w:p>
        </w:tc>
        <w:tc>
          <w:tcPr>
            <w:tcW w:w="1580" w:type="dxa"/>
            <w:vAlign w:val="bottom"/>
          </w:tcPr>
          <w:p>
            <w:pPr>
              <w:spacing w:after="0"/>
              <w:rPr>
                <w:sz w:val="16"/>
                <w:szCs w:val="16"/>
                <w:color w:val="auto"/>
              </w:rPr>
            </w:pPr>
          </w:p>
        </w:tc>
      </w:tr>
      <w:tr>
        <w:trPr>
          <w:trHeight w:val="190"/>
        </w:trPr>
        <w:tc>
          <w:tcPr>
            <w:tcW w:w="6600" w:type="dxa"/>
            <w:vAlign w:val="bottom"/>
          </w:tcPr>
          <w:p>
            <w:pPr>
              <w:ind w:left="2360"/>
              <w:spacing w:after="0"/>
              <w:rPr>
                <w:sz w:val="20"/>
                <w:szCs w:val="20"/>
                <w:color w:val="auto"/>
              </w:rPr>
            </w:pPr>
            <w:r>
              <w:rPr>
                <w:rFonts w:ascii="Courier New" w:cs="Courier New" w:eastAsia="Courier New" w:hAnsi="Courier New"/>
                <w:sz w:val="16"/>
                <w:szCs w:val="16"/>
                <w:color w:val="auto"/>
              </w:rPr>
              <w:t>Thereafter . . . . . . . . . . . . . . . .</w:t>
            </w:r>
          </w:p>
        </w:tc>
        <w:tc>
          <w:tcPr>
            <w:tcW w:w="160" w:type="dxa"/>
            <w:vAlign w:val="bottom"/>
          </w:tcPr>
          <w:p>
            <w:pPr>
              <w:spacing w:after="0"/>
              <w:rPr>
                <w:sz w:val="16"/>
                <w:szCs w:val="16"/>
                <w:color w:val="auto"/>
              </w:rPr>
            </w:pP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1,282</w:t>
            </w:r>
          </w:p>
        </w:tc>
        <w:tc>
          <w:tcPr>
            <w:tcW w:w="1580" w:type="dxa"/>
            <w:vAlign w:val="bottom"/>
          </w:tcPr>
          <w:p>
            <w:pPr>
              <w:spacing w:after="0"/>
              <w:rPr>
                <w:sz w:val="16"/>
                <w:szCs w:val="16"/>
                <w:color w:val="auto"/>
              </w:rPr>
            </w:pPr>
          </w:p>
        </w:tc>
      </w:tr>
    </w:tbl>
    <w:p>
      <w:pPr>
        <w:sectPr>
          <w:pgSz w:w="11900" w:h="16838" w:orient="portrait"/>
          <w:cols w:equalWidth="0" w:num="1">
            <w:col w:w="10219"/>
          </w:cols>
          <w:pgMar w:left="240" w:top="496" w:right="1440" w:bottom="426" w:gutter="0" w:footer="0" w:header="0"/>
        </w:sectPr>
      </w:pPr>
    </w:p>
    <w:bookmarkStart w:id="19" w:name="page20"/>
    <w:bookmarkEnd w:id="19"/>
    <w:p>
      <w:pPr>
        <w:ind w:left="374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Long-Term Debt (Continued)</w:t>
      </w:r>
    </w:p>
    <w:p>
      <w:pPr>
        <w:spacing w:after="0" w:line="8" w:lineRule="exact"/>
        <w:rPr>
          <w:sz w:val="20"/>
          <w:szCs w:val="20"/>
          <w:color w:val="auto"/>
        </w:rPr>
      </w:pPr>
    </w:p>
    <w:p>
      <w:pPr>
        <w:ind w:left="100" w:right="2619" w:firstLine="296"/>
        <w:spacing w:after="0" w:line="251" w:lineRule="auto"/>
        <w:rPr>
          <w:sz w:val="20"/>
          <w:szCs w:val="20"/>
          <w:color w:val="auto"/>
        </w:rPr>
      </w:pPr>
      <w:r>
        <w:rPr>
          <w:rFonts w:ascii="Courier New" w:cs="Courier New" w:eastAsia="Courier New" w:hAnsi="Courier New"/>
          <w:sz w:val="16"/>
          <w:szCs w:val="16"/>
          <w:color w:val="auto"/>
        </w:rPr>
        <w:t>Interest expense paid in cash was $8,775,000, $15,303,000 and $18,712,000 for fiscal years 1992,</w:t>
      </w:r>
    </w:p>
    <w:p>
      <w:pPr>
        <w:spacing w:after="0"/>
        <w:rPr>
          <w:sz w:val="20"/>
          <w:szCs w:val="20"/>
          <w:color w:val="auto"/>
        </w:rPr>
      </w:pPr>
      <w:r>
        <w:rPr>
          <w:rFonts w:ascii="Courier New" w:cs="Courier New" w:eastAsia="Courier New" w:hAnsi="Courier New"/>
          <w:sz w:val="16"/>
          <w:szCs w:val="16"/>
          <w:color w:val="auto"/>
        </w:rPr>
        <w:t>1991, and 1990 respectively.</w:t>
      </w:r>
    </w:p>
    <w:p>
      <w:pPr>
        <w:spacing w:after="0" w:line="198" w:lineRule="exact"/>
        <w:rPr>
          <w:sz w:val="20"/>
          <w:szCs w:val="20"/>
          <w:color w:val="auto"/>
        </w:rPr>
      </w:pPr>
    </w:p>
    <w:p>
      <w:pPr>
        <w:ind w:left="100" w:right="2819" w:firstLine="296"/>
        <w:spacing w:after="0" w:line="251" w:lineRule="auto"/>
        <w:rPr>
          <w:sz w:val="20"/>
          <w:szCs w:val="20"/>
          <w:color w:val="auto"/>
        </w:rPr>
      </w:pPr>
      <w:r>
        <w:rPr>
          <w:rFonts w:ascii="Courier New" w:cs="Courier New" w:eastAsia="Courier New" w:hAnsi="Courier New"/>
          <w:sz w:val="16"/>
          <w:szCs w:val="16"/>
          <w:color w:val="auto"/>
        </w:rPr>
        <w:t>In June 1992, the Company repurchased $36,987,000 face amount of senior subordinated notes and</w:t>
      </w:r>
    </w:p>
    <w:p>
      <w:pPr>
        <w:ind w:left="100" w:right="2519" w:hanging="97"/>
        <w:spacing w:after="0" w:line="251" w:lineRule="auto"/>
        <w:rPr>
          <w:sz w:val="20"/>
          <w:szCs w:val="20"/>
          <w:color w:val="auto"/>
        </w:rPr>
      </w:pPr>
      <w:r>
        <w:rPr>
          <w:rFonts w:ascii="Courier New" w:cs="Courier New" w:eastAsia="Courier New" w:hAnsi="Courier New"/>
          <w:sz w:val="16"/>
          <w:szCs w:val="16"/>
          <w:color w:val="auto"/>
        </w:rPr>
        <w:t>$12,190,000 face amount of junior subordinated notes for an aggregate purchase price of $40,170,000 with</w:t>
      </w:r>
    </w:p>
    <w:p>
      <w:pPr>
        <w:ind w:left="100" w:right="2719" w:hanging="97"/>
        <w:spacing w:after="0" w:line="247" w:lineRule="auto"/>
        <w:rPr>
          <w:sz w:val="20"/>
          <w:szCs w:val="20"/>
          <w:color w:val="auto"/>
        </w:rPr>
      </w:pPr>
      <w:r>
        <w:rPr>
          <w:rFonts w:ascii="Courier New" w:cs="Courier New" w:eastAsia="Courier New" w:hAnsi="Courier New"/>
          <w:sz w:val="16"/>
          <w:szCs w:val="16"/>
          <w:color w:val="auto"/>
        </w:rPr>
        <w:t>the proceeds from the public stock offering (see Note 7).</w:t>
      </w:r>
      <w:r>
        <w:rPr>
          <w:sz w:val="20"/>
          <w:szCs w:val="20"/>
          <w:color w:val="auto"/>
        </w:rPr>
        <w:t xml:space="preserve"> </w:t>
      </w:r>
      <w:r>
        <w:rPr>
          <w:rFonts w:ascii="Courier New" w:cs="Courier New" w:eastAsia="Courier New" w:hAnsi="Courier New"/>
          <w:sz w:val="16"/>
          <w:szCs w:val="16"/>
          <w:color w:val="auto"/>
        </w:rPr>
        <w:t>These repurchases resulted in an extraordinary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of $2,408,000, net of income taxes of $1,225,000.</w:t>
      </w:r>
    </w:p>
    <w:p>
      <w:pPr>
        <w:spacing w:after="0" w:line="198" w:lineRule="exact"/>
        <w:rPr>
          <w:sz w:val="20"/>
          <w:szCs w:val="20"/>
          <w:color w:val="auto"/>
        </w:rPr>
      </w:pPr>
    </w:p>
    <w:p>
      <w:pPr>
        <w:ind w:left="100" w:right="2339" w:firstLine="296"/>
        <w:spacing w:after="0" w:line="251" w:lineRule="auto"/>
        <w:rPr>
          <w:sz w:val="20"/>
          <w:szCs w:val="20"/>
          <w:color w:val="auto"/>
        </w:rPr>
      </w:pPr>
      <w:r>
        <w:rPr>
          <w:rFonts w:ascii="Courier New" w:cs="Courier New" w:eastAsia="Courier New" w:hAnsi="Courier New"/>
          <w:sz w:val="16"/>
          <w:szCs w:val="16"/>
          <w:color w:val="auto"/>
        </w:rPr>
        <w:t>On July 31, 1992, the Company entered into a five-year $140,000,000 variable interest rate revolving</w:t>
      </w:r>
    </w:p>
    <w:p>
      <w:pPr>
        <w:spacing w:after="0"/>
        <w:rPr>
          <w:sz w:val="20"/>
          <w:szCs w:val="20"/>
          <w:color w:val="auto"/>
        </w:rPr>
      </w:pPr>
      <w:r>
        <w:rPr>
          <w:rFonts w:ascii="Courier New" w:cs="Courier New" w:eastAsia="Courier New" w:hAnsi="Courier New"/>
          <w:sz w:val="16"/>
          <w:szCs w:val="16"/>
          <w:color w:val="auto"/>
        </w:rPr>
        <w:t>credit facility with a syndicate of banks (the "Credit Agreement")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refinance its existing facility and its</w:t>
      </w:r>
    </w:p>
    <w:p>
      <w:pPr>
        <w:spacing w:after="0" w:line="8" w:lineRule="exact"/>
        <w:rPr>
          <w:sz w:val="20"/>
          <w:szCs w:val="20"/>
          <w:color w:val="auto"/>
        </w:rPr>
      </w:pPr>
    </w:p>
    <w:p>
      <w:pPr>
        <w:ind w:left="100" w:right="2719" w:hanging="97"/>
        <w:spacing w:after="0" w:line="251" w:lineRule="auto"/>
        <w:rPr>
          <w:sz w:val="20"/>
          <w:szCs w:val="20"/>
          <w:color w:val="auto"/>
        </w:rPr>
      </w:pPr>
      <w:r>
        <w:rPr>
          <w:rFonts w:ascii="Courier New" w:cs="Courier New" w:eastAsia="Courier New" w:hAnsi="Courier New"/>
          <w:sz w:val="16"/>
          <w:szCs w:val="16"/>
          <w:color w:val="auto"/>
        </w:rPr>
        <w:t>remaining subordinated indebtedness, and to provide the Company with working capital. The Credit</w:t>
      </w:r>
    </w:p>
    <w:p>
      <w:pPr>
        <w:ind w:left="100" w:right="2919" w:hanging="97"/>
        <w:spacing w:after="0" w:line="251" w:lineRule="auto"/>
        <w:rPr>
          <w:sz w:val="20"/>
          <w:szCs w:val="20"/>
          <w:color w:val="auto"/>
        </w:rPr>
      </w:pPr>
      <w:r>
        <w:rPr>
          <w:rFonts w:ascii="Courier New" w:cs="Courier New" w:eastAsia="Courier New" w:hAnsi="Courier New"/>
          <w:sz w:val="16"/>
          <w:szCs w:val="16"/>
          <w:color w:val="auto"/>
        </w:rPr>
        <w:t>Agreement</w:t>
      </w:r>
      <w:r>
        <w:rPr>
          <w:sz w:val="20"/>
          <w:szCs w:val="20"/>
          <w:color w:val="auto"/>
        </w:rPr>
        <w:t xml:space="preserve"> </w:t>
      </w:r>
      <w:r>
        <w:rPr>
          <w:rFonts w:ascii="Courier New" w:cs="Courier New" w:eastAsia="Courier New" w:hAnsi="Courier New"/>
          <w:sz w:val="16"/>
          <w:szCs w:val="16"/>
          <w:color w:val="auto"/>
        </w:rPr>
        <w:t>permits borrowings up to the lesser of a borrowing base limited to specified percentages of</w:t>
      </w:r>
    </w:p>
    <w:p>
      <w:pPr>
        <w:ind w:left="100" w:right="3519" w:hanging="97"/>
        <w:spacing w:after="0" w:line="251" w:lineRule="auto"/>
        <w:rPr>
          <w:sz w:val="20"/>
          <w:szCs w:val="20"/>
          <w:color w:val="auto"/>
        </w:rPr>
      </w:pPr>
      <w:r>
        <w:rPr>
          <w:rFonts w:ascii="Courier New" w:cs="Courier New" w:eastAsia="Courier New" w:hAnsi="Courier New"/>
          <w:sz w:val="16"/>
          <w:szCs w:val="16"/>
          <w:color w:val="auto"/>
        </w:rPr>
        <w:t>eligible assets, or a specified maximum commitment amount, initially $140,000,000 with reductions in</w:t>
      </w:r>
    </w:p>
    <w:p>
      <w:pPr>
        <w:ind w:left="100" w:right="2619" w:hanging="97"/>
        <w:spacing w:after="0" w:line="247" w:lineRule="auto"/>
        <w:rPr>
          <w:sz w:val="20"/>
          <w:szCs w:val="20"/>
          <w:color w:val="auto"/>
        </w:rPr>
      </w:pPr>
      <w:r>
        <w:rPr>
          <w:rFonts w:ascii="Courier New" w:cs="Courier New" w:eastAsia="Courier New" w:hAnsi="Courier New"/>
          <w:sz w:val="16"/>
          <w:szCs w:val="16"/>
          <w:color w:val="auto"/>
        </w:rPr>
        <w:t>$5,000,000 increments beginning August 1, 1993.</w:t>
      </w:r>
      <w:r>
        <w:rPr>
          <w:sz w:val="20"/>
          <w:szCs w:val="20"/>
          <w:color w:val="auto"/>
        </w:rPr>
        <w:t xml:space="preserve"> </w:t>
      </w:r>
      <w:r>
        <w:rPr>
          <w:rFonts w:ascii="Courier New" w:cs="Courier New" w:eastAsia="Courier New" w:hAnsi="Courier New"/>
          <w:sz w:val="16"/>
          <w:szCs w:val="16"/>
          <w:color w:val="auto"/>
        </w:rPr>
        <w:t>As of December 31, 1992, the borrowing base under</w:t>
      </w:r>
    </w:p>
    <w:p>
      <w:pPr>
        <w:spacing w:after="0" w:line="193" w:lineRule="exact"/>
        <w:rPr>
          <w:sz w:val="20"/>
          <w:szCs w:val="20"/>
          <w:color w:val="auto"/>
        </w:rPr>
      </w:pPr>
    </w:p>
    <w:p>
      <w:pPr>
        <w:ind w:left="100" w:right="2919" w:hanging="97"/>
        <w:spacing w:after="0" w:line="247" w:lineRule="auto"/>
        <w:rPr>
          <w:sz w:val="20"/>
          <w:szCs w:val="20"/>
          <w:color w:val="auto"/>
        </w:rPr>
      </w:pPr>
      <w:r>
        <w:rPr>
          <w:rFonts w:ascii="Courier New" w:cs="Courier New" w:eastAsia="Courier New" w:hAnsi="Courier New"/>
          <w:sz w:val="16"/>
          <w:szCs w:val="16"/>
          <w:color w:val="auto"/>
        </w:rPr>
        <w:t>the Credit Agreement was $125,763,000.</w:t>
      </w:r>
      <w:r>
        <w:rPr>
          <w:sz w:val="20"/>
          <w:szCs w:val="20"/>
          <w:color w:val="auto"/>
        </w:rPr>
        <w:t xml:space="preserve"> </w:t>
      </w:r>
      <w:r>
        <w:rPr>
          <w:rFonts w:ascii="Courier New" w:cs="Courier New" w:eastAsia="Courier New" w:hAnsi="Courier New"/>
          <w:sz w:val="16"/>
          <w:szCs w:val="16"/>
          <w:color w:val="auto"/>
        </w:rPr>
        <w:t>All outstanding borrowings are due July 31, 1997. Borrowings</w:t>
      </w:r>
    </w:p>
    <w:p>
      <w:pPr>
        <w:spacing w:after="0" w:line="193" w:lineRule="exact"/>
        <w:rPr>
          <w:sz w:val="20"/>
          <w:szCs w:val="20"/>
          <w:color w:val="auto"/>
        </w:rPr>
      </w:pPr>
    </w:p>
    <w:p>
      <w:pPr>
        <w:ind w:left="100" w:right="3819" w:hanging="97"/>
        <w:spacing w:after="0" w:line="251" w:lineRule="auto"/>
        <w:rPr>
          <w:sz w:val="20"/>
          <w:szCs w:val="20"/>
          <w:color w:val="auto"/>
        </w:rPr>
      </w:pPr>
      <w:r>
        <w:rPr>
          <w:rFonts w:ascii="Courier New" w:cs="Courier New" w:eastAsia="Courier New" w:hAnsi="Courier New"/>
          <w:sz w:val="16"/>
          <w:szCs w:val="16"/>
          <w:color w:val="auto"/>
        </w:rPr>
        <w:t>under the new facility bear interest at one of two rates selected by Hall-Mark; (i) a defined Alternative</w:t>
      </w:r>
    </w:p>
    <w:p>
      <w:pPr>
        <w:ind w:left="100" w:right="3019" w:hanging="97"/>
        <w:spacing w:after="0" w:line="251" w:lineRule="auto"/>
        <w:rPr>
          <w:sz w:val="20"/>
          <w:szCs w:val="20"/>
          <w:color w:val="auto"/>
        </w:rPr>
      </w:pPr>
      <w:r>
        <w:rPr>
          <w:rFonts w:ascii="Courier New" w:cs="Courier New" w:eastAsia="Courier New" w:hAnsi="Courier New"/>
          <w:sz w:val="16"/>
          <w:szCs w:val="16"/>
          <w:color w:val="auto"/>
        </w:rPr>
        <w:t>Base Rate (6% at December 31, 1992) plus 1%, or (ii) a defined Eurodollar rate plus 2%. At December</w:t>
      </w:r>
    </w:p>
    <w:p>
      <w:pPr>
        <w:ind w:left="100" w:right="2719" w:hanging="97"/>
        <w:spacing w:after="0" w:line="251" w:lineRule="auto"/>
        <w:rPr>
          <w:sz w:val="20"/>
          <w:szCs w:val="20"/>
          <w:color w:val="auto"/>
        </w:rPr>
      </w:pPr>
      <w:r>
        <w:rPr>
          <w:rFonts w:ascii="Courier New" w:cs="Courier New" w:eastAsia="Courier New" w:hAnsi="Courier New"/>
          <w:sz w:val="16"/>
          <w:szCs w:val="16"/>
          <w:color w:val="auto"/>
        </w:rPr>
        <w:t>31, 1992, the weighted average interest rate on borrowings outstanding under the Credit Agreement was</w:t>
      </w:r>
    </w:p>
    <w:p>
      <w:pPr>
        <w:ind w:left="100" w:right="2819" w:hanging="97"/>
        <w:spacing w:after="0" w:line="247" w:lineRule="auto"/>
        <w:rPr>
          <w:sz w:val="20"/>
          <w:szCs w:val="20"/>
          <w:color w:val="auto"/>
        </w:rPr>
      </w:pPr>
      <w:r>
        <w:rPr>
          <w:rFonts w:ascii="Courier New" w:cs="Courier New" w:eastAsia="Courier New" w:hAnsi="Courier New"/>
          <w:sz w:val="16"/>
          <w:szCs w:val="16"/>
          <w:color w:val="auto"/>
        </w:rPr>
        <w:t>approximately 5.93%.</w:t>
      </w:r>
      <w:r>
        <w:rPr>
          <w:sz w:val="20"/>
          <w:szCs w:val="20"/>
          <w:color w:val="auto"/>
        </w:rPr>
        <w:t xml:space="preserve"> </w:t>
      </w:r>
      <w:r>
        <w:rPr>
          <w:rFonts w:ascii="Courier New" w:cs="Courier New" w:eastAsia="Courier New" w:hAnsi="Courier New"/>
          <w:sz w:val="16"/>
          <w:szCs w:val="16"/>
          <w:color w:val="auto"/>
        </w:rPr>
        <w:t>In September 1992, Hall-Mark entered into an interest rate swap agreement to</w:t>
      </w:r>
    </w:p>
    <w:p>
      <w:pPr>
        <w:spacing w:after="0" w:line="193" w:lineRule="exact"/>
        <w:rPr>
          <w:sz w:val="20"/>
          <w:szCs w:val="20"/>
          <w:color w:val="auto"/>
        </w:rPr>
      </w:pPr>
    </w:p>
    <w:p>
      <w:pPr>
        <w:ind w:left="100" w:right="3219" w:hanging="97"/>
        <w:spacing w:after="0" w:line="251" w:lineRule="auto"/>
        <w:rPr>
          <w:sz w:val="20"/>
          <w:szCs w:val="20"/>
          <w:color w:val="auto"/>
        </w:rPr>
      </w:pPr>
      <w:r>
        <w:rPr>
          <w:rFonts w:ascii="Courier New" w:cs="Courier New" w:eastAsia="Courier New" w:hAnsi="Courier New"/>
          <w:sz w:val="16"/>
          <w:szCs w:val="16"/>
          <w:color w:val="auto"/>
        </w:rPr>
        <w:t>establish a fixed interest rate of 6.68% for a period of three years on $25,000,000 of borrowings under the</w:t>
      </w:r>
    </w:p>
    <w:p>
      <w:pPr>
        <w:ind w:left="100" w:right="3019" w:hanging="97"/>
        <w:spacing w:after="0" w:line="251" w:lineRule="auto"/>
        <w:rPr>
          <w:sz w:val="20"/>
          <w:szCs w:val="20"/>
          <w:color w:val="auto"/>
        </w:rPr>
      </w:pPr>
      <w:r>
        <w:rPr>
          <w:rFonts w:ascii="Courier New" w:cs="Courier New" w:eastAsia="Courier New" w:hAnsi="Courier New"/>
          <w:sz w:val="16"/>
          <w:szCs w:val="16"/>
          <w:color w:val="auto"/>
        </w:rPr>
        <w:t>Credit Agreement.</w:t>
      </w:r>
      <w:r>
        <w:rPr>
          <w:sz w:val="20"/>
          <w:szCs w:val="20"/>
          <w:color w:val="auto"/>
        </w:rPr>
        <w:t xml:space="preserve"> </w:t>
      </w:r>
      <w:r>
        <w:rPr>
          <w:rFonts w:ascii="Courier New" w:cs="Courier New" w:eastAsia="Courier New" w:hAnsi="Courier New"/>
          <w:sz w:val="16"/>
          <w:szCs w:val="16"/>
          <w:color w:val="auto"/>
        </w:rPr>
        <w:t>At December 31, 1992, the Company had an interest rate cap agreement in place</w:t>
      </w:r>
    </w:p>
    <w:p>
      <w:pPr>
        <w:ind w:left="100" w:right="3019" w:hanging="97"/>
        <w:spacing w:after="0" w:line="251" w:lineRule="auto"/>
        <w:rPr>
          <w:sz w:val="20"/>
          <w:szCs w:val="20"/>
          <w:color w:val="auto"/>
        </w:rPr>
      </w:pPr>
      <w:r>
        <w:rPr>
          <w:rFonts w:ascii="Courier New" w:cs="Courier New" w:eastAsia="Courier New" w:hAnsi="Courier New"/>
          <w:sz w:val="16"/>
          <w:szCs w:val="16"/>
          <w:color w:val="auto"/>
        </w:rPr>
        <w:t>whereby the interest rate on an additional $15,000,000 of borrowings will not exceed 8.5% for a period of</w:t>
      </w:r>
    </w:p>
    <w:p>
      <w:pPr>
        <w:spacing w:after="0"/>
        <w:rPr>
          <w:sz w:val="20"/>
          <w:szCs w:val="20"/>
          <w:color w:val="auto"/>
        </w:rPr>
      </w:pPr>
      <w:r>
        <w:rPr>
          <w:rFonts w:ascii="Courier New" w:cs="Courier New" w:eastAsia="Courier New" w:hAnsi="Courier New"/>
          <w:sz w:val="16"/>
          <w:szCs w:val="16"/>
          <w:color w:val="auto"/>
        </w:rPr>
        <w:t>two years.</w:t>
      </w:r>
    </w:p>
    <w:p>
      <w:pPr>
        <w:spacing w:after="0" w:line="198" w:lineRule="exact"/>
        <w:rPr>
          <w:sz w:val="20"/>
          <w:szCs w:val="20"/>
          <w:color w:val="auto"/>
        </w:rPr>
      </w:pPr>
    </w:p>
    <w:p>
      <w:pPr>
        <w:ind w:left="100" w:right="2619" w:firstLine="296"/>
        <w:spacing w:after="0" w:line="251" w:lineRule="auto"/>
        <w:rPr>
          <w:sz w:val="20"/>
          <w:szCs w:val="20"/>
          <w:color w:val="auto"/>
        </w:rPr>
      </w:pPr>
      <w:r>
        <w:rPr>
          <w:rFonts w:ascii="Courier New" w:cs="Courier New" w:eastAsia="Courier New" w:hAnsi="Courier New"/>
          <w:sz w:val="16"/>
          <w:szCs w:val="16"/>
          <w:color w:val="auto"/>
        </w:rPr>
        <w:t>Borrowings under the Credit Agreement are collateralized by substantially all assets of the Company.</w:t>
      </w:r>
    </w:p>
    <w:p>
      <w:pPr>
        <w:ind w:left="100" w:right="2919" w:hanging="97"/>
        <w:spacing w:after="0" w:line="251" w:lineRule="auto"/>
        <w:rPr>
          <w:sz w:val="20"/>
          <w:szCs w:val="20"/>
          <w:color w:val="auto"/>
        </w:rPr>
      </w:pPr>
      <w:r>
        <w:rPr>
          <w:rFonts w:ascii="Courier New" w:cs="Courier New" w:eastAsia="Courier New" w:hAnsi="Courier New"/>
          <w:sz w:val="16"/>
          <w:szCs w:val="16"/>
          <w:color w:val="auto"/>
        </w:rPr>
        <w:t>Under the terms of the Credit Agreement, Hall-Mark is subject to customary covenants, such as restrictions</w:t>
      </w:r>
    </w:p>
    <w:p>
      <w:pPr>
        <w:ind w:left="100" w:right="2919" w:hanging="97"/>
        <w:spacing w:after="0" w:line="251" w:lineRule="auto"/>
        <w:rPr>
          <w:sz w:val="20"/>
          <w:szCs w:val="20"/>
          <w:color w:val="auto"/>
        </w:rPr>
      </w:pPr>
      <w:r>
        <w:rPr>
          <w:rFonts w:ascii="Courier New" w:cs="Courier New" w:eastAsia="Courier New" w:hAnsi="Courier New"/>
          <w:sz w:val="16"/>
          <w:szCs w:val="16"/>
          <w:color w:val="auto"/>
        </w:rPr>
        <w:t>on dividend payments and limitations on indebtedness, as well as financial covenants. The financial</w:t>
      </w:r>
    </w:p>
    <w:p>
      <w:pPr>
        <w:ind w:left="100" w:right="2819" w:hanging="97"/>
        <w:spacing w:after="0" w:line="251" w:lineRule="auto"/>
        <w:rPr>
          <w:sz w:val="20"/>
          <w:szCs w:val="20"/>
          <w:color w:val="auto"/>
        </w:rPr>
      </w:pPr>
      <w:r>
        <w:rPr>
          <w:rFonts w:ascii="Courier New" w:cs="Courier New" w:eastAsia="Courier New" w:hAnsi="Courier New"/>
          <w:sz w:val="16"/>
          <w:szCs w:val="16"/>
          <w:color w:val="auto"/>
        </w:rPr>
        <w:t>covenants require the maintenance of specified inventory turnover, interest coverage and leverage ratios.</w:t>
      </w:r>
    </w:p>
    <w:p>
      <w:pPr>
        <w:ind w:left="100" w:right="2919" w:hanging="97"/>
        <w:spacing w:after="0" w:line="251" w:lineRule="auto"/>
        <w:rPr>
          <w:sz w:val="20"/>
          <w:szCs w:val="20"/>
          <w:color w:val="auto"/>
        </w:rPr>
      </w:pPr>
      <w:r>
        <w:rPr>
          <w:rFonts w:ascii="Courier New" w:cs="Courier New" w:eastAsia="Courier New" w:hAnsi="Courier New"/>
          <w:sz w:val="16"/>
          <w:szCs w:val="16"/>
          <w:color w:val="auto"/>
        </w:rPr>
        <w:t>The rates and other terms of the Credit Agreement and the related interest rate swap and cap agreements</w:t>
      </w:r>
    </w:p>
    <w:p>
      <w:pPr>
        <w:ind w:left="100" w:right="3019" w:hanging="97"/>
        <w:spacing w:after="0" w:line="251" w:lineRule="auto"/>
        <w:rPr>
          <w:sz w:val="20"/>
          <w:szCs w:val="20"/>
          <w:color w:val="auto"/>
        </w:rPr>
      </w:pPr>
      <w:r>
        <w:rPr>
          <w:rFonts w:ascii="Courier New" w:cs="Courier New" w:eastAsia="Courier New" w:hAnsi="Courier New"/>
          <w:sz w:val="16"/>
          <w:szCs w:val="16"/>
          <w:color w:val="auto"/>
        </w:rPr>
        <w:t>reflect current market conditions and, accordingly, their carrying values represent a reasonable estimate</w:t>
      </w:r>
    </w:p>
    <w:p>
      <w:pPr>
        <w:spacing w:after="0"/>
        <w:rPr>
          <w:sz w:val="20"/>
          <w:szCs w:val="20"/>
          <w:color w:val="auto"/>
        </w:rPr>
      </w:pPr>
      <w:r>
        <w:rPr>
          <w:rFonts w:ascii="Courier New" w:cs="Courier New" w:eastAsia="Courier New" w:hAnsi="Courier New"/>
          <w:sz w:val="16"/>
          <w:szCs w:val="16"/>
          <w:color w:val="auto"/>
        </w:rPr>
        <w:t>of fair value.</w:t>
      </w:r>
    </w:p>
    <w:p>
      <w:pPr>
        <w:spacing w:after="0" w:line="198" w:lineRule="exact"/>
        <w:rPr>
          <w:sz w:val="20"/>
          <w:szCs w:val="20"/>
          <w:color w:val="auto"/>
        </w:rPr>
      </w:pPr>
    </w:p>
    <w:p>
      <w:pPr>
        <w:ind w:left="100" w:right="2519" w:firstLine="296"/>
        <w:spacing w:after="0" w:line="251" w:lineRule="auto"/>
        <w:rPr>
          <w:sz w:val="20"/>
          <w:szCs w:val="20"/>
          <w:color w:val="auto"/>
        </w:rPr>
      </w:pPr>
      <w:r>
        <w:rPr>
          <w:rFonts w:ascii="Courier New" w:cs="Courier New" w:eastAsia="Courier New" w:hAnsi="Courier New"/>
          <w:sz w:val="16"/>
          <w:szCs w:val="16"/>
          <w:color w:val="auto"/>
        </w:rPr>
        <w:t>Concurrent with closing of the Credit Agreement, the Company completed the redemption of the</w:t>
      </w:r>
    </w:p>
    <w:p>
      <w:pPr>
        <w:spacing w:after="0"/>
        <w:rPr>
          <w:sz w:val="20"/>
          <w:szCs w:val="20"/>
          <w:color w:val="auto"/>
        </w:rPr>
      </w:pPr>
      <w:r>
        <w:rPr>
          <w:rFonts w:ascii="Courier New" w:cs="Courier New" w:eastAsia="Courier New" w:hAnsi="Courier New"/>
          <w:sz w:val="16"/>
          <w:szCs w:val="16"/>
          <w:color w:val="auto"/>
        </w:rPr>
        <w:t>remaining junior subordinated notes with borrowings under the Credit Agreement.</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Pursuant to an</w:t>
      </w:r>
    </w:p>
    <w:p>
      <w:pPr>
        <w:spacing w:after="0" w:line="8" w:lineRule="exact"/>
        <w:rPr>
          <w:sz w:val="20"/>
          <w:szCs w:val="20"/>
          <w:color w:val="auto"/>
        </w:rPr>
      </w:pPr>
    </w:p>
    <w:p>
      <w:pPr>
        <w:ind w:left="100" w:right="2719" w:hanging="97"/>
        <w:spacing w:after="0" w:line="251" w:lineRule="auto"/>
        <w:rPr>
          <w:sz w:val="20"/>
          <w:szCs w:val="20"/>
          <w:color w:val="auto"/>
        </w:rPr>
      </w:pPr>
      <w:r>
        <w:rPr>
          <w:rFonts w:ascii="Courier New" w:cs="Courier New" w:eastAsia="Courier New" w:hAnsi="Courier New"/>
          <w:sz w:val="16"/>
          <w:szCs w:val="16"/>
          <w:color w:val="auto"/>
        </w:rPr>
        <w:t>agreement between the Company and the holders of these notes, the notes were redeemed at 56.44%</w:t>
      </w:r>
    </w:p>
    <w:p>
      <w:pPr>
        <w:ind w:left="100" w:right="2719" w:hanging="97"/>
        <w:spacing w:after="0" w:line="247" w:lineRule="auto"/>
        <w:rPr>
          <w:sz w:val="20"/>
          <w:szCs w:val="20"/>
          <w:color w:val="auto"/>
        </w:rPr>
      </w:pPr>
      <w:r>
        <w:rPr>
          <w:rFonts w:ascii="Courier New" w:cs="Courier New" w:eastAsia="Courier New" w:hAnsi="Courier New"/>
          <w:sz w:val="16"/>
          <w:szCs w:val="16"/>
          <w:color w:val="auto"/>
        </w:rPr>
        <w:t>of the $32,071,000 principal amount through the payment of $18,103,000.</w:t>
      </w:r>
      <w:r>
        <w:rPr>
          <w:sz w:val="20"/>
          <w:szCs w:val="20"/>
          <w:color w:val="auto"/>
        </w:rPr>
        <w:t xml:space="preserve"> </w:t>
      </w:r>
      <w:r>
        <w:rPr>
          <w:rFonts w:ascii="Courier New" w:cs="Courier New" w:eastAsia="Courier New" w:hAnsi="Courier New"/>
          <w:sz w:val="16"/>
          <w:szCs w:val="16"/>
          <w:color w:val="auto"/>
        </w:rPr>
        <w:t>The repurchase resulted in an</w:t>
      </w:r>
    </w:p>
    <w:p>
      <w:pPr>
        <w:spacing w:after="0" w:line="193" w:lineRule="exact"/>
        <w:rPr>
          <w:sz w:val="20"/>
          <w:szCs w:val="20"/>
          <w:color w:val="auto"/>
        </w:rPr>
      </w:pPr>
    </w:p>
    <w:p>
      <w:pPr>
        <w:ind w:left="100" w:right="2719" w:hanging="97"/>
        <w:spacing w:after="0" w:line="251" w:lineRule="auto"/>
        <w:rPr>
          <w:sz w:val="20"/>
          <w:szCs w:val="20"/>
          <w:color w:val="auto"/>
        </w:rPr>
      </w:pPr>
      <w:r>
        <w:rPr>
          <w:rFonts w:ascii="Courier New" w:cs="Courier New" w:eastAsia="Courier New" w:hAnsi="Courier New"/>
          <w:sz w:val="16"/>
          <w:szCs w:val="16"/>
          <w:color w:val="auto"/>
        </w:rPr>
        <w:t>extraordinary gain of</w:t>
      </w:r>
      <w:r>
        <w:rPr>
          <w:sz w:val="20"/>
          <w:szCs w:val="20"/>
          <w:color w:val="auto"/>
        </w:rPr>
        <w:t xml:space="preserve"> </w:t>
      </w:r>
      <w:r>
        <w:rPr>
          <w:rFonts w:ascii="Courier New" w:cs="Courier New" w:eastAsia="Courier New" w:hAnsi="Courier New"/>
          <w:sz w:val="16"/>
          <w:szCs w:val="16"/>
          <w:color w:val="auto"/>
        </w:rPr>
        <w:t>$3,220,000, net of income taxes of $1,640,000 and the write-off of deferred financing</w:t>
      </w:r>
    </w:p>
    <w:p>
      <w:pPr>
        <w:spacing w:after="0"/>
        <w:rPr>
          <w:sz w:val="20"/>
          <w:szCs w:val="20"/>
          <w:color w:val="auto"/>
        </w:rPr>
      </w:pPr>
      <w:r>
        <w:rPr>
          <w:rFonts w:ascii="Courier New" w:cs="Courier New" w:eastAsia="Courier New" w:hAnsi="Courier New"/>
          <w:sz w:val="16"/>
          <w:szCs w:val="16"/>
          <w:color w:val="auto"/>
        </w:rPr>
        <w:t>costs related to the former credit facility.</w:t>
      </w:r>
    </w:p>
    <w:p>
      <w:pPr>
        <w:spacing w:after="0" w:line="198" w:lineRule="exact"/>
        <w:rPr>
          <w:sz w:val="20"/>
          <w:szCs w:val="20"/>
          <w:color w:val="auto"/>
        </w:rPr>
      </w:pPr>
    </w:p>
    <w:p>
      <w:pPr>
        <w:ind w:left="100" w:right="2919" w:firstLine="296"/>
        <w:spacing w:after="0" w:line="251" w:lineRule="auto"/>
        <w:rPr>
          <w:sz w:val="20"/>
          <w:szCs w:val="20"/>
          <w:color w:val="auto"/>
        </w:rPr>
      </w:pPr>
      <w:r>
        <w:rPr>
          <w:rFonts w:ascii="Courier New" w:cs="Courier New" w:eastAsia="Courier New" w:hAnsi="Courier New"/>
          <w:sz w:val="16"/>
          <w:szCs w:val="16"/>
          <w:color w:val="auto"/>
        </w:rPr>
        <w:t>In December, 1992, the Company redeemed the remaining $10,668,000 face amount of its senior</w:t>
      </w:r>
    </w:p>
    <w:p>
      <w:pPr>
        <w:ind w:left="100" w:right="2439" w:hanging="97"/>
        <w:spacing w:after="0" w:line="251" w:lineRule="auto"/>
        <w:rPr>
          <w:sz w:val="20"/>
          <w:szCs w:val="20"/>
          <w:color w:val="auto"/>
        </w:rPr>
      </w:pPr>
      <w:r>
        <w:rPr>
          <w:rFonts w:ascii="Courier New" w:cs="Courier New" w:eastAsia="Courier New" w:hAnsi="Courier New"/>
          <w:sz w:val="16"/>
          <w:szCs w:val="16"/>
          <w:color w:val="auto"/>
        </w:rPr>
        <w:t>subordinated notes at a specified call price equal to 106.5% of the face amount of the notes. The</w:t>
      </w:r>
    </w:p>
    <w:p>
      <w:pPr>
        <w:ind w:left="100" w:right="2919" w:hanging="97"/>
        <w:spacing w:after="0" w:line="251" w:lineRule="auto"/>
        <w:rPr>
          <w:sz w:val="20"/>
          <w:szCs w:val="20"/>
          <w:color w:val="auto"/>
        </w:rPr>
      </w:pPr>
      <w:r>
        <w:rPr>
          <w:rFonts w:ascii="Courier New" w:cs="Courier New" w:eastAsia="Courier New" w:hAnsi="Courier New"/>
          <w:sz w:val="16"/>
          <w:szCs w:val="16"/>
          <w:color w:val="auto"/>
        </w:rPr>
        <w:t>$11,361,000 redemption price was financed with borrowings under the Credit Agreement. An extraordinary</w:t>
      </w:r>
    </w:p>
    <w:p>
      <w:pPr>
        <w:spacing w:after="0"/>
        <w:rPr>
          <w:sz w:val="20"/>
          <w:szCs w:val="20"/>
          <w:color w:val="auto"/>
        </w:rPr>
      </w:pPr>
      <w:r>
        <w:rPr>
          <w:rFonts w:ascii="Courier New" w:cs="Courier New" w:eastAsia="Courier New" w:hAnsi="Courier New"/>
          <w:sz w:val="16"/>
          <w:szCs w:val="16"/>
          <w:color w:val="auto"/>
        </w:rPr>
        <w:t>loss of $1,374,000 resulted from this transaction.</w:t>
      </w:r>
    </w:p>
    <w:p>
      <w:pPr>
        <w:spacing w:after="0" w:line="198" w:lineRule="exact"/>
        <w:rPr>
          <w:sz w:val="20"/>
          <w:szCs w:val="20"/>
          <w:color w:val="auto"/>
        </w:rPr>
      </w:pPr>
    </w:p>
    <w:p>
      <w:pPr>
        <w:ind w:left="100" w:right="3119" w:firstLine="296"/>
        <w:spacing w:after="0" w:line="251" w:lineRule="auto"/>
        <w:rPr>
          <w:sz w:val="20"/>
          <w:szCs w:val="20"/>
          <w:color w:val="auto"/>
        </w:rPr>
      </w:pPr>
      <w:r>
        <w:rPr>
          <w:rFonts w:ascii="Courier New" w:cs="Courier New" w:eastAsia="Courier New" w:hAnsi="Courier New"/>
          <w:sz w:val="16"/>
          <w:szCs w:val="16"/>
          <w:color w:val="auto"/>
        </w:rPr>
        <w:t>In December 1991, the Company repurchased $21,233,000 face amount of senior subordinated notes,</w:t>
      </w:r>
    </w:p>
    <w:p>
      <w:pPr>
        <w:spacing w:after="0"/>
        <w:rPr>
          <w:sz w:val="20"/>
          <w:szCs w:val="20"/>
          <w:color w:val="auto"/>
        </w:rPr>
      </w:pPr>
      <w:r>
        <w:rPr>
          <w:rFonts w:ascii="Courier New" w:cs="Courier New" w:eastAsia="Courier New" w:hAnsi="Courier New"/>
          <w:sz w:val="16"/>
          <w:szCs w:val="16"/>
          <w:color w:val="auto"/>
        </w:rPr>
        <w:t>13,651 shares of the Company's Series A Preferred Stock and warrants to purchase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856,352 shares of</w:t>
      </w:r>
    </w:p>
    <w:p>
      <w:pPr>
        <w:spacing w:after="0" w:line="8" w:lineRule="exact"/>
        <w:rPr>
          <w:sz w:val="20"/>
          <w:szCs w:val="20"/>
          <w:color w:val="auto"/>
        </w:rPr>
      </w:pPr>
    </w:p>
    <w:p>
      <w:pPr>
        <w:ind w:left="100" w:right="2819" w:hanging="97"/>
        <w:spacing w:after="0" w:line="255" w:lineRule="auto"/>
        <w:rPr>
          <w:sz w:val="20"/>
          <w:szCs w:val="20"/>
          <w:color w:val="auto"/>
        </w:rPr>
      </w:pPr>
      <w:r>
        <w:rPr>
          <w:rFonts w:ascii="Courier New" w:cs="Courier New" w:eastAsia="Courier New" w:hAnsi="Courier New"/>
          <w:sz w:val="16"/>
          <w:szCs w:val="16"/>
          <w:color w:val="auto"/>
        </w:rPr>
        <w:t>the Company's common stock (351,448 warrants exercisable without payment of additional consideration</w:t>
      </w:r>
    </w:p>
    <w:p>
      <w:pPr>
        <w:sectPr>
          <w:pgSz w:w="11900" w:h="16838" w:orient="portrait"/>
          <w:cols w:equalWidth="0" w:num="1">
            <w:col w:w="10219"/>
          </w:cols>
          <w:pgMar w:left="240" w:top="496" w:right="1440" w:bottom="0" w:gutter="0" w:footer="0" w:header="0"/>
        </w:sectPr>
      </w:pPr>
    </w:p>
    <w:bookmarkStart w:id="20" w:name="page21"/>
    <w:bookmarkEnd w:id="20"/>
    <w:p>
      <w:pPr>
        <w:ind w:left="100" w:right="2339" w:hanging="97"/>
        <w:spacing w:after="0" w:line="251" w:lineRule="auto"/>
        <w:rPr>
          <w:sz w:val="20"/>
          <w:szCs w:val="20"/>
          <w:color w:val="auto"/>
        </w:rPr>
      </w:pPr>
      <w:r>
        <w:rPr>
          <w:rFonts w:ascii="Courier New" w:cs="Courier New" w:eastAsia="Courier New" w:hAnsi="Courier New"/>
          <w:sz w:val="16"/>
          <w:szCs w:val="16"/>
          <w:color w:val="auto"/>
        </w:rPr>
        <w:t>and 504,904 warrants with an exercise price of $7.50 per share) and obtained the right to purchase an</w:t>
      </w:r>
    </w:p>
    <w:p>
      <w:pPr>
        <w:ind w:left="100" w:right="2339" w:hanging="97"/>
        <w:spacing w:after="0" w:line="251" w:lineRule="auto"/>
        <w:rPr>
          <w:sz w:val="20"/>
          <w:szCs w:val="20"/>
          <w:color w:val="auto"/>
        </w:rPr>
      </w:pPr>
      <w:r>
        <w:rPr>
          <w:rFonts w:ascii="Courier New" w:cs="Courier New" w:eastAsia="Courier New" w:hAnsi="Courier New"/>
          <w:sz w:val="16"/>
          <w:szCs w:val="16"/>
          <w:color w:val="auto"/>
        </w:rPr>
        <w:t>additional $36,987,000 principal amount of senior subordinated notes from one of the sellers at scheduled</w:t>
      </w:r>
    </w:p>
    <w:p>
      <w:pPr>
        <w:ind w:left="100" w:right="2519" w:hanging="97"/>
        <w:spacing w:after="0" w:line="251" w:lineRule="auto"/>
        <w:rPr>
          <w:sz w:val="20"/>
          <w:szCs w:val="20"/>
          <w:color w:val="auto"/>
        </w:rPr>
      </w:pPr>
      <w:r>
        <w:rPr>
          <w:rFonts w:ascii="Courier New" w:cs="Courier New" w:eastAsia="Courier New" w:hAnsi="Courier New"/>
          <w:sz w:val="16"/>
          <w:szCs w:val="16"/>
          <w:color w:val="auto"/>
        </w:rPr>
        <w:t>redemption prices for an aggregate purchase price of approximately $29,200,000 (the "1991</w:t>
      </w:r>
    </w:p>
    <w:p>
      <w:pPr>
        <w:ind w:left="100" w:right="3119" w:hanging="97"/>
        <w:spacing w:after="0" w:line="251" w:lineRule="auto"/>
        <w:rPr>
          <w:sz w:val="20"/>
          <w:szCs w:val="20"/>
          <w:color w:val="auto"/>
        </w:rPr>
      </w:pPr>
      <w:r>
        <w:rPr>
          <w:rFonts w:ascii="Courier New" w:cs="Courier New" w:eastAsia="Courier New" w:hAnsi="Courier New"/>
          <w:sz w:val="16"/>
          <w:szCs w:val="16"/>
          <w:color w:val="auto"/>
        </w:rPr>
        <w:t>Repurchases").</w:t>
      </w:r>
      <w:r>
        <w:rPr>
          <w:sz w:val="20"/>
          <w:szCs w:val="20"/>
          <w:color w:val="auto"/>
        </w:rPr>
        <w:t xml:space="preserve"> </w:t>
      </w:r>
      <w:r>
        <w:rPr>
          <w:rFonts w:ascii="Courier New" w:cs="Courier New" w:eastAsia="Courier New" w:hAnsi="Courier New"/>
          <w:sz w:val="16"/>
          <w:szCs w:val="16"/>
          <w:color w:val="auto"/>
        </w:rPr>
        <w:t>The purchase price was financed through the issuance for $13,070,000 (to the Company's</w:t>
      </w:r>
    </w:p>
    <w:p>
      <w:pPr>
        <w:ind w:left="100" w:right="2519" w:hanging="97"/>
        <w:spacing w:after="0" w:line="251" w:lineRule="auto"/>
        <w:rPr>
          <w:sz w:val="20"/>
          <w:szCs w:val="20"/>
          <w:color w:val="auto"/>
        </w:rPr>
      </w:pPr>
      <w:r>
        <w:rPr>
          <w:rFonts w:ascii="Courier New" w:cs="Courier New" w:eastAsia="Courier New" w:hAnsi="Courier New"/>
          <w:sz w:val="16"/>
          <w:szCs w:val="16"/>
          <w:color w:val="auto"/>
        </w:rPr>
        <w:t>majority stockholder) of preferred stock (see Note 6) and warrants to purchase 1,307,000 shares of the</w:t>
      </w:r>
    </w:p>
    <w:p>
      <w:pPr>
        <w:ind w:left="100" w:right="2439" w:hanging="97"/>
        <w:spacing w:after="0" w:line="251" w:lineRule="auto"/>
        <w:rPr>
          <w:sz w:val="20"/>
          <w:szCs w:val="20"/>
          <w:color w:val="auto"/>
        </w:rPr>
      </w:pPr>
      <w:r>
        <w:rPr>
          <w:rFonts w:ascii="Courier New" w:cs="Courier New" w:eastAsia="Courier New" w:hAnsi="Courier New"/>
          <w:sz w:val="16"/>
          <w:szCs w:val="16"/>
          <w:color w:val="auto"/>
        </w:rPr>
        <w:t>Company's common stock (with an exercise price of $10.00 per share), borrowings under the former credit</w:t>
      </w:r>
    </w:p>
    <w:p>
      <w:pPr>
        <w:ind w:left="100" w:right="2339" w:hanging="97"/>
        <w:spacing w:after="0" w:line="251" w:lineRule="auto"/>
        <w:rPr>
          <w:sz w:val="20"/>
          <w:szCs w:val="20"/>
          <w:color w:val="auto"/>
        </w:rPr>
      </w:pPr>
      <w:r>
        <w:rPr>
          <w:rFonts w:ascii="Courier New" w:cs="Courier New" w:eastAsia="Courier New" w:hAnsi="Courier New"/>
          <w:sz w:val="16"/>
          <w:szCs w:val="16"/>
          <w:color w:val="auto"/>
        </w:rPr>
        <w:t>facility of approximately $14,130,000 and the issuance of $2,000,000 face amount of senior subordinated</w:t>
      </w:r>
    </w:p>
    <w:p>
      <w:pPr>
        <w:ind w:left="100" w:right="3219" w:hanging="97"/>
        <w:spacing w:after="0" w:line="251" w:lineRule="auto"/>
        <w:rPr>
          <w:sz w:val="20"/>
          <w:szCs w:val="20"/>
          <w:color w:val="auto"/>
        </w:rPr>
      </w:pPr>
      <w:r>
        <w:rPr>
          <w:rFonts w:ascii="Courier New" w:cs="Courier New" w:eastAsia="Courier New" w:hAnsi="Courier New"/>
          <w:sz w:val="16"/>
          <w:szCs w:val="16"/>
          <w:color w:val="auto"/>
        </w:rPr>
        <w:t>notes.</w:t>
      </w:r>
      <w:r>
        <w:rPr>
          <w:sz w:val="20"/>
          <w:szCs w:val="20"/>
          <w:color w:val="auto"/>
        </w:rPr>
        <w:t xml:space="preserve"> </w:t>
      </w:r>
      <w:r>
        <w:rPr>
          <w:rFonts w:ascii="Courier New" w:cs="Courier New" w:eastAsia="Courier New" w:hAnsi="Courier New"/>
          <w:sz w:val="16"/>
          <w:szCs w:val="16"/>
          <w:color w:val="auto"/>
        </w:rPr>
        <w:t>In connection with these transactions, an extraordinary loss of $1,133,000 was realized, net of</w:t>
      </w:r>
    </w:p>
    <w:p>
      <w:pPr>
        <w:ind w:left="100" w:right="3019" w:hanging="97"/>
        <w:spacing w:after="0" w:line="247" w:lineRule="auto"/>
        <w:rPr>
          <w:sz w:val="20"/>
          <w:szCs w:val="20"/>
          <w:color w:val="auto"/>
        </w:rPr>
      </w:pPr>
      <w:r>
        <w:rPr>
          <w:rFonts w:ascii="Courier New" w:cs="Courier New" w:eastAsia="Courier New" w:hAnsi="Courier New"/>
          <w:sz w:val="16"/>
          <w:szCs w:val="16"/>
          <w:color w:val="auto"/>
        </w:rPr>
        <w:t>income tax benefit of $33,000.</w:t>
      </w:r>
      <w:r>
        <w:rPr>
          <w:sz w:val="20"/>
          <w:szCs w:val="20"/>
          <w:color w:val="auto"/>
        </w:rPr>
        <w:t xml:space="preserve"> </w:t>
      </w:r>
      <w:r>
        <w:rPr>
          <w:rFonts w:ascii="Courier New" w:cs="Courier New" w:eastAsia="Courier New" w:hAnsi="Courier New"/>
          <w:sz w:val="16"/>
          <w:szCs w:val="16"/>
          <w:color w:val="auto"/>
        </w:rPr>
        <w:t>Approximately $1,100,000 of brokerage and transaction fees were incurred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consummate these transactions.</w:t>
      </w:r>
    </w:p>
    <w:p>
      <w:pPr>
        <w:spacing w:after="0" w:line="198" w:lineRule="exact"/>
        <w:rPr>
          <w:sz w:val="20"/>
          <w:szCs w:val="20"/>
          <w:color w:val="auto"/>
        </w:rPr>
      </w:pPr>
    </w:p>
    <w:p>
      <w:pPr>
        <w:ind w:left="500" w:hanging="499"/>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w:t>
      </w:r>
    </w:p>
    <w:p>
      <w:pPr>
        <w:spacing w:after="0" w:line="8" w:lineRule="exact"/>
        <w:rPr>
          <w:sz w:val="20"/>
          <w:szCs w:val="20"/>
          <w:color w:val="auto"/>
        </w:rPr>
      </w:pPr>
    </w:p>
    <w:p>
      <w:pPr>
        <w:ind w:left="100" w:right="2919" w:firstLine="296"/>
        <w:spacing w:after="0" w:line="251" w:lineRule="auto"/>
        <w:rPr>
          <w:sz w:val="20"/>
          <w:szCs w:val="20"/>
          <w:color w:val="auto"/>
        </w:rPr>
      </w:pPr>
      <w:r>
        <w:rPr>
          <w:rFonts w:ascii="Courier New" w:cs="Courier New" w:eastAsia="Courier New" w:hAnsi="Courier New"/>
          <w:sz w:val="16"/>
          <w:szCs w:val="16"/>
          <w:color w:val="auto"/>
        </w:rPr>
        <w:t>The Company is authorized to issue up to 2,000,000 shares of preferred stock, 26,300 of which have</w:t>
      </w:r>
    </w:p>
    <w:p>
      <w:pPr>
        <w:ind w:left="100" w:right="2439" w:hanging="97"/>
        <w:spacing w:after="0" w:line="251" w:lineRule="auto"/>
        <w:rPr>
          <w:sz w:val="20"/>
          <w:szCs w:val="20"/>
          <w:color w:val="auto"/>
        </w:rPr>
      </w:pPr>
      <w:r>
        <w:rPr>
          <w:rFonts w:ascii="Courier New" w:cs="Courier New" w:eastAsia="Courier New" w:hAnsi="Courier New"/>
          <w:sz w:val="16"/>
          <w:szCs w:val="16"/>
          <w:color w:val="auto"/>
        </w:rPr>
        <w:t>been designated Series A Preferred Stock, and 10 shares of which were initially designated as Series B</w:t>
      </w:r>
    </w:p>
    <w:p>
      <w:pPr>
        <w:ind w:left="100" w:right="3219" w:hanging="97"/>
        <w:spacing w:after="0" w:line="251" w:lineRule="auto"/>
        <w:rPr>
          <w:sz w:val="20"/>
          <w:szCs w:val="20"/>
          <w:color w:val="auto"/>
        </w:rPr>
      </w:pPr>
      <w:r>
        <w:rPr>
          <w:rFonts w:ascii="Courier New" w:cs="Courier New" w:eastAsia="Courier New" w:hAnsi="Courier New"/>
          <w:sz w:val="16"/>
          <w:szCs w:val="16"/>
          <w:color w:val="auto"/>
        </w:rPr>
        <w:t>Preferred Stock.</w:t>
      </w:r>
      <w:r>
        <w:rPr>
          <w:sz w:val="20"/>
          <w:szCs w:val="20"/>
          <w:color w:val="auto"/>
        </w:rPr>
        <w:t xml:space="preserve"> </w:t>
      </w:r>
      <w:r>
        <w:rPr>
          <w:rFonts w:ascii="Courier New" w:cs="Courier New" w:eastAsia="Courier New" w:hAnsi="Courier New"/>
          <w:sz w:val="16"/>
          <w:szCs w:val="16"/>
          <w:color w:val="auto"/>
        </w:rPr>
        <w:t>In connection with the 1991 Repurchases, 10 shares of Series B Preferred Stock were</w:t>
      </w:r>
    </w:p>
    <w:p>
      <w:pPr>
        <w:ind w:left="100" w:right="2719" w:hanging="97"/>
        <w:spacing w:after="0" w:line="251" w:lineRule="auto"/>
        <w:rPr>
          <w:sz w:val="20"/>
          <w:szCs w:val="20"/>
          <w:color w:val="auto"/>
        </w:rPr>
      </w:pPr>
      <w:r>
        <w:rPr>
          <w:rFonts w:ascii="Courier New" w:cs="Courier New" w:eastAsia="Courier New" w:hAnsi="Courier New"/>
          <w:sz w:val="16"/>
          <w:szCs w:val="16"/>
          <w:color w:val="auto"/>
        </w:rPr>
        <w:t>issued.</w:t>
      </w:r>
      <w:r>
        <w:rPr>
          <w:sz w:val="20"/>
          <w:szCs w:val="20"/>
          <w:color w:val="auto"/>
        </w:rPr>
        <w:t xml:space="preserve"> </w:t>
      </w:r>
      <w:r>
        <w:rPr>
          <w:rFonts w:ascii="Courier New" w:cs="Courier New" w:eastAsia="Courier New" w:hAnsi="Courier New"/>
          <w:sz w:val="16"/>
          <w:szCs w:val="16"/>
          <w:color w:val="auto"/>
        </w:rPr>
        <w:t>These shares of Series B Preferred Stock were converted into 13,070 shares of Series A</w:t>
      </w:r>
    </w:p>
    <w:p>
      <w:pPr>
        <w:ind w:left="100" w:right="3419" w:hanging="97"/>
        <w:spacing w:after="0" w:line="247" w:lineRule="auto"/>
        <w:rPr>
          <w:sz w:val="20"/>
          <w:szCs w:val="20"/>
          <w:color w:val="auto"/>
        </w:rPr>
      </w:pPr>
      <w:r>
        <w:rPr>
          <w:rFonts w:ascii="Courier New" w:cs="Courier New" w:eastAsia="Courier New" w:hAnsi="Courier New"/>
          <w:sz w:val="16"/>
          <w:szCs w:val="16"/>
          <w:color w:val="auto"/>
        </w:rPr>
        <w:t>Preferred Stock in December 1991.</w:t>
      </w:r>
      <w:r>
        <w:rPr>
          <w:sz w:val="20"/>
          <w:szCs w:val="20"/>
          <w:color w:val="auto"/>
        </w:rPr>
        <w:t xml:space="preserve"> </w:t>
      </w:r>
      <w:r>
        <w:rPr>
          <w:rFonts w:ascii="Courier New" w:cs="Courier New" w:eastAsia="Courier New" w:hAnsi="Courier New"/>
          <w:sz w:val="16"/>
          <w:szCs w:val="16"/>
          <w:color w:val="auto"/>
        </w:rPr>
        <w:t>At December 31, 1992, no shares of Preferred Stock remain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(see Notes 5 and 7).</w:t>
      </w:r>
    </w:p>
    <w:p>
      <w:pPr>
        <w:spacing w:after="0" w:line="198" w:lineRule="exact"/>
        <w:rPr>
          <w:sz w:val="20"/>
          <w:szCs w:val="20"/>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Offering</w:t>
      </w:r>
    </w:p>
    <w:p>
      <w:pPr>
        <w:spacing w:after="0" w:line="8" w:lineRule="exact"/>
        <w:rPr>
          <w:sz w:val="20"/>
          <w:szCs w:val="20"/>
          <w:color w:val="auto"/>
        </w:rPr>
      </w:pPr>
    </w:p>
    <w:p>
      <w:pPr>
        <w:ind w:left="100" w:right="2339" w:firstLine="296"/>
        <w:spacing w:after="0" w:line="251" w:lineRule="auto"/>
        <w:rPr>
          <w:sz w:val="20"/>
          <w:szCs w:val="20"/>
          <w:color w:val="auto"/>
        </w:rPr>
      </w:pPr>
      <w:r>
        <w:rPr>
          <w:rFonts w:ascii="Courier New" w:cs="Courier New" w:eastAsia="Courier New" w:hAnsi="Courier New"/>
          <w:sz w:val="16"/>
          <w:szCs w:val="16"/>
          <w:color w:val="auto"/>
        </w:rPr>
        <w:t>Pursuant to a registration statement declared effective on May 22, 1992, the Company sold 4,000,000</w:t>
      </w:r>
    </w:p>
    <w:p>
      <w:pPr>
        <w:ind w:left="100" w:right="2339" w:hanging="97"/>
        <w:spacing w:after="0" w:line="247" w:lineRule="auto"/>
        <w:rPr>
          <w:sz w:val="20"/>
          <w:szCs w:val="20"/>
          <w:color w:val="auto"/>
        </w:rPr>
      </w:pPr>
      <w:r>
        <w:rPr>
          <w:rFonts w:ascii="Courier New" w:cs="Courier New" w:eastAsia="Courier New" w:hAnsi="Courier New"/>
          <w:sz w:val="16"/>
          <w:szCs w:val="16"/>
          <w:color w:val="auto"/>
        </w:rPr>
        <w:t>shares of common stock to the public market.</w:t>
      </w:r>
      <w:r>
        <w:rPr>
          <w:sz w:val="20"/>
          <w:szCs w:val="20"/>
          <w:color w:val="auto"/>
        </w:rPr>
        <w:t xml:space="preserve"> </w:t>
      </w:r>
      <w:r>
        <w:rPr>
          <w:rFonts w:ascii="Courier New" w:cs="Courier New" w:eastAsia="Courier New" w:hAnsi="Courier New"/>
          <w:sz w:val="16"/>
          <w:szCs w:val="16"/>
          <w:color w:val="auto"/>
        </w:rPr>
        <w:t>The net proceeds of this offering, which approximated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$40,000,000, were used to retire subordinated indebtedness (see Note 5).</w:t>
      </w:r>
    </w:p>
    <w:p>
      <w:pPr>
        <w:spacing w:after="0" w:line="198" w:lineRule="exact"/>
        <w:rPr>
          <w:sz w:val="20"/>
          <w:szCs w:val="20"/>
          <w:color w:val="auto"/>
        </w:rPr>
      </w:pPr>
    </w:p>
    <w:p>
      <w:pPr>
        <w:ind w:left="100" w:right="3119" w:firstLine="296"/>
        <w:spacing w:after="0" w:line="251" w:lineRule="auto"/>
        <w:rPr>
          <w:sz w:val="20"/>
          <w:szCs w:val="20"/>
          <w:color w:val="auto"/>
        </w:rPr>
      </w:pPr>
      <w:r>
        <w:rPr>
          <w:rFonts w:ascii="Courier New" w:cs="Courier New" w:eastAsia="Courier New" w:hAnsi="Courier New"/>
          <w:sz w:val="16"/>
          <w:szCs w:val="16"/>
          <w:color w:val="auto"/>
        </w:rPr>
        <w:t>Concurrent with the public stock offering, 19,777 shares of Series A Preferred Stock were surrendered</w:t>
      </w:r>
    </w:p>
    <w:p>
      <w:pPr>
        <w:spacing w:after="0"/>
        <w:rPr>
          <w:sz w:val="20"/>
          <w:szCs w:val="20"/>
          <w:color w:val="auto"/>
        </w:rPr>
      </w:pPr>
      <w:r>
        <w:rPr>
          <w:rFonts w:ascii="Courier New" w:cs="Courier New" w:eastAsia="Courier New" w:hAnsi="Courier New"/>
          <w:sz w:val="16"/>
          <w:szCs w:val="16"/>
          <w:color w:val="auto"/>
        </w:rPr>
        <w:t>as payment of the exercise price of warrants to purchase 2,640,333 shares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198" w:lineRule="exact"/>
        <w:rPr>
          <w:sz w:val="20"/>
          <w:szCs w:val="20"/>
          <w:color w:val="auto"/>
        </w:rPr>
      </w:pPr>
    </w:p>
    <w:p>
      <w:pPr>
        <w:ind w:right="2819" w:firstLine="394"/>
        <w:spacing w:after="0" w:line="251" w:lineRule="auto"/>
        <w:rPr>
          <w:sz w:val="20"/>
          <w:szCs w:val="20"/>
          <w:color w:val="auto"/>
        </w:rPr>
      </w:pPr>
      <w:r>
        <w:rPr>
          <w:rFonts w:ascii="Courier New" w:cs="Courier New" w:eastAsia="Courier New" w:hAnsi="Courier New"/>
          <w:sz w:val="16"/>
          <w:szCs w:val="16"/>
          <w:color w:val="auto"/>
        </w:rPr>
        <w:t>Additionally, the Company redeemed the remaining shares of its Series A Preferred Stock on August</w:t>
      </w:r>
    </w:p>
    <w:p>
      <w:pPr>
        <w:ind w:left="100" w:right="2819" w:hanging="97"/>
        <w:spacing w:after="0" w:line="251" w:lineRule="auto"/>
        <w:rPr>
          <w:sz w:val="20"/>
          <w:szCs w:val="20"/>
          <w:color w:val="auto"/>
        </w:rPr>
      </w:pPr>
      <w:r>
        <w:rPr>
          <w:rFonts w:ascii="Courier New" w:cs="Courier New" w:eastAsia="Courier New" w:hAnsi="Courier New"/>
          <w:sz w:val="16"/>
          <w:szCs w:val="16"/>
          <w:color w:val="auto"/>
        </w:rPr>
        <w:t>10, 1992 through payment of approximately $7,900,000 provided by borrowings under the Credit</w:t>
      </w:r>
    </w:p>
    <w:p>
      <w:pPr>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144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374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500" w:hanging="499"/>
        <w:spacing w:after="0"/>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Receivable From Sale of Stock</w:t>
      </w:r>
    </w:p>
    <w:p>
      <w:pPr>
        <w:spacing w:after="0" w:line="198" w:lineRule="exact"/>
        <w:rPr>
          <w:sz w:val="20"/>
          <w:szCs w:val="20"/>
          <w:color w:val="auto"/>
        </w:rPr>
      </w:pPr>
    </w:p>
    <w:p>
      <w:pPr>
        <w:ind w:left="100" w:right="2619" w:firstLine="296"/>
        <w:spacing w:after="0" w:line="251" w:lineRule="auto"/>
        <w:rPr>
          <w:sz w:val="20"/>
          <w:szCs w:val="20"/>
          <w:color w:val="auto"/>
        </w:rPr>
      </w:pPr>
      <w:r>
        <w:rPr>
          <w:rFonts w:ascii="Courier New" w:cs="Courier New" w:eastAsia="Courier New" w:hAnsi="Courier New"/>
          <w:sz w:val="16"/>
          <w:szCs w:val="16"/>
          <w:color w:val="auto"/>
        </w:rPr>
        <w:t>Notes receivable from sale of stock represent notes receivable for common stock issued to certain</w:t>
      </w:r>
    </w:p>
    <w:p>
      <w:pPr>
        <w:ind w:left="100" w:right="2339" w:hanging="97"/>
        <w:spacing w:after="0" w:line="251" w:lineRule="auto"/>
        <w:rPr>
          <w:sz w:val="20"/>
          <w:szCs w:val="20"/>
          <w:color w:val="auto"/>
        </w:rPr>
      </w:pPr>
      <w:r>
        <w:rPr>
          <w:rFonts w:ascii="Courier New" w:cs="Courier New" w:eastAsia="Courier New" w:hAnsi="Courier New"/>
          <w:sz w:val="16"/>
          <w:szCs w:val="16"/>
          <w:color w:val="auto"/>
        </w:rPr>
        <w:t>members of the Company's management in August 1988. The notes bear interest at a defined rate (6.0%</w:t>
      </w:r>
    </w:p>
    <w:p>
      <w:pPr>
        <w:spacing w:after="0"/>
        <w:rPr>
          <w:sz w:val="20"/>
          <w:szCs w:val="20"/>
          <w:color w:val="auto"/>
        </w:rPr>
      </w:pPr>
      <w:r>
        <w:rPr>
          <w:rFonts w:ascii="Courier New" w:cs="Courier New" w:eastAsia="Courier New" w:hAnsi="Courier New"/>
          <w:sz w:val="16"/>
          <w:szCs w:val="16"/>
          <w:color w:val="auto"/>
        </w:rPr>
        <w:t>and 6.5% at December 31, 1992 and 1991, respectively), payable quarterly,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due and payable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on July 29, 1993.</w:t>
      </w:r>
    </w:p>
    <w:p>
      <w:pPr>
        <w:spacing w:after="0" w:line="198" w:lineRule="exact"/>
        <w:rPr>
          <w:sz w:val="20"/>
          <w:szCs w:val="20"/>
          <w:color w:val="auto"/>
        </w:rPr>
      </w:pPr>
    </w:p>
    <w:p>
      <w:pPr>
        <w:ind w:left="500" w:hanging="499"/>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provision for income taxes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1992</w:t>
            </w:r>
          </w:p>
        </w:tc>
        <w:tc>
          <w:tcPr>
            <w:tcW w:w="500" w:type="dxa"/>
            <w:vAlign w:val="bottom"/>
          </w:tcPr>
          <w:p>
            <w:pPr>
              <w:spacing w:after="0"/>
              <w:rPr>
                <w:sz w:val="16"/>
                <w:szCs w:val="16"/>
                <w:color w:val="auto"/>
              </w:rPr>
            </w:pPr>
          </w:p>
        </w:tc>
        <w:tc>
          <w:tcPr>
            <w:tcW w:w="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1991</w:t>
            </w:r>
          </w:p>
        </w:tc>
        <w:tc>
          <w:tcPr>
            <w:tcW w:w="2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1990</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ind w:left="700"/>
              <w:spacing w:after="0"/>
              <w:rPr>
                <w:sz w:val="20"/>
                <w:szCs w:val="20"/>
                <w:color w:val="auto"/>
              </w:rPr>
            </w:pPr>
            <w:r>
              <w:rPr>
                <w:rFonts w:ascii="Courier New" w:cs="Courier New" w:eastAsia="Courier New" w:hAnsi="Courier New"/>
                <w:sz w:val="16"/>
                <w:szCs w:val="16"/>
                <w:color w:val="auto"/>
              </w:rPr>
              <w:t>Current:</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Federal . . . . . . . . . . .$</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2,298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177</w:t>
            </w:r>
          </w:p>
        </w:tc>
        <w:tc>
          <w:tcPr>
            <w:tcW w:w="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State.  . . . . . . . . . .</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1,240</w:t>
            </w:r>
          </w:p>
        </w:tc>
        <w:tc>
          <w:tcPr>
            <w:tcW w:w="500" w:type="dxa"/>
            <w:vAlign w:val="bottom"/>
          </w:tcPr>
          <w:p>
            <w:pPr>
              <w:spacing w:after="0"/>
              <w:rPr>
                <w:sz w:val="16"/>
                <w:szCs w:val="16"/>
                <w:color w:val="auto"/>
              </w:rPr>
            </w:pP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83</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3,538</w:t>
            </w:r>
          </w:p>
        </w:tc>
        <w:tc>
          <w:tcPr>
            <w:tcW w:w="500" w:type="dxa"/>
            <w:vAlign w:val="bottom"/>
          </w:tcPr>
          <w:p>
            <w:pPr>
              <w:spacing w:after="0"/>
              <w:rPr>
                <w:sz w:val="16"/>
                <w:szCs w:val="16"/>
                <w:color w:val="auto"/>
              </w:rPr>
            </w:pP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260</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69"/>
        </w:trPr>
        <w:tc>
          <w:tcPr>
            <w:tcW w:w="2020" w:type="dxa"/>
            <w:vAlign w:val="bottom"/>
          </w:tcPr>
          <w:p>
            <w:pPr>
              <w:ind w:left="780"/>
              <w:spacing w:after="0"/>
              <w:rPr>
                <w:sz w:val="20"/>
                <w:szCs w:val="20"/>
                <w:color w:val="auto"/>
              </w:rPr>
            </w:pPr>
            <w:r>
              <w:rPr>
                <w:rFonts w:ascii="Courier New" w:cs="Courier New" w:eastAsia="Courier New" w:hAnsi="Courier New"/>
                <w:sz w:val="16"/>
                <w:szCs w:val="16"/>
                <w:color w:val="auto"/>
              </w:rPr>
              <w:t>Deferred:</w:t>
            </w: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400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Federal.. . . . . . . . . .</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310</w:t>
            </w:r>
          </w:p>
        </w:tc>
        <w:tc>
          <w:tcPr>
            <w:tcW w:w="500" w:type="dxa"/>
            <w:vAlign w:val="bottom"/>
          </w:tcPr>
          <w:p>
            <w:pPr>
              <w:spacing w:after="0"/>
              <w:rPr>
                <w:sz w:val="16"/>
                <w:szCs w:val="16"/>
                <w:color w:val="auto"/>
              </w:rPr>
            </w:pP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185</w:t>
            </w:r>
          </w:p>
        </w:tc>
        <w:tc>
          <w:tcPr>
            <w:tcW w:w="240" w:type="dxa"/>
            <w:vAlign w:val="bottom"/>
          </w:tcPr>
          <w:p>
            <w:pPr>
              <w:spacing w:after="0"/>
              <w:rPr>
                <w:sz w:val="16"/>
                <w:szCs w:val="16"/>
                <w:color w:val="auto"/>
              </w:rPr>
            </w:pP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ind w:left="980"/>
              <w:spacing w:after="0"/>
              <w:rPr>
                <w:sz w:val="20"/>
                <w:szCs w:val="20"/>
                <w:color w:val="auto"/>
              </w:rPr>
            </w:pPr>
            <w:r>
              <w:rPr>
                <w:rFonts w:ascii="Courier New" w:cs="Courier New" w:eastAsia="Courier New" w:hAnsi="Courier New"/>
                <w:sz w:val="16"/>
                <w:szCs w:val="16"/>
                <w:color w:val="auto"/>
              </w:rPr>
              <w:t>State. .</w:t>
            </w:r>
          </w:p>
        </w:tc>
        <w:tc>
          <w:tcPr>
            <w:tcW w:w="19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 . . . . . . .</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320</w:t>
            </w:r>
          </w:p>
        </w:tc>
        <w:tc>
          <w:tcPr>
            <w:tcW w:w="500" w:type="dxa"/>
            <w:vAlign w:val="bottom"/>
          </w:tcPr>
          <w:p>
            <w:pPr>
              <w:spacing w:after="0"/>
              <w:rPr>
                <w:sz w:val="16"/>
                <w:szCs w:val="16"/>
                <w:color w:val="auto"/>
              </w:rPr>
            </w:pP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75</w:t>
            </w:r>
          </w:p>
        </w:tc>
        <w:tc>
          <w:tcPr>
            <w:tcW w:w="240" w:type="dxa"/>
            <w:vAlign w:val="bottom"/>
          </w:tcPr>
          <w:p>
            <w:pPr>
              <w:spacing w:after="0"/>
              <w:rPr>
                <w:sz w:val="16"/>
                <w:szCs w:val="16"/>
                <w:color w:val="auto"/>
              </w:rPr>
            </w:pP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630</w:t>
            </w:r>
          </w:p>
        </w:tc>
        <w:tc>
          <w:tcPr>
            <w:tcW w:w="500" w:type="dxa"/>
            <w:vAlign w:val="bottom"/>
          </w:tcPr>
          <w:p>
            <w:pPr>
              <w:spacing w:after="0"/>
              <w:rPr>
                <w:sz w:val="16"/>
                <w:szCs w:val="16"/>
                <w:color w:val="auto"/>
              </w:rPr>
            </w:pP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260</w:t>
            </w:r>
          </w:p>
        </w:tc>
        <w:tc>
          <w:tcPr>
            <w:tcW w:w="240" w:type="dxa"/>
            <w:vAlign w:val="bottom"/>
          </w:tcPr>
          <w:p>
            <w:pPr>
              <w:spacing w:after="0"/>
              <w:rPr>
                <w:sz w:val="16"/>
                <w:szCs w:val="16"/>
                <w:color w:val="auto"/>
              </w:rPr>
            </w:pP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4,168</w:t>
            </w:r>
          </w:p>
        </w:tc>
        <w:tc>
          <w:tcPr>
            <w:tcW w:w="5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520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152</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9"/>
        </w:trPr>
        <w:tc>
          <w:tcPr>
            <w:tcW w:w="7300" w:type="dxa"/>
            <w:vAlign w:val="bottom"/>
            <w:gridSpan w:val="7"/>
          </w:tcPr>
          <w:p>
            <w:pPr>
              <w:ind w:left="700"/>
              <w:spacing w:after="0"/>
              <w:rPr>
                <w:sz w:val="20"/>
                <w:szCs w:val="20"/>
                <w:color w:val="auto"/>
              </w:rPr>
            </w:pPr>
            <w:r>
              <w:rPr>
                <w:rFonts w:ascii="Courier New" w:cs="Courier New" w:eastAsia="Courier New" w:hAnsi="Courier New"/>
                <w:sz w:val="16"/>
                <w:szCs w:val="16"/>
                <w:color w:val="auto"/>
              </w:rPr>
              <w:t>Income taxes paid in cash were $7,073,000, $422,000 and $88,000 for</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fiscal years 1992, 1991 and</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spacing w:after="0"/>
              <w:rPr>
                <w:sz w:val="20"/>
                <w:szCs w:val="20"/>
                <w:color w:val="auto"/>
              </w:rPr>
            </w:pPr>
            <w:r>
              <w:rPr>
                <w:rFonts w:ascii="Courier New" w:cs="Courier New" w:eastAsia="Courier New" w:hAnsi="Courier New"/>
                <w:sz w:val="16"/>
                <w:szCs w:val="16"/>
                <w:color w:val="auto"/>
              </w:rPr>
              <w:t>1990, respectively.</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9"/>
        </w:trPr>
        <w:tc>
          <w:tcPr>
            <w:tcW w:w="7300" w:type="dxa"/>
            <w:vAlign w:val="bottom"/>
            <w:gridSpan w:val="7"/>
          </w:tcPr>
          <w:p>
            <w:pPr>
              <w:ind w:left="700"/>
              <w:spacing w:after="0"/>
              <w:rPr>
                <w:sz w:val="20"/>
                <w:szCs w:val="20"/>
                <w:color w:val="auto"/>
              </w:rPr>
            </w:pPr>
            <w:r>
              <w:rPr>
                <w:rFonts w:ascii="Courier New" w:cs="Courier New" w:eastAsia="Courier New" w:hAnsi="Courier New"/>
                <w:sz w:val="16"/>
                <w:szCs w:val="16"/>
                <w:color w:val="auto"/>
              </w:rPr>
              <w:t>Deferred income taxes arise from temporary differences between the</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amount of assets and liabilities</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7600" w:type="dxa"/>
            <w:vAlign w:val="bottom"/>
            <w:gridSpan w:val="8"/>
          </w:tcPr>
          <w:p>
            <w:pPr>
              <w:spacing w:after="0"/>
              <w:rPr>
                <w:sz w:val="20"/>
                <w:szCs w:val="20"/>
                <w:color w:val="auto"/>
              </w:rPr>
            </w:pPr>
            <w:r>
              <w:rPr>
                <w:rFonts w:ascii="Courier New" w:cs="Courier New" w:eastAsia="Courier New" w:hAnsi="Courier New"/>
                <w:sz w:val="16"/>
                <w:szCs w:val="16"/>
                <w:color w:val="auto"/>
              </w:rPr>
              <w:t>recognized for financial reporting purposes and such amounts recognized for</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2020" w:type="dxa"/>
            <w:vAlign w:val="bottom"/>
          </w:tcPr>
          <w:p>
            <w:pPr>
              <w:ind w:left="100"/>
              <w:spacing w:after="0"/>
              <w:rPr>
                <w:sz w:val="20"/>
                <w:szCs w:val="20"/>
                <w:color w:val="auto"/>
              </w:rPr>
            </w:pPr>
            <w:r>
              <w:rPr>
                <w:rFonts w:ascii="Courier New" w:cs="Courier New" w:eastAsia="Courier New" w:hAnsi="Courier New"/>
                <w:sz w:val="16"/>
                <w:szCs w:val="16"/>
                <w:color w:val="auto"/>
              </w:rPr>
              <w:t>tax purposes.  The</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7600" w:type="dxa"/>
            <w:vAlign w:val="bottom"/>
            <w:gridSpan w:val="8"/>
          </w:tcPr>
          <w:p>
            <w:pPr>
              <w:spacing w:after="0"/>
              <w:rPr>
                <w:sz w:val="20"/>
                <w:szCs w:val="20"/>
                <w:color w:val="auto"/>
              </w:rPr>
            </w:pPr>
            <w:r>
              <w:rPr>
                <w:rFonts w:ascii="Courier New" w:cs="Courier New" w:eastAsia="Courier New" w:hAnsi="Courier New"/>
                <w:sz w:val="16"/>
                <w:szCs w:val="16"/>
                <w:color w:val="auto"/>
              </w:rPr>
              <w:t>Company's temporary differences relate primarily to depreciation methods on</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property and equipment,</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7600" w:type="dxa"/>
            <w:vAlign w:val="bottom"/>
            <w:gridSpan w:val="8"/>
          </w:tcPr>
          <w:p>
            <w:pPr>
              <w:spacing w:after="0"/>
              <w:rPr>
                <w:sz w:val="20"/>
                <w:szCs w:val="20"/>
                <w:color w:val="auto"/>
              </w:rPr>
            </w:pPr>
            <w:r>
              <w:rPr>
                <w:rFonts w:ascii="Courier New" w:cs="Courier New" w:eastAsia="Courier New" w:hAnsi="Courier New"/>
                <w:sz w:val="16"/>
                <w:szCs w:val="16"/>
                <w:color w:val="auto"/>
              </w:rPr>
              <w:t>capitalizing certain items such as software development costs for financial</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reporting purposes, recognizing</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7600" w:type="dxa"/>
            <w:vAlign w:val="bottom"/>
            <w:gridSpan w:val="8"/>
          </w:tcPr>
          <w:p>
            <w:pPr>
              <w:spacing w:after="0"/>
              <w:rPr>
                <w:sz w:val="20"/>
                <w:szCs w:val="20"/>
                <w:color w:val="auto"/>
              </w:rPr>
            </w:pPr>
            <w:r>
              <w:rPr>
                <w:rFonts w:ascii="Courier New" w:cs="Courier New" w:eastAsia="Courier New" w:hAnsi="Courier New"/>
                <w:sz w:val="16"/>
                <w:szCs w:val="16"/>
                <w:color w:val="auto"/>
              </w:rPr>
              <w:t>certain expenses on an allowance method for financial reporting purposes, and</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adjustments to asset and</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380" w:type="dxa"/>
            <w:vAlign w:val="bottom"/>
            <w:gridSpan w:val="4"/>
          </w:tcPr>
          <w:p>
            <w:pPr>
              <w:spacing w:after="0"/>
              <w:rPr>
                <w:sz w:val="20"/>
                <w:szCs w:val="20"/>
                <w:color w:val="auto"/>
              </w:rPr>
            </w:pPr>
            <w:r>
              <w:rPr>
                <w:rFonts w:ascii="Courier New" w:cs="Courier New" w:eastAsia="Courier New" w:hAnsi="Courier New"/>
                <w:sz w:val="16"/>
                <w:szCs w:val="16"/>
                <w:color w:val="auto"/>
              </w:rPr>
              <w:t>liability amounts for financial reporting purposes.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9"/>
        </w:trPr>
        <w:tc>
          <w:tcPr>
            <w:tcW w:w="7600" w:type="dxa"/>
            <w:vAlign w:val="bottom"/>
            <w:gridSpan w:val="8"/>
          </w:tcPr>
          <w:p>
            <w:pPr>
              <w:ind w:left="700"/>
              <w:spacing w:after="0"/>
              <w:rPr>
                <w:sz w:val="20"/>
                <w:szCs w:val="20"/>
                <w:color w:val="auto"/>
              </w:rPr>
            </w:pPr>
            <w:r>
              <w:rPr>
                <w:rFonts w:ascii="Courier New" w:cs="Courier New" w:eastAsia="Courier New" w:hAnsi="Courier New"/>
                <w:sz w:val="16"/>
                <w:szCs w:val="16"/>
                <w:color w:val="auto"/>
              </w:rPr>
              <w:t>The difference between the Company's effective income tax rate and the</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federal statutory rate of</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8240" w:type="dxa"/>
            <w:vAlign w:val="bottom"/>
            <w:gridSpan w:val="9"/>
          </w:tcPr>
          <w:p>
            <w:pPr>
              <w:spacing w:after="0"/>
              <w:rPr>
                <w:sz w:val="20"/>
                <w:szCs w:val="20"/>
                <w:color w:val="auto"/>
              </w:rPr>
            </w:pPr>
            <w:r>
              <w:rPr>
                <w:rFonts w:ascii="Courier New" w:cs="Courier New" w:eastAsia="Courier New" w:hAnsi="Courier New"/>
                <w:sz w:val="16"/>
                <w:szCs w:val="16"/>
                <w:color w:val="auto"/>
              </w:rPr>
              <w:t>34% is due primarily to the benefit derived from the utilization of regular and</w:t>
            </w: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alternative minimum tax net</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7600" w:type="dxa"/>
            <w:vAlign w:val="bottom"/>
            <w:gridSpan w:val="8"/>
          </w:tcPr>
          <w:p>
            <w:pPr>
              <w:spacing w:after="0"/>
              <w:rPr>
                <w:sz w:val="20"/>
                <w:szCs w:val="20"/>
                <w:color w:val="auto"/>
              </w:rPr>
            </w:pPr>
            <w:r>
              <w:rPr>
                <w:rFonts w:ascii="Courier New" w:cs="Courier New" w:eastAsia="Courier New" w:hAnsi="Courier New"/>
                <w:sz w:val="16"/>
                <w:szCs w:val="16"/>
                <w:color w:val="auto"/>
              </w:rPr>
              <w:t>operating loss carryforwards, offset by state income taxes.  A comparison of</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income tax expense at the</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8240" w:type="dxa"/>
            <w:vAlign w:val="bottom"/>
            <w:gridSpan w:val="9"/>
          </w:tcPr>
          <w:p>
            <w:pPr>
              <w:spacing w:after="0"/>
              <w:rPr>
                <w:sz w:val="20"/>
                <w:szCs w:val="20"/>
                <w:color w:val="auto"/>
              </w:rPr>
            </w:pPr>
            <w:r>
              <w:rPr>
                <w:rFonts w:ascii="Courier New" w:cs="Courier New" w:eastAsia="Courier New" w:hAnsi="Courier New"/>
                <w:sz w:val="16"/>
                <w:szCs w:val="16"/>
                <w:color w:val="auto"/>
              </w:rPr>
              <w:t>federal statutory rate of 34% to the Company's provision for income taxes is as</w:t>
            </w:r>
          </w:p>
        </w:tc>
        <w:tc>
          <w:tcPr>
            <w:tcW w:w="1020" w:type="dxa"/>
            <w:vAlign w:val="bottom"/>
          </w:tcPr>
          <w:p>
            <w:pPr>
              <w:spacing w:after="0"/>
              <w:rPr>
                <w:sz w:val="16"/>
                <w:szCs w:val="16"/>
                <w:color w:val="auto"/>
              </w:rPr>
            </w:pPr>
          </w:p>
        </w:tc>
      </w:tr>
      <w:tr>
        <w:trPr>
          <w:trHeight w:val="190"/>
        </w:trPr>
        <w:tc>
          <w:tcPr>
            <w:tcW w:w="2020" w:type="dxa"/>
            <w:vAlign w:val="bottom"/>
          </w:tcPr>
          <w:p>
            <w:pPr>
              <w:ind w:left="100"/>
              <w:spacing w:after="0"/>
              <w:rPr>
                <w:sz w:val="20"/>
                <w:szCs w:val="20"/>
                <w:color w:val="auto"/>
              </w:rPr>
            </w:pPr>
            <w:r>
              <w:rPr>
                <w:rFonts w:ascii="Courier New" w:cs="Courier New" w:eastAsia="Courier New" w:hAnsi="Courier New"/>
                <w:sz w:val="16"/>
                <w:szCs w:val="16"/>
                <w:color w:val="auto"/>
              </w:rPr>
              <w:t>follows:</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758"/>
        </w:trPr>
        <w:tc>
          <w:tcPr>
            <w:tcW w:w="2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1992</w:t>
            </w:r>
          </w:p>
        </w:tc>
        <w:tc>
          <w:tcPr>
            <w:tcW w:w="300" w:type="dxa"/>
            <w:vAlign w:val="bottom"/>
          </w:tcPr>
          <w:p>
            <w:pPr>
              <w:spacing w:after="0"/>
              <w:rPr>
                <w:sz w:val="24"/>
                <w:szCs w:val="24"/>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1991</w:t>
            </w:r>
          </w:p>
        </w:tc>
        <w:tc>
          <w:tcPr>
            <w:tcW w:w="1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1990</w:t>
            </w:r>
          </w:p>
        </w:tc>
      </w:tr>
      <w:tr>
        <w:trPr>
          <w:trHeight w:val="190"/>
        </w:trPr>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698"/>
              <w:spacing w:after="0"/>
              <w:rPr>
                <w:sz w:val="20"/>
                <w:szCs w:val="20"/>
                <w:color w:val="auto"/>
              </w:rPr>
            </w:pPr>
            <w:r>
              <w:rPr>
                <w:rFonts w:ascii="Courier New" w:cs="Courier New" w:eastAsia="Courier New" w:hAnsi="Courier New"/>
                <w:sz w:val="16"/>
                <w:szCs w:val="16"/>
                <w:color w:val="auto"/>
              </w:rPr>
              <w:t>(In thousands)</w:t>
            </w:r>
          </w:p>
        </w:tc>
      </w:tr>
      <w:tr>
        <w:trPr>
          <w:trHeight w:val="190"/>
        </w:trPr>
        <w:tc>
          <w:tcPr>
            <w:tcW w:w="6360" w:type="dxa"/>
            <w:vAlign w:val="bottom"/>
            <w:gridSpan w:val="5"/>
          </w:tcPr>
          <w:p>
            <w:pPr>
              <w:ind w:left="400"/>
              <w:spacing w:after="0"/>
              <w:rPr>
                <w:sz w:val="20"/>
                <w:szCs w:val="20"/>
                <w:color w:val="auto"/>
              </w:rPr>
            </w:pPr>
            <w:r>
              <w:rPr>
                <w:rFonts w:ascii="Courier New" w:cs="Courier New" w:eastAsia="Courier New" w:hAnsi="Courier New"/>
                <w:sz w:val="16"/>
                <w:szCs w:val="16"/>
                <w:color w:val="auto"/>
              </w:rPr>
              <w:t>Income tax provision (benefit) based on federal statutory</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6360" w:type="dxa"/>
            <w:vAlign w:val="bottom"/>
            <w:gridSpan w:val="5"/>
          </w:tcPr>
          <w:p>
            <w:pPr>
              <w:ind w:left="600"/>
              <w:spacing w:after="0"/>
              <w:rPr>
                <w:sz w:val="20"/>
                <w:szCs w:val="20"/>
                <w:color w:val="auto"/>
              </w:rPr>
            </w:pPr>
            <w:r>
              <w:rPr>
                <w:rFonts w:ascii="Courier New" w:cs="Courier New" w:eastAsia="Courier New" w:hAnsi="Courier New"/>
                <w:sz w:val="16"/>
                <w:szCs w:val="16"/>
                <w:color w:val="auto"/>
              </w:rPr>
              <w:t>rate of 34% applied to income (loss) before income taxes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400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and extraordinary item</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$ 8,736</w:t>
            </w:r>
          </w:p>
        </w:tc>
        <w:tc>
          <w:tcPr>
            <w:tcW w:w="3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(2,563)</w:t>
            </w:r>
          </w:p>
        </w:tc>
      </w:tr>
      <w:tr>
        <w:trPr>
          <w:trHeight w:val="190"/>
        </w:trPr>
        <w:tc>
          <w:tcPr>
            <w:tcW w:w="488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Increases (reductions) resulting from:</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6360" w:type="dxa"/>
            <w:vAlign w:val="bottom"/>
            <w:gridSpan w:val="5"/>
          </w:tcPr>
          <w:p>
            <w:pPr>
              <w:ind w:left="600"/>
              <w:spacing w:after="0"/>
              <w:rPr>
                <w:sz w:val="20"/>
                <w:szCs w:val="20"/>
                <w:color w:val="auto"/>
              </w:rPr>
            </w:pPr>
            <w:r>
              <w:rPr>
                <w:rFonts w:ascii="Courier New" w:cs="Courier New" w:eastAsia="Courier New" w:hAnsi="Courier New"/>
                <w:sz w:val="16"/>
                <w:szCs w:val="16"/>
                <w:color w:val="auto"/>
              </w:rPr>
              <w:t>State income taxes, net of federal income tax benefit</w:t>
            </w:r>
          </w:p>
        </w:tc>
        <w:tc>
          <w:tcPr>
            <w:tcW w:w="24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1,030</w:t>
            </w:r>
          </w:p>
        </w:tc>
        <w:tc>
          <w:tcPr>
            <w:tcW w:w="30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148</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152</w:t>
            </w:r>
          </w:p>
        </w:tc>
      </w:tr>
      <w:tr>
        <w:trPr>
          <w:trHeight w:val="190"/>
        </w:trPr>
        <w:tc>
          <w:tcPr>
            <w:tcW w:w="40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Benefit from NOL carryforward</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(5,557)</w:t>
            </w:r>
          </w:p>
        </w:tc>
        <w:tc>
          <w:tcPr>
            <w:tcW w:w="30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5"/>
              </w:rPr>
              <w:t>(162)</w:t>
            </w:r>
          </w:p>
        </w:tc>
        <w:tc>
          <w:tcPr>
            <w:tcW w:w="1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gridSpan w:val="3"/>
          </w:tcPr>
          <w:p>
            <w:pPr>
              <w:ind w:left="600"/>
              <w:spacing w:after="0"/>
              <w:rPr>
                <w:sz w:val="20"/>
                <w:szCs w:val="20"/>
                <w:color w:val="auto"/>
              </w:rPr>
            </w:pPr>
            <w:r>
              <w:rPr>
                <w:rFonts w:ascii="Courier New" w:cs="Courier New" w:eastAsia="Courier New" w:hAnsi="Courier New"/>
                <w:sz w:val="16"/>
                <w:szCs w:val="16"/>
                <w:color w:val="auto"/>
              </w:rPr>
              <w:t>Nondeductible amortization of goodwill</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321</w:t>
            </w:r>
          </w:p>
        </w:tc>
        <w:tc>
          <w:tcPr>
            <w:tcW w:w="30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144</w:t>
            </w:r>
          </w:p>
        </w:tc>
        <w:tc>
          <w:tcPr>
            <w:tcW w:w="1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880" w:type="dxa"/>
            <w:vAlign w:val="bottom"/>
            <w:gridSpan w:val="3"/>
          </w:tcPr>
          <w:p>
            <w:pPr>
              <w:ind w:left="600"/>
              <w:spacing w:after="0"/>
              <w:rPr>
                <w:sz w:val="20"/>
                <w:szCs w:val="20"/>
                <w:color w:val="auto"/>
              </w:rPr>
            </w:pPr>
            <w:r>
              <w:rPr>
                <w:rFonts w:ascii="Courier New" w:cs="Courier New" w:eastAsia="Courier New" w:hAnsi="Courier New"/>
                <w:sz w:val="16"/>
                <w:szCs w:val="16"/>
                <w:color w:val="auto"/>
              </w:rPr>
              <w:t>Unrecognized benefit of NOL carryforward</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2,563</w:t>
            </w:r>
          </w:p>
        </w:tc>
      </w:tr>
      <w:tr>
        <w:trPr>
          <w:trHeight w:val="190"/>
        </w:trPr>
        <w:tc>
          <w:tcPr>
            <w:tcW w:w="40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Excess of AMT over regular tax</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362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020" w:type="dxa"/>
            <w:vAlign w:val="bottom"/>
          </w:tcPr>
          <w:p>
            <w:pPr>
              <w:ind w:left="600"/>
              <w:spacing w:after="0"/>
              <w:rPr>
                <w:sz w:val="20"/>
                <w:szCs w:val="20"/>
                <w:color w:val="auto"/>
              </w:rPr>
            </w:pPr>
            <w:r>
              <w:rPr>
                <w:rFonts w:ascii="Courier New" w:cs="Courier New" w:eastAsia="Courier New" w:hAnsi="Courier New"/>
                <w:sz w:val="16"/>
                <w:szCs w:val="16"/>
                <w:color w:val="auto"/>
              </w:rPr>
              <w:t>AMT credit</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(362)</w:t>
            </w:r>
          </w:p>
        </w:tc>
        <w:tc>
          <w:tcPr>
            <w:tcW w:w="30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020" w:type="dxa"/>
            <w:vAlign w:val="bottom"/>
          </w:tcPr>
          <w:p>
            <w:pPr>
              <w:ind w:left="600"/>
              <w:spacing w:after="0"/>
              <w:rPr>
                <w:sz w:val="20"/>
                <w:szCs w:val="20"/>
                <w:color w:val="auto"/>
              </w:rPr>
            </w:pPr>
            <w:r>
              <w:rPr>
                <w:rFonts w:ascii="Courier New" w:cs="Courier New" w:eastAsia="Courier New" w:hAnsi="Courier New"/>
                <w:sz w:val="16"/>
                <w:szCs w:val="16"/>
                <w:color w:val="auto"/>
              </w:rPr>
              <w:t>Other, net</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2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$4 ,168</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520</w:t>
            </w:r>
          </w:p>
        </w:tc>
        <w:tc>
          <w:tcPr>
            <w:tcW w:w="10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$ 152</w:t>
            </w:r>
          </w:p>
        </w:tc>
      </w:tr>
    </w:tbl>
    <w:p>
      <w:pPr>
        <w:spacing w:after="0" w:line="194" w:lineRule="exact"/>
        <w:rPr>
          <w:sz w:val="20"/>
          <w:szCs w:val="20"/>
          <w:color w:val="auto"/>
        </w:rPr>
      </w:pPr>
    </w:p>
    <w:p>
      <w:pPr>
        <w:ind w:left="100" w:right="2719" w:firstLine="592"/>
        <w:spacing w:after="0" w:line="251" w:lineRule="auto"/>
        <w:rPr>
          <w:sz w:val="20"/>
          <w:szCs w:val="20"/>
          <w:color w:val="auto"/>
        </w:rPr>
      </w:pPr>
      <w:r>
        <w:rPr>
          <w:rFonts w:ascii="Courier New" w:cs="Courier New" w:eastAsia="Courier New" w:hAnsi="Courier New"/>
          <w:sz w:val="16"/>
          <w:szCs w:val="16"/>
          <w:color w:val="auto"/>
        </w:rPr>
        <w:t>The Company's tax return for the five month period ended December 30, 1988 has been audited</w:t>
      </w:r>
    </w:p>
    <w:p>
      <w:pPr>
        <w:ind w:left="100" w:right="3119" w:hanging="97"/>
        <w:spacing w:after="0" w:line="247" w:lineRule="auto"/>
        <w:rPr>
          <w:sz w:val="20"/>
          <w:szCs w:val="20"/>
          <w:color w:val="auto"/>
        </w:rPr>
      </w:pPr>
      <w:r>
        <w:rPr>
          <w:rFonts w:ascii="Courier New" w:cs="Courier New" w:eastAsia="Courier New" w:hAnsi="Courier New"/>
          <w:sz w:val="16"/>
          <w:szCs w:val="16"/>
          <w:color w:val="auto"/>
        </w:rPr>
        <w:t>by the Internal Revenue Service ("IRS").</w:t>
      </w:r>
      <w:r>
        <w:rPr>
          <w:sz w:val="20"/>
          <w:szCs w:val="20"/>
          <w:color w:val="auto"/>
        </w:rPr>
        <w:t xml:space="preserve"> </w:t>
      </w:r>
      <w:r>
        <w:rPr>
          <w:rFonts w:ascii="Courier New" w:cs="Courier New" w:eastAsia="Courier New" w:hAnsi="Courier New"/>
          <w:sz w:val="16"/>
          <w:szCs w:val="16"/>
          <w:color w:val="auto"/>
        </w:rPr>
        <w:t>The IRS has questioned certain positions taken by the Company</w:t>
      </w:r>
    </w:p>
    <w:p>
      <w:pPr>
        <w:spacing w:after="0" w:line="193" w:lineRule="exact"/>
        <w:rPr>
          <w:sz w:val="20"/>
          <w:szCs w:val="20"/>
          <w:color w:val="auto"/>
        </w:rPr>
      </w:pPr>
    </w:p>
    <w:p>
      <w:pPr>
        <w:ind w:left="100" w:right="2619" w:hanging="97"/>
        <w:spacing w:after="0" w:line="247" w:lineRule="auto"/>
        <w:rPr>
          <w:sz w:val="20"/>
          <w:szCs w:val="20"/>
          <w:color w:val="auto"/>
        </w:rPr>
      </w:pPr>
      <w:r>
        <w:rPr>
          <w:rFonts w:ascii="Courier New" w:cs="Courier New" w:eastAsia="Courier New" w:hAnsi="Courier New"/>
          <w:sz w:val="16"/>
          <w:szCs w:val="16"/>
          <w:color w:val="auto"/>
        </w:rPr>
        <w:t>with respect to deductions claimed.</w:t>
      </w:r>
      <w:r>
        <w:rPr>
          <w:sz w:val="20"/>
          <w:szCs w:val="20"/>
          <w:color w:val="auto"/>
        </w:rPr>
        <w:t xml:space="preserve"> </w:t>
      </w:r>
      <w:r>
        <w:rPr>
          <w:rFonts w:ascii="Courier New" w:cs="Courier New" w:eastAsia="Courier New" w:hAnsi="Courier New"/>
          <w:sz w:val="16"/>
          <w:szCs w:val="16"/>
          <w:color w:val="auto"/>
        </w:rPr>
        <w:t>While the Company believes its positions will be sustained, there can</w:t>
      </w:r>
    </w:p>
    <w:p>
      <w:pPr>
        <w:spacing w:after="0" w:line="193" w:lineRule="exact"/>
        <w:rPr>
          <w:sz w:val="20"/>
          <w:szCs w:val="20"/>
          <w:color w:val="auto"/>
        </w:rPr>
      </w:pPr>
    </w:p>
    <w:p>
      <w:pPr>
        <w:ind w:left="100" w:right="2439" w:hanging="97"/>
        <w:spacing w:after="0" w:line="247" w:lineRule="auto"/>
        <w:rPr>
          <w:sz w:val="20"/>
          <w:szCs w:val="20"/>
          <w:color w:val="auto"/>
        </w:rPr>
      </w:pPr>
      <w:r>
        <w:rPr>
          <w:rFonts w:ascii="Courier New" w:cs="Courier New" w:eastAsia="Courier New" w:hAnsi="Courier New"/>
          <w:sz w:val="16"/>
          <w:szCs w:val="16"/>
          <w:color w:val="auto"/>
        </w:rPr>
        <w:t>be no assurance that it will prevail.</w:t>
      </w:r>
      <w:r>
        <w:rPr>
          <w:sz w:val="20"/>
          <w:szCs w:val="20"/>
          <w:color w:val="auto"/>
        </w:rPr>
        <w:t xml:space="preserve"> </w:t>
      </w:r>
      <w:r>
        <w:rPr>
          <w:rFonts w:ascii="Courier New" w:cs="Courier New" w:eastAsia="Courier New" w:hAnsi="Courier New"/>
          <w:sz w:val="16"/>
          <w:szCs w:val="16"/>
          <w:color w:val="auto"/>
        </w:rPr>
        <w:t>The potential maximum tax impact of this audit is $8,750,000.</w:t>
      </w:r>
    </w:p>
    <w:p>
      <w:pPr>
        <w:sectPr>
          <w:pgSz w:w="11900" w:h="16838" w:orient="portrait"/>
          <w:cols w:equalWidth="0" w:num="1">
            <w:col w:w="10219"/>
          </w:cols>
          <w:pgMar w:left="240" w:top="496" w:right="1440" w:bottom="424" w:gutter="0" w:footer="0" w:header="0"/>
        </w:sectPr>
      </w:pPr>
    </w:p>
    <w:bookmarkStart w:id="23" w:name="page24"/>
    <w:bookmarkEnd w:id="23"/>
    <w:p>
      <w:pPr>
        <w:spacing w:after="0" w:line="247" w:lineRule="auto"/>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line="247" w:lineRule="auto"/>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374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19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88" w:lineRule="exact"/>
        <w:rPr>
          <w:sz w:val="20"/>
          <w:szCs w:val="20"/>
          <w:color w:val="auto"/>
        </w:rPr>
      </w:pPr>
    </w:p>
    <w:p>
      <w:pPr>
        <w:ind w:left="600" w:hanging="599"/>
        <w:spacing w:after="0"/>
        <w:tabs>
          <w:tab w:leader="none" w:pos="6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98" w:lineRule="exact"/>
        <w:rPr>
          <w:sz w:val="20"/>
          <w:szCs w:val="20"/>
          <w:color w:val="auto"/>
        </w:rPr>
      </w:pPr>
    </w:p>
    <w:p>
      <w:pPr>
        <w:ind w:left="100" w:right="2619" w:firstLine="592"/>
        <w:spacing w:after="0" w:line="251" w:lineRule="auto"/>
        <w:rPr>
          <w:sz w:val="20"/>
          <w:szCs w:val="20"/>
          <w:color w:val="auto"/>
        </w:rPr>
      </w:pPr>
      <w:r>
        <w:rPr>
          <w:rFonts w:ascii="Courier New" w:cs="Courier New" w:eastAsia="Courier New" w:hAnsi="Courier New"/>
          <w:sz w:val="16"/>
          <w:szCs w:val="16"/>
          <w:color w:val="auto"/>
        </w:rPr>
        <w:t>The Company leases certain facilities and computer and other equipment used in its operations</w:t>
      </w:r>
    </w:p>
    <w:p>
      <w:pPr>
        <w:ind w:left="100" w:right="2519" w:hanging="97"/>
        <w:spacing w:after="0" w:line="251" w:lineRule="auto"/>
        <w:rPr>
          <w:sz w:val="20"/>
          <w:szCs w:val="20"/>
          <w:color w:val="auto"/>
        </w:rPr>
      </w:pPr>
      <w:r>
        <w:rPr>
          <w:rFonts w:ascii="Courier New" w:cs="Courier New" w:eastAsia="Courier New" w:hAnsi="Courier New"/>
          <w:sz w:val="16"/>
          <w:szCs w:val="16"/>
          <w:color w:val="auto"/>
        </w:rPr>
        <w:t>under noncancellable operating lease agreements having an initial term of more than one year and</w:t>
      </w:r>
    </w:p>
    <w:p>
      <w:pPr>
        <w:ind w:left="100" w:right="2719" w:hanging="97"/>
        <w:spacing w:after="0" w:line="247" w:lineRule="auto"/>
        <w:rPr>
          <w:sz w:val="20"/>
          <w:szCs w:val="20"/>
          <w:color w:val="auto"/>
        </w:rPr>
      </w:pPr>
      <w:r>
        <w:rPr>
          <w:rFonts w:ascii="Courier New" w:cs="Courier New" w:eastAsia="Courier New" w:hAnsi="Courier New"/>
          <w:sz w:val="16"/>
          <w:szCs w:val="16"/>
          <w:color w:val="auto"/>
        </w:rPr>
        <w:t>expiring at various dates through 1997.</w:t>
      </w:r>
      <w:r>
        <w:rPr>
          <w:sz w:val="20"/>
          <w:szCs w:val="20"/>
          <w:color w:val="auto"/>
        </w:rPr>
        <w:t xml:space="preserve"> </w:t>
      </w:r>
      <w:r>
        <w:rPr>
          <w:rFonts w:ascii="Courier New" w:cs="Courier New" w:eastAsia="Courier New" w:hAnsi="Courier New"/>
          <w:sz w:val="16"/>
          <w:szCs w:val="16"/>
          <w:color w:val="auto"/>
        </w:rPr>
        <w:t>Most leases contain renewal options and some contain purchase</w:t>
      </w:r>
    </w:p>
    <w:p>
      <w:pPr>
        <w:spacing w:after="0" w:line="193" w:lineRule="exact"/>
        <w:rPr>
          <w:sz w:val="20"/>
          <w:szCs w:val="20"/>
          <w:color w:val="auto"/>
        </w:rPr>
      </w:pPr>
    </w:p>
    <w:p>
      <w:pPr>
        <w:ind w:left="100" w:right="2719" w:hanging="97"/>
        <w:spacing w:after="0" w:line="251" w:lineRule="auto"/>
        <w:rPr>
          <w:sz w:val="20"/>
          <w:szCs w:val="20"/>
          <w:color w:val="auto"/>
        </w:rPr>
      </w:pPr>
      <w:r>
        <w:rPr>
          <w:rFonts w:ascii="Courier New" w:cs="Courier New" w:eastAsia="Courier New" w:hAnsi="Courier New"/>
          <w:sz w:val="16"/>
          <w:szCs w:val="16"/>
          <w:color w:val="auto"/>
        </w:rPr>
        <w:t>options.</w:t>
      </w:r>
      <w:r>
        <w:rPr>
          <w:sz w:val="20"/>
          <w:szCs w:val="20"/>
          <w:color w:val="auto"/>
        </w:rPr>
        <w:t xml:space="preserve"> </w:t>
      </w:r>
      <w:r>
        <w:rPr>
          <w:rFonts w:ascii="Courier New" w:cs="Courier New" w:eastAsia="Courier New" w:hAnsi="Courier New"/>
          <w:sz w:val="16"/>
          <w:szCs w:val="16"/>
          <w:color w:val="auto"/>
        </w:rPr>
        <w:t>These options are typically for renewal or purchase at fair market value or at escalated amounts</w:t>
      </w:r>
    </w:p>
    <w:p>
      <w:pPr>
        <w:spacing w:after="0"/>
        <w:rPr>
          <w:sz w:val="20"/>
          <w:szCs w:val="20"/>
          <w:color w:val="auto"/>
        </w:rPr>
      </w:pPr>
      <w:r>
        <w:rPr>
          <w:rFonts w:ascii="Courier New" w:cs="Courier New" w:eastAsia="Courier New" w:hAnsi="Courier New"/>
          <w:sz w:val="16"/>
          <w:szCs w:val="16"/>
          <w:color w:val="auto"/>
        </w:rPr>
        <w:t>based on the Consumer Price Index, which approximate the fair market values.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renewal terms range</w:t>
      </w:r>
    </w:p>
    <w:p>
      <w:pPr>
        <w:spacing w:after="0" w:line="8" w:lineRule="exact"/>
        <w:rPr>
          <w:sz w:val="20"/>
          <w:szCs w:val="20"/>
          <w:color w:val="auto"/>
        </w:rPr>
      </w:pPr>
    </w:p>
    <w:p>
      <w:pPr>
        <w:ind w:left="100" w:right="2919" w:hanging="97"/>
        <w:spacing w:after="0" w:line="247" w:lineRule="auto"/>
        <w:rPr>
          <w:sz w:val="20"/>
          <w:szCs w:val="20"/>
          <w:color w:val="auto"/>
        </w:rPr>
      </w:pPr>
      <w:r>
        <w:rPr>
          <w:rFonts w:ascii="Courier New" w:cs="Courier New" w:eastAsia="Courier New" w:hAnsi="Courier New"/>
          <w:sz w:val="16"/>
          <w:szCs w:val="16"/>
          <w:color w:val="auto"/>
        </w:rPr>
        <w:t>from periods of two years to ten years.</w:t>
      </w:r>
      <w:r>
        <w:rPr>
          <w:sz w:val="20"/>
          <w:szCs w:val="20"/>
          <w:color w:val="auto"/>
        </w:rPr>
        <w:t xml:space="preserve"> </w:t>
      </w:r>
      <w:r>
        <w:rPr>
          <w:rFonts w:ascii="Courier New" w:cs="Courier New" w:eastAsia="Courier New" w:hAnsi="Courier New"/>
          <w:sz w:val="16"/>
          <w:szCs w:val="16"/>
          <w:color w:val="auto"/>
        </w:rPr>
        <w:t>The leases generally provide that the Company pay taxes,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maintenance, insurance and certain other operating expenses.</w:t>
      </w:r>
    </w:p>
    <w:p>
      <w:pPr>
        <w:spacing w:after="0" w:line="198" w:lineRule="exact"/>
        <w:rPr>
          <w:sz w:val="20"/>
          <w:szCs w:val="20"/>
          <w:color w:val="auto"/>
        </w:rPr>
      </w:pPr>
    </w:p>
    <w:p>
      <w:pPr>
        <w:ind w:left="100" w:right="2619" w:firstLine="592"/>
        <w:spacing w:after="0" w:line="251" w:lineRule="auto"/>
        <w:rPr>
          <w:sz w:val="20"/>
          <w:szCs w:val="20"/>
          <w:color w:val="auto"/>
        </w:rPr>
      </w:pPr>
      <w:r>
        <w:rPr>
          <w:rFonts w:ascii="Courier New" w:cs="Courier New" w:eastAsia="Courier New" w:hAnsi="Courier New"/>
          <w:sz w:val="16"/>
          <w:szCs w:val="16"/>
          <w:color w:val="auto"/>
        </w:rPr>
        <w:t>Rent expense was $6,585,000, $7,334,000, and $7,235,000, respectively, for fiscal years 1992,</w:t>
      </w:r>
    </w:p>
    <w:p>
      <w:pPr>
        <w:spacing w:after="0"/>
        <w:rPr>
          <w:sz w:val="20"/>
          <w:szCs w:val="20"/>
          <w:color w:val="auto"/>
        </w:rPr>
      </w:pPr>
      <w:r>
        <w:rPr>
          <w:rFonts w:ascii="Courier New" w:cs="Courier New" w:eastAsia="Courier New" w:hAnsi="Courier New"/>
          <w:sz w:val="16"/>
          <w:szCs w:val="16"/>
          <w:color w:val="auto"/>
        </w:rPr>
        <w:t>1991, and 1990.</w:t>
      </w:r>
    </w:p>
    <w:p>
      <w:pPr>
        <w:spacing w:after="0" w:line="198" w:lineRule="exact"/>
        <w:rPr>
          <w:sz w:val="20"/>
          <w:szCs w:val="20"/>
          <w:color w:val="auto"/>
        </w:rPr>
      </w:pPr>
    </w:p>
    <w:p>
      <w:pPr>
        <w:ind w:left="100" w:right="2439" w:firstLine="592"/>
        <w:spacing w:after="0" w:line="255" w:lineRule="auto"/>
        <w:rPr>
          <w:sz w:val="20"/>
          <w:szCs w:val="20"/>
          <w:color w:val="auto"/>
        </w:rPr>
      </w:pPr>
      <w:r>
        <w:rPr>
          <w:rFonts w:ascii="Courier New" w:cs="Courier New" w:eastAsia="Courier New" w:hAnsi="Courier New"/>
          <w:sz w:val="16"/>
          <w:szCs w:val="16"/>
          <w:color w:val="auto"/>
        </w:rPr>
        <w:t>Minimum rental payments required under the leases described above are as follows (in thousands):</w:t>
      </w:r>
    </w:p>
    <w:p>
      <w:pPr>
        <w:spacing w:after="0" w:line="184"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1993 . . . . . . . . . . . . . . . . . . . . . . . . $ 5,435</w:t>
      </w:r>
    </w:p>
    <w:p>
      <w:pPr>
        <w:spacing w:after="0" w:line="8" w:lineRule="exact"/>
        <w:rPr>
          <w:sz w:val="20"/>
          <w:szCs w:val="20"/>
          <w:color w:val="auto"/>
        </w:rPr>
      </w:pPr>
    </w:p>
    <w:p>
      <w:pPr>
        <w:ind w:left="980"/>
        <w:spacing w:after="0"/>
        <w:tabs>
          <w:tab w:leader="none" w:pos="6380" w:val="left"/>
        </w:tabs>
        <w:rPr>
          <w:sz w:val="20"/>
          <w:szCs w:val="20"/>
          <w:color w:val="auto"/>
        </w:rPr>
      </w:pPr>
      <w:r>
        <w:rPr>
          <w:rFonts w:ascii="Courier New" w:cs="Courier New" w:eastAsia="Courier New" w:hAnsi="Courier New"/>
          <w:sz w:val="16"/>
          <w:szCs w:val="16"/>
          <w:color w:val="auto"/>
        </w:rPr>
        <w:t>1994 . . . . . . . . . . . . . . . . . . . . . . . .</w:t>
        <w:tab/>
        <w:t>3,847</w:t>
      </w:r>
    </w:p>
    <w:p>
      <w:pPr>
        <w:spacing w:after="0" w:line="8" w:lineRule="exact"/>
        <w:rPr>
          <w:sz w:val="20"/>
          <w:szCs w:val="20"/>
          <w:color w:val="auto"/>
        </w:rPr>
      </w:pPr>
    </w:p>
    <w:p>
      <w:pPr>
        <w:ind w:left="980"/>
        <w:spacing w:after="0"/>
        <w:tabs>
          <w:tab w:leader="none" w:pos="6380" w:val="left"/>
        </w:tabs>
        <w:rPr>
          <w:sz w:val="20"/>
          <w:szCs w:val="20"/>
          <w:color w:val="auto"/>
        </w:rPr>
      </w:pPr>
      <w:r>
        <w:rPr>
          <w:rFonts w:ascii="Courier New" w:cs="Courier New" w:eastAsia="Courier New" w:hAnsi="Courier New"/>
          <w:sz w:val="16"/>
          <w:szCs w:val="16"/>
          <w:color w:val="auto"/>
        </w:rPr>
        <w:t>1995 . . . . . . . . . . . . . . . . . . . . . . . .</w:t>
        <w:tab/>
        <w:t>2,672</w:t>
      </w:r>
    </w:p>
    <w:p>
      <w:pPr>
        <w:spacing w:after="0" w:line="8" w:lineRule="exact"/>
        <w:rPr>
          <w:sz w:val="20"/>
          <w:szCs w:val="20"/>
          <w:color w:val="auto"/>
        </w:rPr>
      </w:pPr>
    </w:p>
    <w:p>
      <w:pPr>
        <w:ind w:left="980"/>
        <w:spacing w:after="0"/>
        <w:tabs>
          <w:tab w:leader="none" w:pos="6380" w:val="left"/>
        </w:tabs>
        <w:rPr>
          <w:sz w:val="20"/>
          <w:szCs w:val="20"/>
          <w:color w:val="auto"/>
        </w:rPr>
      </w:pPr>
      <w:r>
        <w:rPr>
          <w:rFonts w:ascii="Courier New" w:cs="Courier New" w:eastAsia="Courier New" w:hAnsi="Courier New"/>
          <w:sz w:val="16"/>
          <w:szCs w:val="16"/>
          <w:color w:val="auto"/>
        </w:rPr>
        <w:t>1996 . . . . . . . . . . . . . . . . . . . . . . . .</w:t>
        <w:tab/>
        <w:t>1,193</w:t>
      </w:r>
    </w:p>
    <w:p>
      <w:pPr>
        <w:spacing w:after="0" w:line="8" w:lineRule="exact"/>
        <w:rPr>
          <w:sz w:val="20"/>
          <w:szCs w:val="20"/>
          <w:color w:val="auto"/>
        </w:rPr>
      </w:pPr>
    </w:p>
    <w:p>
      <w:pPr>
        <w:ind w:left="980"/>
        <w:spacing w:after="0"/>
        <w:tabs>
          <w:tab w:leader="none" w:pos="6580" w:val="left"/>
        </w:tabs>
        <w:rPr>
          <w:sz w:val="20"/>
          <w:szCs w:val="20"/>
          <w:color w:val="auto"/>
        </w:rPr>
      </w:pPr>
      <w:r>
        <w:rPr>
          <w:rFonts w:ascii="Courier New" w:cs="Courier New" w:eastAsia="Courier New" w:hAnsi="Courier New"/>
          <w:sz w:val="16"/>
          <w:szCs w:val="16"/>
          <w:color w:val="auto"/>
        </w:rPr>
        <w:t>1997 . . . . . . . . . . . . . . . . . . . . . . . .</w:t>
      </w:r>
      <w:r>
        <w:rPr>
          <w:sz w:val="20"/>
          <w:szCs w:val="20"/>
          <w:color w:val="auto"/>
        </w:rPr>
        <w:tab/>
      </w:r>
      <w:r>
        <w:rPr>
          <w:rFonts w:ascii="Courier New" w:cs="Courier New" w:eastAsia="Courier New" w:hAnsi="Courier New"/>
          <w:sz w:val="16"/>
          <w:szCs w:val="16"/>
          <w:color w:val="auto"/>
        </w:rPr>
        <w:t>354</w:t>
      </w:r>
    </w:p>
    <w:p>
      <w:pPr>
        <w:spacing w:after="0" w:line="8" w:lineRule="exact"/>
        <w:rPr>
          <w:sz w:val="20"/>
          <w:szCs w:val="20"/>
          <w:color w:val="auto"/>
        </w:rPr>
      </w:pPr>
    </w:p>
    <w:p>
      <w:pPr>
        <w:ind w:left="980"/>
        <w:spacing w:after="0"/>
        <w:tabs>
          <w:tab w:leader="none" w:pos="6480" w:val="left"/>
        </w:tabs>
        <w:rPr>
          <w:sz w:val="20"/>
          <w:szCs w:val="20"/>
          <w:color w:val="auto"/>
        </w:rPr>
      </w:pPr>
      <w:r>
        <w:rPr>
          <w:rFonts w:ascii="Courier New" w:cs="Courier New" w:eastAsia="Courier New" w:hAnsi="Courier New"/>
          <w:sz w:val="16"/>
          <w:szCs w:val="16"/>
          <w:color w:val="auto"/>
        </w:rPr>
        <w:t>Later years. . . . . . . . . . . . . . . . . . . . .</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$13,501</w:t>
      </w:r>
    </w:p>
    <w:p>
      <w:pPr>
        <w:spacing w:after="0" w:line="8" w:lineRule="exact"/>
        <w:rPr>
          <w:sz w:val="20"/>
          <w:szCs w:val="20"/>
          <w:color w:val="auto"/>
        </w:rPr>
      </w:pPr>
    </w:p>
    <w:p>
      <w:pPr>
        <w:ind w:left="600" w:hanging="599"/>
        <w:spacing w:after="0"/>
        <w:tabs>
          <w:tab w:leader="none" w:pos="6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w:t>
      </w:r>
    </w:p>
    <w:p>
      <w:pPr>
        <w:spacing w:after="0" w:line="198" w:lineRule="exact"/>
        <w:rPr>
          <w:sz w:val="20"/>
          <w:szCs w:val="20"/>
          <w:color w:val="auto"/>
        </w:rPr>
      </w:pPr>
    </w:p>
    <w:p>
      <w:pPr>
        <w:ind w:left="100" w:right="2519" w:firstLine="592"/>
        <w:spacing w:after="0" w:line="251" w:lineRule="auto"/>
        <w:rPr>
          <w:sz w:val="20"/>
          <w:szCs w:val="20"/>
          <w:color w:val="auto"/>
        </w:rPr>
      </w:pPr>
      <w:r>
        <w:rPr>
          <w:rFonts w:ascii="Courier New" w:cs="Courier New" w:eastAsia="Courier New" w:hAnsi="Courier New"/>
          <w:sz w:val="16"/>
          <w:szCs w:val="16"/>
          <w:color w:val="auto"/>
        </w:rPr>
        <w:t>Hall-Mark provides a savings and investment plan, under which Hall-Mark contributes an amount,</w:t>
      </w:r>
    </w:p>
    <w:p>
      <w:pPr>
        <w:ind w:left="100" w:right="3019" w:hanging="97"/>
        <w:spacing w:after="0" w:line="251" w:lineRule="auto"/>
        <w:rPr>
          <w:sz w:val="20"/>
          <w:szCs w:val="20"/>
          <w:color w:val="auto"/>
        </w:rPr>
      </w:pPr>
      <w:r>
        <w:rPr>
          <w:rFonts w:ascii="Courier New" w:cs="Courier New" w:eastAsia="Courier New" w:hAnsi="Courier New"/>
          <w:sz w:val="16"/>
          <w:szCs w:val="16"/>
          <w:color w:val="auto"/>
        </w:rPr>
        <w:t>as determined by its board of directors each year, based upon Hall-Mark's profits, to match up to 50% of</w:t>
      </w:r>
    </w:p>
    <w:p>
      <w:pPr>
        <w:ind w:left="100" w:right="2619" w:hanging="97"/>
        <w:spacing w:after="0" w:line="247" w:lineRule="auto"/>
        <w:rPr>
          <w:sz w:val="20"/>
          <w:szCs w:val="20"/>
          <w:color w:val="auto"/>
        </w:rPr>
      </w:pPr>
      <w:r>
        <w:rPr>
          <w:rFonts w:ascii="Courier New" w:cs="Courier New" w:eastAsia="Courier New" w:hAnsi="Courier New"/>
          <w:sz w:val="16"/>
          <w:szCs w:val="16"/>
          <w:color w:val="auto"/>
        </w:rPr>
        <w:t>eligible employee contributions.</w:t>
      </w:r>
      <w:r>
        <w:rPr>
          <w:sz w:val="20"/>
          <w:szCs w:val="20"/>
          <w:color w:val="auto"/>
        </w:rPr>
        <w:t xml:space="preserve"> </w:t>
      </w:r>
      <w:r>
        <w:rPr>
          <w:rFonts w:ascii="Courier New" w:cs="Courier New" w:eastAsia="Courier New" w:hAnsi="Courier New"/>
          <w:sz w:val="16"/>
          <w:szCs w:val="16"/>
          <w:color w:val="auto"/>
        </w:rPr>
        <w:t>In addition, when profits during a calendar year permit and subject to</w:t>
      </w:r>
    </w:p>
    <w:p>
      <w:pPr>
        <w:spacing w:after="0" w:line="193" w:lineRule="exact"/>
        <w:rPr>
          <w:sz w:val="20"/>
          <w:szCs w:val="20"/>
          <w:color w:val="auto"/>
        </w:rPr>
      </w:pPr>
    </w:p>
    <w:p>
      <w:pPr>
        <w:ind w:left="100" w:right="2719" w:hanging="97"/>
        <w:spacing w:after="0" w:line="247" w:lineRule="auto"/>
        <w:rPr>
          <w:sz w:val="20"/>
          <w:szCs w:val="20"/>
          <w:color w:val="auto"/>
        </w:rPr>
      </w:pPr>
      <w:r>
        <w:rPr>
          <w:rFonts w:ascii="Courier New" w:cs="Courier New" w:eastAsia="Courier New" w:hAnsi="Courier New"/>
          <w:sz w:val="16"/>
          <w:szCs w:val="16"/>
          <w:color w:val="auto"/>
        </w:rPr>
        <w:t>certain limitations, additional contributions may be made.</w:t>
      </w:r>
      <w:r>
        <w:rPr>
          <w:sz w:val="20"/>
          <w:szCs w:val="20"/>
          <w:color w:val="auto"/>
        </w:rPr>
        <w:t xml:space="preserve"> </w:t>
      </w:r>
      <w:r>
        <w:rPr>
          <w:rFonts w:ascii="Courier New" w:cs="Courier New" w:eastAsia="Courier New" w:hAnsi="Courier New"/>
          <w:sz w:val="16"/>
          <w:szCs w:val="16"/>
          <w:color w:val="auto"/>
        </w:rPr>
        <w:t>For fiscal years 1992, 1991, and 1990, the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contributed $1,045,000, $873,000, and $825,000, respectively,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savings and investment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8" w:lineRule="exact"/>
        <w:rPr>
          <w:sz w:val="20"/>
          <w:szCs w:val="20"/>
          <w:color w:val="auto"/>
        </w:rPr>
      </w:pPr>
    </w:p>
    <w:p>
      <w:pPr>
        <w:ind w:left="100" w:right="2339" w:firstLine="592"/>
        <w:spacing w:after="0" w:line="251" w:lineRule="auto"/>
        <w:rPr>
          <w:sz w:val="20"/>
          <w:szCs w:val="20"/>
          <w:color w:val="auto"/>
        </w:rPr>
      </w:pPr>
      <w:r>
        <w:rPr>
          <w:rFonts w:ascii="Courier New" w:cs="Courier New" w:eastAsia="Courier New" w:hAnsi="Courier New"/>
          <w:sz w:val="16"/>
          <w:szCs w:val="16"/>
          <w:color w:val="auto"/>
        </w:rPr>
        <w:t>The Company currently offers no employee benefits which qualify under the provisions of Statement</w:t>
      </w:r>
    </w:p>
    <w:p>
      <w:pPr>
        <w:ind w:right="2819"/>
        <w:spacing w:after="0" w:line="251" w:lineRule="auto"/>
        <w:rPr>
          <w:sz w:val="20"/>
          <w:szCs w:val="20"/>
          <w:color w:val="auto"/>
        </w:rPr>
      </w:pPr>
      <w:r>
        <w:rPr>
          <w:rFonts w:ascii="Courier New" w:cs="Courier New" w:eastAsia="Courier New" w:hAnsi="Courier New"/>
          <w:sz w:val="16"/>
          <w:szCs w:val="16"/>
          <w:color w:val="auto"/>
        </w:rPr>
        <w:t>of Financial Accounting Standards No. 106 ("SFAS No. 106"). Therefore, the impact of the adoption of</w:t>
      </w:r>
    </w:p>
    <w:p>
      <w:pPr>
        <w:spacing w:after="0"/>
        <w:rPr>
          <w:sz w:val="20"/>
          <w:szCs w:val="20"/>
          <w:color w:val="auto"/>
        </w:rPr>
      </w:pPr>
      <w:r>
        <w:rPr>
          <w:rFonts w:ascii="Courier New" w:cs="Courier New" w:eastAsia="Courier New" w:hAnsi="Courier New"/>
          <w:sz w:val="16"/>
          <w:szCs w:val="16"/>
          <w:color w:val="auto"/>
        </w:rPr>
        <w:t>SFAS No. 106, if any, would not be material.</w:t>
      </w:r>
    </w:p>
    <w:p>
      <w:pPr>
        <w:spacing w:after="0" w:line="198" w:lineRule="exact"/>
        <w:rPr>
          <w:sz w:val="20"/>
          <w:szCs w:val="20"/>
          <w:color w:val="auto"/>
        </w:rPr>
      </w:pPr>
    </w:p>
    <w:p>
      <w:pPr>
        <w:ind w:left="600" w:hanging="599"/>
        <w:spacing w:after="0"/>
        <w:tabs>
          <w:tab w:leader="none" w:pos="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and Warrants</w:t>
      </w:r>
    </w:p>
    <w:p>
      <w:pPr>
        <w:spacing w:after="0" w:line="198" w:lineRule="exact"/>
        <w:rPr>
          <w:sz w:val="20"/>
          <w:szCs w:val="20"/>
          <w:color w:val="auto"/>
        </w:rPr>
      </w:pPr>
    </w:p>
    <w:p>
      <w:pPr>
        <w:ind w:left="100" w:right="2439" w:firstLine="592"/>
        <w:spacing w:after="0" w:line="251" w:lineRule="auto"/>
        <w:rPr>
          <w:sz w:val="20"/>
          <w:szCs w:val="20"/>
          <w:color w:val="auto"/>
        </w:rPr>
      </w:pPr>
      <w:r>
        <w:rPr>
          <w:rFonts w:ascii="Courier New" w:cs="Courier New" w:eastAsia="Courier New" w:hAnsi="Courier New"/>
          <w:sz w:val="16"/>
          <w:szCs w:val="16"/>
          <w:color w:val="auto"/>
        </w:rPr>
        <w:t>In October 1992, the Company adopted the 1992 Employee Stock Option Plan (the "1992 Option</w:t>
      </w:r>
    </w:p>
    <w:p>
      <w:pPr>
        <w:ind w:left="100" w:right="2719" w:hanging="97"/>
        <w:spacing w:after="0" w:line="251" w:lineRule="auto"/>
        <w:rPr>
          <w:sz w:val="20"/>
          <w:szCs w:val="20"/>
          <w:color w:val="auto"/>
        </w:rPr>
      </w:pPr>
      <w:r>
        <w:rPr>
          <w:rFonts w:ascii="Courier New" w:cs="Courier New" w:eastAsia="Courier New" w:hAnsi="Courier New"/>
          <w:sz w:val="16"/>
          <w:szCs w:val="16"/>
          <w:color w:val="auto"/>
        </w:rPr>
        <w:t>Plan") which provides for the granting of options covering 300,000 shares of common stock to officers and</w:t>
      </w:r>
    </w:p>
    <w:p>
      <w:pPr>
        <w:ind w:left="100" w:right="2519" w:hanging="97"/>
        <w:spacing w:after="0" w:line="247" w:lineRule="auto"/>
        <w:rPr>
          <w:sz w:val="20"/>
          <w:szCs w:val="20"/>
          <w:color w:val="auto"/>
        </w:rPr>
      </w:pPr>
      <w:r>
        <w:rPr>
          <w:rFonts w:ascii="Courier New" w:cs="Courier New" w:eastAsia="Courier New" w:hAnsi="Courier New"/>
          <w:sz w:val="16"/>
          <w:szCs w:val="16"/>
          <w:color w:val="auto"/>
        </w:rPr>
        <w:t>key employees of the Company or any of its subsidiaries.</w:t>
      </w:r>
      <w:r>
        <w:rPr>
          <w:sz w:val="20"/>
          <w:szCs w:val="20"/>
          <w:color w:val="auto"/>
        </w:rPr>
        <w:t xml:space="preserve"> </w:t>
      </w:r>
      <w:r>
        <w:rPr>
          <w:rFonts w:ascii="Courier New" w:cs="Courier New" w:eastAsia="Courier New" w:hAnsi="Courier New"/>
          <w:sz w:val="16"/>
          <w:szCs w:val="16"/>
          <w:color w:val="auto"/>
        </w:rPr>
        <w:t>Options covering the entire 300,000 shares</w:t>
      </w:r>
    </w:p>
    <w:p>
      <w:pPr>
        <w:spacing w:after="0" w:line="193" w:lineRule="exact"/>
        <w:rPr>
          <w:sz w:val="20"/>
          <w:szCs w:val="20"/>
          <w:color w:val="auto"/>
        </w:rPr>
      </w:pPr>
    </w:p>
    <w:p>
      <w:pPr>
        <w:ind w:left="100" w:right="2719" w:hanging="97"/>
        <w:spacing w:after="0" w:line="251" w:lineRule="auto"/>
        <w:rPr>
          <w:sz w:val="20"/>
          <w:szCs w:val="20"/>
          <w:color w:val="auto"/>
        </w:rPr>
      </w:pPr>
      <w:r>
        <w:rPr>
          <w:rFonts w:ascii="Courier New" w:cs="Courier New" w:eastAsia="Courier New" w:hAnsi="Courier New"/>
          <w:sz w:val="16"/>
          <w:szCs w:val="16"/>
          <w:color w:val="auto"/>
        </w:rPr>
        <w:t>authorized by the 1992 Option Plan were issued in the aggregate prior to and remained outstanding on</w:t>
      </w:r>
    </w:p>
    <w:p>
      <w:pPr>
        <w:ind w:left="100" w:right="2439" w:hanging="97"/>
        <w:spacing w:after="0" w:line="251" w:lineRule="auto"/>
        <w:rPr>
          <w:sz w:val="20"/>
          <w:szCs w:val="20"/>
          <w:color w:val="auto"/>
        </w:rPr>
      </w:pPr>
      <w:r>
        <w:rPr>
          <w:rFonts w:ascii="Courier New" w:cs="Courier New" w:eastAsia="Courier New" w:hAnsi="Courier New"/>
          <w:sz w:val="16"/>
          <w:szCs w:val="16"/>
          <w:color w:val="auto"/>
        </w:rPr>
        <w:t>December 31, 1992.</w:t>
      </w:r>
      <w:r>
        <w:rPr>
          <w:sz w:val="20"/>
          <w:szCs w:val="20"/>
          <w:color w:val="auto"/>
        </w:rPr>
        <w:t xml:space="preserve"> </w:t>
      </w:r>
      <w:r>
        <w:rPr>
          <w:rFonts w:ascii="Courier New" w:cs="Courier New" w:eastAsia="Courier New" w:hAnsi="Courier New"/>
          <w:sz w:val="16"/>
          <w:szCs w:val="16"/>
          <w:color w:val="auto"/>
        </w:rPr>
        <w:t>All such options have an exercise price of $17.63 per share and become exercisable</w:t>
      </w:r>
    </w:p>
    <w:p>
      <w:pPr>
        <w:spacing w:after="0"/>
        <w:rPr>
          <w:sz w:val="20"/>
          <w:szCs w:val="20"/>
          <w:color w:val="auto"/>
        </w:rPr>
      </w:pPr>
      <w:r>
        <w:rPr>
          <w:rFonts w:ascii="Courier New" w:cs="Courier New" w:eastAsia="Courier New" w:hAnsi="Courier New"/>
          <w:sz w:val="16"/>
          <w:szCs w:val="16"/>
          <w:color w:val="auto"/>
        </w:rPr>
        <w:t>in five equal annual installments beginning one year from the date of grant.</w:t>
      </w:r>
    </w:p>
    <w:p>
      <w:pPr>
        <w:spacing w:after="0" w:line="198" w:lineRule="exact"/>
        <w:rPr>
          <w:sz w:val="20"/>
          <w:szCs w:val="20"/>
          <w:color w:val="auto"/>
        </w:rPr>
      </w:pPr>
    </w:p>
    <w:p>
      <w:pPr>
        <w:ind w:left="100" w:right="2619" w:firstLine="592"/>
        <w:spacing w:after="0" w:line="251" w:lineRule="auto"/>
        <w:rPr>
          <w:sz w:val="20"/>
          <w:szCs w:val="20"/>
          <w:color w:val="auto"/>
        </w:rPr>
      </w:pPr>
      <w:r>
        <w:rPr>
          <w:rFonts w:ascii="Courier New" w:cs="Courier New" w:eastAsia="Courier New" w:hAnsi="Courier New"/>
          <w:sz w:val="16"/>
          <w:szCs w:val="16"/>
          <w:color w:val="auto"/>
        </w:rPr>
        <w:t>In addition, options covering an aggregate of 250,000 shares of common stock were issued in 1988</w:t>
      </w:r>
    </w:p>
    <w:p>
      <w:pPr>
        <w:ind w:left="100" w:right="2439" w:hanging="97"/>
        <w:spacing w:after="0" w:line="247" w:lineRule="auto"/>
        <w:rPr>
          <w:sz w:val="20"/>
          <w:szCs w:val="20"/>
          <w:color w:val="auto"/>
        </w:rPr>
      </w:pPr>
      <w:r>
        <w:rPr>
          <w:rFonts w:ascii="Courier New" w:cs="Courier New" w:eastAsia="Courier New" w:hAnsi="Courier New"/>
          <w:sz w:val="16"/>
          <w:szCs w:val="16"/>
          <w:color w:val="auto"/>
        </w:rPr>
        <w:t>under each of two plans:</w:t>
      </w:r>
      <w:r>
        <w:rPr>
          <w:sz w:val="20"/>
          <w:szCs w:val="20"/>
          <w:color w:val="auto"/>
        </w:rPr>
        <w:t xml:space="preserve"> </w:t>
      </w:r>
      <w:r>
        <w:rPr>
          <w:rFonts w:ascii="Courier New" w:cs="Courier New" w:eastAsia="Courier New" w:hAnsi="Courier New"/>
          <w:sz w:val="16"/>
          <w:szCs w:val="16"/>
          <w:color w:val="auto"/>
        </w:rPr>
        <w:t>the 1988 Employee Stock Option Plan (the "1988 Option Plan") and the 1988</w:t>
      </w:r>
    </w:p>
    <w:p>
      <w:pPr>
        <w:spacing w:after="0" w:line="193" w:lineRule="exact"/>
        <w:rPr>
          <w:sz w:val="20"/>
          <w:szCs w:val="20"/>
          <w:color w:val="auto"/>
        </w:rPr>
      </w:pPr>
    </w:p>
    <w:p>
      <w:pPr>
        <w:ind w:left="100" w:right="2619" w:hanging="97"/>
        <w:spacing w:after="0" w:line="247" w:lineRule="auto"/>
        <w:rPr>
          <w:sz w:val="20"/>
          <w:szCs w:val="20"/>
          <w:color w:val="auto"/>
        </w:rPr>
      </w:pPr>
      <w:r>
        <w:rPr>
          <w:rFonts w:ascii="Courier New" w:cs="Courier New" w:eastAsia="Courier New" w:hAnsi="Courier New"/>
          <w:sz w:val="16"/>
          <w:szCs w:val="16"/>
          <w:color w:val="auto"/>
        </w:rPr>
        <w:t>Employee Performance Stock Option Plan (the "Performance Plan").</w:t>
      </w:r>
      <w:r>
        <w:rPr>
          <w:sz w:val="20"/>
          <w:szCs w:val="20"/>
          <w:color w:val="auto"/>
        </w:rPr>
        <w:t xml:space="preserve"> </w:t>
      </w:r>
      <w:r>
        <w:rPr>
          <w:rFonts w:ascii="Courier New" w:cs="Courier New" w:eastAsia="Courier New" w:hAnsi="Courier New"/>
          <w:sz w:val="16"/>
          <w:szCs w:val="16"/>
          <w:color w:val="auto"/>
        </w:rPr>
        <w:t>At December 31, 1992, options with</w:t>
      </w:r>
    </w:p>
    <w:p>
      <w:pPr>
        <w:spacing w:after="0" w:line="193" w:lineRule="exact"/>
        <w:rPr>
          <w:sz w:val="20"/>
          <w:szCs w:val="20"/>
          <w:color w:val="auto"/>
        </w:rPr>
      </w:pPr>
    </w:p>
    <w:p>
      <w:pPr>
        <w:ind w:left="100" w:right="2519" w:hanging="97"/>
        <w:spacing w:after="0" w:line="251" w:lineRule="auto"/>
        <w:rPr>
          <w:sz w:val="20"/>
          <w:szCs w:val="20"/>
          <w:color w:val="auto"/>
        </w:rPr>
      </w:pPr>
      <w:r>
        <w:rPr>
          <w:rFonts w:ascii="Courier New" w:cs="Courier New" w:eastAsia="Courier New" w:hAnsi="Courier New"/>
          <w:sz w:val="16"/>
          <w:szCs w:val="16"/>
          <w:color w:val="auto"/>
        </w:rPr>
        <w:t>an exercise price of $10.00 per share covering 217,000 shares were outstanding under the 1988 Option</w:t>
      </w:r>
    </w:p>
    <w:p>
      <w:pPr>
        <w:ind w:left="100" w:right="2439" w:hanging="97"/>
        <w:spacing w:after="0" w:line="251" w:lineRule="auto"/>
        <w:rPr>
          <w:sz w:val="20"/>
          <w:szCs w:val="20"/>
          <w:color w:val="auto"/>
        </w:rPr>
      </w:pPr>
      <w:r>
        <w:rPr>
          <w:rFonts w:ascii="Courier New" w:cs="Courier New" w:eastAsia="Courier New" w:hAnsi="Courier New"/>
          <w:sz w:val="16"/>
          <w:szCs w:val="16"/>
          <w:color w:val="auto"/>
        </w:rPr>
        <w:t>Plan.</w:t>
      </w:r>
      <w:r>
        <w:rPr>
          <w:sz w:val="20"/>
          <w:szCs w:val="20"/>
          <w:color w:val="auto"/>
        </w:rPr>
        <w:t xml:space="preserve"> </w:t>
      </w:r>
      <w:r>
        <w:rPr>
          <w:rFonts w:ascii="Courier New" w:cs="Courier New" w:eastAsia="Courier New" w:hAnsi="Courier New"/>
          <w:sz w:val="16"/>
          <w:szCs w:val="16"/>
          <w:color w:val="auto"/>
        </w:rPr>
        <w:t>In connection with the adoption of the 1992 Option Plan, the Performance Plan and all options</w:t>
      </w:r>
    </w:p>
    <w:p>
      <w:pPr>
        <w:spacing w:after="0"/>
        <w:rPr>
          <w:sz w:val="20"/>
          <w:szCs w:val="20"/>
          <w:color w:val="auto"/>
        </w:rPr>
      </w:pPr>
      <w:r>
        <w:rPr>
          <w:rFonts w:ascii="Courier New" w:cs="Courier New" w:eastAsia="Courier New" w:hAnsi="Courier New"/>
          <w:sz w:val="16"/>
          <w:szCs w:val="16"/>
          <w:color w:val="auto"/>
        </w:rPr>
        <w:t>outstanding thereunder were terminated.</w:t>
      </w:r>
    </w:p>
    <w:p>
      <w:pPr>
        <w:spacing w:after="0" w:line="198" w:lineRule="exact"/>
        <w:rPr>
          <w:sz w:val="20"/>
          <w:szCs w:val="20"/>
          <w:color w:val="auto"/>
        </w:rPr>
      </w:pPr>
    </w:p>
    <w:p>
      <w:pPr>
        <w:ind w:left="100" w:right="2719" w:firstLine="592"/>
        <w:spacing w:after="0" w:line="255" w:lineRule="auto"/>
        <w:rPr>
          <w:sz w:val="20"/>
          <w:szCs w:val="20"/>
          <w:color w:val="auto"/>
        </w:rPr>
      </w:pPr>
      <w:r>
        <w:rPr>
          <w:rFonts w:ascii="Courier New" w:cs="Courier New" w:eastAsia="Courier New" w:hAnsi="Courier New"/>
          <w:sz w:val="16"/>
          <w:szCs w:val="16"/>
          <w:color w:val="auto"/>
        </w:rPr>
        <w:t>A summary of changes in outstanding options under the Company's stock option plans follows:</w:t>
      </w:r>
    </w:p>
    <w:p>
      <w:pPr>
        <w:spacing w:after="0" w:line="184" w:lineRule="exact"/>
        <w:rPr>
          <w:sz w:val="20"/>
          <w:szCs w:val="20"/>
          <w:color w:val="auto"/>
        </w:rPr>
      </w:pPr>
    </w:p>
    <w:p>
      <w:pPr>
        <w:ind w:left="4140"/>
        <w:spacing w:after="0"/>
        <w:tabs>
          <w:tab w:leader="none" w:pos="5500" w:val="left"/>
          <w:tab w:leader="none" w:pos="6580" w:val="left"/>
        </w:tabs>
        <w:rPr>
          <w:sz w:val="20"/>
          <w:szCs w:val="20"/>
          <w:color w:val="auto"/>
        </w:rPr>
      </w:pP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1988</w:t>
      </w:r>
      <w:r>
        <w:rPr>
          <w:sz w:val="20"/>
          <w:szCs w:val="20"/>
          <w:color w:val="auto"/>
        </w:rPr>
        <w:tab/>
      </w:r>
      <w:r>
        <w:rPr>
          <w:rFonts w:ascii="Courier New" w:cs="Courier New" w:eastAsia="Courier New" w:hAnsi="Courier New"/>
          <w:sz w:val="16"/>
          <w:szCs w:val="16"/>
          <w:color w:val="auto"/>
        </w:rPr>
        <w:t>Performance</w:t>
      </w:r>
    </w:p>
    <w:p>
      <w:pPr>
        <w:sectPr>
          <w:pgSz w:w="11900" w:h="16838" w:orient="portrait"/>
          <w:cols w:equalWidth="0" w:num="1">
            <w:col w:w="10219"/>
          </w:cols>
          <w:pgMar w:left="240" w:top="496" w:right="1440"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Option Plan</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Option Plan</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Plan</w:t>
            </w:r>
          </w:p>
        </w:tc>
      </w:tr>
      <w:tr>
        <w:trPr>
          <w:trHeight w:val="569"/>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outstanding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January 1, 1990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237,000</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231,000</w:t>
            </w: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canceled</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(12,000)</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(19,000)</w:t>
            </w: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outstanding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December 31, 1990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225,000</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212,000</w:t>
            </w: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canceled</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(8,000)</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(6,000)</w:t>
            </w: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outstanding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December 31, 1991</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217,000</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206,000</w:t>
            </w:r>
          </w:p>
        </w:tc>
      </w:tr>
      <w:tr>
        <w:trPr>
          <w:trHeight w:val="190"/>
        </w:trPr>
        <w:tc>
          <w:tcPr>
            <w:tcW w:w="1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Options granted</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300,000</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canceled</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(206,000)</w:t>
            </w: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outstanding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December 31, 1992</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300,000</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217,000</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Options exercisable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December 31, 1992</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173,600</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Option price per share</w:t>
            </w:r>
          </w:p>
        </w:tc>
        <w:tc>
          <w:tcPr>
            <w:tcW w:w="17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$ 17.63</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$ 10.00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$ 10.00</w:t>
            </w:r>
          </w:p>
        </w:tc>
      </w:tr>
    </w:tbl>
    <w:p>
      <w:pPr>
        <w:sectPr>
          <w:pgSz w:w="11900" w:h="16838" w:orient="portrait"/>
          <w:cols w:equalWidth="0" w:num="1">
            <w:col w:w="10219"/>
          </w:cols>
          <w:pgMar w:left="240" w:top="142" w:right="1440" w:bottom="1440" w:gutter="0" w:footer="0" w:header="0"/>
        </w:sectPr>
      </w:pPr>
    </w:p>
    <w:bookmarkStart w:id="27" w:name="page28"/>
    <w:bookmarkEnd w:id="2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3740"/>
        <w:spacing w:after="0"/>
        <w:rPr>
          <w:sz w:val="20"/>
          <w:szCs w:val="20"/>
          <w:color w:val="auto"/>
        </w:rPr>
      </w:pPr>
      <w:r>
        <w:rPr>
          <w:rFonts w:ascii="Courier New" w:cs="Courier New" w:eastAsia="Courier New" w:hAnsi="Courier New"/>
          <w:sz w:val="16"/>
          <w:szCs w:val="16"/>
          <w:color w:val="auto"/>
        </w:rPr>
        <w:t>HALL-MARK ELECTRONICS CORPORATION</w:t>
      </w:r>
    </w:p>
    <w:p>
      <w:pPr>
        <w:spacing w:after="0" w:line="19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200" w:lineRule="exact"/>
        <w:rPr>
          <w:sz w:val="20"/>
          <w:szCs w:val="20"/>
          <w:color w:val="auto"/>
        </w:rPr>
      </w:pPr>
    </w:p>
    <w:p>
      <w:pPr>
        <w:spacing w:after="0" w:line="377" w:lineRule="exact"/>
        <w:rPr>
          <w:sz w:val="20"/>
          <w:szCs w:val="20"/>
          <w:color w:val="auto"/>
        </w:rPr>
      </w:pPr>
    </w:p>
    <w:p>
      <w:pPr>
        <w:ind w:left="600" w:hanging="599"/>
        <w:spacing w:after="0"/>
        <w:tabs>
          <w:tab w:leader="none" w:pos="6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and Warrants (Continued)</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Outstanding warrants to purchase an equivalent number of shares of the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Company's common stock are as follows:</w:t>
      </w:r>
    </w:p>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1992</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Exercise price:</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$10.00</w:t>
            </w:r>
          </w:p>
        </w:tc>
        <w:tc>
          <w:tcPr>
            <w:tcW w:w="4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per share (a) . . . . . . . . . . . . . .</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324,324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324,324</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$10.00</w:t>
            </w:r>
          </w:p>
        </w:tc>
        <w:tc>
          <w:tcPr>
            <w:tcW w:w="4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per share (b) . . . . . . . . . . . . .</w:t>
            </w: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1,307,000</w:t>
            </w:r>
          </w:p>
        </w:tc>
      </w:tr>
      <w:tr>
        <w:trPr>
          <w:trHeight w:val="190"/>
        </w:trPr>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rPr>
              <w:t>$7.50 per share (b). . . . . . . . . . . . . . .</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67,866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1,429,139</w:t>
            </w:r>
          </w:p>
        </w:tc>
      </w:tr>
      <w:tr>
        <w:trPr>
          <w:trHeight w:val="190"/>
        </w:trPr>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rPr>
              <w:t>Exercisable without payment of additional</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8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consideration (b). ...........................</w:t>
            </w: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110,052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130,552</w:t>
            </w:r>
          </w:p>
        </w:tc>
      </w:tr>
      <w:tr>
        <w:trPr>
          <w:trHeight w:val="379"/>
        </w:trPr>
        <w:tc>
          <w:tcPr>
            <w:tcW w:w="6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502,242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3,191,015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8" w:lineRule="exact"/>
        <w:rPr>
          <w:sz w:val="20"/>
          <w:szCs w:val="20"/>
          <w:color w:val="auto"/>
        </w:rPr>
      </w:pP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are exercisable at any time.</w:t>
      </w:r>
    </w:p>
    <w:p>
      <w:pPr>
        <w:spacing w:after="0" w:line="8" w:lineRule="exact"/>
        <w:rPr>
          <w:rFonts w:ascii="Courier New" w:cs="Courier New" w:eastAsia="Courier New" w:hAnsi="Courier New"/>
          <w:sz w:val="16"/>
          <w:szCs w:val="16"/>
          <w:color w:val="auto"/>
        </w:rPr>
      </w:pPr>
    </w:p>
    <w:p>
      <w:pPr>
        <w:ind w:left="100" w:right="3019" w:hanging="99"/>
        <w:spacing w:after="0" w:line="255" w:lineRule="auto"/>
        <w:tabs>
          <w:tab w:leader="none" w:pos="49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warrants become exercisable on or after December 1, 1995 or upon the occurrence of certain defined events.</w:t>
      </w:r>
    </w:p>
    <w:p>
      <w:pPr>
        <w:spacing w:after="0" w:line="373" w:lineRule="exact"/>
        <w:rPr>
          <w:sz w:val="20"/>
          <w:szCs w:val="20"/>
          <w:color w:val="auto"/>
        </w:rPr>
      </w:pPr>
    </w:p>
    <w:p>
      <w:pPr>
        <w:ind w:left="600" w:hanging="599"/>
        <w:spacing w:after="0"/>
        <w:tabs>
          <w:tab w:leader="none" w:pos="6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Per Common Share</w:t>
      </w:r>
    </w:p>
    <w:p>
      <w:pPr>
        <w:spacing w:after="0" w:line="198"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Income (loss) per common share is calculated by dividing net income (loss) applicable to common stock (net income (loss) less preferred stock dividend requirements) by the weighted average shares of common stock and dilutive common stock equivalents outstanding (except for warrants to purchase 1,307,000 shares of common stock which are treated as the equivalent of outstanding shares for the calculation pursuant to Securities and Exchange Commission regulations). Common stock equivalents consist of common stock warrants and options.</w:t>
      </w:r>
    </w:p>
    <w:p>
      <w:pPr>
        <w:spacing w:after="0" w:line="200" w:lineRule="exact"/>
        <w:rPr>
          <w:sz w:val="20"/>
          <w:szCs w:val="20"/>
          <w:color w:val="auto"/>
        </w:rPr>
      </w:pPr>
    </w:p>
    <w:p>
      <w:pPr>
        <w:spacing w:after="0" w:line="36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Income (loss) per common share is calculated as follows:</w:t>
      </w:r>
    </w:p>
    <w:p>
      <w:pPr>
        <w:spacing w:after="0" w:line="198"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6"/>
                <w:szCs w:val="16"/>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6"/>
                <w:szCs w:val="16"/>
                <w:color w:val="auto"/>
              </w:rPr>
              <w:t>1991</w:t>
            </w:r>
          </w:p>
        </w:tc>
        <w:tc>
          <w:tcPr>
            <w:tcW w:w="30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1990</w:t>
            </w:r>
          </w:p>
        </w:tc>
      </w:tr>
      <w:tr>
        <w:trPr>
          <w:trHeight w:val="190"/>
        </w:trPr>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22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except per share data)</w:t>
            </w:r>
          </w:p>
        </w:tc>
      </w:tr>
      <w:tr>
        <w:trPr>
          <w:trHeight w:val="379"/>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 as reported</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 . $</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25,781</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(1,476)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449</w:t>
            </w:r>
          </w:p>
        </w:tc>
      </w:tr>
      <w:tr>
        <w:trPr>
          <w:trHeight w:val="190"/>
        </w:trPr>
        <w:tc>
          <w:tcPr>
            <w:tcW w:w="186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 . . . .</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(1,924)</w:t>
            </w:r>
          </w:p>
        </w:tc>
        <w:tc>
          <w:tcPr>
            <w:tcW w:w="24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(2,085)</w:t>
            </w:r>
          </w:p>
        </w:tc>
        <w:tc>
          <w:tcPr>
            <w:tcW w:w="30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(2,645)</w:t>
            </w:r>
          </w:p>
        </w:tc>
      </w:tr>
      <w:tr>
        <w:trPr>
          <w:trHeight w:val="190"/>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 adjustment . .</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 .</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596</w:t>
            </w:r>
          </w:p>
        </w:tc>
        <w:tc>
          <w:tcPr>
            <w:tcW w:w="240" w:type="dxa"/>
            <w:vAlign w:val="bottom"/>
          </w:tcPr>
          <w:p>
            <w:pPr>
              <w:spacing w:after="0"/>
              <w:rPr>
                <w:sz w:val="16"/>
                <w:szCs w:val="16"/>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3040" w:type="dxa"/>
            <w:vAlign w:val="bottom"/>
            <w:gridSpan w:val="2"/>
          </w:tcPr>
          <w:p>
            <w:pPr>
              <w:spacing w:after="0"/>
              <w:rPr>
                <w:sz w:val="20"/>
                <w:szCs w:val="20"/>
                <w:color w:val="auto"/>
              </w:rPr>
            </w:pPr>
            <w:r>
              <w:rPr>
                <w:rFonts w:ascii="Courier New" w:cs="Courier New" w:eastAsia="Courier New" w:hAnsi="Courier New"/>
                <w:sz w:val="16"/>
                <w:szCs w:val="16"/>
                <w:color w:val="auto"/>
              </w:rPr>
              <w:t>Adjusted net income (loss). . .</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 .  $</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24,453</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(3,561)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(2,196)</w:t>
            </w:r>
          </w:p>
        </w:tc>
      </w:tr>
      <w:tr>
        <w:trPr>
          <w:trHeight w:val="379"/>
        </w:trPr>
        <w:tc>
          <w:tcPr>
            <w:tcW w:w="5860" w:type="dxa"/>
            <w:vAlign w:val="bottom"/>
            <w:gridSpan w:val="6"/>
          </w:tcPr>
          <w:p>
            <w:pPr>
              <w:spacing w:after="0"/>
              <w:rPr>
                <w:sz w:val="20"/>
                <w:szCs w:val="20"/>
                <w:color w:val="auto"/>
              </w:rPr>
            </w:pPr>
            <w:r>
              <w:rPr>
                <w:rFonts w:ascii="Courier New" w:cs="Courier New" w:eastAsia="Courier New" w:hAnsi="Courier New"/>
                <w:sz w:val="16"/>
                <w:szCs w:val="16"/>
                <w:color w:val="auto"/>
              </w:rPr>
              <w:t>Income (loss) per common and dilutive equivalent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37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Income (loss) before extraordinary</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item.........................</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2.30</w:t>
            </w:r>
          </w:p>
        </w:tc>
        <w:tc>
          <w:tcPr>
            <w:tcW w:w="2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(0.51)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(2.16)</w:t>
            </w:r>
          </w:p>
        </w:tc>
      </w:tr>
      <w:tr>
        <w:trPr>
          <w:trHeight w:val="190"/>
        </w:trPr>
        <w:tc>
          <w:tcPr>
            <w:tcW w:w="30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Extraordinary gain (loss). .</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 .</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.48</w:t>
            </w:r>
          </w:p>
        </w:tc>
        <w:tc>
          <w:tcPr>
            <w:tcW w:w="24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(0.24)</w:t>
            </w:r>
          </w:p>
        </w:tc>
        <w:tc>
          <w:tcPr>
            <w:tcW w:w="30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1.70</w:t>
            </w:r>
          </w:p>
        </w:tc>
      </w:tr>
      <w:tr>
        <w:trPr>
          <w:trHeight w:val="379"/>
        </w:trPr>
        <w:tc>
          <w:tcPr>
            <w:tcW w:w="37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Net income (loss).  . . . . . . . $</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2.78</w:t>
            </w:r>
          </w:p>
        </w:tc>
        <w:tc>
          <w:tcPr>
            <w:tcW w:w="2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(0.75)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(0.46)</w:t>
            </w:r>
          </w:p>
        </w:tc>
      </w:tr>
      <w:tr>
        <w:trPr>
          <w:trHeight w:val="379"/>
        </w:trPr>
        <w:tc>
          <w:tcPr>
            <w:tcW w:w="4720" w:type="dxa"/>
            <w:vAlign w:val="bottom"/>
            <w:gridSpan w:val="4"/>
          </w:tcPr>
          <w:p>
            <w:pPr>
              <w:spacing w:after="0"/>
              <w:rPr>
                <w:sz w:val="20"/>
                <w:szCs w:val="20"/>
                <w:color w:val="auto"/>
              </w:rPr>
            </w:pPr>
            <w:r>
              <w:rPr>
                <w:rFonts w:ascii="Courier New" w:cs="Courier New" w:eastAsia="Courier New" w:hAnsi="Courier New"/>
                <w:sz w:val="16"/>
                <w:szCs w:val="16"/>
                <w:color w:val="auto"/>
              </w:rPr>
              <w:t>Weighted average common shares and dilutive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1860" w:type="dxa"/>
            <w:vAlign w:val="bottom"/>
          </w:tcPr>
          <w:p>
            <w:pPr>
              <w:ind w:left="280"/>
              <w:spacing w:after="0"/>
              <w:rPr>
                <w:sz w:val="20"/>
                <w:szCs w:val="20"/>
                <w:color w:val="auto"/>
              </w:rPr>
            </w:pPr>
            <w:r>
              <w:rPr>
                <w:rFonts w:ascii="Courier New" w:cs="Courier New" w:eastAsia="Courier New" w:hAnsi="Courier New"/>
                <w:sz w:val="16"/>
                <w:szCs w:val="16"/>
                <w:color w:val="auto"/>
              </w:rPr>
              <w:t>equivalents. .</w:t>
            </w:r>
          </w:p>
        </w:tc>
        <w:tc>
          <w:tcPr>
            <w:tcW w:w="19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 . . . . . . .</w:t>
            </w: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8,803</w:t>
            </w:r>
          </w:p>
        </w:tc>
        <w:tc>
          <w:tcPr>
            <w:tcW w:w="24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4,762</w:t>
            </w:r>
          </w:p>
        </w:tc>
        <w:tc>
          <w:tcPr>
            <w:tcW w:w="30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4,777</w:t>
            </w:r>
          </w:p>
        </w:tc>
      </w:tr>
    </w:tbl>
    <w:p>
      <w:pPr>
        <w:sectPr>
          <w:pgSz w:w="11900" w:h="16838" w:orient="portrait"/>
          <w:cols w:equalWidth="0" w:num="1">
            <w:col w:w="10219"/>
          </w:cols>
          <w:pgMar w:left="240" w:top="496" w:right="1440" w:bottom="1440" w:gutter="0" w:footer="0" w:header="0"/>
        </w:sectPr>
      </w:pPr>
    </w:p>
    <w:bookmarkStart w:id="29" w:name="page30"/>
    <w:bookmarkEnd w:id="2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ind w:right="179"/>
        <w:spacing w:after="0"/>
        <w:rPr>
          <w:sz w:val="20"/>
          <w:szCs w:val="20"/>
          <w:color w:val="auto"/>
        </w:rPr>
      </w:pPr>
      <w:r>
        <w:rPr>
          <w:rFonts w:ascii="Courier New" w:cs="Courier New" w:eastAsia="Courier New" w:hAnsi="Courier New"/>
          <w:sz w:val="16"/>
          <w:szCs w:val="16"/>
          <w:color w:val="auto"/>
        </w:rPr>
        <w:t>Report of Coopers &amp; Lybrand, Independent Accountants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Hall-Mark Electronics Corporation:</w:t>
      </w:r>
    </w:p>
    <w:p>
      <w:pPr>
        <w:spacing w:after="0" w:line="388" w:lineRule="exact"/>
        <w:rPr>
          <w:sz w:val="20"/>
          <w:szCs w:val="20"/>
          <w:color w:val="auto"/>
        </w:rPr>
      </w:pPr>
    </w:p>
    <w:p>
      <w:pPr>
        <w:ind w:left="100" w:right="2619" w:firstLine="296"/>
        <w:spacing w:after="0" w:line="251" w:lineRule="auto"/>
        <w:rPr>
          <w:sz w:val="20"/>
          <w:szCs w:val="20"/>
          <w:color w:val="auto"/>
        </w:rPr>
      </w:pPr>
      <w:r>
        <w:rPr>
          <w:rFonts w:ascii="Courier New" w:cs="Courier New" w:eastAsia="Courier New" w:hAnsi="Courier New"/>
          <w:sz w:val="16"/>
          <w:szCs w:val="16"/>
          <w:color w:val="auto"/>
        </w:rPr>
        <w:t>We have audited the accompanying consolidated balance sheets of Hall-Mark Electronics Corporation as of December 31, 1992 and 1991, and the related consolidated statements of operations, stockholders' equity and cash flows for each of the three years in the period ended December 31, 1992. These financial statements are the responsibility of the Company's management.</w:t>
      </w:r>
    </w:p>
    <w:p>
      <w:pPr>
        <w:ind w:left="100" w:right="2919"/>
        <w:spacing w:after="0" w:line="255" w:lineRule="auto"/>
        <w:rPr>
          <w:sz w:val="20"/>
          <w:szCs w:val="20"/>
          <w:color w:val="auto"/>
        </w:rPr>
      </w:pPr>
      <w:r>
        <w:rPr>
          <w:rFonts w:ascii="Courier New" w:cs="Courier New" w:eastAsia="Courier New" w:hAnsi="Courier New"/>
          <w:sz w:val="16"/>
          <w:szCs w:val="16"/>
          <w:color w:val="auto"/>
        </w:rPr>
        <w:t>Our responsibility is to express an opinion on these financial statements based on our audits.</w:t>
      </w:r>
    </w:p>
    <w:p>
      <w:pPr>
        <w:spacing w:after="0" w:line="184" w:lineRule="exact"/>
        <w:rPr>
          <w:sz w:val="20"/>
          <w:szCs w:val="20"/>
          <w:color w:val="auto"/>
        </w:rPr>
      </w:pPr>
    </w:p>
    <w:p>
      <w:pPr>
        <w:ind w:left="100" w:right="2519" w:firstLine="296"/>
        <w:spacing w:after="0" w:line="25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ind w:left="100" w:right="2439" w:firstLine="296"/>
        <w:spacing w:after="0" w:line="251"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Hall-Mark Electronics Corporation as of December 31, 1992 and 1991, and the consolidated results of its operations and its cash flows for each of the three years</w:t>
      </w:r>
    </w:p>
    <w:p>
      <w:pPr>
        <w:ind w:left="100" w:right="3519"/>
        <w:spacing w:after="0" w:line="255" w:lineRule="auto"/>
        <w:rPr>
          <w:sz w:val="20"/>
          <w:szCs w:val="20"/>
          <w:color w:val="auto"/>
        </w:rPr>
      </w:pPr>
      <w:r>
        <w:rPr>
          <w:rFonts w:ascii="Courier New" w:cs="Courier New" w:eastAsia="Courier New" w:hAnsi="Courier New"/>
          <w:sz w:val="16"/>
          <w:szCs w:val="16"/>
          <w:color w:val="auto"/>
        </w:rPr>
        <w:t>in the period ended December 31, 1992, in conformity with generally accepted accounting principles.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AND LYBRAND</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1993</w:t>
      </w:r>
    </w:p>
    <w:p>
      <w:pPr>
        <w:sectPr>
          <w:pgSz w:w="11900" w:h="16838" w:orient="portrait"/>
          <w:cols w:equalWidth="0" w:num="1">
            <w:col w:w="10219"/>
          </w:cols>
          <w:pgMar w:left="240" w:top="685" w:right="1440"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[ITEMS]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198" w:lineRule="exact"/>
        <w:rPr>
          <w:sz w:val="20"/>
          <w:szCs w:val="20"/>
          <w:color w:val="auto"/>
        </w:rPr>
      </w:pPr>
    </w:p>
    <w:p>
      <w:pPr>
        <w:ind w:left="980" w:hanging="585"/>
        <w:spacing w:after="0"/>
        <w:tabs>
          <w:tab w:leader="none" w:pos="9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Proforma Financial Information</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following unaudited proforma consolidated statement of income gives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effect to the conversion of 10,796,000 shares of Hall-Mark Common Stock</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into 4,858,000 shares of Avnet Common Stock and $215.9 million cash pursuant</w:t>
      </w:r>
    </w:p>
    <w:p>
      <w:pPr>
        <w:spacing w:after="0" w:line="8" w:lineRule="exact"/>
        <w:rPr>
          <w:sz w:val="20"/>
          <w:szCs w:val="20"/>
          <w:color w:val="auto"/>
        </w:rPr>
      </w:pPr>
    </w:p>
    <w:p>
      <w:pPr>
        <w:ind w:left="100" w:right="2339"/>
        <w:spacing w:after="0" w:line="255" w:lineRule="auto"/>
        <w:rPr>
          <w:sz w:val="20"/>
          <w:szCs w:val="20"/>
          <w:color w:val="auto"/>
        </w:rPr>
      </w:pPr>
      <w:r>
        <w:rPr>
          <w:rFonts w:ascii="Courier New" w:cs="Courier New" w:eastAsia="Courier New" w:hAnsi="Courier New"/>
          <w:sz w:val="16"/>
          <w:szCs w:val="16"/>
          <w:color w:val="auto"/>
        </w:rPr>
        <w:t>to the Acquisition, as well as the repayment of approximately $108.5 million of Hall-Mark's existing bank indebtedness.</w:t>
      </w:r>
    </w:p>
    <w:p>
      <w:pPr>
        <w:spacing w:after="0" w:line="184" w:lineRule="exact"/>
        <w:rPr>
          <w:sz w:val="20"/>
          <w:szCs w:val="20"/>
          <w:color w:val="auto"/>
        </w:rPr>
      </w:pPr>
    </w:p>
    <w:p>
      <w:pPr>
        <w:ind w:left="100" w:right="2519" w:firstLine="296"/>
        <w:spacing w:after="0" w:line="251" w:lineRule="auto"/>
        <w:rPr>
          <w:sz w:val="20"/>
          <w:szCs w:val="20"/>
          <w:color w:val="auto"/>
        </w:rPr>
      </w:pPr>
      <w:r>
        <w:rPr>
          <w:rFonts w:ascii="Courier New" w:cs="Courier New" w:eastAsia="Courier New" w:hAnsi="Courier New"/>
          <w:sz w:val="16"/>
          <w:szCs w:val="16"/>
          <w:color w:val="auto"/>
        </w:rPr>
        <w:t>The proforma condensed consolidated statement of income for the year ended June 30, 1993 presents</w:t>
      </w:r>
    </w:p>
    <w:p>
      <w:pPr>
        <w:ind w:left="100" w:right="2519" w:hanging="97"/>
        <w:spacing w:after="0" w:line="255" w:lineRule="auto"/>
        <w:rPr>
          <w:sz w:val="20"/>
          <w:szCs w:val="20"/>
          <w:color w:val="auto"/>
        </w:rPr>
      </w:pPr>
      <w:r>
        <w:rPr>
          <w:rFonts w:ascii="Courier New" w:cs="Courier New" w:eastAsia="Courier New" w:hAnsi="Courier New"/>
          <w:sz w:val="16"/>
          <w:szCs w:val="16"/>
          <w:color w:val="auto"/>
        </w:rPr>
        <w:t>consolidated operating results for Avnet as if the Acquisition had occurred as of July 1, 1992.</w:t>
      </w:r>
    </w:p>
    <w:p>
      <w:pPr>
        <w:spacing w:after="0" w:line="184" w:lineRule="exact"/>
        <w:rPr>
          <w:sz w:val="20"/>
          <w:szCs w:val="20"/>
          <w:color w:val="auto"/>
        </w:rPr>
      </w:pPr>
    </w:p>
    <w:p>
      <w:pPr>
        <w:ind w:left="100" w:right="2519" w:firstLine="296"/>
        <w:spacing w:after="0" w:line="251" w:lineRule="auto"/>
        <w:rPr>
          <w:sz w:val="20"/>
          <w:szCs w:val="20"/>
          <w:color w:val="auto"/>
        </w:rPr>
      </w:pPr>
      <w:r>
        <w:rPr>
          <w:rFonts w:ascii="Courier New" w:cs="Courier New" w:eastAsia="Courier New" w:hAnsi="Courier New"/>
          <w:sz w:val="16"/>
          <w:szCs w:val="16"/>
          <w:color w:val="auto"/>
        </w:rPr>
        <w:t>The proforma financial information presented is not necessarily indicative of the results of operations</w:t>
      </w:r>
    </w:p>
    <w:p>
      <w:pPr>
        <w:ind w:left="100" w:right="3119" w:hanging="97"/>
        <w:spacing w:after="0" w:line="251" w:lineRule="auto"/>
        <w:rPr>
          <w:sz w:val="20"/>
          <w:szCs w:val="20"/>
          <w:color w:val="auto"/>
        </w:rPr>
      </w:pPr>
      <w:r>
        <w:rPr>
          <w:rFonts w:ascii="Courier New" w:cs="Courier New" w:eastAsia="Courier New" w:hAnsi="Courier New"/>
          <w:sz w:val="16"/>
          <w:szCs w:val="16"/>
          <w:color w:val="auto"/>
        </w:rPr>
        <w:t>that might have occurred had the Acquisition actually taken place at the beginning of the period specified,</w:t>
      </w:r>
    </w:p>
    <w:p>
      <w:pPr>
        <w:ind w:left="100" w:right="2439" w:hanging="97"/>
        <w:spacing w:after="0" w:line="247" w:lineRule="auto"/>
        <w:rPr>
          <w:sz w:val="20"/>
          <w:szCs w:val="20"/>
          <w:color w:val="auto"/>
        </w:rPr>
      </w:pPr>
      <w:r>
        <w:rPr>
          <w:rFonts w:ascii="Courier New" w:cs="Courier New" w:eastAsia="Courier New" w:hAnsi="Courier New"/>
          <w:sz w:val="16"/>
          <w:szCs w:val="16"/>
          <w:color w:val="auto"/>
        </w:rPr>
        <w:t>or of future results of operations of Avnet and its subsidiaries.</w:t>
      </w:r>
      <w:r>
        <w:rPr>
          <w:sz w:val="20"/>
          <w:szCs w:val="20"/>
          <w:color w:val="auto"/>
        </w:rPr>
        <w:t xml:space="preserve"> </w:t>
      </w:r>
      <w:r>
        <w:rPr>
          <w:rFonts w:ascii="Courier New" w:cs="Courier New" w:eastAsia="Courier New" w:hAnsi="Courier New"/>
          <w:sz w:val="16"/>
          <w:szCs w:val="16"/>
          <w:color w:val="auto"/>
        </w:rPr>
        <w:t>The proforma statement of income is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upon the historical consolidated statements of income of Hall-Mark and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Avnet and should be read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conjunction with such historical financial statements and the notes thereto.</w:t>
      </w:r>
    </w:p>
    <w:p>
      <w:pPr>
        <w:spacing w:after="0" w:line="388" w:lineRule="exact"/>
        <w:rPr>
          <w:sz w:val="20"/>
          <w:szCs w:val="20"/>
          <w:color w:val="auto"/>
        </w:rPr>
      </w:pPr>
    </w:p>
    <w:p>
      <w:pPr>
        <w:ind w:left="6900"/>
        <w:spacing w:after="0"/>
        <w:rPr>
          <w:sz w:val="20"/>
          <w:szCs w:val="20"/>
          <w:color w:val="auto"/>
        </w:rPr>
      </w:pPr>
      <w:r>
        <w:rPr>
          <w:rFonts w:ascii="Courier New" w:cs="Courier New" w:eastAsia="Courier New" w:hAnsi="Courier New"/>
          <w:sz w:val="16"/>
          <w:szCs w:val="16"/>
          <w:color w:val="auto"/>
        </w:rPr>
        <w:t>Pages</w:t>
      </w:r>
    </w:p>
    <w:p>
      <w:pPr>
        <w:sectPr>
          <w:pgSz w:w="11900" w:h="16838" w:orient="portrait"/>
          <w:cols w:equalWidth="0" w:num="1">
            <w:col w:w="10219"/>
          </w:cols>
          <w:pgMar w:left="240" w:top="496" w:right="1440" w:bottom="1440" w:gutter="0" w:footer="0" w:header="0"/>
        </w:sectPr>
      </w:pPr>
    </w:p>
    <w:p>
      <w:pPr>
        <w:spacing w:after="0" w:line="198" w:lineRule="exact"/>
        <w:rPr>
          <w:sz w:val="20"/>
          <w:szCs w:val="20"/>
          <w:color w:val="auto"/>
        </w:rPr>
      </w:pPr>
    </w:p>
    <w:p>
      <w:pPr>
        <w:ind w:left="700" w:right="2040"/>
        <w:spacing w:after="0" w:line="253" w:lineRule="auto"/>
        <w:rPr>
          <w:sz w:val="20"/>
          <w:szCs w:val="20"/>
          <w:color w:val="auto"/>
        </w:rPr>
      </w:pPr>
      <w:r>
        <w:rPr>
          <w:rFonts w:ascii="Courier New" w:cs="Courier New" w:eastAsia="Courier New" w:hAnsi="Courier New"/>
          <w:sz w:val="16"/>
          <w:szCs w:val="16"/>
          <w:color w:val="auto"/>
        </w:rPr>
        <w:t>Proforma condensed consolidated statement of income for the year ended June 30, 1993.</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17</w:t>
      </w:r>
    </w:p>
    <w:p>
      <w:pPr>
        <w:spacing w:after="0" w:line="576" w:lineRule="exact"/>
        <w:rPr>
          <w:sz w:val="20"/>
          <w:szCs w:val="20"/>
          <w:color w:val="auto"/>
        </w:rPr>
      </w:pPr>
    </w:p>
    <w:p>
      <w:pPr>
        <w:sectPr>
          <w:pgSz w:w="11900" w:h="16838" w:orient="portrait"/>
          <w:cols w:equalWidth="0" w:num="2">
            <w:col w:w="6480" w:space="720"/>
            <w:col w:w="3019"/>
          </w:cols>
          <w:pgMar w:left="240" w:top="496" w:right="1440" w:bottom="1440" w:gutter="0" w:footer="0" w:header="0"/>
          <w:type w:val="continuous"/>
        </w:sectPr>
      </w:pPr>
    </w:p>
    <w:p>
      <w:pPr>
        <w:ind w:left="700" w:right="2140"/>
        <w:spacing w:after="0" w:line="255" w:lineRule="auto"/>
        <w:rPr>
          <w:sz w:val="20"/>
          <w:szCs w:val="20"/>
          <w:color w:val="auto"/>
        </w:rPr>
      </w:pPr>
      <w:r>
        <w:rPr>
          <w:rFonts w:ascii="Courier New" w:cs="Courier New" w:eastAsia="Courier New" w:hAnsi="Courier New"/>
          <w:sz w:val="16"/>
          <w:szCs w:val="16"/>
          <w:color w:val="auto"/>
        </w:rPr>
        <w:t>Notes to unaudited proforma condensed consolidated statement of income.</w:t>
      </w:r>
    </w:p>
    <w:p>
      <w:pPr>
        <w:spacing w:after="0" w:line="20" w:lineRule="exact"/>
        <w:rPr>
          <w:sz w:val="20"/>
          <w:szCs w:val="20"/>
          <w:color w:val="auto"/>
        </w:rPr>
      </w:pPr>
      <w:r>
        <w:rPr>
          <w:sz w:val="20"/>
          <w:szCs w:val="20"/>
          <w:color w:val="auto"/>
        </w:rPr>
        <w:br w:type="column"/>
      </w:r>
    </w:p>
    <w:p>
      <w:pPr>
        <w:jc w:val="center"/>
        <w:ind w:right="2819"/>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2">
            <w:col w:w="6480" w:space="720"/>
            <w:col w:w="3019"/>
          </w:cols>
          <w:pgMar w:left="240" w:top="496" w:right="1440" w:bottom="1440" w:gutter="0" w:footer="0" w:header="0"/>
          <w:type w:val="continuous"/>
        </w:sectPr>
      </w:pPr>
    </w:p>
    <w:bookmarkStart w:id="33" w:name="page34"/>
    <w:bookmarkEnd w:id="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center"/>
        <w:ind w:right="-220"/>
        <w:spacing w:after="0"/>
        <w:rPr>
          <w:sz w:val="20"/>
          <w:szCs w:val="20"/>
          <w:color w:val="auto"/>
        </w:rPr>
      </w:pPr>
      <w:r>
        <w:rPr>
          <w:rFonts w:ascii="Courier New" w:cs="Courier New" w:eastAsia="Courier New" w:hAnsi="Courier New"/>
          <w:sz w:val="16"/>
          <w:szCs w:val="16"/>
          <w:color w:val="auto"/>
        </w:rPr>
        <w:t>AVNET, INC. AND SUBSIDIARIES</w:t>
      </w:r>
    </w:p>
    <w:p>
      <w:pPr>
        <w:spacing w:after="0" w:line="198"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6"/>
          <w:szCs w:val="16"/>
          <w:color w:val="auto"/>
        </w:rPr>
        <w:t>Proforma Condensed Consolidated Statement of Income</w:t>
      </w:r>
    </w:p>
    <w:p>
      <w:pPr>
        <w:spacing w:after="0" w:line="198"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8"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100" w:right="2439" w:firstLine="296"/>
        <w:spacing w:after="0" w:line="253" w:lineRule="auto"/>
        <w:rPr>
          <w:sz w:val="20"/>
          <w:szCs w:val="20"/>
          <w:color w:val="auto"/>
        </w:rPr>
      </w:pPr>
      <w:r>
        <w:rPr>
          <w:rFonts w:ascii="Courier New" w:cs="Courier New" w:eastAsia="Courier New" w:hAnsi="Courier New"/>
          <w:sz w:val="16"/>
          <w:szCs w:val="16"/>
          <w:color w:val="auto"/>
        </w:rPr>
        <w:t>The following unaudited proforma condensed consolidated statement of income for the fiscal year ended June 30, 1993 assumes that Avnet, Inc. and Subsidiaries completed the Acquisition as of July 1,1992.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Year ended June 30, 1993</w:t>
            </w:r>
          </w:p>
        </w:tc>
      </w:tr>
      <w:tr>
        <w:trPr>
          <w:trHeight w:val="569"/>
        </w:trPr>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ind w:left="280"/>
              <w:spacing w:after="0"/>
              <w:rPr>
                <w:sz w:val="20"/>
                <w:szCs w:val="20"/>
                <w:color w:val="auto"/>
              </w:rPr>
            </w:pPr>
            <w:r>
              <w:rPr>
                <w:rFonts w:ascii="Courier New" w:cs="Courier New" w:eastAsia="Courier New" w:hAnsi="Courier New"/>
                <w:sz w:val="16"/>
                <w:szCs w:val="16"/>
                <w:color w:val="auto"/>
              </w:rPr>
              <w:t>Proforma</w:t>
            </w:r>
          </w:p>
        </w:tc>
        <w:tc>
          <w:tcPr>
            <w:tcW w:w="1140" w:type="dxa"/>
            <w:vAlign w:val="bottom"/>
          </w:tcPr>
          <w:p>
            <w:pPr>
              <w:spacing w:after="0"/>
              <w:rPr>
                <w:sz w:val="24"/>
                <w:szCs w:val="24"/>
                <w:color w:val="auto"/>
              </w:rPr>
            </w:pPr>
          </w:p>
        </w:tc>
      </w:tr>
      <w:tr>
        <w:trPr>
          <w:trHeight w:val="190"/>
        </w:trPr>
        <w:tc>
          <w:tcPr>
            <w:tcW w:w="218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Avnet</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Hall-Mark</w:t>
            </w:r>
          </w:p>
        </w:tc>
        <w:tc>
          <w:tcPr>
            <w:tcW w:w="172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adjustments(a)</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Proforma</w:t>
            </w:r>
          </w:p>
        </w:tc>
      </w:tr>
      <w:tr>
        <w:trPr>
          <w:trHeight w:val="569"/>
        </w:trPr>
        <w:tc>
          <w:tcPr>
            <w:tcW w:w="21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2180" w:type="dxa"/>
            <w:vAlign w:val="bottom"/>
          </w:tcPr>
          <w:p>
            <w:pPr>
              <w:ind w:left="200"/>
              <w:spacing w:after="0"/>
              <w:rPr>
                <w:sz w:val="20"/>
                <w:szCs w:val="20"/>
                <w:color w:val="auto"/>
              </w:rPr>
            </w:pPr>
            <w:r>
              <w:rPr>
                <w:rFonts w:ascii="Courier New" w:cs="Courier New" w:eastAsia="Courier New" w:hAnsi="Courier New"/>
                <w:sz w:val="16"/>
                <w:szCs w:val="16"/>
                <w:color w:val="auto"/>
              </w:rPr>
              <w:t>Sales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$2,237,954</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$744,217</w:t>
            </w:r>
          </w:p>
        </w:tc>
        <w:tc>
          <w:tcPr>
            <w:tcW w:w="1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$2,982,171</w:t>
            </w:r>
          </w:p>
        </w:tc>
      </w:tr>
      <w:tr>
        <w:trPr>
          <w:trHeight w:val="190"/>
        </w:trPr>
        <w:tc>
          <w:tcPr>
            <w:tcW w:w="2180" w:type="dxa"/>
            <w:vAlign w:val="bottom"/>
          </w:tcPr>
          <w:p>
            <w:pPr>
              <w:ind w:left="200"/>
              <w:spacing w:after="0"/>
              <w:rPr>
                <w:sz w:val="20"/>
                <w:szCs w:val="20"/>
                <w:color w:val="auto"/>
              </w:rPr>
            </w:pPr>
            <w:r>
              <w:rPr>
                <w:rFonts w:ascii="Courier New" w:cs="Courier New" w:eastAsia="Courier New" w:hAnsi="Courier New"/>
                <w:sz w:val="16"/>
                <w:szCs w:val="16"/>
                <w:color w:val="auto"/>
              </w:rPr>
              <w:t>Investment income</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2180" w:type="dxa"/>
            <w:vAlign w:val="bottom"/>
          </w:tcPr>
          <w:p>
            <w:pPr>
              <w:ind w:left="400"/>
              <w:spacing w:after="0"/>
              <w:rPr>
                <w:sz w:val="20"/>
                <w:szCs w:val="20"/>
                <w:color w:val="auto"/>
              </w:rPr>
            </w:pPr>
            <w:r>
              <w:rPr>
                <w:rFonts w:ascii="Courier New" w:cs="Courier New" w:eastAsia="Courier New" w:hAnsi="Courier New"/>
                <w:sz w:val="16"/>
                <w:szCs w:val="16"/>
                <w:color w:val="auto"/>
              </w:rPr>
              <w:t>and other, net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20,393</w:t>
            </w:r>
          </w:p>
        </w:tc>
        <w:tc>
          <w:tcPr>
            <w:tcW w:w="14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$(9,801)(b)</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10,592</w:t>
            </w:r>
          </w:p>
        </w:tc>
      </w:tr>
      <w:tr>
        <w:trPr>
          <w:trHeight w:val="569"/>
        </w:trPr>
        <w:tc>
          <w:tcPr>
            <w:tcW w:w="2180" w:type="dxa"/>
            <w:vAlign w:val="bottom"/>
          </w:tcPr>
          <w:p>
            <w:pPr>
              <w:spacing w:after="0"/>
              <w:rPr>
                <w:sz w:val="24"/>
                <w:szCs w:val="24"/>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2,258,347</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744,217</w:t>
            </w:r>
          </w:p>
        </w:tc>
        <w:tc>
          <w:tcPr>
            <w:tcW w:w="17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(9,801)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2,992,763</w:t>
            </w:r>
          </w:p>
        </w:tc>
      </w:tr>
      <w:tr>
        <w:trPr>
          <w:trHeight w:val="190"/>
        </w:trPr>
        <w:tc>
          <w:tcPr>
            <w:tcW w:w="21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2180" w:type="dxa"/>
            <w:vAlign w:val="bottom"/>
          </w:tcPr>
          <w:p>
            <w:pPr>
              <w:ind w:left="200"/>
              <w:spacing w:after="0"/>
              <w:rPr>
                <w:sz w:val="20"/>
                <w:szCs w:val="20"/>
                <w:color w:val="auto"/>
              </w:rPr>
            </w:pPr>
            <w:r>
              <w:rPr>
                <w:rFonts w:ascii="Courier New" w:cs="Courier New" w:eastAsia="Courier New" w:hAnsi="Courier New"/>
                <w:sz w:val="16"/>
                <w:szCs w:val="16"/>
                <w:color w:val="auto"/>
              </w:rPr>
              <w:t>Cost of sales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1,751,195</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579,405</w:t>
            </w:r>
          </w:p>
        </w:tc>
        <w:tc>
          <w:tcPr>
            <w:tcW w:w="1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2,330,600</w:t>
            </w:r>
          </w:p>
        </w:tc>
      </w:tr>
      <w:tr>
        <w:trPr>
          <w:trHeight w:val="190"/>
        </w:trPr>
        <w:tc>
          <w:tcPr>
            <w:tcW w:w="2180" w:type="dxa"/>
            <w:vAlign w:val="bottom"/>
          </w:tcPr>
          <w:p>
            <w:pPr>
              <w:ind w:left="200"/>
              <w:spacing w:after="0"/>
              <w:rPr>
                <w:sz w:val="20"/>
                <w:szCs w:val="20"/>
                <w:color w:val="auto"/>
              </w:rPr>
            </w:pPr>
            <w:r>
              <w:rPr>
                <w:rFonts w:ascii="Courier New" w:cs="Courier New" w:eastAsia="Courier New" w:hAnsi="Courier New"/>
                <w:sz w:val="16"/>
                <w:szCs w:val="16"/>
                <w:color w:val="auto"/>
              </w:rPr>
              <w:t>Selling, shipping,</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2180" w:type="dxa"/>
            <w:vAlign w:val="bottom"/>
          </w:tcPr>
          <w:p>
            <w:pPr>
              <w:ind w:left="600"/>
              <w:spacing w:after="0"/>
              <w:rPr>
                <w:sz w:val="20"/>
                <w:szCs w:val="20"/>
                <w:color w:val="auto"/>
              </w:rPr>
            </w:pPr>
            <w:r>
              <w:rPr>
                <w:rFonts w:ascii="Courier New" w:cs="Courier New" w:eastAsia="Courier New" w:hAnsi="Courier New"/>
                <w:sz w:val="16"/>
                <w:szCs w:val="16"/>
                <w:color w:val="auto"/>
              </w:rPr>
              <w:t>general and</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2180" w:type="dxa"/>
            <w:vAlign w:val="bottom"/>
          </w:tcPr>
          <w:p>
            <w:pPr>
              <w:ind w:left="600"/>
              <w:spacing w:after="0"/>
              <w:rPr>
                <w:sz w:val="20"/>
                <w:szCs w:val="20"/>
                <w:color w:val="auto"/>
              </w:rPr>
            </w:pPr>
            <w:r>
              <w:rPr>
                <w:rFonts w:ascii="Courier New" w:cs="Courier New" w:eastAsia="Courier New" w:hAnsi="Courier New"/>
                <w:sz w:val="16"/>
                <w:szCs w:val="16"/>
                <w:color w:val="auto"/>
              </w:rPr>
              <w:t>administrative</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383,997</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121,391</w:t>
            </w:r>
          </w:p>
        </w:tc>
        <w:tc>
          <w:tcPr>
            <w:tcW w:w="17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3,074 (c)</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508,462</w:t>
            </w:r>
          </w:p>
        </w:tc>
      </w:tr>
      <w:tr>
        <w:trPr>
          <w:trHeight w:val="190"/>
        </w:trPr>
        <w:tc>
          <w:tcPr>
            <w:tcW w:w="218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8,972</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7,098</w:t>
            </w:r>
          </w:p>
        </w:tc>
        <w:tc>
          <w:tcPr>
            <w:tcW w:w="17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994 (d)</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17,064</w:t>
            </w:r>
          </w:p>
        </w:tc>
      </w:tr>
      <w:tr>
        <w:trPr>
          <w:trHeight w:val="379"/>
        </w:trPr>
        <w:tc>
          <w:tcPr>
            <w:tcW w:w="2180" w:type="dxa"/>
            <w:vAlign w:val="bottom"/>
          </w:tcPr>
          <w:p>
            <w:pPr>
              <w:spacing w:after="0"/>
              <w:rPr>
                <w:sz w:val="24"/>
                <w:szCs w:val="24"/>
                <w:color w:val="auto"/>
              </w:rPr>
            </w:pP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2,144,164</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707,894</w:t>
            </w:r>
          </w:p>
        </w:tc>
        <w:tc>
          <w:tcPr>
            <w:tcW w:w="17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4,068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2,856,126</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Income before</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2180" w:type="dxa"/>
            <w:vAlign w:val="bottom"/>
          </w:tcPr>
          <w:p>
            <w:pPr>
              <w:ind w:left="300"/>
              <w:spacing w:after="0"/>
              <w:rPr>
                <w:sz w:val="20"/>
                <w:szCs w:val="20"/>
                <w:color w:val="auto"/>
              </w:rPr>
            </w:pPr>
            <w:r>
              <w:rPr>
                <w:rFonts w:ascii="Courier New" w:cs="Courier New" w:eastAsia="Courier New" w:hAnsi="Courier New"/>
                <w:sz w:val="16"/>
                <w:szCs w:val="16"/>
                <w:color w:val="auto"/>
              </w:rPr>
              <w:t>income taxes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114,183</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36,323</w:t>
            </w:r>
          </w:p>
        </w:tc>
        <w:tc>
          <w:tcPr>
            <w:tcW w:w="17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(13,869)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136,637</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45,123</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11,888</w:t>
            </w:r>
          </w:p>
        </w:tc>
        <w:tc>
          <w:tcPr>
            <w:tcW w:w="17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410 (e)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57,421</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$69,060</w:t>
            </w:r>
          </w:p>
        </w:tc>
        <w:tc>
          <w:tcPr>
            <w:tcW w:w="1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$24,435(f)</w:t>
            </w:r>
          </w:p>
        </w:tc>
        <w:tc>
          <w:tcPr>
            <w:tcW w:w="17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$(14,279)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$79,216</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Earnings per share(g)</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$1.91</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379"/>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Shares used to compute</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2180" w:type="dxa"/>
            <w:vAlign w:val="bottom"/>
          </w:tcPr>
          <w:p>
            <w:pPr>
              <w:ind w:left="400"/>
              <w:spacing w:after="0"/>
              <w:rPr>
                <w:sz w:val="20"/>
                <w:szCs w:val="20"/>
                <w:color w:val="auto"/>
              </w:rPr>
            </w:pPr>
            <w:r>
              <w:rPr>
                <w:rFonts w:ascii="Courier New" w:cs="Courier New" w:eastAsia="Courier New" w:hAnsi="Courier New"/>
                <w:sz w:val="16"/>
                <w:szCs w:val="16"/>
                <w:color w:val="auto"/>
              </w:rPr>
              <w:t>earnings per share</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38,253</w:t>
            </w:r>
          </w:p>
        </w:tc>
        <w:tc>
          <w:tcPr>
            <w:tcW w:w="1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43,111</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proforma condensed consolidated statements of income.</w:t>
      </w:r>
    </w:p>
    <w:p>
      <w:pPr>
        <w:sectPr>
          <w:pgSz w:w="11900" w:h="16838" w:orient="portrait"/>
          <w:cols w:equalWidth="0" w:num="1">
            <w:col w:w="10219"/>
          </w:cols>
          <w:pgMar w:left="240" w:top="496" w:right="1440"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700"/>
        <w:spacing w:after="0"/>
        <w:rPr>
          <w:sz w:val="20"/>
          <w:szCs w:val="20"/>
          <w:color w:val="auto"/>
        </w:rPr>
      </w:pPr>
      <w:r>
        <w:rPr>
          <w:rFonts w:ascii="Courier New" w:cs="Courier New" w:eastAsia="Courier New" w:hAnsi="Courier New"/>
          <w:sz w:val="16"/>
          <w:szCs w:val="16"/>
          <w:color w:val="auto"/>
        </w:rPr>
        <w:t>NOTES TO UNAUDITED PROFORMA CONDENSED CONSOLIDATED FINANCIAL DATA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Proforma Adjustments--Condensed Consolidated Statement of Income</w:t>
      </w:r>
    </w:p>
    <w:p>
      <w:pPr>
        <w:spacing w:after="0" w:line="198" w:lineRule="exact"/>
        <w:rPr>
          <w:sz w:val="20"/>
          <w:szCs w:val="20"/>
          <w:color w:val="auto"/>
        </w:rPr>
      </w:pPr>
    </w:p>
    <w:p>
      <w:pPr>
        <w:jc w:val="both"/>
        <w:ind w:left="700" w:right="2519" w:hanging="699"/>
        <w:spacing w:after="0" w:line="251" w:lineRule="auto"/>
        <w:tabs>
          <w:tab w:leader="none" w:pos="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Avnet expects to achieve operating efficiencies from the acquisition of Hall-Mark. It is anticipated that cost savings will result principally from such areas as warehousing, sales facilities and computer systems.</w:t>
      </w:r>
    </w:p>
    <w:p>
      <w:pPr>
        <w:ind w:left="700" w:right="36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anticipated cost savings have not been reflected in the accompanying proforma condensed statement of income.</w:t>
      </w:r>
    </w:p>
    <w:p>
      <w:pPr>
        <w:spacing w:after="0" w:line="183" w:lineRule="exact"/>
        <w:rPr>
          <w:rFonts w:ascii="Courier New" w:cs="Courier New" w:eastAsia="Courier New" w:hAnsi="Courier New"/>
          <w:sz w:val="16"/>
          <w:szCs w:val="16"/>
          <w:color w:val="auto"/>
        </w:rPr>
      </w:pPr>
    </w:p>
    <w:p>
      <w:pPr>
        <w:ind w:left="7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 proforma condensed consolidated statement of income</w:t>
      </w:r>
    </w:p>
    <w:p>
      <w:pPr>
        <w:spacing w:after="0" w:line="8" w:lineRule="exact"/>
        <w:rPr>
          <w:rFonts w:ascii="Courier New" w:cs="Courier New" w:eastAsia="Courier New" w:hAnsi="Courier New"/>
          <w:sz w:val="16"/>
          <w:szCs w:val="16"/>
          <w:color w:val="auto"/>
        </w:rPr>
      </w:pPr>
    </w:p>
    <w:p>
      <w:pPr>
        <w:ind w:left="7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reflect the costs of the integration into Avnet of the Hall-Mark business which were charged to operations in the first quarter of fiscal 1994. Such one-time costs, amounting to approximately $19.9 million, represent only those integration expenses related to Avnet. Consolidation costs related to Hall-Mark as a result of the integration are included in goodwill. Also excluded from the accompanying proforma data is amortization of stock option compensation of approximately $4.8 million related to the issuance of Avnet stock options in consideration of the cancellation and settlement of the options outstanding under Hall-Mark's 1992 Stock Option Plan, which was also recorded as goodwill.</w:t>
      </w:r>
    </w:p>
    <w:p>
      <w:pPr>
        <w:spacing w:after="0" w:line="189" w:lineRule="exact"/>
        <w:rPr>
          <w:rFonts w:ascii="Courier New" w:cs="Courier New" w:eastAsia="Courier New" w:hAnsi="Courier New"/>
          <w:sz w:val="16"/>
          <w:szCs w:val="16"/>
          <w:color w:val="auto"/>
        </w:rPr>
      </w:pPr>
    </w:p>
    <w:p>
      <w:pPr>
        <w:ind w:left="700" w:right="2339" w:hanging="699"/>
        <w:spacing w:after="0" w:line="252" w:lineRule="auto"/>
        <w:tabs>
          <w:tab w:leader="none" w:pos="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reflect the elimination of interest income on the cash used in connection with the Acquisition, including the cash portion of the purchase price and the repayment of Hall-Mark bank debt, at an estimated average annual interest rate of 4.50%.</w:t>
      </w:r>
    </w:p>
    <w:p>
      <w:pPr>
        <w:spacing w:after="0" w:line="186" w:lineRule="exact"/>
        <w:rPr>
          <w:rFonts w:ascii="Courier New" w:cs="Courier New" w:eastAsia="Courier New" w:hAnsi="Courier New"/>
          <w:sz w:val="16"/>
          <w:szCs w:val="16"/>
          <w:color w:val="auto"/>
        </w:rPr>
      </w:pPr>
    </w:p>
    <w:p>
      <w:pPr>
        <w:ind w:left="700" w:right="2339" w:hanging="699"/>
        <w:spacing w:after="0" w:line="251" w:lineRule="auto"/>
        <w:tabs>
          <w:tab w:leader="none" w:pos="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reflect: (1) the amortization of estimated goodwill determined on a straight-line basis over 40 years resulting from the purchase accounting related to the Acquisition, (2) the cost of operating leases associated with the leasing of additional computer hardware,</w:t>
      </w:r>
    </w:p>
    <w:p>
      <w:pPr>
        <w:ind w:left="700" w:right="2919" w:hanging="9"/>
        <w:spacing w:after="0" w:line="252" w:lineRule="auto"/>
        <w:tabs>
          <w:tab w:leader="none" w:pos="109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reversal of amortization and similar expenses in connection with the write-off of certain Hall-Mark assets, and (4) the amortization of deferred financing costs resulting from proposed borrowings discussed in note (d) below.</w:t>
      </w:r>
    </w:p>
    <w:p>
      <w:pPr>
        <w:spacing w:after="0" w:line="186" w:lineRule="exact"/>
        <w:rPr>
          <w:rFonts w:ascii="Courier New" w:cs="Courier New" w:eastAsia="Courier New" w:hAnsi="Courier New"/>
          <w:sz w:val="16"/>
          <w:szCs w:val="16"/>
          <w:color w:val="auto"/>
        </w:rPr>
      </w:pPr>
    </w:p>
    <w:p>
      <w:pPr>
        <w:ind w:left="700" w:right="2519" w:hanging="699"/>
        <w:spacing w:after="0" w:line="253" w:lineRule="auto"/>
        <w:tabs>
          <w:tab w:leader="none" w:pos="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reflect the net increase (reduction) in interest expense, based upon a presumption of, but not a commitment for, the execution of the two transactions described below:</w:t>
      </w:r>
    </w:p>
    <w:p>
      <w:pPr>
        <w:spacing w:after="0" w:line="185"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Year ended</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June 30, 1993</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(In Thousands)</w:t>
      </w:r>
    </w:p>
    <w:p>
      <w:pPr>
        <w:sectPr>
          <w:pgSz w:w="11900" w:h="16838" w:orient="portrait"/>
          <w:cols w:equalWidth="0" w:num="1">
            <w:col w:w="10219"/>
          </w:cols>
          <w:pgMar w:left="240" w:top="496" w:right="1440" w:bottom="1440" w:gutter="0" w:footer="0" w:header="0"/>
        </w:sectPr>
      </w:pPr>
    </w:p>
    <w:p>
      <w:pPr>
        <w:spacing w:after="0" w:line="19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Proposed issuance of $100.0 million of ten-year</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senior notes at an assumed interest rate</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6.50% and $41.0 million of short-term borrowings</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at an assumed interest rate of 3.50%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$7,946</w:t>
      </w:r>
    </w:p>
    <w:p>
      <w:pPr>
        <w:spacing w:after="0" w:line="198" w:lineRule="exact"/>
        <w:rPr>
          <w:sz w:val="20"/>
          <w:szCs w:val="20"/>
          <w:color w:val="auto"/>
        </w:rPr>
      </w:pPr>
    </w:p>
    <w:p>
      <w:pPr>
        <w:sectPr>
          <w:pgSz w:w="11900" w:h="16838" w:orient="portrait"/>
          <w:cols w:equalWidth="0" w:num="2">
            <w:col w:w="6020" w:space="380"/>
            <w:col w:w="3819"/>
          </w:cols>
          <w:pgMar w:left="240" w:top="496" w:right="1440" w:bottom="1440" w:gutter="0" w:footer="0" w:header="0"/>
          <w:type w:val="continuous"/>
        </w:sectPr>
      </w:pPr>
    </w:p>
    <w:p>
      <w:pPr>
        <w:ind w:left="980" w:right="740" w:hanging="295"/>
        <w:spacing w:after="0" w:line="255" w:lineRule="auto"/>
        <w:rPr>
          <w:sz w:val="20"/>
          <w:szCs w:val="20"/>
          <w:color w:val="auto"/>
        </w:rPr>
      </w:pPr>
      <w:r>
        <w:rPr>
          <w:rFonts w:ascii="Courier New" w:cs="Courier New" w:eastAsia="Courier New" w:hAnsi="Courier New"/>
          <w:sz w:val="16"/>
          <w:szCs w:val="16"/>
          <w:color w:val="auto"/>
        </w:rPr>
        <w:t>Elimination of certain Hall-Mark debt based on actual interest expense incurred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(6,952)</w:t>
      </w:r>
    </w:p>
    <w:p>
      <w:pPr>
        <w:spacing w:after="0" w:line="198" w:lineRule="exact"/>
        <w:rPr>
          <w:sz w:val="20"/>
          <w:szCs w:val="20"/>
          <w:color w:val="auto"/>
        </w:rPr>
      </w:pPr>
    </w:p>
    <w:p>
      <w:pPr>
        <w:sectPr>
          <w:pgSz w:w="11900" w:h="16838" w:orient="portrait"/>
          <w:cols w:equalWidth="0" w:num="2">
            <w:col w:w="5680" w:space="720"/>
            <w:col w:w="3819"/>
          </w:cols>
          <w:pgMar w:left="240" w:top="49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6"/>
          <w:szCs w:val="16"/>
          <w:color w:val="auto"/>
        </w:rPr>
        <w:t>Net increase in interest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$ 994</w:t>
      </w:r>
    </w:p>
    <w:p>
      <w:pPr>
        <w:spacing w:after="0" w:line="198" w:lineRule="exact"/>
        <w:rPr>
          <w:sz w:val="20"/>
          <w:szCs w:val="20"/>
          <w:color w:val="auto"/>
        </w:rPr>
      </w:pPr>
    </w:p>
    <w:p>
      <w:pPr>
        <w:sectPr>
          <w:pgSz w:w="11900" w:h="16838" w:orient="portrait"/>
          <w:cols w:equalWidth="0" w:num="2">
            <w:col w:w="5780" w:space="720"/>
            <w:col w:w="3719"/>
          </w:cols>
          <w:pgMar w:left="240" w:top="496" w:right="1440" w:bottom="1440" w:gutter="0" w:footer="0" w:header="0"/>
          <w:type w:val="continuous"/>
        </w:sectPr>
      </w:pPr>
    </w:p>
    <w:p>
      <w:pPr>
        <w:ind w:left="700" w:right="2519" w:hanging="699"/>
        <w:spacing w:after="0" w:line="251" w:lineRule="auto"/>
        <w:tabs>
          <w:tab w:leader="none" w:pos="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reflect: (1) the effect on income taxes related to proforma adjustments to the condensed consolidated statement of income described above; and (2) the additional tax provision on Hall-Mark's historical income before income taxes to reflect Hall-Mark's estimated recurring income tax rate without utilization of pre-existing net operating losses.</w:t>
      </w:r>
    </w:p>
    <w:p>
      <w:pPr>
        <w:spacing w:after="0" w:line="189" w:lineRule="exact"/>
        <w:rPr>
          <w:rFonts w:ascii="Courier New" w:cs="Courier New" w:eastAsia="Courier New" w:hAnsi="Courier New"/>
          <w:sz w:val="16"/>
          <w:szCs w:val="16"/>
          <w:color w:val="auto"/>
        </w:rPr>
      </w:pPr>
    </w:p>
    <w:p>
      <w:pPr>
        <w:jc w:val="both"/>
        <w:ind w:left="700" w:right="3219" w:hanging="699"/>
        <w:spacing w:after="0" w:line="253" w:lineRule="auto"/>
        <w:tabs>
          <w:tab w:leader="none" w:pos="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12 months ended June 30, 1993, Hall-Mark's net income is before extraordinary items and the cumulative effect of a change in the method of accounting for income taxes.</w:t>
      </w:r>
    </w:p>
    <w:p>
      <w:pPr>
        <w:spacing w:after="0" w:line="185" w:lineRule="exact"/>
        <w:rPr>
          <w:rFonts w:ascii="Courier New" w:cs="Courier New" w:eastAsia="Courier New" w:hAnsi="Courier New"/>
          <w:sz w:val="16"/>
          <w:szCs w:val="16"/>
          <w:color w:val="auto"/>
        </w:rPr>
      </w:pPr>
    </w:p>
    <w:p>
      <w:pPr>
        <w:ind w:left="700" w:right="2339" w:hanging="699"/>
        <w:spacing w:after="0" w:line="251" w:lineRule="auto"/>
        <w:tabs>
          <w:tab w:leader="none" w:pos="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the issuance of 4,858,000 shares of Avnet Common Stock to consummate the Acquisition. Solely for the purpose of calculating Avnet's historical earnings per share for the 12 months ended June 30, 1993</w:t>
      </w:r>
    </w:p>
    <w:p>
      <w:pPr>
        <w:ind w:left="700" w:right="26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proforma earnings per share for the 12 months ended June 30, 1993, reflected in the statement above shares of common stock issuable upon the conversion of Avnet's 6% convertible subordinated debentures were considered common share equivalents, and the net interest expense applicable to such debentures was eliminated.</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(c) Exhibits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496" w:right="1440" w:bottom="1440" w:gutter="0" w:footer="0" w:header="0"/>
          <w:type w:val="continuous"/>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388" w:lineRule="exact"/>
        <w:rPr>
          <w:sz w:val="20"/>
          <w:szCs w:val="20"/>
          <w:color w:val="auto"/>
        </w:rPr>
      </w:pPr>
    </w:p>
    <w:p>
      <w:pPr>
        <w:jc w:val="both"/>
        <w:ind w:left="400" w:right="27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AVNET, INC.</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(Registrant)</w:t>
      </w:r>
    </w:p>
    <w:p>
      <w:pPr>
        <w:spacing w:after="0" w:line="38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By: s/RAYMOND SADOWSKI</w:t>
      </w:r>
    </w:p>
    <w:p>
      <w:pPr>
        <w:spacing w:after="0" w:line="200" w:lineRule="exact"/>
        <w:rPr>
          <w:sz w:val="20"/>
          <w:szCs w:val="20"/>
          <w:color w:val="auto"/>
        </w:rPr>
      </w:pPr>
    </w:p>
    <w:p>
      <w:pPr>
        <w:spacing w:after="0" w:line="377"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Raymond Sadowski</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Senior Vice President and</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Chief Financial Officer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Date:January 6, 1994</w:t>
      </w:r>
    </w:p>
    <w:sectPr>
      <w:pgSz w:w="11900" w:h="16838" w:orient="portrait"/>
      <w:cols w:equalWidth="0" w:num="1">
        <w:col w:w="10219"/>
      </w:cols>
      <w:pgMar w:left="24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6"/>
    </w:lvl>
  </w:abstractNum>
  <w:abstractNum w:abstractNumId="3">
    <w:nsid w:val="216231B"/>
    <w:multiLevelType w:val="hybridMultilevel"/>
    <w:lvl w:ilvl="0">
      <w:lvlJc w:val="left"/>
      <w:lvlText w:val="(%1)"/>
      <w:numFmt w:val="decimal"/>
      <w:start w:val="7"/>
    </w:lvl>
  </w:abstractNum>
  <w:abstractNum w:abstractNumId="4">
    <w:nsid w:val="1F16E9E8"/>
    <w:multiLevelType w:val="hybridMultilevel"/>
    <w:lvl w:ilvl="0">
      <w:lvlJc w:val="left"/>
      <w:lvlText w:val="(%1)"/>
      <w:numFmt w:val="decimal"/>
      <w:start w:val="8"/>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2"/>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3"/>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lvl w:ilvl="1">
      <w:lvlJc w:val="left"/>
      <w:lvlText w:val="(%2)"/>
      <w:numFmt w:val="decimal"/>
      <w:start w:val="3"/>
    </w:lvl>
  </w:abstractNum>
  <w:abstractNum w:abstractNumId="15">
    <w:nsid w:val="4E6AFB66"/>
    <w:multiLevelType w:val="hybridMultilevel"/>
    <w:lvl w:ilvl="0">
      <w:lvlJc w:val="left"/>
      <w:lvlText w:val="(%1)"/>
      <w:numFmt w:val="lowerLetter"/>
      <w:start w:val="4"/>
    </w:lvl>
    <w:lvl w:ilvl="1">
      <w:lvlJc w:val="left"/>
      <w:lvlText w:val="%2"/>
      <w:numFmt w:val="decimal"/>
      <w:start w:val="1"/>
    </w:lvl>
  </w:abstractNum>
  <w:abstractNum w:abstractNumId="16">
    <w:nsid w:val="25E45D3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2019-12-19T18:53:36Z</dcterms:created>
  <dcterms:modified xsi:type="dcterms:W3CDTF">2019-12-19T18:53:36Z</dcterms:modified>
</cp:coreProperties>
</file>