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0001715546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AVNET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001-04224</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2150 E. WARNER ROAD</w:t>
              <w:br/>
              <w:t>TEMPE</w:t>
              <w:br/>
              <w:t xml:space="preserve">ARIZONA </w:t>
              <w:br/>
              <w:t>85284</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4806432000</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JACOBSON KENNETH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6844</w:t>
            </w:r>
          </w:p>
        </w:tc>
        <w:tc>
          <w:tcPr>
            <w:tcW w:w="1377" w:type="dxa"/>
            <w:tcBorders/>
            <w:vAlign w:val="center"/>
          </w:tcPr>
          <w:p>
            <w:pPr>
              <w:pStyle w:val="TableContents"/>
              <w:bidi w:val="0"/>
              <w:spacing w:before="0" w:after="283"/>
              <w:jc w:val="left"/>
              <w:rPr/>
            </w:pPr>
            <w:r>
              <w:rPr/>
              <w:t>634781.00</w:t>
            </w:r>
          </w:p>
        </w:tc>
        <w:tc>
          <w:tcPr>
            <w:tcW w:w="1552" w:type="dxa"/>
            <w:tcBorders/>
            <w:vAlign w:val="center"/>
          </w:tcPr>
          <w:p>
            <w:pPr>
              <w:pStyle w:val="TableContents"/>
              <w:bidi w:val="0"/>
              <w:spacing w:before="0" w:after="283"/>
              <w:jc w:val="left"/>
              <w:rPr/>
            </w:pPr>
            <w:r>
              <w:rPr/>
              <w:t>82072979</w:t>
            </w:r>
          </w:p>
        </w:tc>
        <w:tc>
          <w:tcPr>
            <w:tcW w:w="1567" w:type="dxa"/>
            <w:tcBorders/>
            <w:vAlign w:val="center"/>
          </w:tcPr>
          <w:p>
            <w:pPr>
              <w:pStyle w:val="TableContents"/>
              <w:bidi w:val="0"/>
              <w:spacing w:before="0" w:after="283"/>
              <w:jc w:val="left"/>
              <w:rPr/>
            </w:pPr>
            <w:r>
              <w:rPr/>
              <w:t>09/15/2026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1056</w:t>
            </w:r>
          </w:p>
        </w:tc>
        <w:tc>
          <w:tcPr>
            <w:tcW w:w="1046" w:type="dxa"/>
            <w:tcBorders/>
            <w:vAlign w:val="center"/>
          </w:tcPr>
          <w:p>
            <w:pPr>
              <w:pStyle w:val="TableContents"/>
              <w:bidi w:val="0"/>
              <w:spacing w:before="0" w:after="283"/>
              <w:jc w:val="left"/>
              <w:rPr/>
            </w:pPr>
            <w:r>
              <w:rPr/>
              <w:t>01/02/2024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5788</w:t>
            </w:r>
          </w:p>
        </w:tc>
        <w:tc>
          <w:tcPr>
            <w:tcW w:w="1046" w:type="dxa"/>
            <w:tcBorders/>
            <w:vAlign w:val="center"/>
          </w:tcPr>
          <w:p>
            <w:pPr>
              <w:pStyle w:val="TableContents"/>
              <w:bidi w:val="0"/>
              <w:spacing w:before="0" w:after="283"/>
              <w:jc w:val="left"/>
              <w:rPr/>
            </w:pPr>
            <w:r>
              <w:rPr/>
              <w:t>08/21/2025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16"/>
        <w:gridCol w:w="8489"/>
      </w:tblGrid>
      <w:tr>
        <w:trPr/>
        <w:tc>
          <w:tcPr>
            <w:tcW w:w="1716" w:type="dxa"/>
            <w:tcBorders/>
            <w:vAlign w:val="center"/>
          </w:tcPr>
          <w:p>
            <w:pPr>
              <w:pStyle w:val="TableContents"/>
              <w:bidi w:val="0"/>
              <w:spacing w:before="0" w:after="283"/>
              <w:jc w:val="left"/>
              <w:rPr/>
            </w:pPr>
            <w:r>
              <w:rPr/>
              <w:t>Remarks</w:t>
            </w:r>
          </w:p>
        </w:tc>
        <w:tc>
          <w:tcPr>
            <w:tcW w:w="8489" w:type="dxa"/>
            <w:tcBorders/>
            <w:vAlign w:val="center"/>
          </w:tcPr>
          <w:p>
            <w:pPr>
              <w:pStyle w:val="TableContents"/>
              <w:bidi w:val="0"/>
              <w:spacing w:before="0" w:after="0"/>
              <w:jc w:val="left"/>
              <w:rPr/>
            </w:pPr>
            <w:r>
              <w:rPr/>
              <w:t>Today's sale occurred in the K &amp; A Jacobson 2017 Rev Trust of which Kenneth A. Jacobson is a trustee and account stakeholder.</w:t>
            </w:r>
          </w:p>
        </w:tc>
      </w:tr>
      <w:tr>
        <w:trPr/>
        <w:tc>
          <w:tcPr>
            <w:tcW w:w="1716" w:type="dxa"/>
            <w:tcBorders/>
            <w:vAlign w:val="center"/>
          </w:tcPr>
          <w:p>
            <w:pPr>
              <w:pStyle w:val="TableContents"/>
              <w:bidi w:val="0"/>
              <w:spacing w:before="0" w:after="283"/>
              <w:jc w:val="left"/>
              <w:rPr/>
            </w:pPr>
            <w:r>
              <w:rPr/>
              <w:t>Date of Notice</w:t>
            </w:r>
          </w:p>
        </w:tc>
        <w:tc>
          <w:tcPr>
            <w:tcW w:w="8489"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6" w:type="dxa"/>
            <w:tcBorders/>
            <w:vAlign w:val="center"/>
          </w:tcPr>
          <w:p>
            <w:pPr>
              <w:pStyle w:val="TableContents"/>
              <w:bidi w:val="0"/>
              <w:spacing w:before="0" w:after="283"/>
              <w:jc w:val="left"/>
              <w:rPr/>
            </w:pPr>
            <w:r>
              <w:rPr/>
              <w:t>Signature</w:t>
            </w:r>
          </w:p>
        </w:tc>
        <w:tc>
          <w:tcPr>
            <w:tcW w:w="8489" w:type="dxa"/>
            <w:tcBorders/>
            <w:vAlign w:val="center"/>
          </w:tcPr>
          <w:p>
            <w:pPr>
              <w:pStyle w:val="TableContents"/>
              <w:bidi w:val="0"/>
              <w:spacing w:before="0" w:after="0"/>
              <w:jc w:val="left"/>
              <w:rPr/>
            </w:pPr>
            <w:r>
              <w:rPr/>
              <w:t xml:space="preserve">/s/ Gary Redman, as a duly authorized representative of Fidelity Brokerage Services LLC, as attorney-in-fact for Kenneth A. Jacobson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3139</Characters>
  <CharactersWithSpaces>3695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