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366395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800"/>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SCHEDULE 14A</w:t>
      </w:r>
    </w:p>
    <w:p>
      <w:pPr>
        <w:spacing w:after="0" w:line="13"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Proxy Statement Pursuant to Section 14(a) of</w:t>
      </w:r>
    </w:p>
    <w:p>
      <w:pPr>
        <w:jc w:val="center"/>
        <w:ind w:right="-840"/>
        <w:spacing w:after="0"/>
        <w:tabs>
          <w:tab w:leader="none" w:pos="22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84"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69"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6" w:lineRule="exact"/>
        <w:rPr>
          <w:rFonts w:ascii="MS PGothic" w:cs="MS PGothic" w:eastAsia="MS PGothic" w:hAnsi="MS PGothic"/>
          <w:sz w:val="18"/>
          <w:szCs w:val="18"/>
          <w:color w:val="auto"/>
        </w:rPr>
      </w:pPr>
    </w:p>
    <w:p>
      <w:pPr>
        <w:ind w:left="1260" w:right="1939"/>
        <w:spacing w:after="0" w:line="240" w:lineRule="exact"/>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28"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25400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8"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5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7"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4"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980" w:right="759" w:hanging="360"/>
        <w:spacing w:after="0" w:line="256" w:lineRule="auto"/>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0"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jc w:val="both"/>
        <w:ind w:left="1620" w:right="519" w:hanging="360"/>
        <w:spacing w:after="0" w:line="256"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0" w:lineRule="exact"/>
        <w:rPr>
          <w:rFonts w:ascii="MS PGothic" w:cs="MS PGothic" w:eastAsia="MS PGothic" w:hAnsi="MS PGothic"/>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-3576320</wp:posOffset>
            </wp:positionV>
            <wp:extent cx="4757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-3190875</wp:posOffset>
            </wp:positionV>
            <wp:extent cx="4757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-2522220</wp:posOffset>
            </wp:positionV>
            <wp:extent cx="4757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-2136140</wp:posOffset>
            </wp:positionV>
            <wp:extent cx="4757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-1750695</wp:posOffset>
            </wp:positionV>
            <wp:extent cx="4757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-636270</wp:posOffset>
            </wp:positionV>
            <wp:extent cx="4757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-250190</wp:posOffset>
            </wp:positionV>
            <wp:extent cx="4757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134620</wp:posOffset>
            </wp:positionV>
            <wp:extent cx="4757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p>
      <w:pPr>
        <w:spacing w:after="0" w:line="200" w:lineRule="exact"/>
        <w:rPr>
          <w:sz w:val="24"/>
          <w:szCs w:val="24"/>
          <w:color w:val="auto"/>
        </w:rPr>
      </w:pPr>
    </w:p>
    <w:p>
      <w:pPr>
        <w:spacing w:after="0" w:line="201"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143510</wp:posOffset>
            </wp:positionV>
            <wp:extent cx="4757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254635</wp:posOffset>
            </wp:positionV>
            <wp:extent cx="5212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297815</wp:posOffset>
            </wp:positionV>
            <wp:extent cx="521208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559435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177165</wp:posOffset>
            </wp:positionV>
            <wp:extent cx="6831965" cy="7890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789051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-96520</wp:posOffset>
            </wp:positionV>
            <wp:extent cx="67805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053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160020</wp:posOffset>
            </wp:positionV>
            <wp:extent cx="1731645"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1645" cy="34290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803275</wp:posOffset>
            </wp:positionV>
            <wp:extent cx="5554980" cy="634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54980" cy="63436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00"/>
        <w:spacing w:after="0"/>
        <w:rPr>
          <w:sz w:val="20"/>
          <w:szCs w:val="20"/>
          <w:color w:val="auto"/>
        </w:rPr>
      </w:pPr>
      <w:r>
        <w:rPr>
          <w:rFonts w:ascii="Arial" w:cs="Arial" w:eastAsia="Arial" w:hAnsi="Arial"/>
          <w:sz w:val="38"/>
          <w:szCs w:val="38"/>
          <w:b w:val="1"/>
          <w:bCs w:val="1"/>
          <w:color w:val="FEFEFE"/>
        </w:rPr>
        <w:t>NOTICE OF 2021 ANNUAL MEETING OF</w:t>
      </w:r>
    </w:p>
    <w:p>
      <w:pPr>
        <w:spacing w:after="0" w:line="86" w:lineRule="exact"/>
        <w:rPr>
          <w:sz w:val="20"/>
          <w:szCs w:val="20"/>
          <w:color w:val="auto"/>
        </w:rPr>
      </w:pPr>
    </w:p>
    <w:p>
      <w:pPr>
        <w:jc w:val="center"/>
        <w:ind w:right="-300"/>
        <w:spacing w:after="0"/>
        <w:rPr>
          <w:sz w:val="20"/>
          <w:szCs w:val="20"/>
          <w:color w:val="auto"/>
        </w:rPr>
      </w:pPr>
      <w:r>
        <w:rPr>
          <w:rFonts w:ascii="Arial" w:cs="Arial" w:eastAsia="Arial" w:hAnsi="Arial"/>
          <w:sz w:val="40"/>
          <w:szCs w:val="40"/>
          <w:b w:val="1"/>
          <w:bCs w:val="1"/>
          <w:color w:val="FEFEFE"/>
        </w:rPr>
        <w:t>SHAREHOLDERS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FEFEFE"/>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-321945</wp:posOffset>
            </wp:positionV>
            <wp:extent cx="2417445" cy="2649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17445" cy="2649220"/>
                    </a:xfrm>
                    <a:prstGeom prst="rect">
                      <a:avLst/>
                    </a:prstGeom>
                    <a:noFill/>
                  </pic:spPr>
                </pic:pic>
              </a:graphicData>
            </a:graphic>
          </wp:anchor>
        </w:drawing>
      </w:r>
    </w:p>
    <w:p>
      <w:pPr>
        <w:spacing w:after="0" w:line="11" w:lineRule="exact"/>
        <w:rPr>
          <w:sz w:val="20"/>
          <w:szCs w:val="20"/>
          <w:color w:val="auto"/>
        </w:rPr>
      </w:pPr>
    </w:p>
    <w:p>
      <w:pPr>
        <w:ind w:left="1060"/>
        <w:spacing w:after="0"/>
        <w:rPr>
          <w:sz w:val="20"/>
          <w:szCs w:val="20"/>
          <w:color w:val="auto"/>
        </w:rPr>
      </w:pPr>
      <w:r>
        <w:rPr>
          <w:rFonts w:ascii="Arial" w:cs="Arial" w:eastAsia="Arial" w:hAnsi="Arial"/>
          <w:sz w:val="18"/>
          <w:szCs w:val="18"/>
          <w:color w:val="FEFEFE"/>
        </w:rPr>
        <w:t>Thursday, November 18, 2021</w:t>
      </w:r>
    </w:p>
    <w:p>
      <w:pPr>
        <w:spacing w:after="0" w:line="10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FEFEFE"/>
        </w:rPr>
        <w:t>TIME</w:t>
      </w:r>
    </w:p>
    <w:p>
      <w:pPr>
        <w:spacing w:after="0" w:line="31" w:lineRule="exact"/>
        <w:rPr>
          <w:sz w:val="20"/>
          <w:szCs w:val="20"/>
          <w:color w:val="auto"/>
        </w:rPr>
      </w:pPr>
    </w:p>
    <w:p>
      <w:pPr>
        <w:ind w:left="1060"/>
        <w:spacing w:after="0"/>
        <w:rPr>
          <w:sz w:val="20"/>
          <w:szCs w:val="20"/>
          <w:color w:val="auto"/>
        </w:rPr>
      </w:pPr>
      <w:r>
        <w:rPr>
          <w:rFonts w:ascii="Arial" w:cs="Arial" w:eastAsia="Arial" w:hAnsi="Arial"/>
          <w:sz w:val="18"/>
          <w:szCs w:val="18"/>
          <w:color w:val="FEFEFE"/>
        </w:rPr>
        <w:t>8:00 am local time</w:t>
      </w:r>
    </w:p>
    <w:p>
      <w:pPr>
        <w:spacing w:after="0" w:line="10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FEFEFE"/>
        </w:rPr>
        <w:t>PLACE</w:t>
      </w:r>
    </w:p>
    <w:p>
      <w:pPr>
        <w:spacing w:after="0" w:line="31" w:lineRule="exact"/>
        <w:rPr>
          <w:sz w:val="20"/>
          <w:szCs w:val="20"/>
          <w:color w:val="auto"/>
        </w:rPr>
      </w:pPr>
    </w:p>
    <w:p>
      <w:pPr>
        <w:ind w:left="1060"/>
        <w:spacing w:after="0"/>
        <w:rPr>
          <w:sz w:val="20"/>
          <w:szCs w:val="20"/>
          <w:color w:val="auto"/>
        </w:rPr>
      </w:pPr>
      <w:r>
        <w:rPr>
          <w:rFonts w:ascii="Arial" w:cs="Arial" w:eastAsia="Arial" w:hAnsi="Arial"/>
          <w:sz w:val="18"/>
          <w:szCs w:val="18"/>
          <w:color w:val="FEFEFE"/>
        </w:rPr>
        <w:t>Avnet’s Corporate Headquarters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FEFEFE"/>
        </w:rPr>
        <w:t>2211 South 47th Street</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FEFEFE"/>
        </w:rPr>
        <w:t>Phoenix, Arizona 85034</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8"/>
          <w:szCs w:val="18"/>
          <w:color w:val="FEFEFE"/>
        </w:rPr>
        <w:t>AND</w:t>
      </w:r>
    </w:p>
    <w:p>
      <w:pPr>
        <w:spacing w:after="0" w:line="82"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FEFEFE"/>
        </w:rPr>
        <w:t>Via Webcast at</w:t>
      </w:r>
    </w:p>
    <w:p>
      <w:pPr>
        <w:spacing w:after="0" w:line="31" w:lineRule="exact"/>
        <w:rPr>
          <w:sz w:val="20"/>
          <w:szCs w:val="20"/>
          <w:color w:val="auto"/>
        </w:rPr>
      </w:pPr>
    </w:p>
    <w:p>
      <w:pPr>
        <w:ind w:left="1060"/>
        <w:spacing w:after="0"/>
        <w:rPr>
          <w:sz w:val="20"/>
          <w:szCs w:val="20"/>
          <w:color w:val="auto"/>
        </w:rPr>
      </w:pPr>
      <w:r>
        <w:rPr>
          <w:rFonts w:ascii="Arial" w:cs="Arial" w:eastAsia="Arial" w:hAnsi="Arial"/>
          <w:sz w:val="17"/>
          <w:szCs w:val="17"/>
          <w:color w:val="FEFEFE"/>
        </w:rPr>
        <w:t>www.virtualshareholdermeeting.com/</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8"/>
          <w:szCs w:val="18"/>
          <w:color w:val="FEFEFE"/>
        </w:rPr>
        <w:t>AVT2021</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FEFEFE"/>
        </w:rPr>
        <w:t>RECORD DATE</w:t>
      </w:r>
    </w:p>
    <w:p>
      <w:pPr>
        <w:spacing w:after="0" w:line="31" w:lineRule="exact"/>
        <w:rPr>
          <w:sz w:val="20"/>
          <w:szCs w:val="20"/>
          <w:color w:val="auto"/>
        </w:rPr>
      </w:pPr>
    </w:p>
    <w:p>
      <w:pPr>
        <w:ind w:left="1060"/>
        <w:spacing w:after="0"/>
        <w:rPr>
          <w:sz w:val="20"/>
          <w:szCs w:val="20"/>
          <w:color w:val="auto"/>
        </w:rPr>
      </w:pPr>
      <w:r>
        <w:rPr>
          <w:rFonts w:ascii="Arial" w:cs="Arial" w:eastAsia="Arial" w:hAnsi="Arial"/>
          <w:sz w:val="18"/>
          <w:szCs w:val="18"/>
          <w:color w:val="FEFEFE"/>
        </w:rPr>
        <w:t>September 20, 2021</w:t>
      </w:r>
    </w:p>
    <w:p>
      <w:pPr>
        <w:spacing w:after="0" w:line="200" w:lineRule="exact"/>
        <w:rPr>
          <w:sz w:val="20"/>
          <w:szCs w:val="20"/>
          <w:color w:val="auto"/>
        </w:rPr>
      </w:pPr>
    </w:p>
    <w:p>
      <w:pPr>
        <w:spacing w:after="0" w:line="263"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56C271"/>
        </w:rPr>
        <w:t>YOUR VOTE IS IMPORTANT</w:t>
      </w:r>
    </w:p>
    <w:p>
      <w:pPr>
        <w:spacing w:after="0" w:line="22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B2B2B2"/>
        </w:rPr>
        <w:t>YOU CAN VOTE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40640</wp:posOffset>
            </wp:positionV>
            <wp:extent cx="2417445" cy="643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17445" cy="643255"/>
                    </a:xfrm>
                    <a:prstGeom prst="rect">
                      <a:avLst/>
                    </a:prstGeom>
                    <a:noFill/>
                  </pic:spPr>
                </pic:pic>
              </a:graphicData>
            </a:graphic>
          </wp:anchor>
        </w:drawing>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56C271"/>
        </w:rPr>
        <w:t>INTERNET</w:t>
      </w:r>
    </w:p>
    <w:p>
      <w:pPr>
        <w:spacing w:after="0" w:line="25" w:lineRule="exact"/>
        <w:rPr>
          <w:sz w:val="20"/>
          <w:szCs w:val="20"/>
          <w:color w:val="auto"/>
        </w:rPr>
      </w:pPr>
    </w:p>
    <w:p>
      <w:pPr>
        <w:ind w:left="960" w:right="1452"/>
        <w:spacing w:after="0" w:line="260" w:lineRule="auto"/>
        <w:rPr>
          <w:sz w:val="20"/>
          <w:szCs w:val="20"/>
          <w:color w:val="auto"/>
        </w:rPr>
      </w:pPr>
      <w:r>
        <w:rPr>
          <w:rFonts w:ascii="Arial" w:cs="Arial" w:eastAsia="Arial" w:hAnsi="Arial"/>
          <w:sz w:val="16"/>
          <w:szCs w:val="16"/>
          <w:color w:val="auto"/>
        </w:rPr>
        <w:t>Visit the website noted on your proxycard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268605</wp:posOffset>
            </wp:positionV>
            <wp:extent cx="2417445" cy="711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17445" cy="7112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56C271"/>
        </w:rPr>
        <w:t>TELEPHONE</w:t>
      </w:r>
    </w:p>
    <w:p>
      <w:pPr>
        <w:spacing w:after="0" w:line="25" w:lineRule="exact"/>
        <w:rPr>
          <w:sz w:val="20"/>
          <w:szCs w:val="20"/>
          <w:color w:val="auto"/>
        </w:rPr>
      </w:pPr>
    </w:p>
    <w:p>
      <w:pPr>
        <w:jc w:val="both"/>
        <w:ind w:left="960" w:right="932"/>
        <w:spacing w:after="0" w:line="260" w:lineRule="auto"/>
        <w:rPr>
          <w:sz w:val="20"/>
          <w:szCs w:val="20"/>
          <w:color w:val="auto"/>
        </w:rPr>
      </w:pPr>
      <w:r>
        <w:rPr>
          <w:rFonts w:ascii="Arial" w:cs="Arial" w:eastAsia="Arial" w:hAnsi="Arial"/>
          <w:sz w:val="16"/>
          <w:szCs w:val="16"/>
          <w:color w:val="auto"/>
        </w:rPr>
        <w:t>Use the toll-free telephone number on your proxy card to 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345440</wp:posOffset>
            </wp:positionV>
            <wp:extent cx="2417445" cy="591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174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56C271"/>
        </w:rPr>
        <w:t>MAIL</w:t>
      </w:r>
    </w:p>
    <w:p>
      <w:pPr>
        <w:spacing w:after="0" w:line="25" w:lineRule="exact"/>
        <w:rPr>
          <w:sz w:val="20"/>
          <w:szCs w:val="20"/>
          <w:color w:val="auto"/>
        </w:rPr>
      </w:pPr>
    </w:p>
    <w:p>
      <w:pPr>
        <w:jc w:val="both"/>
        <w:ind w:left="960" w:right="1292"/>
        <w:spacing w:after="0" w:line="253" w:lineRule="auto"/>
        <w:rPr>
          <w:sz w:val="20"/>
          <w:szCs w:val="20"/>
          <w:color w:val="auto"/>
        </w:rPr>
      </w:pPr>
      <w:r>
        <w:rPr>
          <w:rFonts w:ascii="Arial" w:cs="Arial" w:eastAsia="Arial" w:hAnsi="Arial"/>
          <w:sz w:val="16"/>
          <w:szCs w:val="16"/>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109220</wp:posOffset>
            </wp:positionV>
            <wp:extent cx="2417445" cy="565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17445" cy="565785"/>
                    </a:xfrm>
                    <a:prstGeom prst="rect">
                      <a:avLst/>
                    </a:prstGeom>
                    <a:noFill/>
                  </pic:spPr>
                </pic:pic>
              </a:graphicData>
            </a:graphic>
          </wp:anchor>
        </w:drawing>
      </w:r>
    </w:p>
    <w:p>
      <w:pPr>
        <w:spacing w:after="0" w:line="269"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56C271"/>
        </w:rPr>
        <w:t>IN PERSON</w:t>
      </w:r>
    </w:p>
    <w:p>
      <w:pPr>
        <w:spacing w:after="0" w:line="25" w:lineRule="exact"/>
        <w:rPr>
          <w:sz w:val="20"/>
          <w:szCs w:val="20"/>
          <w:color w:val="auto"/>
        </w:rPr>
      </w:pPr>
    </w:p>
    <w:p>
      <w:pPr>
        <w:ind w:left="960" w:right="1172"/>
        <w:spacing w:after="0" w:line="253" w:lineRule="auto"/>
        <w:rPr>
          <w:sz w:val="20"/>
          <w:szCs w:val="20"/>
          <w:color w:val="auto"/>
        </w:rPr>
      </w:pPr>
      <w:r>
        <w:rPr>
          <w:rFonts w:ascii="Arial" w:cs="Arial" w:eastAsia="Arial" w:hAnsi="Arial"/>
          <w:sz w:val="16"/>
          <w:szCs w:val="16"/>
          <w:color w:val="auto"/>
        </w:rPr>
        <w:t>Cast your vote in person, including virtually via the webcast, at the annual meeting.</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56C271"/>
        </w:rPr>
        <w:t>ITEMS OF BUSINESS</w:t>
      </w:r>
    </w:p>
    <w:p>
      <w:pPr>
        <w:spacing w:after="0" w:line="170" w:lineRule="exact"/>
        <w:rPr>
          <w:sz w:val="20"/>
          <w:szCs w:val="20"/>
          <w:color w:val="auto"/>
        </w:rPr>
      </w:pPr>
    </w:p>
    <w:p>
      <w:pPr>
        <w:ind w:left="368" w:right="419" w:hanging="368"/>
        <w:spacing w:after="0" w:line="254" w:lineRule="auto"/>
        <w:tabs>
          <w:tab w:leader="none" w:pos="368" w:val="left"/>
        </w:tabs>
        <w:numPr>
          <w:ilvl w:val="0"/>
          <w:numId w:val="4"/>
        </w:numPr>
        <w:rPr>
          <w:rFonts w:ascii="Arial" w:cs="Arial" w:eastAsia="Arial" w:hAnsi="Arial"/>
          <w:sz w:val="18"/>
          <w:szCs w:val="18"/>
          <w:b w:val="1"/>
          <w:bCs w:val="1"/>
          <w:color w:val="56C271"/>
        </w:rPr>
      </w:pPr>
      <w:r>
        <w:rPr>
          <w:rFonts w:ascii="Arial" w:cs="Arial" w:eastAsia="Arial" w:hAnsi="Arial"/>
          <w:sz w:val="18"/>
          <w:szCs w:val="18"/>
          <w:color w:val="auto"/>
        </w:rPr>
        <w:t>To elect the eleven Director nominees named in the attached proxy statement to serve until the next annual meeting and until their successors have been elected and qualified.</w:t>
      </w:r>
    </w:p>
    <w:p>
      <w:pPr>
        <w:spacing w:after="0" w:line="149" w:lineRule="exact"/>
        <w:rPr>
          <w:rFonts w:ascii="Arial" w:cs="Arial" w:eastAsia="Arial" w:hAnsi="Arial"/>
          <w:sz w:val="18"/>
          <w:szCs w:val="18"/>
          <w:b w:val="1"/>
          <w:bCs w:val="1"/>
          <w:color w:val="56C271"/>
        </w:rPr>
      </w:pPr>
    </w:p>
    <w:p>
      <w:pPr>
        <w:ind w:left="368" w:right="1199" w:hanging="368"/>
        <w:spacing w:after="0" w:line="261" w:lineRule="auto"/>
        <w:tabs>
          <w:tab w:leader="none" w:pos="368" w:val="left"/>
        </w:tabs>
        <w:numPr>
          <w:ilvl w:val="0"/>
          <w:numId w:val="4"/>
        </w:numPr>
        <w:rPr>
          <w:rFonts w:ascii="Arial" w:cs="Arial" w:eastAsia="Arial" w:hAnsi="Arial"/>
          <w:sz w:val="18"/>
          <w:szCs w:val="18"/>
          <w:b w:val="1"/>
          <w:bCs w:val="1"/>
          <w:color w:val="56C271"/>
        </w:rPr>
      </w:pPr>
      <w:r>
        <w:rPr>
          <w:rFonts w:ascii="Arial" w:cs="Arial" w:eastAsia="Arial" w:hAnsi="Arial"/>
          <w:sz w:val="18"/>
          <w:szCs w:val="18"/>
          <w:color w:val="auto"/>
        </w:rPr>
        <w:t>To conduct an advisory vote on executive compensation.</w:t>
      </w:r>
    </w:p>
    <w:p>
      <w:pPr>
        <w:spacing w:after="0" w:line="143" w:lineRule="exact"/>
        <w:rPr>
          <w:rFonts w:ascii="Arial" w:cs="Arial" w:eastAsia="Arial" w:hAnsi="Arial"/>
          <w:sz w:val="18"/>
          <w:szCs w:val="18"/>
          <w:b w:val="1"/>
          <w:bCs w:val="1"/>
          <w:color w:val="56C271"/>
        </w:rPr>
      </w:pPr>
    </w:p>
    <w:p>
      <w:pPr>
        <w:ind w:left="368" w:right="1439" w:hanging="368"/>
        <w:spacing w:after="0" w:line="291" w:lineRule="auto"/>
        <w:tabs>
          <w:tab w:leader="none" w:pos="368" w:val="left"/>
        </w:tabs>
        <w:numPr>
          <w:ilvl w:val="0"/>
          <w:numId w:val="4"/>
        </w:numPr>
        <w:rPr>
          <w:rFonts w:ascii="Arial" w:cs="Arial" w:eastAsia="Arial" w:hAnsi="Arial"/>
          <w:sz w:val="17"/>
          <w:szCs w:val="17"/>
          <w:b w:val="1"/>
          <w:bCs w:val="1"/>
          <w:color w:val="56C271"/>
        </w:rPr>
      </w:pPr>
      <w:r>
        <w:rPr>
          <w:rFonts w:ascii="Arial" w:cs="Arial" w:eastAsia="Arial" w:hAnsi="Arial"/>
          <w:sz w:val="17"/>
          <w:szCs w:val="17"/>
          <w:color w:val="auto"/>
        </w:rPr>
        <w:t>To approve the Avnet, Inc. 2021 Stock Compensation and Incentive Plan.</w:t>
      </w:r>
    </w:p>
    <w:p>
      <w:pPr>
        <w:spacing w:after="0" w:line="133" w:lineRule="exact"/>
        <w:rPr>
          <w:rFonts w:ascii="Arial" w:cs="Arial" w:eastAsia="Arial" w:hAnsi="Arial"/>
          <w:sz w:val="17"/>
          <w:szCs w:val="17"/>
          <w:b w:val="1"/>
          <w:bCs w:val="1"/>
          <w:color w:val="56C271"/>
        </w:rPr>
      </w:pPr>
    </w:p>
    <w:p>
      <w:pPr>
        <w:ind w:left="368" w:right="659" w:hanging="368"/>
        <w:spacing w:after="0" w:line="254" w:lineRule="auto"/>
        <w:tabs>
          <w:tab w:leader="none" w:pos="368" w:val="left"/>
        </w:tabs>
        <w:numPr>
          <w:ilvl w:val="0"/>
          <w:numId w:val="4"/>
        </w:numPr>
        <w:rPr>
          <w:rFonts w:ascii="Arial" w:cs="Arial" w:eastAsia="Arial" w:hAnsi="Arial"/>
          <w:sz w:val="18"/>
          <w:szCs w:val="18"/>
          <w:b w:val="1"/>
          <w:bCs w:val="1"/>
          <w:color w:val="56C271"/>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July 2, 2022.</w:t>
      </w:r>
    </w:p>
    <w:p>
      <w:pPr>
        <w:spacing w:after="0" w:line="149" w:lineRule="exact"/>
        <w:rPr>
          <w:rFonts w:ascii="Arial" w:cs="Arial" w:eastAsia="Arial" w:hAnsi="Arial"/>
          <w:sz w:val="18"/>
          <w:szCs w:val="18"/>
          <w:b w:val="1"/>
          <w:bCs w:val="1"/>
          <w:color w:val="56C271"/>
        </w:rPr>
      </w:pPr>
    </w:p>
    <w:p>
      <w:pPr>
        <w:ind w:left="368" w:right="559" w:hanging="368"/>
        <w:spacing w:after="0" w:line="278" w:lineRule="auto"/>
        <w:tabs>
          <w:tab w:leader="none" w:pos="368" w:val="left"/>
        </w:tabs>
        <w:numPr>
          <w:ilvl w:val="0"/>
          <w:numId w:val="4"/>
        </w:numPr>
        <w:rPr>
          <w:rFonts w:ascii="Arial" w:cs="Arial" w:eastAsia="Arial" w:hAnsi="Arial"/>
          <w:sz w:val="17"/>
          <w:szCs w:val="17"/>
          <w:b w:val="1"/>
          <w:bCs w:val="1"/>
          <w:color w:val="56C271"/>
        </w:rPr>
      </w:pPr>
      <w:r>
        <w:rPr>
          <w:rFonts w:ascii="Arial" w:cs="Arial" w:eastAsia="Arial" w:hAnsi="Arial"/>
          <w:sz w:val="17"/>
          <w:szCs w:val="17"/>
          <w:color w:val="auto"/>
        </w:rPr>
        <w:t>To take action with respect to such other matters as may properly come before the Annual Meeting (including postponements and adjournments).</w:t>
      </w:r>
    </w:p>
    <w:p>
      <w:pPr>
        <w:spacing w:after="0" w:line="117" w:lineRule="exact"/>
        <w:rPr>
          <w:sz w:val="20"/>
          <w:szCs w:val="20"/>
          <w:color w:val="auto"/>
        </w:rPr>
      </w:pPr>
    </w:p>
    <w:p>
      <w:pPr>
        <w:ind w:left="8" w:right="439"/>
        <w:spacing w:after="0" w:line="252" w:lineRule="auto"/>
        <w:rPr>
          <w:sz w:val="20"/>
          <w:szCs w:val="20"/>
          <w:color w:val="auto"/>
        </w:rPr>
      </w:pPr>
      <w:r>
        <w:rPr>
          <w:rFonts w:ascii="Arial" w:cs="Arial" w:eastAsia="Arial" w:hAnsi="Arial"/>
          <w:sz w:val="18"/>
          <w:szCs w:val="18"/>
          <w:color w:val="auto"/>
        </w:rPr>
        <w:t>The Board of Directors has fixed the close of business on September 20, 2021, as the record date for the Annual Meeting. Only holders of record of shares of Avnet’s common stock at the close of business on such date shall be entitled to notice of and to vote at the Annual Meeting or any adjournment thereof.</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135445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544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56C271"/>
        </w:rPr>
        <w:t>Darrel S. Jackson</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6"/>
          <w:szCs w:val="16"/>
          <w:color w:val="auto"/>
        </w:rPr>
        <w:t>Corporate Secretary</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6"/>
          <w:szCs w:val="16"/>
          <w:color w:val="auto"/>
        </w:rPr>
        <w:t>October 7, 2021</w:t>
      </w:r>
    </w:p>
    <w:p>
      <w:pPr>
        <w:sectPr>
          <w:pgSz w:w="11900" w:h="16838" w:orient="portrait"/>
          <w:cols w:equalWidth="0" w:num="2">
            <w:col w:w="4592" w:space="720"/>
            <w:col w:w="4827"/>
          </w:cols>
          <w:pgMar w:left="32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374650</wp:posOffset>
            </wp:positionV>
            <wp:extent cx="5554980"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FEFEFE"/>
        </w:rPr>
        <w:t>TABLE OF CONTENTS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1000" w:type="dxa"/>
            <w:vAlign w:val="bottom"/>
            <w:tcBorders>
              <w:right w:val="single" w:sz="8" w:color="CCEEFF"/>
            </w:tcBorders>
          </w:tcPr>
          <w:p>
            <w:pPr>
              <w:spacing w:after="0"/>
              <w:rPr>
                <w:sz w:val="24"/>
                <w:szCs w:val="24"/>
                <w:color w:val="auto"/>
              </w:rPr>
            </w:pPr>
          </w:p>
        </w:tc>
        <w:tc>
          <w:tcPr>
            <w:tcW w:w="7900" w:type="dxa"/>
            <w:vAlign w:val="bottom"/>
            <w:gridSpan w:val="25"/>
            <w:shd w:val="clear" w:color="auto" w:fill="CCEEFF"/>
          </w:tcPr>
          <w:p>
            <w:pPr>
              <w:spacing w:after="0"/>
              <w:rPr>
                <w:rFonts w:ascii="Arial" w:cs="Arial" w:eastAsia="Arial" w:hAnsi="Arial"/>
                <w:sz w:val="22"/>
                <w:szCs w:val="22"/>
                <w:b w:val="1"/>
                <w:bCs w:val="1"/>
                <w:color w:val="56C271"/>
              </w:rPr>
            </w:pPr>
            <w:hyperlink w:anchor="page5">
              <w:r>
                <w:rPr>
                  <w:rFonts w:ascii="Arial" w:cs="Arial" w:eastAsia="Arial" w:hAnsi="Arial"/>
                  <w:sz w:val="22"/>
                  <w:szCs w:val="22"/>
                  <w:b w:val="1"/>
                  <w:bCs w:val="1"/>
                  <w:color w:val="56C271"/>
                </w:rPr>
                <w:t>Proxy Statement Summary</w:t>
              </w:r>
            </w:hyperlink>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980" w:type="dxa"/>
            <w:vAlign w:val="bottom"/>
          </w:tcPr>
          <w:p>
            <w:pPr>
              <w:spacing w:after="0"/>
              <w:rPr>
                <w:sz w:val="24"/>
                <w:szCs w:val="24"/>
                <w:color w:val="auto"/>
              </w:rPr>
            </w:pPr>
          </w:p>
        </w:tc>
      </w:tr>
      <w:tr>
        <w:trPr>
          <w:trHeight w:val="20"/>
        </w:trPr>
        <w:tc>
          <w:tcPr>
            <w:tcW w:w="1000" w:type="dxa"/>
            <w:vAlign w:val="bottom"/>
            <w:tcBorders>
              <w:right w:val="single" w:sz="8" w:color="56C271"/>
            </w:tcBorders>
          </w:tcPr>
          <w:p>
            <w:pPr>
              <w:spacing w:after="0" w:line="20" w:lineRule="exact"/>
              <w:rPr>
                <w:sz w:val="1"/>
                <w:szCs w:val="1"/>
                <w:color w:val="auto"/>
              </w:rPr>
            </w:pPr>
          </w:p>
        </w:tc>
        <w:tc>
          <w:tcPr>
            <w:tcW w:w="180" w:type="dxa"/>
            <w:vAlign w:val="bottom"/>
            <w:tcBorders>
              <w:top w:val="single" w:sz="8" w:color="56C271"/>
            </w:tcBorders>
            <w:shd w:val="clear" w:color="auto" w:fill="56C271"/>
          </w:tcPr>
          <w:p>
            <w:pPr>
              <w:spacing w:after="0" w:line="20" w:lineRule="exact"/>
              <w:rPr>
                <w:sz w:val="1"/>
                <w:szCs w:val="1"/>
                <w:color w:val="auto"/>
              </w:rPr>
            </w:pPr>
          </w:p>
        </w:tc>
        <w:tc>
          <w:tcPr>
            <w:tcW w:w="64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26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20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40" w:type="dxa"/>
            <w:vAlign w:val="bottom"/>
            <w:tcBorders>
              <w:top w:val="single" w:sz="8" w:color="56C271"/>
              <w:left w:val="single" w:sz="8" w:color="56C271"/>
              <w:right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tcBorders>
            <w:shd w:val="clear" w:color="auto" w:fill="56C271"/>
          </w:tcPr>
          <w:p>
            <w:pPr>
              <w:spacing w:after="0" w:line="20" w:lineRule="exact"/>
              <w:rPr>
                <w:sz w:val="1"/>
                <w:szCs w:val="1"/>
                <w:color w:val="auto"/>
              </w:rPr>
            </w:pPr>
          </w:p>
        </w:tc>
        <w:tc>
          <w:tcPr>
            <w:tcW w:w="20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1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left w:val="single" w:sz="8" w:color="56C271"/>
            </w:tcBorders>
            <w:shd w:val="clear" w:color="auto" w:fill="56C271"/>
          </w:tcPr>
          <w:p>
            <w:pPr>
              <w:spacing w:after="0" w:line="20" w:lineRule="exact"/>
              <w:rPr>
                <w:sz w:val="1"/>
                <w:szCs w:val="1"/>
                <w:color w:val="auto"/>
              </w:rPr>
            </w:pPr>
          </w:p>
        </w:tc>
        <w:tc>
          <w:tcPr>
            <w:tcW w:w="1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280" w:type="dxa"/>
            <w:vAlign w:val="bottom"/>
            <w:tcBorders>
              <w:top w:val="single" w:sz="8" w:color="CCEEFF"/>
              <w:right w:val="single" w:sz="8" w:color="56C271"/>
            </w:tcBorders>
            <w:shd w:val="clear" w:color="auto" w:fill="56C271"/>
          </w:tcPr>
          <w:p>
            <w:pPr>
              <w:spacing w:after="0" w:line="20" w:lineRule="exact"/>
              <w:rPr>
                <w:sz w:val="1"/>
                <w:szCs w:val="1"/>
                <w:color w:val="auto"/>
              </w:rPr>
            </w:pPr>
          </w:p>
        </w:tc>
        <w:tc>
          <w:tcPr>
            <w:tcW w:w="320" w:type="dxa"/>
            <w:vAlign w:val="bottom"/>
            <w:tcBorders>
              <w:top w:val="single" w:sz="8" w:color="CCEEFF"/>
            </w:tcBorders>
            <w:shd w:val="clear" w:color="auto" w:fill="56C271"/>
          </w:tcPr>
          <w:p>
            <w:pPr>
              <w:spacing w:after="0" w:line="20" w:lineRule="exact"/>
              <w:rPr>
                <w:sz w:val="1"/>
                <w:szCs w:val="1"/>
                <w:color w:val="auto"/>
              </w:rPr>
            </w:pPr>
          </w:p>
        </w:tc>
        <w:tc>
          <w:tcPr>
            <w:tcW w:w="140" w:type="dxa"/>
            <w:vAlign w:val="bottom"/>
            <w:tcBorders>
              <w:top w:val="single" w:sz="8" w:color="CCEEFF"/>
            </w:tcBorders>
            <w:shd w:val="clear" w:color="auto" w:fill="56C271"/>
          </w:tcPr>
          <w:p>
            <w:pPr>
              <w:spacing w:after="0" w:line="20" w:lineRule="exact"/>
              <w:rPr>
                <w:sz w:val="1"/>
                <w:szCs w:val="1"/>
                <w:color w:val="auto"/>
              </w:rPr>
            </w:pPr>
          </w:p>
        </w:tc>
        <w:tc>
          <w:tcPr>
            <w:tcW w:w="60" w:type="dxa"/>
            <w:vAlign w:val="bottom"/>
            <w:tcBorders>
              <w:top w:val="single" w:sz="8" w:color="CCEEFF"/>
            </w:tcBorders>
            <w:shd w:val="clear" w:color="auto" w:fill="56C271"/>
          </w:tcPr>
          <w:p>
            <w:pPr>
              <w:spacing w:after="0" w:line="20" w:lineRule="exact"/>
              <w:rPr>
                <w:sz w:val="1"/>
                <w:szCs w:val="1"/>
                <w:color w:val="auto"/>
              </w:rPr>
            </w:pPr>
          </w:p>
        </w:tc>
        <w:tc>
          <w:tcPr>
            <w:tcW w:w="240" w:type="dxa"/>
            <w:vAlign w:val="bottom"/>
            <w:tcBorders>
              <w:top w:val="single" w:sz="8" w:color="CCEEFF"/>
            </w:tcBorders>
            <w:shd w:val="clear" w:color="auto" w:fill="56C271"/>
          </w:tcPr>
          <w:p>
            <w:pPr>
              <w:spacing w:after="0" w:line="20" w:lineRule="exact"/>
              <w:rPr>
                <w:sz w:val="1"/>
                <w:szCs w:val="1"/>
                <w:color w:val="auto"/>
              </w:rPr>
            </w:pPr>
          </w:p>
        </w:tc>
        <w:tc>
          <w:tcPr>
            <w:tcW w:w="560" w:type="dxa"/>
            <w:vAlign w:val="bottom"/>
            <w:tcBorders>
              <w:top w:val="single" w:sz="8" w:color="CCEEFF"/>
            </w:tcBorders>
            <w:shd w:val="clear" w:color="auto" w:fill="56C271"/>
          </w:tcPr>
          <w:p>
            <w:pPr>
              <w:spacing w:after="0" w:line="20" w:lineRule="exact"/>
              <w:rPr>
                <w:sz w:val="1"/>
                <w:szCs w:val="1"/>
                <w:color w:val="auto"/>
              </w:rPr>
            </w:pPr>
          </w:p>
        </w:tc>
        <w:tc>
          <w:tcPr>
            <w:tcW w:w="340" w:type="dxa"/>
            <w:vAlign w:val="bottom"/>
            <w:tcBorders>
              <w:top w:val="single" w:sz="8" w:color="CCEEFF"/>
            </w:tcBorders>
            <w:shd w:val="clear" w:color="auto" w:fill="56C271"/>
          </w:tcPr>
          <w:p>
            <w:pPr>
              <w:spacing w:after="0" w:line="20" w:lineRule="exact"/>
              <w:rPr>
                <w:sz w:val="1"/>
                <w:szCs w:val="1"/>
                <w:color w:val="auto"/>
              </w:rPr>
            </w:pPr>
          </w:p>
        </w:tc>
        <w:tc>
          <w:tcPr>
            <w:tcW w:w="400" w:type="dxa"/>
            <w:vAlign w:val="bottom"/>
            <w:tcBorders>
              <w:top w:val="single" w:sz="8" w:color="CCEEFF"/>
            </w:tcBorders>
            <w:shd w:val="clear" w:color="auto" w:fill="56C271"/>
          </w:tcPr>
          <w:p>
            <w:pPr>
              <w:spacing w:after="0" w:line="20" w:lineRule="exact"/>
              <w:rPr>
                <w:sz w:val="1"/>
                <w:szCs w:val="1"/>
                <w:color w:val="auto"/>
              </w:rPr>
            </w:pPr>
          </w:p>
        </w:tc>
        <w:tc>
          <w:tcPr>
            <w:tcW w:w="1680" w:type="dxa"/>
            <w:vAlign w:val="bottom"/>
            <w:tcBorders>
              <w:top w:val="single" w:sz="8" w:color="CCEEFF"/>
              <w:left w:val="single" w:sz="8" w:color="56C271"/>
            </w:tcBorders>
            <w:shd w:val="clear" w:color="auto" w:fill="56C271"/>
          </w:tcPr>
          <w:p>
            <w:pPr>
              <w:spacing w:after="0" w:line="20" w:lineRule="exact"/>
              <w:rPr>
                <w:sz w:val="1"/>
                <w:szCs w:val="1"/>
                <w:color w:val="auto"/>
              </w:rPr>
            </w:pPr>
          </w:p>
        </w:tc>
        <w:tc>
          <w:tcPr>
            <w:tcW w:w="560" w:type="dxa"/>
            <w:vAlign w:val="bottom"/>
            <w:tcBorders>
              <w:top w:val="single" w:sz="8" w:color="CCEEFF"/>
            </w:tcBorders>
            <w:shd w:val="clear" w:color="auto" w:fill="56C271"/>
          </w:tcPr>
          <w:p>
            <w:pPr>
              <w:spacing w:after="0" w:line="20" w:lineRule="exact"/>
              <w:rPr>
                <w:sz w:val="1"/>
                <w:szCs w:val="1"/>
                <w:color w:val="auto"/>
              </w:rPr>
            </w:pPr>
          </w:p>
        </w:tc>
        <w:tc>
          <w:tcPr>
            <w:tcW w:w="640" w:type="dxa"/>
            <w:vAlign w:val="bottom"/>
            <w:tcBorders>
              <w:top w:val="single" w:sz="8" w:color="CCEEFF"/>
            </w:tcBorders>
            <w:shd w:val="clear" w:color="auto" w:fill="56C271"/>
          </w:tcPr>
          <w:p>
            <w:pPr>
              <w:spacing w:after="0" w:line="20" w:lineRule="exact"/>
              <w:rPr>
                <w:sz w:val="1"/>
                <w:szCs w:val="1"/>
                <w:color w:val="auto"/>
              </w:rPr>
            </w:pPr>
          </w:p>
        </w:tc>
        <w:tc>
          <w:tcPr>
            <w:tcW w:w="640" w:type="dxa"/>
            <w:vAlign w:val="bottom"/>
            <w:tcBorders>
              <w:top w:val="single" w:sz="8" w:color="CCEEFF"/>
            </w:tcBorders>
            <w:shd w:val="clear" w:color="auto" w:fill="56C271"/>
          </w:tcPr>
          <w:p>
            <w:pPr>
              <w:spacing w:after="0" w:line="20" w:lineRule="exact"/>
              <w:rPr>
                <w:sz w:val="1"/>
                <w:szCs w:val="1"/>
                <w:color w:val="auto"/>
              </w:rPr>
            </w:pPr>
          </w:p>
        </w:tc>
        <w:tc>
          <w:tcPr>
            <w:tcW w:w="100" w:type="dxa"/>
            <w:vAlign w:val="bottom"/>
            <w:tcBorders>
              <w:top w:val="single" w:sz="8" w:color="CCEEFF"/>
            </w:tcBorders>
            <w:shd w:val="clear" w:color="auto" w:fill="56C271"/>
          </w:tcPr>
          <w:p>
            <w:pPr>
              <w:spacing w:after="0" w:line="20" w:lineRule="exact"/>
              <w:rPr>
                <w:sz w:val="1"/>
                <w:szCs w:val="1"/>
                <w:color w:val="auto"/>
              </w:rPr>
            </w:pPr>
          </w:p>
        </w:tc>
        <w:tc>
          <w:tcPr>
            <w:tcW w:w="100" w:type="dxa"/>
            <w:vAlign w:val="bottom"/>
            <w:tcBorders>
              <w:top w:val="single" w:sz="8" w:color="0000EE"/>
            </w:tcBorders>
            <w:shd w:val="clear" w:color="auto" w:fill="56C27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7900" w:type="dxa"/>
            <w:vAlign w:val="bottom"/>
            <w:gridSpan w:val="25"/>
          </w:tcPr>
          <w:p>
            <w:pPr>
              <w:spacing w:after="0"/>
              <w:rPr>
                <w:rFonts w:ascii="Arial" w:cs="Arial" w:eastAsia="Arial" w:hAnsi="Arial"/>
                <w:sz w:val="22"/>
                <w:szCs w:val="22"/>
                <w:b w:val="1"/>
                <w:bCs w:val="1"/>
                <w:color w:val="56C271"/>
              </w:rPr>
            </w:pPr>
            <w:hyperlink w:anchor="page9">
              <w:r>
                <w:rPr>
                  <w:rFonts w:ascii="Arial" w:cs="Arial" w:eastAsia="Arial" w:hAnsi="Arial"/>
                  <w:sz w:val="22"/>
                  <w:szCs w:val="22"/>
                  <w:b w:val="1"/>
                  <w:bCs w:val="1"/>
                  <w:color w:val="56C271"/>
                </w:rPr>
                <w:t>Proxy Statement</w:t>
              </w:r>
            </w:hyperlink>
          </w:p>
        </w:tc>
        <w:tc>
          <w:tcPr>
            <w:tcW w:w="1820" w:type="dxa"/>
            <w:vAlign w:val="bottom"/>
            <w:gridSpan w:val="4"/>
          </w:tcPr>
          <w:p>
            <w:pPr>
              <w:jc w:val="right"/>
              <w:ind w:right="980"/>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34"/>
        </w:trPr>
        <w:tc>
          <w:tcPr>
            <w:tcW w:w="1000" w:type="dxa"/>
            <w:vAlign w:val="bottom"/>
          </w:tcPr>
          <w:p>
            <w:pPr>
              <w:spacing w:after="0"/>
              <w:rPr>
                <w:sz w:val="2"/>
                <w:szCs w:val="2"/>
                <w:color w:val="auto"/>
              </w:rPr>
            </w:pPr>
          </w:p>
        </w:tc>
        <w:tc>
          <w:tcPr>
            <w:tcW w:w="180" w:type="dxa"/>
            <w:vAlign w:val="bottom"/>
            <w:tcBorders>
              <w:top w:val="single" w:sz="8" w:color="56C271"/>
              <w:bottom w:val="single" w:sz="8" w:color="56C271"/>
            </w:tcBorders>
          </w:tcPr>
          <w:p>
            <w:pPr>
              <w:spacing w:after="0"/>
              <w:rPr>
                <w:sz w:val="2"/>
                <w:szCs w:val="2"/>
                <w:color w:val="auto"/>
              </w:rPr>
            </w:pPr>
          </w:p>
        </w:tc>
        <w:tc>
          <w:tcPr>
            <w:tcW w:w="64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26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120" w:type="dxa"/>
            <w:vAlign w:val="bottom"/>
            <w:tcBorders>
              <w:bottom w:val="single" w:sz="8" w:color="56C271"/>
            </w:tcBorders>
          </w:tcPr>
          <w:p>
            <w:pPr>
              <w:spacing w:after="0"/>
              <w:rPr>
                <w:sz w:val="2"/>
                <w:szCs w:val="2"/>
                <w:color w:val="auto"/>
              </w:rPr>
            </w:pPr>
          </w:p>
        </w:tc>
        <w:tc>
          <w:tcPr>
            <w:tcW w:w="200" w:type="dxa"/>
            <w:vAlign w:val="bottom"/>
            <w:tcBorders>
              <w:bottom w:val="single" w:sz="8" w:color="56C271"/>
            </w:tcBorders>
          </w:tcPr>
          <w:p>
            <w:pPr>
              <w:spacing w:after="0"/>
              <w:rPr>
                <w:sz w:val="2"/>
                <w:szCs w:val="2"/>
                <w:color w:val="auto"/>
              </w:rPr>
            </w:pPr>
          </w:p>
        </w:tc>
        <w:tc>
          <w:tcPr>
            <w:tcW w:w="10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12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280" w:type="dxa"/>
            <w:vAlign w:val="bottom"/>
            <w:tcBorders>
              <w:bottom w:val="single" w:sz="8" w:color="56C271"/>
            </w:tcBorders>
          </w:tcPr>
          <w:p>
            <w:pPr>
              <w:spacing w:after="0"/>
              <w:rPr>
                <w:sz w:val="2"/>
                <w:szCs w:val="2"/>
                <w:color w:val="auto"/>
              </w:rPr>
            </w:pPr>
          </w:p>
        </w:tc>
        <w:tc>
          <w:tcPr>
            <w:tcW w:w="32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60" w:type="dxa"/>
            <w:vAlign w:val="bottom"/>
            <w:tcBorders>
              <w:bottom w:val="single" w:sz="8" w:color="56C271"/>
            </w:tcBorders>
          </w:tcPr>
          <w:p>
            <w:pPr>
              <w:spacing w:after="0"/>
              <w:rPr>
                <w:sz w:val="2"/>
                <w:szCs w:val="2"/>
                <w:color w:val="auto"/>
              </w:rPr>
            </w:pPr>
          </w:p>
        </w:tc>
        <w:tc>
          <w:tcPr>
            <w:tcW w:w="24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340" w:type="dxa"/>
            <w:vAlign w:val="bottom"/>
            <w:tcBorders>
              <w:bottom w:val="single" w:sz="8" w:color="56C271"/>
            </w:tcBorders>
          </w:tcPr>
          <w:p>
            <w:pPr>
              <w:spacing w:after="0"/>
              <w:rPr>
                <w:sz w:val="2"/>
                <w:szCs w:val="2"/>
                <w:color w:val="auto"/>
              </w:rPr>
            </w:pPr>
          </w:p>
        </w:tc>
        <w:tc>
          <w:tcPr>
            <w:tcW w:w="400" w:type="dxa"/>
            <w:vAlign w:val="bottom"/>
            <w:tcBorders>
              <w:bottom w:val="single" w:sz="8" w:color="56C271"/>
            </w:tcBorders>
          </w:tcPr>
          <w:p>
            <w:pPr>
              <w:spacing w:after="0"/>
              <w:rPr>
                <w:sz w:val="2"/>
                <w:szCs w:val="2"/>
                <w:color w:val="auto"/>
              </w:rPr>
            </w:pPr>
          </w:p>
        </w:tc>
        <w:tc>
          <w:tcPr>
            <w:tcW w:w="168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100" w:type="dxa"/>
            <w:vAlign w:val="bottom"/>
            <w:tcBorders>
              <w:bottom w:val="single" w:sz="8" w:color="56C271"/>
            </w:tcBorders>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00" w:type="dxa"/>
            <w:vAlign w:val="bottom"/>
            <w:tcBorders>
              <w:right w:val="single" w:sz="8" w:color="CCEEFF"/>
            </w:tcBorders>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720" w:type="dxa"/>
            <w:vAlign w:val="bottom"/>
            <w:gridSpan w:val="24"/>
            <w:shd w:val="clear" w:color="auto" w:fill="CCEEFF"/>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Proxy and Revocation of Proxy</w:t>
              </w:r>
            </w:hyperlink>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980" w:type="dxa"/>
            <w:vAlign w:val="bottom"/>
          </w:tcPr>
          <w:p>
            <w:pPr>
              <w:spacing w:after="0"/>
              <w:rPr>
                <w:sz w:val="21"/>
                <w:szCs w:val="21"/>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CCEEFF"/>
            </w:tcBorders>
            <w:shd w:val="clear" w:color="auto" w:fill="0000EE"/>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Broker Voting</w:t>
              </w:r>
            </w:hyperlink>
          </w:p>
        </w:tc>
        <w:tc>
          <w:tcPr>
            <w:tcW w:w="5220" w:type="dxa"/>
            <w:vAlign w:val="bottom"/>
            <w:gridSpan w:val="11"/>
          </w:tcPr>
          <w:p>
            <w:pPr>
              <w:spacing w:after="0"/>
              <w:rPr>
                <w:sz w:val="18"/>
                <w:szCs w:val="18"/>
                <w:color w:val="auto"/>
              </w:rPr>
            </w:pPr>
          </w:p>
        </w:tc>
        <w:tc>
          <w:tcPr>
            <w:tcW w:w="1820" w:type="dxa"/>
            <w:vAlign w:val="bottom"/>
            <w:gridSpan w:val="4"/>
          </w:tcPr>
          <w:p>
            <w:pPr>
              <w:jc w:val="right"/>
              <w:ind w:right="980"/>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720" w:type="dxa"/>
            <w:vAlign w:val="bottom"/>
            <w:gridSpan w:val="24"/>
            <w:shd w:val="clear" w:color="auto" w:fill="CCEEFF"/>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Meeting Attendance</w:t>
              </w:r>
            </w:hyperlink>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Quorum</w:t>
              </w:r>
            </w:hyperlink>
          </w:p>
        </w:tc>
        <w:tc>
          <w:tcPr>
            <w:tcW w:w="900" w:type="dxa"/>
            <w:vAlign w:val="bottom"/>
            <w:gridSpan w:val="5"/>
          </w:tcPr>
          <w:p>
            <w:pPr>
              <w:spacing w:after="0"/>
              <w:rPr>
                <w:sz w:val="18"/>
                <w:szCs w:val="18"/>
                <w:color w:val="auto"/>
              </w:rPr>
            </w:pPr>
          </w:p>
        </w:tc>
        <w:tc>
          <w:tcPr>
            <w:tcW w:w="6180" w:type="dxa"/>
            <w:vAlign w:val="bottom"/>
            <w:gridSpan w:val="18"/>
          </w:tcPr>
          <w:p>
            <w:pPr>
              <w:spacing w:after="0"/>
              <w:rPr>
                <w:sz w:val="18"/>
                <w:szCs w:val="18"/>
                <w:color w:val="auto"/>
              </w:rPr>
            </w:pPr>
          </w:p>
        </w:tc>
        <w:tc>
          <w:tcPr>
            <w:tcW w:w="1820" w:type="dxa"/>
            <w:vAlign w:val="bottom"/>
            <w:gridSpan w:val="4"/>
          </w:tcPr>
          <w:p>
            <w:pPr>
              <w:jc w:val="right"/>
              <w:ind w:right="980"/>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720" w:type="dxa"/>
            <w:vAlign w:val="bottom"/>
            <w:gridSpan w:val="24"/>
            <w:shd w:val="clear" w:color="auto" w:fill="CCEEFF"/>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Required Vote and Board Recommendations</w:t>
              </w:r>
            </w:hyperlink>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364"/>
        </w:trPr>
        <w:tc>
          <w:tcPr>
            <w:tcW w:w="1000" w:type="dxa"/>
            <w:vAlign w:val="bottom"/>
          </w:tcPr>
          <w:p>
            <w:pPr>
              <w:spacing w:after="0"/>
              <w:rPr>
                <w:sz w:val="24"/>
                <w:szCs w:val="24"/>
                <w:color w:val="auto"/>
              </w:rPr>
            </w:pPr>
          </w:p>
        </w:tc>
        <w:tc>
          <w:tcPr>
            <w:tcW w:w="7900" w:type="dxa"/>
            <w:vAlign w:val="bottom"/>
            <w:gridSpan w:val="25"/>
          </w:tcPr>
          <w:p>
            <w:pPr>
              <w:spacing w:after="0"/>
              <w:rPr>
                <w:rFonts w:ascii="Arial" w:cs="Arial" w:eastAsia="Arial" w:hAnsi="Arial"/>
                <w:sz w:val="22"/>
                <w:szCs w:val="22"/>
                <w:b w:val="1"/>
                <w:bCs w:val="1"/>
                <w:color w:val="56C271"/>
              </w:rPr>
            </w:pPr>
            <w:hyperlink w:anchor="page12">
              <w:r>
                <w:rPr>
                  <w:rFonts w:ascii="Arial" w:cs="Arial" w:eastAsia="Arial" w:hAnsi="Arial"/>
                  <w:sz w:val="22"/>
                  <w:szCs w:val="22"/>
                  <w:b w:val="1"/>
                  <w:bCs w:val="1"/>
                  <w:color w:val="56C271"/>
                </w:rPr>
                <w:t>Proposal 1 — Election of Directors</w:t>
              </w:r>
            </w:hyperlink>
          </w:p>
        </w:tc>
        <w:tc>
          <w:tcPr>
            <w:tcW w:w="1820" w:type="dxa"/>
            <w:vAlign w:val="bottom"/>
            <w:gridSpan w:val="4"/>
          </w:tcPr>
          <w:p>
            <w:pPr>
              <w:jc w:val="right"/>
              <w:ind w:right="980"/>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34"/>
        </w:trPr>
        <w:tc>
          <w:tcPr>
            <w:tcW w:w="1000" w:type="dxa"/>
            <w:vAlign w:val="bottom"/>
          </w:tcPr>
          <w:p>
            <w:pPr>
              <w:spacing w:after="0"/>
              <w:rPr>
                <w:sz w:val="2"/>
                <w:szCs w:val="2"/>
                <w:color w:val="auto"/>
              </w:rPr>
            </w:pPr>
          </w:p>
        </w:tc>
        <w:tc>
          <w:tcPr>
            <w:tcW w:w="180" w:type="dxa"/>
            <w:vAlign w:val="bottom"/>
            <w:tcBorders>
              <w:top w:val="single" w:sz="8" w:color="56C271"/>
              <w:bottom w:val="single" w:sz="8" w:color="56C271"/>
            </w:tcBorders>
          </w:tcPr>
          <w:p>
            <w:pPr>
              <w:spacing w:after="0"/>
              <w:rPr>
                <w:sz w:val="2"/>
                <w:szCs w:val="2"/>
                <w:color w:val="auto"/>
              </w:rPr>
            </w:pPr>
          </w:p>
        </w:tc>
        <w:tc>
          <w:tcPr>
            <w:tcW w:w="64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26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0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280" w:type="dxa"/>
            <w:vAlign w:val="bottom"/>
            <w:tcBorders>
              <w:top w:val="single" w:sz="8" w:color="56C271"/>
              <w:bottom w:val="single" w:sz="8" w:color="56C271"/>
            </w:tcBorders>
          </w:tcPr>
          <w:p>
            <w:pPr>
              <w:spacing w:after="0"/>
              <w:rPr>
                <w:sz w:val="2"/>
                <w:szCs w:val="2"/>
                <w:color w:val="auto"/>
              </w:rPr>
            </w:pPr>
          </w:p>
        </w:tc>
        <w:tc>
          <w:tcPr>
            <w:tcW w:w="32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60" w:type="dxa"/>
            <w:vAlign w:val="bottom"/>
            <w:tcBorders>
              <w:bottom w:val="single" w:sz="8" w:color="56C271"/>
            </w:tcBorders>
          </w:tcPr>
          <w:p>
            <w:pPr>
              <w:spacing w:after="0"/>
              <w:rPr>
                <w:sz w:val="2"/>
                <w:szCs w:val="2"/>
                <w:color w:val="auto"/>
              </w:rPr>
            </w:pPr>
          </w:p>
        </w:tc>
        <w:tc>
          <w:tcPr>
            <w:tcW w:w="24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340" w:type="dxa"/>
            <w:vAlign w:val="bottom"/>
            <w:tcBorders>
              <w:bottom w:val="single" w:sz="8" w:color="56C271"/>
            </w:tcBorders>
          </w:tcPr>
          <w:p>
            <w:pPr>
              <w:spacing w:after="0"/>
              <w:rPr>
                <w:sz w:val="2"/>
                <w:szCs w:val="2"/>
                <w:color w:val="auto"/>
              </w:rPr>
            </w:pPr>
          </w:p>
        </w:tc>
        <w:tc>
          <w:tcPr>
            <w:tcW w:w="400" w:type="dxa"/>
            <w:vAlign w:val="bottom"/>
            <w:tcBorders>
              <w:bottom w:val="single" w:sz="8" w:color="56C271"/>
            </w:tcBorders>
          </w:tcPr>
          <w:p>
            <w:pPr>
              <w:spacing w:after="0"/>
              <w:rPr>
                <w:sz w:val="2"/>
                <w:szCs w:val="2"/>
                <w:color w:val="auto"/>
              </w:rPr>
            </w:pPr>
          </w:p>
        </w:tc>
        <w:tc>
          <w:tcPr>
            <w:tcW w:w="168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100" w:type="dxa"/>
            <w:vAlign w:val="bottom"/>
            <w:tcBorders>
              <w:bottom w:val="single" w:sz="8" w:color="56C271"/>
            </w:tcBorders>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00" w:type="dxa"/>
            <w:vAlign w:val="bottom"/>
            <w:tcBorders>
              <w:right w:val="single" w:sz="8" w:color="CCEEFF"/>
            </w:tcBorders>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Nominees</w:t>
              </w:r>
            </w:hyperlink>
          </w:p>
        </w:tc>
        <w:tc>
          <w:tcPr>
            <w:tcW w:w="6920" w:type="dxa"/>
            <w:vAlign w:val="bottom"/>
            <w:gridSpan w:val="22"/>
            <w:shd w:val="clear" w:color="auto" w:fill="CCEEFF"/>
          </w:tcPr>
          <w:p>
            <w:pPr>
              <w:spacing w:after="0"/>
              <w:rPr>
                <w:sz w:val="21"/>
                <w:szCs w:val="21"/>
                <w:color w:val="auto"/>
              </w:rPr>
            </w:pPr>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980" w:type="dxa"/>
            <w:vAlign w:val="bottom"/>
          </w:tcPr>
          <w:p>
            <w:pPr>
              <w:spacing w:after="0"/>
              <w:rPr>
                <w:sz w:val="21"/>
                <w:szCs w:val="21"/>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365"/>
        </w:trPr>
        <w:tc>
          <w:tcPr>
            <w:tcW w:w="1000" w:type="dxa"/>
            <w:vAlign w:val="bottom"/>
          </w:tcPr>
          <w:p>
            <w:pPr>
              <w:spacing w:after="0"/>
              <w:rPr>
                <w:sz w:val="24"/>
                <w:szCs w:val="24"/>
                <w:color w:val="auto"/>
              </w:rPr>
            </w:pPr>
          </w:p>
        </w:tc>
        <w:tc>
          <w:tcPr>
            <w:tcW w:w="7900" w:type="dxa"/>
            <w:vAlign w:val="bottom"/>
            <w:gridSpan w:val="25"/>
          </w:tcPr>
          <w:p>
            <w:pPr>
              <w:spacing w:after="0"/>
              <w:rPr>
                <w:rFonts w:ascii="Arial" w:cs="Arial" w:eastAsia="Arial" w:hAnsi="Arial"/>
                <w:sz w:val="22"/>
                <w:szCs w:val="22"/>
                <w:b w:val="1"/>
                <w:bCs w:val="1"/>
                <w:color w:val="56C271"/>
              </w:rPr>
            </w:pPr>
            <w:hyperlink w:anchor="page22">
              <w:r>
                <w:rPr>
                  <w:rFonts w:ascii="Arial" w:cs="Arial" w:eastAsia="Arial" w:hAnsi="Arial"/>
                  <w:sz w:val="22"/>
                  <w:szCs w:val="22"/>
                  <w:b w:val="1"/>
                  <w:bCs w:val="1"/>
                  <w:color w:val="56C271"/>
                </w:rPr>
                <w:t>Corporate Governance</w:t>
              </w:r>
            </w:hyperlink>
          </w:p>
        </w:tc>
        <w:tc>
          <w:tcPr>
            <w:tcW w:w="1820" w:type="dxa"/>
            <w:vAlign w:val="bottom"/>
            <w:gridSpan w:val="4"/>
          </w:tcPr>
          <w:p>
            <w:pPr>
              <w:jc w:val="right"/>
              <w:ind w:right="980"/>
              <w:spacing w:after="0"/>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r>
      <w:tr>
        <w:trPr>
          <w:trHeight w:val="34"/>
        </w:trPr>
        <w:tc>
          <w:tcPr>
            <w:tcW w:w="1000" w:type="dxa"/>
            <w:vAlign w:val="bottom"/>
          </w:tcPr>
          <w:p>
            <w:pPr>
              <w:spacing w:after="0"/>
              <w:rPr>
                <w:sz w:val="2"/>
                <w:szCs w:val="2"/>
                <w:color w:val="auto"/>
              </w:rPr>
            </w:pPr>
          </w:p>
        </w:tc>
        <w:tc>
          <w:tcPr>
            <w:tcW w:w="180" w:type="dxa"/>
            <w:vAlign w:val="bottom"/>
            <w:tcBorders>
              <w:top w:val="single" w:sz="8" w:color="56C271"/>
              <w:bottom w:val="single" w:sz="8" w:color="56C271"/>
            </w:tcBorders>
          </w:tcPr>
          <w:p>
            <w:pPr>
              <w:spacing w:after="0"/>
              <w:rPr>
                <w:sz w:val="2"/>
                <w:szCs w:val="2"/>
                <w:color w:val="auto"/>
              </w:rPr>
            </w:pPr>
          </w:p>
        </w:tc>
        <w:tc>
          <w:tcPr>
            <w:tcW w:w="64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26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00" w:type="dxa"/>
            <w:vAlign w:val="bottom"/>
            <w:tcBorders>
              <w:top w:val="single" w:sz="8" w:color="56C271"/>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12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280" w:type="dxa"/>
            <w:vAlign w:val="bottom"/>
            <w:tcBorders>
              <w:bottom w:val="single" w:sz="8" w:color="56C271"/>
            </w:tcBorders>
          </w:tcPr>
          <w:p>
            <w:pPr>
              <w:spacing w:after="0"/>
              <w:rPr>
                <w:sz w:val="2"/>
                <w:szCs w:val="2"/>
                <w:color w:val="auto"/>
              </w:rPr>
            </w:pPr>
          </w:p>
        </w:tc>
        <w:tc>
          <w:tcPr>
            <w:tcW w:w="32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60" w:type="dxa"/>
            <w:vAlign w:val="bottom"/>
            <w:tcBorders>
              <w:bottom w:val="single" w:sz="8" w:color="56C271"/>
            </w:tcBorders>
          </w:tcPr>
          <w:p>
            <w:pPr>
              <w:spacing w:after="0"/>
              <w:rPr>
                <w:sz w:val="2"/>
                <w:szCs w:val="2"/>
                <w:color w:val="auto"/>
              </w:rPr>
            </w:pPr>
          </w:p>
        </w:tc>
        <w:tc>
          <w:tcPr>
            <w:tcW w:w="24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340" w:type="dxa"/>
            <w:vAlign w:val="bottom"/>
            <w:tcBorders>
              <w:bottom w:val="single" w:sz="8" w:color="56C271"/>
            </w:tcBorders>
          </w:tcPr>
          <w:p>
            <w:pPr>
              <w:spacing w:after="0"/>
              <w:rPr>
                <w:sz w:val="2"/>
                <w:szCs w:val="2"/>
                <w:color w:val="auto"/>
              </w:rPr>
            </w:pPr>
          </w:p>
        </w:tc>
        <w:tc>
          <w:tcPr>
            <w:tcW w:w="400" w:type="dxa"/>
            <w:vAlign w:val="bottom"/>
            <w:tcBorders>
              <w:bottom w:val="single" w:sz="8" w:color="56C271"/>
            </w:tcBorders>
          </w:tcPr>
          <w:p>
            <w:pPr>
              <w:spacing w:after="0"/>
              <w:rPr>
                <w:sz w:val="2"/>
                <w:szCs w:val="2"/>
                <w:color w:val="auto"/>
              </w:rPr>
            </w:pPr>
          </w:p>
        </w:tc>
        <w:tc>
          <w:tcPr>
            <w:tcW w:w="168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00" w:type="dxa"/>
            <w:vAlign w:val="bottom"/>
            <w:tcBorders>
              <w:right w:val="single" w:sz="8" w:color="CCEEFF"/>
            </w:tcBorders>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720" w:type="dxa"/>
            <w:vAlign w:val="bottom"/>
            <w:gridSpan w:val="24"/>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Corporate Governance Guidelines</w:t>
              </w:r>
            </w:hyperlink>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c>
          <w:tcPr>
            <w:tcW w:w="980" w:type="dxa"/>
            <w:vAlign w:val="bottom"/>
          </w:tcPr>
          <w:p>
            <w:pPr>
              <w:spacing w:after="0"/>
              <w:rPr>
                <w:sz w:val="21"/>
                <w:szCs w:val="21"/>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CCEEFF"/>
            </w:tcBorders>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Director Independence</w:t>
              </w:r>
            </w:hyperlink>
          </w:p>
        </w:tc>
        <w:tc>
          <w:tcPr>
            <w:tcW w:w="4940" w:type="dxa"/>
            <w:vAlign w:val="bottom"/>
            <w:gridSpan w:val="10"/>
          </w:tcPr>
          <w:p>
            <w:pPr>
              <w:spacing w:after="0"/>
              <w:rPr>
                <w:sz w:val="18"/>
                <w:szCs w:val="18"/>
                <w:color w:val="auto"/>
              </w:rPr>
            </w:pPr>
          </w:p>
        </w:tc>
        <w:tc>
          <w:tcPr>
            <w:tcW w:w="1820" w:type="dxa"/>
            <w:vAlign w:val="bottom"/>
            <w:gridSpan w:val="4"/>
          </w:tcPr>
          <w:p>
            <w:pPr>
              <w:jc w:val="right"/>
              <w:ind w:right="980"/>
              <w:spacing w:after="0"/>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tcBorders>
              <w:right w:val="single" w:sz="8" w:color="CCEEFF"/>
            </w:tcBorders>
            <w:gridSpan w:val="11"/>
            <w:shd w:val="clear" w:color="auto" w:fill="CCEEFF"/>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Board Leadership Structure</w:t>
              </w:r>
            </w:hyperlink>
          </w:p>
        </w:tc>
        <w:tc>
          <w:tcPr>
            <w:tcW w:w="5480" w:type="dxa"/>
            <w:vAlign w:val="bottom"/>
            <w:tcBorders>
              <w:left w:val="single" w:sz="8" w:color="CCEEFF"/>
            </w:tcBorders>
            <w:gridSpan w:val="13"/>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Executive Sessions</w:t>
              </w:r>
            </w:hyperlink>
          </w:p>
        </w:tc>
        <w:tc>
          <w:tcPr>
            <w:tcW w:w="5480" w:type="dxa"/>
            <w:vAlign w:val="bottom"/>
            <w:gridSpan w:val="13"/>
          </w:tcPr>
          <w:p>
            <w:pPr>
              <w:spacing w:after="0"/>
              <w:rPr>
                <w:sz w:val="18"/>
                <w:szCs w:val="18"/>
                <w:color w:val="auto"/>
              </w:rPr>
            </w:pPr>
          </w:p>
        </w:tc>
        <w:tc>
          <w:tcPr>
            <w:tcW w:w="1820" w:type="dxa"/>
            <w:vAlign w:val="bottom"/>
            <w:gridSpan w:val="4"/>
          </w:tcPr>
          <w:p>
            <w:pPr>
              <w:jc w:val="right"/>
              <w:ind w:right="980"/>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720" w:type="dxa"/>
            <w:vAlign w:val="bottom"/>
            <w:gridSpan w:val="24"/>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Director Nominations</w:t>
              </w:r>
            </w:hyperlink>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CCEEFF"/>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20" w:type="dxa"/>
            <w:vAlign w:val="bottom"/>
            <w:gridSpan w:val="2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 Succession</w:t>
              </w:r>
            </w:hyperlink>
          </w:p>
        </w:tc>
        <w:tc>
          <w:tcPr>
            <w:tcW w:w="1820" w:type="dxa"/>
            <w:vAlign w:val="bottom"/>
            <w:gridSpan w:val="4"/>
          </w:tcPr>
          <w:p>
            <w:pPr>
              <w:jc w:val="right"/>
              <w:ind w:right="980"/>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80" w:type="dxa"/>
            <w:vAlign w:val="bottom"/>
            <w:tcBorders>
              <w:right w:val="single" w:sz="8" w:color="CCEEFF"/>
            </w:tcBorders>
            <w:gridSpan w:val="14"/>
            <w:shd w:val="clear" w:color="auto" w:fill="CCEEFF"/>
          </w:tcPr>
          <w:p>
            <w:pPr>
              <w:spacing w:after="0"/>
              <w:rPr>
                <w:rFonts w:ascii="Arial" w:cs="Arial" w:eastAsia="Arial" w:hAnsi="Arial"/>
                <w:sz w:val="18"/>
                <w:szCs w:val="18"/>
                <w:color w:val="0000EE"/>
                <w:w w:val="97"/>
              </w:rPr>
            </w:pPr>
            <w:hyperlink w:anchor="page24">
              <w:r>
                <w:rPr>
                  <w:rFonts w:ascii="Arial" w:cs="Arial" w:eastAsia="Arial" w:hAnsi="Arial"/>
                  <w:sz w:val="18"/>
                  <w:szCs w:val="18"/>
                  <w:color w:val="0000EE"/>
                  <w:w w:val="97"/>
                </w:rPr>
                <w:t>The Board’s Role in Risk Oversight</w:t>
              </w:r>
            </w:hyperlink>
          </w:p>
        </w:tc>
        <w:tc>
          <w:tcPr>
            <w:tcW w:w="4940" w:type="dxa"/>
            <w:vAlign w:val="bottom"/>
            <w:gridSpan w:val="10"/>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20" w:type="dxa"/>
            <w:vAlign w:val="bottom"/>
            <w:gridSpan w:val="2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Compensation Committee Interlocks and Insider Participation</w:t>
              </w:r>
            </w:hyperlink>
          </w:p>
        </w:tc>
        <w:tc>
          <w:tcPr>
            <w:tcW w:w="1820" w:type="dxa"/>
            <w:vAlign w:val="bottom"/>
            <w:gridSpan w:val="4"/>
          </w:tcPr>
          <w:p>
            <w:pPr>
              <w:jc w:val="right"/>
              <w:ind w:right="980"/>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5"/>
            <w:shd w:val="clear" w:color="auto" w:fill="CCEEFF"/>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Code of Conduct</w:t>
              </w:r>
            </w:hyperlink>
          </w:p>
        </w:tc>
        <w:tc>
          <w:tcPr>
            <w:tcW w:w="3500" w:type="dxa"/>
            <w:vAlign w:val="bottom"/>
            <w:gridSpan w:val="16"/>
            <w:shd w:val="clear" w:color="auto" w:fill="CCEEFF"/>
          </w:tcPr>
          <w:p>
            <w:pPr>
              <w:spacing w:after="0"/>
              <w:rPr>
                <w:sz w:val="18"/>
                <w:szCs w:val="18"/>
                <w:color w:val="auto"/>
              </w:rPr>
            </w:pPr>
          </w:p>
        </w:tc>
        <w:tc>
          <w:tcPr>
            <w:tcW w:w="2880" w:type="dxa"/>
            <w:vAlign w:val="bottom"/>
            <w:tcBorders>
              <w:left w:val="single" w:sz="8" w:color="CCEEFF"/>
            </w:tcBorders>
            <w:gridSpan w:val="3"/>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20" w:type="dxa"/>
            <w:vAlign w:val="bottom"/>
            <w:gridSpan w:val="2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Policy Against Pledging and Hedging Economic Risk of Owning the Company’s Securities</w:t>
              </w:r>
            </w:hyperlink>
          </w:p>
        </w:tc>
        <w:tc>
          <w:tcPr>
            <w:tcW w:w="1820" w:type="dxa"/>
            <w:vAlign w:val="bottom"/>
            <w:gridSpan w:val="4"/>
          </w:tcPr>
          <w:p>
            <w:pPr>
              <w:jc w:val="right"/>
              <w:ind w:right="980"/>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tcBorders>
              <w:lef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80" w:type="dxa"/>
            <w:vAlign w:val="bottom"/>
            <w:gridSpan w:val="23"/>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Reporting of Ethical Concerns</w:t>
              </w:r>
            </w:hyperlink>
          </w:p>
        </w:tc>
        <w:tc>
          <w:tcPr>
            <w:tcW w:w="6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11"/>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Stock Ownership Guidelines</w:t>
              </w:r>
            </w:hyperlink>
          </w:p>
        </w:tc>
        <w:tc>
          <w:tcPr>
            <w:tcW w:w="120" w:type="dxa"/>
            <w:vAlign w:val="bottom"/>
          </w:tcPr>
          <w:p>
            <w:pPr>
              <w:spacing w:after="0"/>
              <w:rPr>
                <w:sz w:val="18"/>
                <w:szCs w:val="18"/>
                <w:color w:val="auto"/>
              </w:rPr>
            </w:pPr>
          </w:p>
        </w:tc>
        <w:tc>
          <w:tcPr>
            <w:tcW w:w="5360" w:type="dxa"/>
            <w:vAlign w:val="bottom"/>
            <w:gridSpan w:val="12"/>
          </w:tcPr>
          <w:p>
            <w:pPr>
              <w:spacing w:after="0"/>
              <w:rPr>
                <w:sz w:val="18"/>
                <w:szCs w:val="18"/>
                <w:color w:val="auto"/>
              </w:rPr>
            </w:pPr>
          </w:p>
        </w:tc>
        <w:tc>
          <w:tcPr>
            <w:tcW w:w="1820" w:type="dxa"/>
            <w:vAlign w:val="bottom"/>
            <w:gridSpan w:val="4"/>
          </w:tcPr>
          <w:p>
            <w:pPr>
              <w:jc w:val="right"/>
              <w:ind w:right="980"/>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tcBorders>
              <w:right w:val="single" w:sz="8" w:color="CCEEFF"/>
            </w:tcBorders>
            <w:gridSpan w:val="9"/>
            <w:shd w:val="clear" w:color="auto" w:fill="CCEEFF"/>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The Company’s Website</w:t>
              </w:r>
            </w:hyperlink>
          </w:p>
        </w:tc>
        <w:tc>
          <w:tcPr>
            <w:tcW w:w="240" w:type="dxa"/>
            <w:vAlign w:val="bottom"/>
            <w:tcBorders>
              <w:right w:val="single" w:sz="8" w:color="CCEEFF"/>
            </w:tcBorders>
            <w:gridSpan w:val="2"/>
            <w:shd w:val="clear" w:color="auto" w:fill="CCEEFF"/>
          </w:tcPr>
          <w:p>
            <w:pPr>
              <w:spacing w:after="0"/>
              <w:rPr>
                <w:sz w:val="18"/>
                <w:szCs w:val="18"/>
                <w:color w:val="auto"/>
              </w:rPr>
            </w:pPr>
          </w:p>
        </w:tc>
        <w:tc>
          <w:tcPr>
            <w:tcW w:w="5480" w:type="dxa"/>
            <w:vAlign w:val="bottom"/>
            <w:tcBorders>
              <w:left w:val="single" w:sz="8" w:color="CCEEFF"/>
            </w:tcBorders>
            <w:gridSpan w:val="13"/>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CCEEFF"/>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9"/>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Director Communications</w:t>
              </w:r>
            </w:hyperlink>
          </w:p>
        </w:tc>
        <w:tc>
          <w:tcPr>
            <w:tcW w:w="5720" w:type="dxa"/>
            <w:vAlign w:val="bottom"/>
            <w:gridSpan w:val="15"/>
          </w:tcPr>
          <w:p>
            <w:pPr>
              <w:spacing w:after="0"/>
              <w:rPr>
                <w:sz w:val="18"/>
                <w:szCs w:val="18"/>
                <w:color w:val="auto"/>
              </w:rPr>
            </w:pPr>
          </w:p>
        </w:tc>
        <w:tc>
          <w:tcPr>
            <w:tcW w:w="1820" w:type="dxa"/>
            <w:vAlign w:val="bottom"/>
            <w:gridSpan w:val="4"/>
          </w:tcPr>
          <w:p>
            <w:pPr>
              <w:jc w:val="right"/>
              <w:ind w:right="980"/>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00" w:type="dxa"/>
            <w:vAlign w:val="bottom"/>
            <w:gridSpan w:val="15"/>
            <w:shd w:val="clear" w:color="auto" w:fill="CCEEFF"/>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Environmental, Social and Governance</w:t>
              </w:r>
            </w:hyperlink>
          </w:p>
        </w:tc>
        <w:tc>
          <w:tcPr>
            <w:tcW w:w="4620" w:type="dxa"/>
            <w:vAlign w:val="bottom"/>
            <w:gridSpan w:val="9"/>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365"/>
        </w:trPr>
        <w:tc>
          <w:tcPr>
            <w:tcW w:w="1000" w:type="dxa"/>
            <w:vAlign w:val="bottom"/>
          </w:tcPr>
          <w:p>
            <w:pPr>
              <w:spacing w:after="0"/>
              <w:rPr>
                <w:sz w:val="24"/>
                <w:szCs w:val="24"/>
                <w:color w:val="auto"/>
              </w:rPr>
            </w:pPr>
          </w:p>
        </w:tc>
        <w:tc>
          <w:tcPr>
            <w:tcW w:w="7900" w:type="dxa"/>
            <w:vAlign w:val="bottom"/>
            <w:gridSpan w:val="25"/>
          </w:tcPr>
          <w:p>
            <w:pPr>
              <w:spacing w:after="0"/>
              <w:rPr>
                <w:rFonts w:ascii="Arial" w:cs="Arial" w:eastAsia="Arial" w:hAnsi="Arial"/>
                <w:sz w:val="22"/>
                <w:szCs w:val="22"/>
                <w:b w:val="1"/>
                <w:bCs w:val="1"/>
                <w:color w:val="56C271"/>
              </w:rPr>
            </w:pPr>
            <w:hyperlink w:anchor="page29">
              <w:r>
                <w:rPr>
                  <w:rFonts w:ascii="Arial" w:cs="Arial" w:eastAsia="Arial" w:hAnsi="Arial"/>
                  <w:sz w:val="22"/>
                  <w:szCs w:val="22"/>
                  <w:b w:val="1"/>
                  <w:bCs w:val="1"/>
                  <w:color w:val="56C271"/>
                </w:rPr>
                <w:t>The Board of Directors and its Committees</w:t>
              </w:r>
            </w:hyperlink>
          </w:p>
        </w:tc>
        <w:tc>
          <w:tcPr>
            <w:tcW w:w="1820" w:type="dxa"/>
            <w:vAlign w:val="bottom"/>
            <w:gridSpan w:val="4"/>
          </w:tcPr>
          <w:p>
            <w:pPr>
              <w:jc w:val="right"/>
              <w:ind w:right="980"/>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r>
      <w:tr>
        <w:trPr>
          <w:trHeight w:val="34"/>
        </w:trPr>
        <w:tc>
          <w:tcPr>
            <w:tcW w:w="1000" w:type="dxa"/>
            <w:vAlign w:val="bottom"/>
          </w:tcPr>
          <w:p>
            <w:pPr>
              <w:spacing w:after="0"/>
              <w:rPr>
                <w:sz w:val="2"/>
                <w:szCs w:val="2"/>
                <w:color w:val="auto"/>
              </w:rPr>
            </w:pPr>
          </w:p>
        </w:tc>
        <w:tc>
          <w:tcPr>
            <w:tcW w:w="180" w:type="dxa"/>
            <w:vAlign w:val="bottom"/>
            <w:tcBorders>
              <w:top w:val="single" w:sz="8" w:color="56C271"/>
              <w:bottom w:val="single" w:sz="8" w:color="56C271"/>
            </w:tcBorders>
          </w:tcPr>
          <w:p>
            <w:pPr>
              <w:spacing w:after="0"/>
              <w:rPr>
                <w:sz w:val="2"/>
                <w:szCs w:val="2"/>
                <w:color w:val="auto"/>
              </w:rPr>
            </w:pPr>
          </w:p>
        </w:tc>
        <w:tc>
          <w:tcPr>
            <w:tcW w:w="64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26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0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280" w:type="dxa"/>
            <w:vAlign w:val="bottom"/>
            <w:tcBorders>
              <w:top w:val="single" w:sz="8" w:color="56C271"/>
              <w:bottom w:val="single" w:sz="8" w:color="56C271"/>
            </w:tcBorders>
          </w:tcPr>
          <w:p>
            <w:pPr>
              <w:spacing w:after="0"/>
              <w:rPr>
                <w:sz w:val="2"/>
                <w:szCs w:val="2"/>
                <w:color w:val="auto"/>
              </w:rPr>
            </w:pPr>
          </w:p>
        </w:tc>
        <w:tc>
          <w:tcPr>
            <w:tcW w:w="32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60" w:type="dxa"/>
            <w:vAlign w:val="bottom"/>
            <w:tcBorders>
              <w:top w:val="single" w:sz="8" w:color="56C271"/>
              <w:bottom w:val="single" w:sz="8" w:color="56C271"/>
            </w:tcBorders>
          </w:tcPr>
          <w:p>
            <w:pPr>
              <w:spacing w:after="0"/>
              <w:rPr>
                <w:sz w:val="2"/>
                <w:szCs w:val="2"/>
                <w:color w:val="auto"/>
              </w:rPr>
            </w:pPr>
          </w:p>
        </w:tc>
        <w:tc>
          <w:tcPr>
            <w:tcW w:w="240" w:type="dxa"/>
            <w:vAlign w:val="bottom"/>
            <w:tcBorders>
              <w:top w:val="single" w:sz="8" w:color="56C271"/>
              <w:bottom w:val="single" w:sz="8" w:color="56C271"/>
            </w:tcBorders>
          </w:tcPr>
          <w:p>
            <w:pPr>
              <w:spacing w:after="0"/>
              <w:rPr>
                <w:sz w:val="2"/>
                <w:szCs w:val="2"/>
                <w:color w:val="auto"/>
              </w:rPr>
            </w:pPr>
          </w:p>
        </w:tc>
        <w:tc>
          <w:tcPr>
            <w:tcW w:w="560" w:type="dxa"/>
            <w:vAlign w:val="bottom"/>
            <w:tcBorders>
              <w:top w:val="single" w:sz="8" w:color="56C271"/>
              <w:bottom w:val="single" w:sz="8" w:color="56C271"/>
            </w:tcBorders>
          </w:tcPr>
          <w:p>
            <w:pPr>
              <w:spacing w:after="0"/>
              <w:rPr>
                <w:sz w:val="2"/>
                <w:szCs w:val="2"/>
                <w:color w:val="auto"/>
              </w:rPr>
            </w:pPr>
          </w:p>
        </w:tc>
        <w:tc>
          <w:tcPr>
            <w:tcW w:w="340" w:type="dxa"/>
            <w:vAlign w:val="bottom"/>
            <w:tcBorders>
              <w:bottom w:val="single" w:sz="8" w:color="56C271"/>
            </w:tcBorders>
          </w:tcPr>
          <w:p>
            <w:pPr>
              <w:spacing w:after="0"/>
              <w:rPr>
                <w:sz w:val="2"/>
                <w:szCs w:val="2"/>
                <w:color w:val="auto"/>
              </w:rPr>
            </w:pPr>
          </w:p>
        </w:tc>
        <w:tc>
          <w:tcPr>
            <w:tcW w:w="400" w:type="dxa"/>
            <w:vAlign w:val="bottom"/>
            <w:tcBorders>
              <w:bottom w:val="single" w:sz="8" w:color="56C271"/>
            </w:tcBorders>
          </w:tcPr>
          <w:p>
            <w:pPr>
              <w:spacing w:after="0"/>
              <w:rPr>
                <w:sz w:val="2"/>
                <w:szCs w:val="2"/>
                <w:color w:val="auto"/>
              </w:rPr>
            </w:pPr>
          </w:p>
        </w:tc>
        <w:tc>
          <w:tcPr>
            <w:tcW w:w="168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00" w:type="dxa"/>
            <w:vAlign w:val="bottom"/>
            <w:tcBorders>
              <w:right w:val="single" w:sz="8" w:color="CCEEFF"/>
            </w:tcBorders>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5"/>
            <w:shd w:val="clear" w:color="auto" w:fill="CCEEFF"/>
          </w:tcPr>
          <w:p>
            <w:pPr>
              <w:spacing w:after="0"/>
              <w:rPr>
                <w:rFonts w:ascii="Arial" w:cs="Arial" w:eastAsia="Arial" w:hAnsi="Arial"/>
                <w:sz w:val="18"/>
                <w:szCs w:val="18"/>
                <w:color w:val="0000EE"/>
                <w:w w:val="97"/>
              </w:rPr>
            </w:pPr>
            <w:hyperlink w:anchor="page30">
              <w:r>
                <w:rPr>
                  <w:rFonts w:ascii="Arial" w:cs="Arial" w:eastAsia="Arial" w:hAnsi="Arial"/>
                  <w:sz w:val="18"/>
                  <w:szCs w:val="18"/>
                  <w:color w:val="0000EE"/>
                  <w:w w:val="97"/>
                </w:rPr>
                <w:t>Audit Committee</w:t>
              </w:r>
            </w:hyperlink>
          </w:p>
        </w:tc>
        <w:tc>
          <w:tcPr>
            <w:tcW w:w="6380" w:type="dxa"/>
            <w:vAlign w:val="bottom"/>
            <w:gridSpan w:val="19"/>
            <w:shd w:val="clear" w:color="auto" w:fill="CCEEFF"/>
          </w:tcPr>
          <w:p>
            <w:pPr>
              <w:spacing w:after="0"/>
              <w:rPr>
                <w:sz w:val="21"/>
                <w:szCs w:val="21"/>
                <w:color w:val="auto"/>
              </w:rPr>
            </w:pPr>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980" w:type="dxa"/>
            <w:vAlign w:val="bottom"/>
          </w:tcPr>
          <w:p>
            <w:pPr>
              <w:spacing w:after="0"/>
              <w:rPr>
                <w:sz w:val="21"/>
                <w:szCs w:val="21"/>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20" w:type="dxa"/>
            <w:vAlign w:val="bottom"/>
            <w:gridSpan w:val="2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Compensation and Leadership Development Committee</w:t>
              </w:r>
            </w:hyperlink>
          </w:p>
        </w:tc>
        <w:tc>
          <w:tcPr>
            <w:tcW w:w="1820" w:type="dxa"/>
            <w:vAlign w:val="bottom"/>
            <w:gridSpan w:val="4"/>
          </w:tcPr>
          <w:p>
            <w:pPr>
              <w:jc w:val="right"/>
              <w:ind w:right="980"/>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40" w:type="dxa"/>
            <w:vAlign w:val="bottom"/>
            <w:gridSpan w:val="20"/>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Corporate Governance Committee</w:t>
              </w:r>
            </w:hyperlink>
          </w:p>
        </w:tc>
        <w:tc>
          <w:tcPr>
            <w:tcW w:w="3280" w:type="dxa"/>
            <w:vAlign w:val="bottom"/>
            <w:gridSpan w:val="4"/>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Finance Committee</w:t>
              </w:r>
            </w:hyperlink>
          </w:p>
        </w:tc>
        <w:tc>
          <w:tcPr>
            <w:tcW w:w="4940" w:type="dxa"/>
            <w:vAlign w:val="bottom"/>
            <w:gridSpan w:val="10"/>
          </w:tcPr>
          <w:p>
            <w:pPr>
              <w:spacing w:after="0"/>
              <w:rPr>
                <w:sz w:val="18"/>
                <w:szCs w:val="18"/>
                <w:color w:val="auto"/>
              </w:rPr>
            </w:pPr>
          </w:p>
        </w:tc>
        <w:tc>
          <w:tcPr>
            <w:tcW w:w="1820" w:type="dxa"/>
            <w:vAlign w:val="bottom"/>
            <w:gridSpan w:val="4"/>
          </w:tcPr>
          <w:p>
            <w:pPr>
              <w:jc w:val="right"/>
              <w:ind w:right="980"/>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720" w:type="dxa"/>
            <w:vAlign w:val="bottom"/>
            <w:gridSpan w:val="24"/>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Executive Committee</w:t>
              </w:r>
            </w:hyperlink>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378"/>
        </w:trPr>
        <w:tc>
          <w:tcPr>
            <w:tcW w:w="1000" w:type="dxa"/>
            <w:vAlign w:val="bottom"/>
          </w:tcPr>
          <w:p>
            <w:pPr>
              <w:spacing w:after="0"/>
              <w:rPr>
                <w:sz w:val="24"/>
                <w:szCs w:val="24"/>
                <w:color w:val="auto"/>
              </w:rPr>
            </w:pPr>
          </w:p>
        </w:tc>
        <w:tc>
          <w:tcPr>
            <w:tcW w:w="7900" w:type="dxa"/>
            <w:vAlign w:val="bottom"/>
            <w:gridSpan w:val="25"/>
          </w:tcPr>
          <w:p>
            <w:pPr>
              <w:spacing w:after="0"/>
              <w:rPr>
                <w:rFonts w:ascii="Arial" w:cs="Arial" w:eastAsia="Arial" w:hAnsi="Arial"/>
                <w:sz w:val="22"/>
                <w:szCs w:val="22"/>
                <w:b w:val="1"/>
                <w:bCs w:val="1"/>
                <w:color w:val="56C271"/>
              </w:rPr>
            </w:pPr>
            <w:hyperlink w:anchor="page34">
              <w:r>
                <w:rPr>
                  <w:rFonts w:ascii="Arial" w:cs="Arial" w:eastAsia="Arial" w:hAnsi="Arial"/>
                  <w:sz w:val="22"/>
                  <w:szCs w:val="22"/>
                  <w:b w:val="1"/>
                  <w:bCs w:val="1"/>
                  <w:color w:val="56C271"/>
                </w:rPr>
                <w:t>Director Compensation</w:t>
              </w:r>
            </w:hyperlink>
          </w:p>
        </w:tc>
        <w:tc>
          <w:tcPr>
            <w:tcW w:w="1820" w:type="dxa"/>
            <w:vAlign w:val="bottom"/>
            <w:gridSpan w:val="4"/>
          </w:tcPr>
          <w:p>
            <w:pPr>
              <w:jc w:val="right"/>
              <w:ind w:right="980"/>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34"/>
        </w:trPr>
        <w:tc>
          <w:tcPr>
            <w:tcW w:w="1000" w:type="dxa"/>
            <w:vAlign w:val="bottom"/>
          </w:tcPr>
          <w:p>
            <w:pPr>
              <w:spacing w:after="0"/>
              <w:rPr>
                <w:sz w:val="2"/>
                <w:szCs w:val="2"/>
                <w:color w:val="auto"/>
              </w:rPr>
            </w:pPr>
          </w:p>
        </w:tc>
        <w:tc>
          <w:tcPr>
            <w:tcW w:w="180" w:type="dxa"/>
            <w:vAlign w:val="bottom"/>
            <w:tcBorders>
              <w:top w:val="single" w:sz="8" w:color="56C271"/>
              <w:bottom w:val="single" w:sz="8" w:color="56C271"/>
            </w:tcBorders>
          </w:tcPr>
          <w:p>
            <w:pPr>
              <w:spacing w:after="0"/>
              <w:rPr>
                <w:sz w:val="2"/>
                <w:szCs w:val="2"/>
                <w:color w:val="auto"/>
              </w:rPr>
            </w:pPr>
          </w:p>
        </w:tc>
        <w:tc>
          <w:tcPr>
            <w:tcW w:w="64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26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0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12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280" w:type="dxa"/>
            <w:vAlign w:val="bottom"/>
            <w:tcBorders>
              <w:bottom w:val="single" w:sz="8" w:color="56C271"/>
            </w:tcBorders>
          </w:tcPr>
          <w:p>
            <w:pPr>
              <w:spacing w:after="0"/>
              <w:rPr>
                <w:sz w:val="2"/>
                <w:szCs w:val="2"/>
                <w:color w:val="auto"/>
              </w:rPr>
            </w:pPr>
          </w:p>
        </w:tc>
        <w:tc>
          <w:tcPr>
            <w:tcW w:w="32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60" w:type="dxa"/>
            <w:vAlign w:val="bottom"/>
            <w:tcBorders>
              <w:bottom w:val="single" w:sz="8" w:color="56C271"/>
            </w:tcBorders>
          </w:tcPr>
          <w:p>
            <w:pPr>
              <w:spacing w:after="0"/>
              <w:rPr>
                <w:sz w:val="2"/>
                <w:szCs w:val="2"/>
                <w:color w:val="auto"/>
              </w:rPr>
            </w:pPr>
          </w:p>
        </w:tc>
        <w:tc>
          <w:tcPr>
            <w:tcW w:w="24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340" w:type="dxa"/>
            <w:vAlign w:val="bottom"/>
            <w:tcBorders>
              <w:bottom w:val="single" w:sz="8" w:color="56C271"/>
            </w:tcBorders>
          </w:tcPr>
          <w:p>
            <w:pPr>
              <w:spacing w:after="0"/>
              <w:rPr>
                <w:sz w:val="2"/>
                <w:szCs w:val="2"/>
                <w:color w:val="auto"/>
              </w:rPr>
            </w:pPr>
          </w:p>
        </w:tc>
        <w:tc>
          <w:tcPr>
            <w:tcW w:w="400" w:type="dxa"/>
            <w:vAlign w:val="bottom"/>
            <w:tcBorders>
              <w:bottom w:val="single" w:sz="8" w:color="56C271"/>
            </w:tcBorders>
          </w:tcPr>
          <w:p>
            <w:pPr>
              <w:spacing w:after="0"/>
              <w:rPr>
                <w:sz w:val="2"/>
                <w:szCs w:val="2"/>
                <w:color w:val="auto"/>
              </w:rPr>
            </w:pPr>
          </w:p>
        </w:tc>
        <w:tc>
          <w:tcPr>
            <w:tcW w:w="168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1000" w:type="dxa"/>
            <w:vAlign w:val="bottom"/>
            <w:tcBorders>
              <w:right w:val="single" w:sz="8" w:color="CCEEFF"/>
            </w:tcBorders>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720" w:type="dxa"/>
            <w:vAlign w:val="bottom"/>
            <w:gridSpan w:val="24"/>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Process for Reviewing Non-Employee Director Compensation</w:t>
              </w:r>
            </w:hyperlink>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980" w:type="dxa"/>
            <w:vAlign w:val="bottom"/>
          </w:tcPr>
          <w:p>
            <w:pPr>
              <w:spacing w:after="0"/>
              <w:rPr>
                <w:sz w:val="22"/>
                <w:szCs w:val="22"/>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80" w:type="dxa"/>
            <w:vAlign w:val="bottom"/>
            <w:tcBorders>
              <w:left w:val="single" w:sz="8" w:color="0000EE"/>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11"/>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Deferred Compensation Plan</w:t>
              </w:r>
            </w:hyperlink>
          </w:p>
        </w:tc>
        <w:tc>
          <w:tcPr>
            <w:tcW w:w="2600" w:type="dxa"/>
            <w:vAlign w:val="bottom"/>
            <w:gridSpan w:val="10"/>
          </w:tcPr>
          <w:p>
            <w:pPr>
              <w:spacing w:after="0"/>
              <w:rPr>
                <w:sz w:val="19"/>
                <w:szCs w:val="19"/>
                <w:color w:val="auto"/>
              </w:rPr>
            </w:pPr>
          </w:p>
        </w:tc>
        <w:tc>
          <w:tcPr>
            <w:tcW w:w="2880" w:type="dxa"/>
            <w:vAlign w:val="bottom"/>
            <w:gridSpan w:val="3"/>
          </w:tcPr>
          <w:p>
            <w:pPr>
              <w:spacing w:after="0"/>
              <w:rPr>
                <w:sz w:val="19"/>
                <w:szCs w:val="19"/>
                <w:color w:val="auto"/>
              </w:rPr>
            </w:pPr>
          </w:p>
        </w:tc>
        <w:tc>
          <w:tcPr>
            <w:tcW w:w="1820" w:type="dxa"/>
            <w:vAlign w:val="bottom"/>
            <w:gridSpan w:val="4"/>
          </w:tcPr>
          <w:p>
            <w:pPr>
              <w:jc w:val="right"/>
              <w:ind w:right="980"/>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1000" w:type="dxa"/>
            <w:vAlign w:val="bottom"/>
            <w:tcBorders>
              <w:righ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D&amp;O Insurance</w:t>
              </w:r>
            </w:hyperlink>
          </w:p>
        </w:tc>
        <w:tc>
          <w:tcPr>
            <w:tcW w:w="1020" w:type="dxa"/>
            <w:vAlign w:val="bottom"/>
            <w:tcBorders>
              <w:right w:val="single" w:sz="8" w:color="CCEEFF"/>
            </w:tcBorders>
            <w:gridSpan w:val="7"/>
            <w:shd w:val="clear" w:color="auto" w:fill="CCEEFF"/>
          </w:tcPr>
          <w:p>
            <w:pPr>
              <w:spacing w:after="0"/>
              <w:rPr>
                <w:sz w:val="19"/>
                <w:szCs w:val="19"/>
                <w:color w:val="auto"/>
              </w:rPr>
            </w:pPr>
          </w:p>
        </w:tc>
        <w:tc>
          <w:tcPr>
            <w:tcW w:w="5480" w:type="dxa"/>
            <w:vAlign w:val="bottom"/>
            <w:tcBorders>
              <w:left w:val="single" w:sz="8" w:color="CCEEFF"/>
            </w:tcBorders>
            <w:gridSpan w:val="13"/>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980" w:type="dxa"/>
            <w:vAlign w:val="bottom"/>
          </w:tcPr>
          <w:p>
            <w:pPr>
              <w:spacing w:after="0"/>
              <w:rPr>
                <w:sz w:val="19"/>
                <w:szCs w:val="19"/>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8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378"/>
        </w:trPr>
        <w:tc>
          <w:tcPr>
            <w:tcW w:w="1000" w:type="dxa"/>
            <w:vAlign w:val="bottom"/>
          </w:tcPr>
          <w:p>
            <w:pPr>
              <w:spacing w:after="0"/>
              <w:rPr>
                <w:sz w:val="24"/>
                <w:szCs w:val="24"/>
                <w:color w:val="auto"/>
              </w:rPr>
            </w:pPr>
          </w:p>
        </w:tc>
        <w:tc>
          <w:tcPr>
            <w:tcW w:w="7900" w:type="dxa"/>
            <w:vAlign w:val="bottom"/>
            <w:gridSpan w:val="25"/>
          </w:tcPr>
          <w:p>
            <w:pPr>
              <w:spacing w:after="0"/>
              <w:rPr>
                <w:rFonts w:ascii="Arial" w:cs="Arial" w:eastAsia="Arial" w:hAnsi="Arial"/>
                <w:sz w:val="22"/>
                <w:szCs w:val="22"/>
                <w:b w:val="1"/>
                <w:bCs w:val="1"/>
                <w:color w:val="56C271"/>
              </w:rPr>
            </w:pPr>
            <w:hyperlink w:anchor="page37">
              <w:r>
                <w:rPr>
                  <w:rFonts w:ascii="Arial" w:cs="Arial" w:eastAsia="Arial" w:hAnsi="Arial"/>
                  <w:sz w:val="22"/>
                  <w:szCs w:val="22"/>
                  <w:b w:val="1"/>
                  <w:bCs w:val="1"/>
                  <w:color w:val="56C271"/>
                </w:rPr>
                <w:t>Executive Officers of the Company</w:t>
              </w:r>
            </w:hyperlink>
          </w:p>
        </w:tc>
        <w:tc>
          <w:tcPr>
            <w:tcW w:w="1820" w:type="dxa"/>
            <w:vAlign w:val="bottom"/>
            <w:gridSpan w:val="4"/>
          </w:tcPr>
          <w:p>
            <w:pPr>
              <w:jc w:val="right"/>
              <w:ind w:right="980"/>
              <w:spacing w:after="0"/>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r>
      <w:tr>
        <w:trPr>
          <w:trHeight w:val="34"/>
        </w:trPr>
        <w:tc>
          <w:tcPr>
            <w:tcW w:w="1000" w:type="dxa"/>
            <w:vAlign w:val="bottom"/>
          </w:tcPr>
          <w:p>
            <w:pPr>
              <w:spacing w:after="0"/>
              <w:rPr>
                <w:sz w:val="2"/>
                <w:szCs w:val="2"/>
                <w:color w:val="auto"/>
              </w:rPr>
            </w:pPr>
          </w:p>
        </w:tc>
        <w:tc>
          <w:tcPr>
            <w:tcW w:w="180" w:type="dxa"/>
            <w:vAlign w:val="bottom"/>
            <w:tcBorders>
              <w:top w:val="single" w:sz="8" w:color="56C271"/>
              <w:bottom w:val="single" w:sz="8" w:color="56C271"/>
            </w:tcBorders>
          </w:tcPr>
          <w:p>
            <w:pPr>
              <w:spacing w:after="0"/>
              <w:rPr>
                <w:sz w:val="2"/>
                <w:szCs w:val="2"/>
                <w:color w:val="auto"/>
              </w:rPr>
            </w:pPr>
          </w:p>
        </w:tc>
        <w:tc>
          <w:tcPr>
            <w:tcW w:w="64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26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200" w:type="dxa"/>
            <w:vAlign w:val="bottom"/>
            <w:tcBorders>
              <w:top w:val="single" w:sz="8" w:color="56C271"/>
              <w:bottom w:val="single" w:sz="8" w:color="56C271"/>
            </w:tcBorders>
          </w:tcPr>
          <w:p>
            <w:pPr>
              <w:spacing w:after="0"/>
              <w:rPr>
                <w:sz w:val="2"/>
                <w:szCs w:val="2"/>
                <w:color w:val="auto"/>
              </w:rPr>
            </w:pPr>
          </w:p>
        </w:tc>
        <w:tc>
          <w:tcPr>
            <w:tcW w:w="10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12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280" w:type="dxa"/>
            <w:vAlign w:val="bottom"/>
            <w:tcBorders>
              <w:top w:val="single" w:sz="8" w:color="56C271"/>
              <w:bottom w:val="single" w:sz="8" w:color="56C271"/>
            </w:tcBorders>
          </w:tcPr>
          <w:p>
            <w:pPr>
              <w:spacing w:after="0"/>
              <w:rPr>
                <w:sz w:val="2"/>
                <w:szCs w:val="2"/>
                <w:color w:val="auto"/>
              </w:rPr>
            </w:pPr>
          </w:p>
        </w:tc>
        <w:tc>
          <w:tcPr>
            <w:tcW w:w="320" w:type="dxa"/>
            <w:vAlign w:val="bottom"/>
            <w:tcBorders>
              <w:top w:val="single" w:sz="8" w:color="56C271"/>
              <w:bottom w:val="single" w:sz="8" w:color="56C271"/>
            </w:tcBorders>
          </w:tcPr>
          <w:p>
            <w:pPr>
              <w:spacing w:after="0"/>
              <w:rPr>
                <w:sz w:val="2"/>
                <w:szCs w:val="2"/>
                <w:color w:val="auto"/>
              </w:rPr>
            </w:pPr>
          </w:p>
        </w:tc>
        <w:tc>
          <w:tcPr>
            <w:tcW w:w="140" w:type="dxa"/>
            <w:vAlign w:val="bottom"/>
            <w:tcBorders>
              <w:top w:val="single" w:sz="8" w:color="56C271"/>
              <w:bottom w:val="single" w:sz="8" w:color="56C271"/>
            </w:tcBorders>
          </w:tcPr>
          <w:p>
            <w:pPr>
              <w:spacing w:after="0"/>
              <w:rPr>
                <w:sz w:val="2"/>
                <w:szCs w:val="2"/>
                <w:color w:val="auto"/>
              </w:rPr>
            </w:pPr>
          </w:p>
        </w:tc>
        <w:tc>
          <w:tcPr>
            <w:tcW w:w="60" w:type="dxa"/>
            <w:vAlign w:val="bottom"/>
            <w:tcBorders>
              <w:top w:val="single" w:sz="8" w:color="56C271"/>
              <w:bottom w:val="single" w:sz="8" w:color="56C271"/>
            </w:tcBorders>
          </w:tcPr>
          <w:p>
            <w:pPr>
              <w:spacing w:after="0"/>
              <w:rPr>
                <w:sz w:val="2"/>
                <w:szCs w:val="2"/>
                <w:color w:val="auto"/>
              </w:rPr>
            </w:pPr>
          </w:p>
        </w:tc>
        <w:tc>
          <w:tcPr>
            <w:tcW w:w="24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340" w:type="dxa"/>
            <w:vAlign w:val="bottom"/>
            <w:tcBorders>
              <w:bottom w:val="single" w:sz="8" w:color="56C271"/>
            </w:tcBorders>
          </w:tcPr>
          <w:p>
            <w:pPr>
              <w:spacing w:after="0"/>
              <w:rPr>
                <w:sz w:val="2"/>
                <w:szCs w:val="2"/>
                <w:color w:val="auto"/>
              </w:rPr>
            </w:pPr>
          </w:p>
        </w:tc>
        <w:tc>
          <w:tcPr>
            <w:tcW w:w="400" w:type="dxa"/>
            <w:vAlign w:val="bottom"/>
            <w:tcBorders>
              <w:bottom w:val="single" w:sz="8" w:color="56C271"/>
            </w:tcBorders>
          </w:tcPr>
          <w:p>
            <w:pPr>
              <w:spacing w:after="0"/>
              <w:rPr>
                <w:sz w:val="2"/>
                <w:szCs w:val="2"/>
                <w:color w:val="auto"/>
              </w:rPr>
            </w:pPr>
          </w:p>
        </w:tc>
        <w:tc>
          <w:tcPr>
            <w:tcW w:w="1680" w:type="dxa"/>
            <w:vAlign w:val="bottom"/>
            <w:tcBorders>
              <w:bottom w:val="single" w:sz="8" w:color="56C271"/>
            </w:tcBorders>
          </w:tcPr>
          <w:p>
            <w:pPr>
              <w:spacing w:after="0"/>
              <w:rPr>
                <w:sz w:val="2"/>
                <w:szCs w:val="2"/>
                <w:color w:val="auto"/>
              </w:rPr>
            </w:pPr>
          </w:p>
        </w:tc>
        <w:tc>
          <w:tcPr>
            <w:tcW w:w="56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640" w:type="dxa"/>
            <w:vAlign w:val="bottom"/>
            <w:tcBorders>
              <w:bottom w:val="single" w:sz="8" w:color="56C271"/>
            </w:tcBorders>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980" w:type="dxa"/>
            <w:vAlign w:val="bottom"/>
          </w:tcPr>
          <w:p>
            <w:pPr>
              <w:spacing w:after="0"/>
              <w:rPr>
                <w:sz w:val="2"/>
                <w:szCs w:val="2"/>
                <w:color w:val="auto"/>
              </w:rPr>
            </w:pPr>
          </w:p>
        </w:tc>
      </w:tr>
      <w:tr>
        <w:trPr>
          <w:trHeight w:val="453"/>
        </w:trPr>
        <w:tc>
          <w:tcPr>
            <w:tcW w:w="1000" w:type="dxa"/>
            <w:vAlign w:val="bottom"/>
            <w:tcBorders>
              <w:right w:val="single" w:sz="8" w:color="CCEEFF"/>
            </w:tcBorders>
          </w:tcPr>
          <w:p>
            <w:pPr>
              <w:spacing w:after="0"/>
              <w:rPr>
                <w:sz w:val="24"/>
                <w:szCs w:val="24"/>
                <w:color w:val="auto"/>
              </w:rPr>
            </w:pPr>
          </w:p>
        </w:tc>
        <w:tc>
          <w:tcPr>
            <w:tcW w:w="7900" w:type="dxa"/>
            <w:vAlign w:val="bottom"/>
            <w:gridSpan w:val="25"/>
            <w:shd w:val="clear" w:color="auto" w:fill="CCEEFF"/>
          </w:tcPr>
          <w:p>
            <w:pPr>
              <w:spacing w:after="0"/>
              <w:rPr>
                <w:rFonts w:ascii="Arial" w:cs="Arial" w:eastAsia="Arial" w:hAnsi="Arial"/>
                <w:sz w:val="22"/>
                <w:szCs w:val="22"/>
                <w:b w:val="1"/>
                <w:bCs w:val="1"/>
                <w:color w:val="56C271"/>
              </w:rPr>
            </w:pPr>
            <w:hyperlink w:anchor="page39">
              <w:r>
                <w:rPr>
                  <w:rFonts w:ascii="Arial" w:cs="Arial" w:eastAsia="Arial" w:hAnsi="Arial"/>
                  <w:sz w:val="22"/>
                  <w:szCs w:val="22"/>
                  <w:b w:val="1"/>
                  <w:bCs w:val="1"/>
                  <w:color w:val="56C271"/>
                </w:rPr>
                <w:t>Security Ownership of Certain Beneficial Owners and Management</w:t>
              </w:r>
            </w:hyperlink>
          </w:p>
        </w:tc>
        <w:tc>
          <w:tcPr>
            <w:tcW w:w="840" w:type="dxa"/>
            <w:vAlign w:val="bottom"/>
            <w:gridSpan w:val="3"/>
            <w:shd w:val="clear" w:color="auto" w:fill="CCEEFF"/>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35</w:t>
              </w:r>
            </w:hyperlink>
          </w:p>
        </w:tc>
        <w:tc>
          <w:tcPr>
            <w:tcW w:w="980" w:type="dxa"/>
            <w:vAlign w:val="bottom"/>
          </w:tcPr>
          <w:p>
            <w:pPr>
              <w:spacing w:after="0"/>
              <w:rPr>
                <w:sz w:val="24"/>
                <w:szCs w:val="24"/>
                <w:color w:val="auto"/>
              </w:rPr>
            </w:pPr>
          </w:p>
        </w:tc>
      </w:tr>
      <w:tr>
        <w:trPr>
          <w:trHeight w:val="1418"/>
        </w:trPr>
        <w:tc>
          <w:tcPr>
            <w:tcW w:w="1000" w:type="dxa"/>
            <w:vAlign w:val="bottom"/>
            <w:tcBorders>
              <w:bottom w:val="single" w:sz="8" w:color="9A9A9A"/>
            </w:tcBorders>
          </w:tcPr>
          <w:p>
            <w:pPr>
              <w:spacing w:after="0"/>
              <w:rPr>
                <w:sz w:val="24"/>
                <w:szCs w:val="24"/>
                <w:color w:val="auto"/>
              </w:rPr>
            </w:pPr>
          </w:p>
        </w:tc>
        <w:tc>
          <w:tcPr>
            <w:tcW w:w="180" w:type="dxa"/>
            <w:vAlign w:val="bottom"/>
            <w:tcBorders>
              <w:top w:val="single" w:sz="8" w:color="56C271"/>
              <w:bottom w:val="single" w:sz="8" w:color="9A9A9A"/>
            </w:tcBorders>
          </w:tcPr>
          <w:p>
            <w:pPr>
              <w:spacing w:after="0"/>
              <w:rPr>
                <w:sz w:val="24"/>
                <w:szCs w:val="24"/>
                <w:color w:val="auto"/>
              </w:rPr>
            </w:pPr>
          </w:p>
        </w:tc>
        <w:tc>
          <w:tcPr>
            <w:tcW w:w="640" w:type="dxa"/>
            <w:vAlign w:val="bottom"/>
            <w:tcBorders>
              <w:top w:val="single" w:sz="8" w:color="56C271"/>
              <w:bottom w:val="single" w:sz="8" w:color="9A9A9A"/>
            </w:tcBorders>
          </w:tcPr>
          <w:p>
            <w:pPr>
              <w:spacing w:after="0"/>
              <w:rPr>
                <w:sz w:val="24"/>
                <w:szCs w:val="24"/>
                <w:color w:val="auto"/>
              </w:rPr>
            </w:pPr>
          </w:p>
        </w:tc>
        <w:tc>
          <w:tcPr>
            <w:tcW w:w="160" w:type="dxa"/>
            <w:vAlign w:val="bottom"/>
            <w:tcBorders>
              <w:top w:val="single" w:sz="8" w:color="56C271"/>
              <w:bottom w:val="single" w:sz="8" w:color="9A9A9A"/>
            </w:tcBorders>
          </w:tcPr>
          <w:p>
            <w:pPr>
              <w:spacing w:after="0"/>
              <w:rPr>
                <w:sz w:val="24"/>
                <w:szCs w:val="24"/>
                <w:color w:val="auto"/>
              </w:rPr>
            </w:pPr>
          </w:p>
        </w:tc>
        <w:tc>
          <w:tcPr>
            <w:tcW w:w="260" w:type="dxa"/>
            <w:vAlign w:val="bottom"/>
            <w:tcBorders>
              <w:top w:val="single" w:sz="8" w:color="56C271"/>
              <w:bottom w:val="single" w:sz="8" w:color="9A9A9A"/>
            </w:tcBorders>
          </w:tcPr>
          <w:p>
            <w:pPr>
              <w:spacing w:after="0"/>
              <w:rPr>
                <w:sz w:val="24"/>
                <w:szCs w:val="24"/>
                <w:color w:val="auto"/>
              </w:rPr>
            </w:pPr>
          </w:p>
        </w:tc>
        <w:tc>
          <w:tcPr>
            <w:tcW w:w="160" w:type="dxa"/>
            <w:vAlign w:val="bottom"/>
            <w:tcBorders>
              <w:top w:val="single" w:sz="8" w:color="56C271"/>
              <w:bottom w:val="single" w:sz="8" w:color="9A9A9A"/>
            </w:tcBorders>
          </w:tcPr>
          <w:p>
            <w:pPr>
              <w:spacing w:after="0"/>
              <w:rPr>
                <w:sz w:val="24"/>
                <w:szCs w:val="24"/>
                <w:color w:val="auto"/>
              </w:rPr>
            </w:pPr>
          </w:p>
        </w:tc>
        <w:tc>
          <w:tcPr>
            <w:tcW w:w="120" w:type="dxa"/>
            <w:vAlign w:val="bottom"/>
            <w:tcBorders>
              <w:top w:val="single" w:sz="8" w:color="56C271"/>
              <w:bottom w:val="single" w:sz="8" w:color="9A9A9A"/>
            </w:tcBorders>
          </w:tcPr>
          <w:p>
            <w:pPr>
              <w:spacing w:after="0"/>
              <w:rPr>
                <w:sz w:val="24"/>
                <w:szCs w:val="24"/>
                <w:color w:val="auto"/>
              </w:rPr>
            </w:pPr>
          </w:p>
        </w:tc>
        <w:tc>
          <w:tcPr>
            <w:tcW w:w="200" w:type="dxa"/>
            <w:vAlign w:val="bottom"/>
            <w:tcBorders>
              <w:top w:val="single" w:sz="8" w:color="56C271"/>
              <w:bottom w:val="single" w:sz="8" w:color="9A9A9A"/>
            </w:tcBorders>
          </w:tcPr>
          <w:p>
            <w:pPr>
              <w:spacing w:after="0"/>
              <w:rPr>
                <w:sz w:val="24"/>
                <w:szCs w:val="24"/>
                <w:color w:val="auto"/>
              </w:rPr>
            </w:pPr>
          </w:p>
        </w:tc>
        <w:tc>
          <w:tcPr>
            <w:tcW w:w="140" w:type="dxa"/>
            <w:vAlign w:val="bottom"/>
            <w:tcBorders>
              <w:top w:val="single" w:sz="8" w:color="56C271"/>
              <w:bottom w:val="single" w:sz="8" w:color="9A9A9A"/>
            </w:tcBorders>
          </w:tcPr>
          <w:p>
            <w:pPr>
              <w:spacing w:after="0"/>
              <w:rPr>
                <w:sz w:val="24"/>
                <w:szCs w:val="24"/>
                <w:color w:val="auto"/>
              </w:rPr>
            </w:pPr>
          </w:p>
        </w:tc>
        <w:tc>
          <w:tcPr>
            <w:tcW w:w="120" w:type="dxa"/>
            <w:vAlign w:val="bottom"/>
            <w:tcBorders>
              <w:top w:val="single" w:sz="8" w:color="56C271"/>
              <w:bottom w:val="single" w:sz="8" w:color="9A9A9A"/>
            </w:tcBorders>
          </w:tcPr>
          <w:p>
            <w:pPr>
              <w:spacing w:after="0"/>
              <w:rPr>
                <w:sz w:val="24"/>
                <w:szCs w:val="24"/>
                <w:color w:val="auto"/>
              </w:rPr>
            </w:pPr>
          </w:p>
        </w:tc>
        <w:tc>
          <w:tcPr>
            <w:tcW w:w="200" w:type="dxa"/>
            <w:vAlign w:val="bottom"/>
            <w:tcBorders>
              <w:top w:val="single" w:sz="8" w:color="56C271"/>
              <w:bottom w:val="single" w:sz="8" w:color="9A9A9A"/>
            </w:tcBorders>
          </w:tcPr>
          <w:p>
            <w:pPr>
              <w:spacing w:after="0"/>
              <w:rPr>
                <w:sz w:val="24"/>
                <w:szCs w:val="24"/>
                <w:color w:val="auto"/>
              </w:rPr>
            </w:pPr>
          </w:p>
        </w:tc>
        <w:tc>
          <w:tcPr>
            <w:tcW w:w="100" w:type="dxa"/>
            <w:vAlign w:val="bottom"/>
            <w:tcBorders>
              <w:top w:val="single" w:sz="8" w:color="56C271"/>
              <w:bottom w:val="single" w:sz="8" w:color="9A9A9A"/>
            </w:tcBorders>
          </w:tcPr>
          <w:p>
            <w:pPr>
              <w:spacing w:after="0"/>
              <w:rPr>
                <w:sz w:val="24"/>
                <w:szCs w:val="24"/>
                <w:color w:val="auto"/>
              </w:rPr>
            </w:pPr>
          </w:p>
        </w:tc>
        <w:tc>
          <w:tcPr>
            <w:tcW w:w="140" w:type="dxa"/>
            <w:vAlign w:val="bottom"/>
            <w:tcBorders>
              <w:top w:val="single" w:sz="8" w:color="56C271"/>
              <w:bottom w:val="single" w:sz="8" w:color="9A9A9A"/>
            </w:tcBorders>
          </w:tcPr>
          <w:p>
            <w:pPr>
              <w:spacing w:after="0"/>
              <w:rPr>
                <w:sz w:val="24"/>
                <w:szCs w:val="24"/>
                <w:color w:val="auto"/>
              </w:rPr>
            </w:pPr>
          </w:p>
        </w:tc>
        <w:tc>
          <w:tcPr>
            <w:tcW w:w="120" w:type="dxa"/>
            <w:vAlign w:val="bottom"/>
            <w:tcBorders>
              <w:top w:val="single" w:sz="8" w:color="56C271"/>
              <w:bottom w:val="single" w:sz="8" w:color="9A9A9A"/>
            </w:tcBorders>
          </w:tcPr>
          <w:p>
            <w:pPr>
              <w:spacing w:after="0"/>
              <w:rPr>
                <w:sz w:val="24"/>
                <w:szCs w:val="24"/>
                <w:color w:val="auto"/>
              </w:rPr>
            </w:pPr>
          </w:p>
        </w:tc>
        <w:tc>
          <w:tcPr>
            <w:tcW w:w="140" w:type="dxa"/>
            <w:vAlign w:val="bottom"/>
            <w:tcBorders>
              <w:top w:val="single" w:sz="8" w:color="56C271"/>
              <w:bottom w:val="single" w:sz="8" w:color="9A9A9A"/>
            </w:tcBorders>
          </w:tcPr>
          <w:p>
            <w:pPr>
              <w:spacing w:after="0"/>
              <w:rPr>
                <w:sz w:val="24"/>
                <w:szCs w:val="24"/>
                <w:color w:val="auto"/>
              </w:rPr>
            </w:pPr>
          </w:p>
        </w:tc>
        <w:tc>
          <w:tcPr>
            <w:tcW w:w="280" w:type="dxa"/>
            <w:vAlign w:val="bottom"/>
            <w:tcBorders>
              <w:top w:val="single" w:sz="8" w:color="56C271"/>
              <w:bottom w:val="single" w:sz="8" w:color="9A9A9A"/>
            </w:tcBorders>
          </w:tcPr>
          <w:p>
            <w:pPr>
              <w:spacing w:after="0"/>
              <w:rPr>
                <w:sz w:val="24"/>
                <w:szCs w:val="24"/>
                <w:color w:val="auto"/>
              </w:rPr>
            </w:pPr>
          </w:p>
        </w:tc>
        <w:tc>
          <w:tcPr>
            <w:tcW w:w="320" w:type="dxa"/>
            <w:vAlign w:val="bottom"/>
            <w:tcBorders>
              <w:top w:val="single" w:sz="8" w:color="56C271"/>
              <w:bottom w:val="single" w:sz="8" w:color="9A9A9A"/>
            </w:tcBorders>
          </w:tcPr>
          <w:p>
            <w:pPr>
              <w:spacing w:after="0"/>
              <w:rPr>
                <w:sz w:val="24"/>
                <w:szCs w:val="24"/>
                <w:color w:val="auto"/>
              </w:rPr>
            </w:pPr>
          </w:p>
        </w:tc>
        <w:tc>
          <w:tcPr>
            <w:tcW w:w="140" w:type="dxa"/>
            <w:vAlign w:val="bottom"/>
            <w:tcBorders>
              <w:top w:val="single" w:sz="8" w:color="56C271"/>
              <w:bottom w:val="single" w:sz="8" w:color="9A9A9A"/>
            </w:tcBorders>
          </w:tcPr>
          <w:p>
            <w:pPr>
              <w:spacing w:after="0"/>
              <w:rPr>
                <w:sz w:val="24"/>
                <w:szCs w:val="24"/>
                <w:color w:val="auto"/>
              </w:rPr>
            </w:pPr>
          </w:p>
        </w:tc>
        <w:tc>
          <w:tcPr>
            <w:tcW w:w="60" w:type="dxa"/>
            <w:vAlign w:val="bottom"/>
            <w:tcBorders>
              <w:top w:val="single" w:sz="8" w:color="56C271"/>
              <w:bottom w:val="single" w:sz="8" w:color="9A9A9A"/>
            </w:tcBorders>
          </w:tcPr>
          <w:p>
            <w:pPr>
              <w:spacing w:after="0"/>
              <w:rPr>
                <w:sz w:val="24"/>
                <w:szCs w:val="24"/>
                <w:color w:val="auto"/>
              </w:rPr>
            </w:pPr>
          </w:p>
        </w:tc>
        <w:tc>
          <w:tcPr>
            <w:tcW w:w="240" w:type="dxa"/>
            <w:vAlign w:val="bottom"/>
            <w:tcBorders>
              <w:top w:val="single" w:sz="8" w:color="56C271"/>
              <w:bottom w:val="single" w:sz="8" w:color="9A9A9A"/>
            </w:tcBorders>
          </w:tcPr>
          <w:p>
            <w:pPr>
              <w:spacing w:after="0"/>
              <w:rPr>
                <w:sz w:val="24"/>
                <w:szCs w:val="24"/>
                <w:color w:val="auto"/>
              </w:rPr>
            </w:pPr>
          </w:p>
        </w:tc>
        <w:tc>
          <w:tcPr>
            <w:tcW w:w="560" w:type="dxa"/>
            <w:vAlign w:val="bottom"/>
            <w:tcBorders>
              <w:top w:val="single" w:sz="8" w:color="56C271"/>
              <w:bottom w:val="single" w:sz="8" w:color="9A9A9A"/>
            </w:tcBorders>
          </w:tcPr>
          <w:p>
            <w:pPr>
              <w:spacing w:after="0"/>
              <w:rPr>
                <w:sz w:val="24"/>
                <w:szCs w:val="24"/>
                <w:color w:val="auto"/>
              </w:rPr>
            </w:pPr>
          </w:p>
        </w:tc>
        <w:tc>
          <w:tcPr>
            <w:tcW w:w="340" w:type="dxa"/>
            <w:vAlign w:val="bottom"/>
            <w:tcBorders>
              <w:top w:val="single" w:sz="8" w:color="56C271"/>
              <w:bottom w:val="single" w:sz="8" w:color="9A9A9A"/>
            </w:tcBorders>
          </w:tcPr>
          <w:p>
            <w:pPr>
              <w:spacing w:after="0"/>
              <w:rPr>
                <w:sz w:val="24"/>
                <w:szCs w:val="24"/>
                <w:color w:val="auto"/>
              </w:rPr>
            </w:pPr>
          </w:p>
        </w:tc>
        <w:tc>
          <w:tcPr>
            <w:tcW w:w="400" w:type="dxa"/>
            <w:vAlign w:val="bottom"/>
            <w:tcBorders>
              <w:top w:val="single" w:sz="8" w:color="56C271"/>
              <w:bottom w:val="single" w:sz="8" w:color="9A9A9A"/>
            </w:tcBorders>
          </w:tcPr>
          <w:p>
            <w:pPr>
              <w:spacing w:after="0"/>
              <w:rPr>
                <w:sz w:val="24"/>
                <w:szCs w:val="24"/>
                <w:color w:val="auto"/>
              </w:rPr>
            </w:pPr>
          </w:p>
        </w:tc>
        <w:tc>
          <w:tcPr>
            <w:tcW w:w="1680" w:type="dxa"/>
            <w:vAlign w:val="bottom"/>
            <w:tcBorders>
              <w:top w:val="single" w:sz="8" w:color="56C271"/>
              <w:bottom w:val="single" w:sz="8" w:color="9A9A9A"/>
            </w:tcBorders>
          </w:tcPr>
          <w:p>
            <w:pPr>
              <w:spacing w:after="0"/>
              <w:rPr>
                <w:sz w:val="24"/>
                <w:szCs w:val="24"/>
                <w:color w:val="auto"/>
              </w:rPr>
            </w:pPr>
          </w:p>
        </w:tc>
        <w:tc>
          <w:tcPr>
            <w:tcW w:w="560" w:type="dxa"/>
            <w:vAlign w:val="bottom"/>
            <w:tcBorders>
              <w:top w:val="single" w:sz="8" w:color="56C271"/>
              <w:bottom w:val="single" w:sz="8" w:color="9A9A9A"/>
            </w:tcBorders>
          </w:tcPr>
          <w:p>
            <w:pPr>
              <w:spacing w:after="0"/>
              <w:rPr>
                <w:sz w:val="24"/>
                <w:szCs w:val="24"/>
                <w:color w:val="auto"/>
              </w:rPr>
            </w:pPr>
          </w:p>
        </w:tc>
        <w:tc>
          <w:tcPr>
            <w:tcW w:w="640" w:type="dxa"/>
            <w:vAlign w:val="bottom"/>
            <w:tcBorders>
              <w:top w:val="single" w:sz="8" w:color="56C271"/>
              <w:bottom w:val="single" w:sz="8" w:color="9A9A9A"/>
            </w:tcBorders>
          </w:tcPr>
          <w:p>
            <w:pPr>
              <w:spacing w:after="0"/>
              <w:rPr>
                <w:sz w:val="24"/>
                <w:szCs w:val="24"/>
                <w:color w:val="auto"/>
              </w:rPr>
            </w:pPr>
          </w:p>
        </w:tc>
        <w:tc>
          <w:tcPr>
            <w:tcW w:w="640" w:type="dxa"/>
            <w:vAlign w:val="bottom"/>
            <w:tcBorders>
              <w:top w:val="single" w:sz="8" w:color="56C271"/>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1000" w:type="dxa"/>
            <w:vAlign w:val="bottom"/>
            <w:tcBorders>
              <w:right w:val="single" w:sz="8" w:color="CCEEFF"/>
            </w:tcBorders>
          </w:tcPr>
          <w:p>
            <w:pPr>
              <w:spacing w:after="0"/>
              <w:rPr>
                <w:sz w:val="24"/>
                <w:szCs w:val="24"/>
                <w:color w:val="auto"/>
              </w:rPr>
            </w:pPr>
          </w:p>
        </w:tc>
        <w:tc>
          <w:tcPr>
            <w:tcW w:w="8340" w:type="dxa"/>
            <w:vAlign w:val="bottom"/>
            <w:gridSpan w:val="29"/>
            <w:shd w:val="clear" w:color="auto" w:fill="CCEEFF"/>
          </w:tcPr>
          <w:p>
            <w:pPr>
              <w:spacing w:after="0"/>
              <w:rPr>
                <w:rFonts w:ascii="Arial" w:cs="Arial" w:eastAsia="Arial" w:hAnsi="Arial"/>
                <w:sz w:val="22"/>
                <w:szCs w:val="22"/>
                <w:b w:val="1"/>
                <w:bCs w:val="1"/>
                <w:color w:val="56C271"/>
              </w:rPr>
            </w:pPr>
            <w:hyperlink w:anchor="page41">
              <w:r>
                <w:rPr>
                  <w:rFonts w:ascii="Arial" w:cs="Arial" w:eastAsia="Arial" w:hAnsi="Arial"/>
                  <w:sz w:val="22"/>
                  <w:szCs w:val="22"/>
                  <w:b w:val="1"/>
                  <w:bCs w:val="1"/>
                  <w:color w:val="56C271"/>
                </w:rPr>
                <w:t>Delinquent Section 16(a) Reports</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980" w:type="dxa"/>
            <w:vAlign w:val="bottom"/>
          </w:tcPr>
          <w:p>
            <w:pPr>
              <w:spacing w:after="0"/>
              <w:rPr>
                <w:sz w:val="24"/>
                <w:szCs w:val="24"/>
                <w:color w:val="auto"/>
              </w:rPr>
            </w:pPr>
          </w:p>
        </w:tc>
      </w:tr>
      <w:tr>
        <w:trPr>
          <w:trHeight w:val="20"/>
        </w:trPr>
        <w:tc>
          <w:tcPr>
            <w:tcW w:w="1000" w:type="dxa"/>
            <w:vAlign w:val="bottom"/>
            <w:tcBorders>
              <w:right w:val="single" w:sz="8" w:color="56C271"/>
            </w:tcBorders>
          </w:tcPr>
          <w:p>
            <w:pPr>
              <w:spacing w:after="0" w:line="20" w:lineRule="exact"/>
              <w:rPr>
                <w:sz w:val="1"/>
                <w:szCs w:val="1"/>
                <w:color w:val="auto"/>
              </w:rPr>
            </w:pPr>
          </w:p>
        </w:tc>
        <w:tc>
          <w:tcPr>
            <w:tcW w:w="18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7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24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3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left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CCEEFF"/>
              <w:left w:val="single" w:sz="8" w:color="56C271"/>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80" w:type="dxa"/>
            <w:vAlign w:val="bottom"/>
            <w:tcBorders>
              <w:top w:val="single" w:sz="8" w:color="CCEEFF"/>
            </w:tcBorders>
            <w:shd w:val="clear" w:color="auto" w:fill="56C271"/>
          </w:tcPr>
          <w:p>
            <w:pPr>
              <w:spacing w:after="0" w:line="20" w:lineRule="exact"/>
              <w:rPr>
                <w:sz w:val="1"/>
                <w:szCs w:val="1"/>
                <w:color w:val="auto"/>
              </w:rPr>
            </w:pPr>
          </w:p>
        </w:tc>
        <w:tc>
          <w:tcPr>
            <w:tcW w:w="140" w:type="dxa"/>
            <w:vAlign w:val="bottom"/>
            <w:tcBorders>
              <w:top w:val="single" w:sz="8" w:color="CCEEFF"/>
            </w:tcBorders>
            <w:shd w:val="clear" w:color="auto" w:fill="56C271"/>
          </w:tcPr>
          <w:p>
            <w:pPr>
              <w:spacing w:after="0" w:line="20" w:lineRule="exact"/>
              <w:rPr>
                <w:sz w:val="1"/>
                <w:szCs w:val="1"/>
                <w:color w:val="auto"/>
              </w:rPr>
            </w:pPr>
          </w:p>
        </w:tc>
        <w:tc>
          <w:tcPr>
            <w:tcW w:w="160" w:type="dxa"/>
            <w:vAlign w:val="bottom"/>
            <w:tcBorders>
              <w:top w:val="single" w:sz="8" w:color="CCEEFF"/>
            </w:tcBorders>
            <w:shd w:val="clear" w:color="auto" w:fill="56C271"/>
          </w:tcPr>
          <w:p>
            <w:pPr>
              <w:spacing w:after="0" w:line="20" w:lineRule="exact"/>
              <w:rPr>
                <w:sz w:val="1"/>
                <w:szCs w:val="1"/>
                <w:color w:val="auto"/>
              </w:rPr>
            </w:pPr>
          </w:p>
        </w:tc>
        <w:tc>
          <w:tcPr>
            <w:tcW w:w="80" w:type="dxa"/>
            <w:vAlign w:val="bottom"/>
            <w:tcBorders>
              <w:top w:val="single" w:sz="8" w:color="CCEEFF"/>
            </w:tcBorders>
            <w:shd w:val="clear" w:color="auto" w:fill="56C271"/>
          </w:tcPr>
          <w:p>
            <w:pPr>
              <w:spacing w:after="0" w:line="20" w:lineRule="exact"/>
              <w:rPr>
                <w:sz w:val="1"/>
                <w:szCs w:val="1"/>
                <w:color w:val="auto"/>
              </w:rPr>
            </w:pPr>
          </w:p>
        </w:tc>
        <w:tc>
          <w:tcPr>
            <w:tcW w:w="260" w:type="dxa"/>
            <w:vAlign w:val="bottom"/>
            <w:tcBorders>
              <w:top w:val="single" w:sz="8" w:color="CCEEFF"/>
            </w:tcBorders>
            <w:shd w:val="clear" w:color="auto" w:fill="56C271"/>
          </w:tcPr>
          <w:p>
            <w:pPr>
              <w:spacing w:after="0" w:line="20" w:lineRule="exact"/>
              <w:rPr>
                <w:sz w:val="1"/>
                <w:szCs w:val="1"/>
                <w:color w:val="auto"/>
              </w:rPr>
            </w:pPr>
          </w:p>
        </w:tc>
        <w:tc>
          <w:tcPr>
            <w:tcW w:w="520" w:type="dxa"/>
            <w:vAlign w:val="bottom"/>
            <w:tcBorders>
              <w:top w:val="single" w:sz="8" w:color="CCEEFF"/>
            </w:tcBorders>
            <w:shd w:val="clear" w:color="auto" w:fill="56C271"/>
          </w:tcPr>
          <w:p>
            <w:pPr>
              <w:spacing w:after="0" w:line="20" w:lineRule="exact"/>
              <w:rPr>
                <w:sz w:val="1"/>
                <w:szCs w:val="1"/>
                <w:color w:val="auto"/>
              </w:rPr>
            </w:pPr>
          </w:p>
        </w:tc>
        <w:tc>
          <w:tcPr>
            <w:tcW w:w="480" w:type="dxa"/>
            <w:vAlign w:val="bottom"/>
            <w:tcBorders>
              <w:top w:val="single" w:sz="8" w:color="CCEEFF"/>
            </w:tcBorders>
            <w:shd w:val="clear" w:color="auto" w:fill="56C271"/>
          </w:tcPr>
          <w:p>
            <w:pPr>
              <w:spacing w:after="0" w:line="20" w:lineRule="exact"/>
              <w:rPr>
                <w:sz w:val="1"/>
                <w:szCs w:val="1"/>
                <w:color w:val="auto"/>
              </w:rPr>
            </w:pPr>
          </w:p>
        </w:tc>
        <w:tc>
          <w:tcPr>
            <w:tcW w:w="1020" w:type="dxa"/>
            <w:vAlign w:val="bottom"/>
            <w:tcBorders>
              <w:top w:val="single" w:sz="8" w:color="CCEEFF"/>
            </w:tcBorders>
            <w:shd w:val="clear" w:color="auto" w:fill="56C271"/>
          </w:tcPr>
          <w:p>
            <w:pPr>
              <w:spacing w:after="0" w:line="20" w:lineRule="exact"/>
              <w:rPr>
                <w:sz w:val="1"/>
                <w:szCs w:val="1"/>
                <w:color w:val="auto"/>
              </w:rPr>
            </w:pPr>
          </w:p>
        </w:tc>
        <w:tc>
          <w:tcPr>
            <w:tcW w:w="760" w:type="dxa"/>
            <w:vAlign w:val="bottom"/>
            <w:tcBorders>
              <w:top w:val="single" w:sz="8" w:color="CCEEFF"/>
            </w:tcBorders>
            <w:shd w:val="clear" w:color="auto" w:fill="56C271"/>
          </w:tcPr>
          <w:p>
            <w:pPr>
              <w:spacing w:after="0" w:line="20" w:lineRule="exact"/>
              <w:rPr>
                <w:sz w:val="1"/>
                <w:szCs w:val="1"/>
                <w:color w:val="auto"/>
              </w:rPr>
            </w:pPr>
          </w:p>
        </w:tc>
        <w:tc>
          <w:tcPr>
            <w:tcW w:w="40" w:type="dxa"/>
            <w:vAlign w:val="bottom"/>
            <w:tcBorders>
              <w:top w:val="single" w:sz="8" w:color="CCEEFF"/>
            </w:tcBorders>
            <w:shd w:val="clear" w:color="auto" w:fill="56C271"/>
          </w:tcPr>
          <w:p>
            <w:pPr>
              <w:spacing w:after="0" w:line="20" w:lineRule="exact"/>
              <w:rPr>
                <w:sz w:val="1"/>
                <w:szCs w:val="1"/>
                <w:color w:val="auto"/>
              </w:rPr>
            </w:pPr>
          </w:p>
        </w:tc>
        <w:tc>
          <w:tcPr>
            <w:tcW w:w="360" w:type="dxa"/>
            <w:vAlign w:val="bottom"/>
            <w:tcBorders>
              <w:top w:val="single" w:sz="8" w:color="CCEEFF"/>
            </w:tcBorders>
            <w:shd w:val="clear" w:color="auto" w:fill="56C271"/>
          </w:tcPr>
          <w:p>
            <w:pPr>
              <w:spacing w:after="0" w:line="20" w:lineRule="exact"/>
              <w:rPr>
                <w:sz w:val="1"/>
                <w:szCs w:val="1"/>
                <w:color w:val="auto"/>
              </w:rPr>
            </w:pPr>
          </w:p>
        </w:tc>
        <w:tc>
          <w:tcPr>
            <w:tcW w:w="20" w:type="dxa"/>
            <w:vAlign w:val="bottom"/>
            <w:tcBorders>
              <w:top w:val="single" w:sz="8" w:color="CCEEFF"/>
            </w:tcBorders>
            <w:shd w:val="clear" w:color="auto" w:fill="56C271"/>
          </w:tcPr>
          <w:p>
            <w:pPr>
              <w:spacing w:after="0" w:line="20" w:lineRule="exact"/>
              <w:rPr>
                <w:sz w:val="1"/>
                <w:szCs w:val="1"/>
                <w:color w:val="auto"/>
              </w:rPr>
            </w:pPr>
          </w:p>
        </w:tc>
        <w:tc>
          <w:tcPr>
            <w:tcW w:w="580" w:type="dxa"/>
            <w:vAlign w:val="bottom"/>
            <w:tcBorders>
              <w:top w:val="single" w:sz="8" w:color="CCEEFF"/>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0000EE"/>
            </w:tcBorders>
            <w:shd w:val="clear" w:color="auto" w:fill="56C27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340" w:type="dxa"/>
            <w:vAlign w:val="bottom"/>
            <w:gridSpan w:val="29"/>
          </w:tcPr>
          <w:p>
            <w:pPr>
              <w:spacing w:after="0"/>
              <w:rPr>
                <w:rFonts w:ascii="Arial" w:cs="Arial" w:eastAsia="Arial" w:hAnsi="Arial"/>
                <w:sz w:val="22"/>
                <w:szCs w:val="22"/>
                <w:b w:val="1"/>
                <w:bCs w:val="1"/>
                <w:color w:val="56C271"/>
              </w:rPr>
            </w:pPr>
            <w:hyperlink w:anchor="page41">
              <w:r>
                <w:rPr>
                  <w:rFonts w:ascii="Arial" w:cs="Arial" w:eastAsia="Arial" w:hAnsi="Arial"/>
                  <w:sz w:val="22"/>
                  <w:szCs w:val="22"/>
                  <w:b w:val="1"/>
                  <w:bCs w:val="1"/>
                  <w:color w:val="56C271"/>
                </w:rPr>
                <w:t>Related Person Transactions</w:t>
              </w:r>
            </w:hyperlink>
          </w:p>
        </w:tc>
        <w:tc>
          <w:tcPr>
            <w:tcW w:w="1380" w:type="dxa"/>
            <w:vAlign w:val="bottom"/>
            <w:gridSpan w:val="3"/>
          </w:tcPr>
          <w:p>
            <w:pPr>
              <w:jc w:val="right"/>
              <w:ind w:right="980"/>
              <w:spacing w:after="0"/>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r>
      <w:tr>
        <w:trPr>
          <w:trHeight w:val="48"/>
        </w:trPr>
        <w:tc>
          <w:tcPr>
            <w:tcW w:w="1000" w:type="dxa"/>
            <w:vAlign w:val="bottom"/>
          </w:tcPr>
          <w:p>
            <w:pPr>
              <w:spacing w:after="0"/>
              <w:rPr>
                <w:sz w:val="4"/>
                <w:szCs w:val="4"/>
                <w:color w:val="auto"/>
              </w:rPr>
            </w:pPr>
          </w:p>
        </w:tc>
        <w:tc>
          <w:tcPr>
            <w:tcW w:w="18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740" w:type="dxa"/>
            <w:vAlign w:val="bottom"/>
            <w:tcBorders>
              <w:top w:val="single" w:sz="8" w:color="56C271"/>
              <w:bottom w:val="single" w:sz="8" w:color="56C271"/>
            </w:tcBorders>
          </w:tcPr>
          <w:p>
            <w:pPr>
              <w:spacing w:after="0"/>
              <w:rPr>
                <w:sz w:val="4"/>
                <w:szCs w:val="4"/>
                <w:color w:val="auto"/>
              </w:rPr>
            </w:pPr>
          </w:p>
        </w:tc>
        <w:tc>
          <w:tcPr>
            <w:tcW w:w="24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2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340" w:type="dxa"/>
            <w:vAlign w:val="bottom"/>
            <w:tcBorders>
              <w:top w:val="single" w:sz="8" w:color="56C271"/>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120" w:type="dxa"/>
            <w:vAlign w:val="bottom"/>
            <w:tcBorders>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220" w:type="dxa"/>
            <w:vAlign w:val="bottom"/>
            <w:tcBorders>
              <w:bottom w:val="single" w:sz="8" w:color="56C271"/>
            </w:tcBorders>
          </w:tcPr>
          <w:p>
            <w:pPr>
              <w:spacing w:after="0"/>
              <w:rPr>
                <w:sz w:val="4"/>
                <w:szCs w:val="4"/>
                <w:color w:val="auto"/>
              </w:rPr>
            </w:pPr>
          </w:p>
        </w:tc>
        <w:tc>
          <w:tcPr>
            <w:tcW w:w="80" w:type="dxa"/>
            <w:vAlign w:val="bottom"/>
            <w:tcBorders>
              <w:bottom w:val="single" w:sz="8" w:color="56C271"/>
            </w:tcBorders>
          </w:tcPr>
          <w:p>
            <w:pPr>
              <w:spacing w:after="0"/>
              <w:rPr>
                <w:sz w:val="4"/>
                <w:szCs w:val="4"/>
                <w:color w:val="auto"/>
              </w:rPr>
            </w:pPr>
          </w:p>
        </w:tc>
        <w:tc>
          <w:tcPr>
            <w:tcW w:w="140" w:type="dxa"/>
            <w:vAlign w:val="bottom"/>
            <w:tcBorders>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80" w:type="dxa"/>
            <w:vAlign w:val="bottom"/>
            <w:tcBorders>
              <w:bottom w:val="single" w:sz="8" w:color="56C271"/>
            </w:tcBorders>
          </w:tcPr>
          <w:p>
            <w:pPr>
              <w:spacing w:after="0"/>
              <w:rPr>
                <w:sz w:val="4"/>
                <w:szCs w:val="4"/>
                <w:color w:val="auto"/>
              </w:rPr>
            </w:pPr>
          </w:p>
        </w:tc>
        <w:tc>
          <w:tcPr>
            <w:tcW w:w="260" w:type="dxa"/>
            <w:vAlign w:val="bottom"/>
            <w:tcBorders>
              <w:bottom w:val="single" w:sz="8" w:color="56C271"/>
            </w:tcBorders>
          </w:tcPr>
          <w:p>
            <w:pPr>
              <w:spacing w:after="0"/>
              <w:rPr>
                <w:sz w:val="4"/>
                <w:szCs w:val="4"/>
                <w:color w:val="auto"/>
              </w:rPr>
            </w:pPr>
          </w:p>
        </w:tc>
        <w:tc>
          <w:tcPr>
            <w:tcW w:w="520" w:type="dxa"/>
            <w:vAlign w:val="bottom"/>
            <w:tcBorders>
              <w:bottom w:val="single" w:sz="8" w:color="56C271"/>
            </w:tcBorders>
          </w:tcPr>
          <w:p>
            <w:pPr>
              <w:spacing w:after="0"/>
              <w:rPr>
                <w:sz w:val="4"/>
                <w:szCs w:val="4"/>
                <w:color w:val="auto"/>
              </w:rPr>
            </w:pPr>
          </w:p>
        </w:tc>
        <w:tc>
          <w:tcPr>
            <w:tcW w:w="480" w:type="dxa"/>
            <w:vAlign w:val="bottom"/>
            <w:tcBorders>
              <w:bottom w:val="single" w:sz="8" w:color="56C271"/>
            </w:tcBorders>
          </w:tcPr>
          <w:p>
            <w:pPr>
              <w:spacing w:after="0"/>
              <w:rPr>
                <w:sz w:val="4"/>
                <w:szCs w:val="4"/>
                <w:color w:val="auto"/>
              </w:rPr>
            </w:pPr>
          </w:p>
        </w:tc>
        <w:tc>
          <w:tcPr>
            <w:tcW w:w="1020" w:type="dxa"/>
            <w:vAlign w:val="bottom"/>
            <w:tcBorders>
              <w:bottom w:val="single" w:sz="8" w:color="56C271"/>
            </w:tcBorders>
          </w:tcPr>
          <w:p>
            <w:pPr>
              <w:spacing w:after="0"/>
              <w:rPr>
                <w:sz w:val="4"/>
                <w:szCs w:val="4"/>
                <w:color w:val="auto"/>
              </w:rPr>
            </w:pPr>
          </w:p>
        </w:tc>
        <w:tc>
          <w:tcPr>
            <w:tcW w:w="760" w:type="dxa"/>
            <w:vAlign w:val="bottom"/>
            <w:tcBorders>
              <w:bottom w:val="single" w:sz="8" w:color="56C271"/>
            </w:tcBorders>
          </w:tcPr>
          <w:p>
            <w:pPr>
              <w:spacing w:after="0"/>
              <w:rPr>
                <w:sz w:val="4"/>
                <w:szCs w:val="4"/>
                <w:color w:val="auto"/>
              </w:rPr>
            </w:pPr>
          </w:p>
        </w:tc>
        <w:tc>
          <w:tcPr>
            <w:tcW w:w="40" w:type="dxa"/>
            <w:vAlign w:val="bottom"/>
            <w:tcBorders>
              <w:bottom w:val="single" w:sz="8" w:color="56C271"/>
            </w:tcBorders>
          </w:tcPr>
          <w:p>
            <w:pPr>
              <w:spacing w:after="0"/>
              <w:rPr>
                <w:sz w:val="4"/>
                <w:szCs w:val="4"/>
                <w:color w:val="auto"/>
              </w:rPr>
            </w:pPr>
          </w:p>
        </w:tc>
        <w:tc>
          <w:tcPr>
            <w:tcW w:w="360" w:type="dxa"/>
            <w:vAlign w:val="bottom"/>
            <w:tcBorders>
              <w:bottom w:val="single" w:sz="8" w:color="56C271"/>
            </w:tcBorders>
          </w:tcPr>
          <w:p>
            <w:pPr>
              <w:spacing w:after="0"/>
              <w:rPr>
                <w:sz w:val="4"/>
                <w:szCs w:val="4"/>
                <w:color w:val="auto"/>
              </w:rPr>
            </w:pPr>
          </w:p>
        </w:tc>
        <w:tc>
          <w:tcPr>
            <w:tcW w:w="20" w:type="dxa"/>
            <w:vAlign w:val="bottom"/>
            <w:tcBorders>
              <w:bottom w:val="single" w:sz="8" w:color="56C271"/>
            </w:tcBorders>
          </w:tcPr>
          <w:p>
            <w:pPr>
              <w:spacing w:after="0"/>
              <w:rPr>
                <w:sz w:val="4"/>
                <w:szCs w:val="4"/>
                <w:color w:val="auto"/>
              </w:rPr>
            </w:pPr>
          </w:p>
        </w:tc>
        <w:tc>
          <w:tcPr>
            <w:tcW w:w="580" w:type="dxa"/>
            <w:vAlign w:val="bottom"/>
            <w:tcBorders>
              <w:bottom w:val="single" w:sz="8" w:color="56C271"/>
            </w:tcBorders>
          </w:tcPr>
          <w:p>
            <w:pPr>
              <w:spacing w:after="0"/>
              <w:rPr>
                <w:sz w:val="4"/>
                <w:szCs w:val="4"/>
                <w:color w:val="auto"/>
              </w:rPr>
            </w:pPr>
          </w:p>
        </w:tc>
        <w:tc>
          <w:tcPr>
            <w:tcW w:w="220" w:type="dxa"/>
            <w:vAlign w:val="bottom"/>
            <w:tcBorders>
              <w:bottom w:val="single" w:sz="8" w:color="56C271"/>
            </w:tcBorders>
          </w:tcPr>
          <w:p>
            <w:pPr>
              <w:spacing w:after="0"/>
              <w:rPr>
                <w:sz w:val="4"/>
                <w:szCs w:val="4"/>
                <w:color w:val="auto"/>
              </w:rPr>
            </w:pPr>
          </w:p>
        </w:tc>
        <w:tc>
          <w:tcPr>
            <w:tcW w:w="200" w:type="dxa"/>
            <w:vAlign w:val="bottom"/>
            <w:tcBorders>
              <w:bottom w:val="single" w:sz="8" w:color="56C271"/>
            </w:tcBorders>
          </w:tcPr>
          <w:p>
            <w:pPr>
              <w:spacing w:after="0"/>
              <w:rPr>
                <w:sz w:val="4"/>
                <w:szCs w:val="4"/>
                <w:color w:val="auto"/>
              </w:rPr>
            </w:pPr>
          </w:p>
        </w:tc>
        <w:tc>
          <w:tcPr>
            <w:tcW w:w="200" w:type="dxa"/>
            <w:vAlign w:val="bottom"/>
            <w:tcBorders>
              <w:top w:val="single" w:sz="8" w:color="0000EE"/>
              <w:bottom w:val="single" w:sz="8" w:color="56C271"/>
            </w:tcBorders>
          </w:tcPr>
          <w:p>
            <w:pPr>
              <w:spacing w:after="0"/>
              <w:rPr>
                <w:sz w:val="4"/>
                <w:szCs w:val="4"/>
                <w:color w:val="auto"/>
              </w:rPr>
            </w:pPr>
          </w:p>
        </w:tc>
        <w:tc>
          <w:tcPr>
            <w:tcW w:w="980" w:type="dxa"/>
            <w:vAlign w:val="bottom"/>
          </w:tcPr>
          <w:p>
            <w:pPr>
              <w:spacing w:after="0"/>
              <w:rPr>
                <w:sz w:val="4"/>
                <w:szCs w:val="4"/>
                <w:color w:val="auto"/>
              </w:rPr>
            </w:pPr>
          </w:p>
        </w:tc>
      </w:tr>
      <w:tr>
        <w:trPr>
          <w:trHeight w:val="419"/>
        </w:trPr>
        <w:tc>
          <w:tcPr>
            <w:tcW w:w="1000" w:type="dxa"/>
            <w:vAlign w:val="bottom"/>
            <w:tcBorders>
              <w:right w:val="single" w:sz="8" w:color="CCEEFF"/>
            </w:tcBorders>
          </w:tcPr>
          <w:p>
            <w:pPr>
              <w:spacing w:after="0"/>
              <w:rPr>
                <w:sz w:val="24"/>
                <w:szCs w:val="24"/>
                <w:color w:val="auto"/>
              </w:rPr>
            </w:pPr>
          </w:p>
        </w:tc>
        <w:tc>
          <w:tcPr>
            <w:tcW w:w="8340" w:type="dxa"/>
            <w:vAlign w:val="bottom"/>
            <w:gridSpan w:val="29"/>
            <w:shd w:val="clear" w:color="auto" w:fill="CCEEFF"/>
          </w:tcPr>
          <w:p>
            <w:pPr>
              <w:spacing w:after="0"/>
              <w:rPr>
                <w:rFonts w:ascii="Arial" w:cs="Arial" w:eastAsia="Arial" w:hAnsi="Arial"/>
                <w:sz w:val="22"/>
                <w:szCs w:val="22"/>
                <w:b w:val="1"/>
                <w:bCs w:val="1"/>
                <w:color w:val="56C271"/>
              </w:rPr>
            </w:pPr>
            <w:hyperlink w:anchor="page42">
              <w:r>
                <w:rPr>
                  <w:rFonts w:ascii="Arial" w:cs="Arial" w:eastAsia="Arial" w:hAnsi="Arial"/>
                  <w:sz w:val="22"/>
                  <w:szCs w:val="22"/>
                  <w:b w:val="1"/>
                  <w:bCs w:val="1"/>
                  <w:color w:val="56C271"/>
                </w:rPr>
                <w:t>Proposal 2 — Advisory Vote on Named Executive Officer Compensation</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980" w:type="dxa"/>
            <w:vAlign w:val="bottom"/>
          </w:tcPr>
          <w:p>
            <w:pPr>
              <w:spacing w:after="0"/>
              <w:rPr>
                <w:sz w:val="24"/>
                <w:szCs w:val="24"/>
                <w:color w:val="auto"/>
              </w:rPr>
            </w:pPr>
          </w:p>
        </w:tc>
      </w:tr>
      <w:tr>
        <w:trPr>
          <w:trHeight w:val="20"/>
        </w:trPr>
        <w:tc>
          <w:tcPr>
            <w:tcW w:w="1000" w:type="dxa"/>
            <w:vAlign w:val="bottom"/>
            <w:tcBorders>
              <w:right w:val="single" w:sz="8" w:color="56C271"/>
            </w:tcBorders>
          </w:tcPr>
          <w:p>
            <w:pPr>
              <w:spacing w:after="0" w:line="20" w:lineRule="exact"/>
              <w:rPr>
                <w:sz w:val="1"/>
                <w:szCs w:val="1"/>
                <w:color w:val="auto"/>
              </w:rPr>
            </w:pPr>
          </w:p>
        </w:tc>
        <w:tc>
          <w:tcPr>
            <w:tcW w:w="18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7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24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3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left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left w:val="single" w:sz="8" w:color="56C271"/>
            </w:tcBorders>
            <w:shd w:val="clear" w:color="auto" w:fill="56C271"/>
          </w:tcPr>
          <w:p>
            <w:pPr>
              <w:spacing w:after="0" w:line="20" w:lineRule="exact"/>
              <w:rPr>
                <w:sz w:val="1"/>
                <w:szCs w:val="1"/>
                <w:color w:val="auto"/>
              </w:rPr>
            </w:pPr>
          </w:p>
        </w:tc>
        <w:tc>
          <w:tcPr>
            <w:tcW w:w="220" w:type="dxa"/>
            <w:vAlign w:val="bottom"/>
            <w:tcBorders>
              <w:top w:val="single" w:sz="8" w:color="56C271"/>
            </w:tcBorders>
            <w:shd w:val="clear" w:color="auto" w:fill="56C271"/>
          </w:tcPr>
          <w:p>
            <w:pPr>
              <w:spacing w:after="0" w:line="20" w:lineRule="exact"/>
              <w:rPr>
                <w:sz w:val="1"/>
                <w:szCs w:val="1"/>
                <w:color w:val="auto"/>
              </w:rPr>
            </w:pPr>
          </w:p>
        </w:tc>
        <w:tc>
          <w:tcPr>
            <w:tcW w:w="80" w:type="dxa"/>
            <w:vAlign w:val="bottom"/>
            <w:tcBorders>
              <w:top w:val="single" w:sz="8" w:color="56C271"/>
            </w:tcBorders>
            <w:shd w:val="clear" w:color="auto" w:fill="56C271"/>
          </w:tcPr>
          <w:p>
            <w:pPr>
              <w:spacing w:after="0" w:line="20" w:lineRule="exact"/>
              <w:rPr>
                <w:sz w:val="1"/>
                <w:szCs w:val="1"/>
                <w:color w:val="auto"/>
              </w:rPr>
            </w:pPr>
          </w:p>
        </w:tc>
        <w:tc>
          <w:tcPr>
            <w:tcW w:w="14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80" w:type="dxa"/>
            <w:vAlign w:val="bottom"/>
            <w:tcBorders>
              <w:top w:val="single" w:sz="8" w:color="56C271"/>
            </w:tcBorders>
            <w:shd w:val="clear" w:color="auto" w:fill="56C271"/>
          </w:tcPr>
          <w:p>
            <w:pPr>
              <w:spacing w:after="0" w:line="20" w:lineRule="exact"/>
              <w:rPr>
                <w:sz w:val="1"/>
                <w:szCs w:val="1"/>
                <w:color w:val="auto"/>
              </w:rPr>
            </w:pPr>
          </w:p>
        </w:tc>
        <w:tc>
          <w:tcPr>
            <w:tcW w:w="260" w:type="dxa"/>
            <w:vAlign w:val="bottom"/>
            <w:tcBorders>
              <w:top w:val="single" w:sz="8" w:color="56C271"/>
            </w:tcBorders>
            <w:shd w:val="clear" w:color="auto" w:fill="56C271"/>
          </w:tcPr>
          <w:p>
            <w:pPr>
              <w:spacing w:after="0" w:line="20" w:lineRule="exact"/>
              <w:rPr>
                <w:sz w:val="1"/>
                <w:szCs w:val="1"/>
                <w:color w:val="auto"/>
              </w:rPr>
            </w:pPr>
          </w:p>
        </w:tc>
        <w:tc>
          <w:tcPr>
            <w:tcW w:w="520" w:type="dxa"/>
            <w:vAlign w:val="bottom"/>
            <w:tcBorders>
              <w:top w:val="single" w:sz="8" w:color="56C271"/>
            </w:tcBorders>
            <w:shd w:val="clear" w:color="auto" w:fill="56C271"/>
          </w:tcPr>
          <w:p>
            <w:pPr>
              <w:spacing w:after="0" w:line="20" w:lineRule="exact"/>
              <w:rPr>
                <w:sz w:val="1"/>
                <w:szCs w:val="1"/>
                <w:color w:val="auto"/>
              </w:rPr>
            </w:pPr>
          </w:p>
        </w:tc>
        <w:tc>
          <w:tcPr>
            <w:tcW w:w="480" w:type="dxa"/>
            <w:vAlign w:val="bottom"/>
            <w:tcBorders>
              <w:top w:val="single" w:sz="8" w:color="56C271"/>
            </w:tcBorders>
            <w:shd w:val="clear" w:color="auto" w:fill="56C271"/>
          </w:tcPr>
          <w:p>
            <w:pPr>
              <w:spacing w:after="0" w:line="20" w:lineRule="exact"/>
              <w:rPr>
                <w:sz w:val="1"/>
                <w:szCs w:val="1"/>
                <w:color w:val="auto"/>
              </w:rPr>
            </w:pPr>
          </w:p>
        </w:tc>
        <w:tc>
          <w:tcPr>
            <w:tcW w:w="1020" w:type="dxa"/>
            <w:vAlign w:val="bottom"/>
            <w:tcBorders>
              <w:top w:val="single" w:sz="8" w:color="56C271"/>
            </w:tcBorders>
            <w:shd w:val="clear" w:color="auto" w:fill="56C271"/>
          </w:tcPr>
          <w:p>
            <w:pPr>
              <w:spacing w:after="0" w:line="20" w:lineRule="exact"/>
              <w:rPr>
                <w:sz w:val="1"/>
                <w:szCs w:val="1"/>
                <w:color w:val="auto"/>
              </w:rPr>
            </w:pPr>
          </w:p>
        </w:tc>
        <w:tc>
          <w:tcPr>
            <w:tcW w:w="760" w:type="dxa"/>
            <w:vAlign w:val="bottom"/>
            <w:tcBorders>
              <w:top w:val="single" w:sz="8" w:color="56C271"/>
            </w:tcBorders>
            <w:shd w:val="clear" w:color="auto" w:fill="56C271"/>
          </w:tcPr>
          <w:p>
            <w:pPr>
              <w:spacing w:after="0" w:line="20" w:lineRule="exact"/>
              <w:rPr>
                <w:sz w:val="1"/>
                <w:szCs w:val="1"/>
                <w:color w:val="auto"/>
              </w:rPr>
            </w:pPr>
          </w:p>
        </w:tc>
        <w:tc>
          <w:tcPr>
            <w:tcW w:w="40" w:type="dxa"/>
            <w:vAlign w:val="bottom"/>
            <w:tcBorders>
              <w:top w:val="single" w:sz="8" w:color="56C271"/>
            </w:tcBorders>
            <w:shd w:val="clear" w:color="auto" w:fill="56C271"/>
          </w:tcPr>
          <w:p>
            <w:pPr>
              <w:spacing w:after="0" w:line="20" w:lineRule="exact"/>
              <w:rPr>
                <w:sz w:val="1"/>
                <w:szCs w:val="1"/>
                <w:color w:val="auto"/>
              </w:rPr>
            </w:pPr>
          </w:p>
        </w:tc>
        <w:tc>
          <w:tcPr>
            <w:tcW w:w="360" w:type="dxa"/>
            <w:vAlign w:val="bottom"/>
            <w:tcBorders>
              <w:top w:val="single" w:sz="8" w:color="CCEEFF"/>
            </w:tcBorders>
            <w:shd w:val="clear" w:color="auto" w:fill="56C271"/>
          </w:tcPr>
          <w:p>
            <w:pPr>
              <w:spacing w:after="0" w:line="20" w:lineRule="exact"/>
              <w:rPr>
                <w:sz w:val="1"/>
                <w:szCs w:val="1"/>
                <w:color w:val="auto"/>
              </w:rPr>
            </w:pPr>
          </w:p>
        </w:tc>
        <w:tc>
          <w:tcPr>
            <w:tcW w:w="20" w:type="dxa"/>
            <w:vAlign w:val="bottom"/>
            <w:tcBorders>
              <w:top w:val="single" w:sz="8" w:color="CCEEFF"/>
            </w:tcBorders>
            <w:shd w:val="clear" w:color="auto" w:fill="56C271"/>
          </w:tcPr>
          <w:p>
            <w:pPr>
              <w:spacing w:after="0" w:line="20" w:lineRule="exact"/>
              <w:rPr>
                <w:sz w:val="1"/>
                <w:szCs w:val="1"/>
                <w:color w:val="auto"/>
              </w:rPr>
            </w:pPr>
          </w:p>
        </w:tc>
        <w:tc>
          <w:tcPr>
            <w:tcW w:w="580" w:type="dxa"/>
            <w:vAlign w:val="bottom"/>
            <w:tcBorders>
              <w:top w:val="single" w:sz="8" w:color="CCEEFF"/>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0000EE"/>
            </w:tcBorders>
            <w:shd w:val="clear" w:color="auto" w:fill="56C27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1000" w:type="dxa"/>
            <w:vAlign w:val="bottom"/>
          </w:tcPr>
          <w:p>
            <w:pPr>
              <w:spacing w:after="0"/>
              <w:rPr>
                <w:sz w:val="24"/>
                <w:szCs w:val="24"/>
                <w:color w:val="auto"/>
              </w:rPr>
            </w:pPr>
          </w:p>
        </w:tc>
        <w:tc>
          <w:tcPr>
            <w:tcW w:w="8340" w:type="dxa"/>
            <w:vAlign w:val="bottom"/>
            <w:gridSpan w:val="29"/>
          </w:tcPr>
          <w:p>
            <w:pPr>
              <w:spacing w:after="0"/>
              <w:rPr>
                <w:rFonts w:ascii="Arial" w:cs="Arial" w:eastAsia="Arial" w:hAnsi="Arial"/>
                <w:sz w:val="22"/>
                <w:szCs w:val="22"/>
                <w:b w:val="1"/>
                <w:bCs w:val="1"/>
                <w:color w:val="56C271"/>
              </w:rPr>
            </w:pPr>
            <w:hyperlink w:anchor="page44">
              <w:r>
                <w:rPr>
                  <w:rFonts w:ascii="Arial" w:cs="Arial" w:eastAsia="Arial" w:hAnsi="Arial"/>
                  <w:sz w:val="22"/>
                  <w:szCs w:val="22"/>
                  <w:b w:val="1"/>
                  <w:bCs w:val="1"/>
                  <w:color w:val="56C271"/>
                </w:rPr>
                <w:t>Compensation Discussion and Analysis</w:t>
              </w:r>
            </w:hyperlink>
          </w:p>
        </w:tc>
        <w:tc>
          <w:tcPr>
            <w:tcW w:w="1380" w:type="dxa"/>
            <w:vAlign w:val="bottom"/>
            <w:gridSpan w:val="3"/>
          </w:tcPr>
          <w:p>
            <w:pPr>
              <w:jc w:val="right"/>
              <w:ind w:right="980"/>
              <w:spacing w:after="0"/>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r>
      <w:tr>
        <w:trPr>
          <w:trHeight w:val="48"/>
        </w:trPr>
        <w:tc>
          <w:tcPr>
            <w:tcW w:w="1000" w:type="dxa"/>
            <w:vAlign w:val="bottom"/>
          </w:tcPr>
          <w:p>
            <w:pPr>
              <w:spacing w:after="0"/>
              <w:rPr>
                <w:sz w:val="4"/>
                <w:szCs w:val="4"/>
                <w:color w:val="auto"/>
              </w:rPr>
            </w:pPr>
          </w:p>
        </w:tc>
        <w:tc>
          <w:tcPr>
            <w:tcW w:w="18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740" w:type="dxa"/>
            <w:vAlign w:val="bottom"/>
            <w:tcBorders>
              <w:top w:val="single" w:sz="8" w:color="56C271"/>
              <w:bottom w:val="single" w:sz="8" w:color="56C271"/>
            </w:tcBorders>
          </w:tcPr>
          <w:p>
            <w:pPr>
              <w:spacing w:after="0"/>
              <w:rPr>
                <w:sz w:val="4"/>
                <w:szCs w:val="4"/>
                <w:color w:val="auto"/>
              </w:rPr>
            </w:pPr>
          </w:p>
        </w:tc>
        <w:tc>
          <w:tcPr>
            <w:tcW w:w="24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2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3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12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220" w:type="dxa"/>
            <w:vAlign w:val="bottom"/>
            <w:tcBorders>
              <w:top w:val="single" w:sz="8" w:color="56C271"/>
              <w:bottom w:val="single" w:sz="8" w:color="56C271"/>
            </w:tcBorders>
          </w:tcPr>
          <w:p>
            <w:pPr>
              <w:spacing w:after="0"/>
              <w:rPr>
                <w:sz w:val="4"/>
                <w:szCs w:val="4"/>
                <w:color w:val="auto"/>
              </w:rPr>
            </w:pPr>
          </w:p>
        </w:tc>
        <w:tc>
          <w:tcPr>
            <w:tcW w:w="80" w:type="dxa"/>
            <w:vAlign w:val="bottom"/>
            <w:tcBorders>
              <w:top w:val="single" w:sz="8" w:color="56C271"/>
              <w:bottom w:val="single" w:sz="8" w:color="56C271"/>
            </w:tcBorders>
          </w:tcPr>
          <w:p>
            <w:pPr>
              <w:spacing w:after="0"/>
              <w:rPr>
                <w:sz w:val="4"/>
                <w:szCs w:val="4"/>
                <w:color w:val="auto"/>
              </w:rPr>
            </w:pPr>
          </w:p>
        </w:tc>
        <w:tc>
          <w:tcPr>
            <w:tcW w:w="1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80" w:type="dxa"/>
            <w:vAlign w:val="bottom"/>
            <w:tcBorders>
              <w:bottom w:val="single" w:sz="8" w:color="56C271"/>
            </w:tcBorders>
          </w:tcPr>
          <w:p>
            <w:pPr>
              <w:spacing w:after="0"/>
              <w:rPr>
                <w:sz w:val="4"/>
                <w:szCs w:val="4"/>
                <w:color w:val="auto"/>
              </w:rPr>
            </w:pPr>
          </w:p>
        </w:tc>
        <w:tc>
          <w:tcPr>
            <w:tcW w:w="260" w:type="dxa"/>
            <w:vAlign w:val="bottom"/>
            <w:tcBorders>
              <w:bottom w:val="single" w:sz="8" w:color="56C271"/>
            </w:tcBorders>
          </w:tcPr>
          <w:p>
            <w:pPr>
              <w:spacing w:after="0"/>
              <w:rPr>
                <w:sz w:val="4"/>
                <w:szCs w:val="4"/>
                <w:color w:val="auto"/>
              </w:rPr>
            </w:pPr>
          </w:p>
        </w:tc>
        <w:tc>
          <w:tcPr>
            <w:tcW w:w="520" w:type="dxa"/>
            <w:vAlign w:val="bottom"/>
            <w:tcBorders>
              <w:bottom w:val="single" w:sz="8" w:color="56C271"/>
            </w:tcBorders>
          </w:tcPr>
          <w:p>
            <w:pPr>
              <w:spacing w:after="0"/>
              <w:rPr>
                <w:sz w:val="4"/>
                <w:szCs w:val="4"/>
                <w:color w:val="auto"/>
              </w:rPr>
            </w:pPr>
          </w:p>
        </w:tc>
        <w:tc>
          <w:tcPr>
            <w:tcW w:w="480" w:type="dxa"/>
            <w:vAlign w:val="bottom"/>
            <w:tcBorders>
              <w:bottom w:val="single" w:sz="8" w:color="56C271"/>
            </w:tcBorders>
          </w:tcPr>
          <w:p>
            <w:pPr>
              <w:spacing w:after="0"/>
              <w:rPr>
                <w:sz w:val="4"/>
                <w:szCs w:val="4"/>
                <w:color w:val="auto"/>
              </w:rPr>
            </w:pPr>
          </w:p>
        </w:tc>
        <w:tc>
          <w:tcPr>
            <w:tcW w:w="1020" w:type="dxa"/>
            <w:vAlign w:val="bottom"/>
            <w:tcBorders>
              <w:bottom w:val="single" w:sz="8" w:color="56C271"/>
            </w:tcBorders>
          </w:tcPr>
          <w:p>
            <w:pPr>
              <w:spacing w:after="0"/>
              <w:rPr>
                <w:sz w:val="4"/>
                <w:szCs w:val="4"/>
                <w:color w:val="auto"/>
              </w:rPr>
            </w:pPr>
          </w:p>
        </w:tc>
        <w:tc>
          <w:tcPr>
            <w:tcW w:w="760" w:type="dxa"/>
            <w:vAlign w:val="bottom"/>
            <w:tcBorders>
              <w:bottom w:val="single" w:sz="8" w:color="56C271"/>
            </w:tcBorders>
          </w:tcPr>
          <w:p>
            <w:pPr>
              <w:spacing w:after="0"/>
              <w:rPr>
                <w:sz w:val="4"/>
                <w:szCs w:val="4"/>
                <w:color w:val="auto"/>
              </w:rPr>
            </w:pPr>
          </w:p>
        </w:tc>
        <w:tc>
          <w:tcPr>
            <w:tcW w:w="40" w:type="dxa"/>
            <w:vAlign w:val="bottom"/>
            <w:tcBorders>
              <w:bottom w:val="single" w:sz="8" w:color="56C271"/>
            </w:tcBorders>
          </w:tcPr>
          <w:p>
            <w:pPr>
              <w:spacing w:after="0"/>
              <w:rPr>
                <w:sz w:val="4"/>
                <w:szCs w:val="4"/>
                <w:color w:val="auto"/>
              </w:rPr>
            </w:pPr>
          </w:p>
        </w:tc>
        <w:tc>
          <w:tcPr>
            <w:tcW w:w="360" w:type="dxa"/>
            <w:vAlign w:val="bottom"/>
            <w:tcBorders>
              <w:bottom w:val="single" w:sz="8" w:color="56C271"/>
            </w:tcBorders>
          </w:tcPr>
          <w:p>
            <w:pPr>
              <w:spacing w:after="0"/>
              <w:rPr>
                <w:sz w:val="4"/>
                <w:szCs w:val="4"/>
                <w:color w:val="auto"/>
              </w:rPr>
            </w:pPr>
          </w:p>
        </w:tc>
        <w:tc>
          <w:tcPr>
            <w:tcW w:w="20" w:type="dxa"/>
            <w:vAlign w:val="bottom"/>
            <w:tcBorders>
              <w:bottom w:val="single" w:sz="8" w:color="56C271"/>
            </w:tcBorders>
          </w:tcPr>
          <w:p>
            <w:pPr>
              <w:spacing w:after="0"/>
              <w:rPr>
                <w:sz w:val="4"/>
                <w:szCs w:val="4"/>
                <w:color w:val="auto"/>
              </w:rPr>
            </w:pPr>
          </w:p>
        </w:tc>
        <w:tc>
          <w:tcPr>
            <w:tcW w:w="580" w:type="dxa"/>
            <w:vAlign w:val="bottom"/>
            <w:tcBorders>
              <w:bottom w:val="single" w:sz="8" w:color="56C271"/>
            </w:tcBorders>
          </w:tcPr>
          <w:p>
            <w:pPr>
              <w:spacing w:after="0"/>
              <w:rPr>
                <w:sz w:val="4"/>
                <w:szCs w:val="4"/>
                <w:color w:val="auto"/>
              </w:rPr>
            </w:pPr>
          </w:p>
        </w:tc>
        <w:tc>
          <w:tcPr>
            <w:tcW w:w="220" w:type="dxa"/>
            <w:vAlign w:val="bottom"/>
            <w:tcBorders>
              <w:bottom w:val="single" w:sz="8" w:color="56C271"/>
            </w:tcBorders>
          </w:tcPr>
          <w:p>
            <w:pPr>
              <w:spacing w:after="0"/>
              <w:rPr>
                <w:sz w:val="4"/>
                <w:szCs w:val="4"/>
                <w:color w:val="auto"/>
              </w:rPr>
            </w:pPr>
          </w:p>
        </w:tc>
        <w:tc>
          <w:tcPr>
            <w:tcW w:w="200" w:type="dxa"/>
            <w:vAlign w:val="bottom"/>
            <w:tcBorders>
              <w:bottom w:val="single" w:sz="8" w:color="56C271"/>
            </w:tcBorders>
          </w:tcPr>
          <w:p>
            <w:pPr>
              <w:spacing w:after="0"/>
              <w:rPr>
                <w:sz w:val="4"/>
                <w:szCs w:val="4"/>
                <w:color w:val="auto"/>
              </w:rPr>
            </w:pPr>
          </w:p>
        </w:tc>
        <w:tc>
          <w:tcPr>
            <w:tcW w:w="200" w:type="dxa"/>
            <w:vAlign w:val="bottom"/>
            <w:tcBorders>
              <w:top w:val="single" w:sz="8" w:color="0000EE"/>
              <w:bottom w:val="single" w:sz="8" w:color="56C271"/>
            </w:tcBorders>
          </w:tcPr>
          <w:p>
            <w:pPr>
              <w:spacing w:after="0"/>
              <w:rPr>
                <w:sz w:val="4"/>
                <w:szCs w:val="4"/>
                <w:color w:val="auto"/>
              </w:rPr>
            </w:pPr>
          </w:p>
        </w:tc>
        <w:tc>
          <w:tcPr>
            <w:tcW w:w="980" w:type="dxa"/>
            <w:vAlign w:val="bottom"/>
          </w:tcPr>
          <w:p>
            <w:pPr>
              <w:spacing w:after="0"/>
              <w:rPr>
                <w:sz w:val="4"/>
                <w:szCs w:val="4"/>
                <w:color w:val="auto"/>
              </w:rPr>
            </w:pPr>
          </w:p>
        </w:tc>
      </w:tr>
      <w:tr>
        <w:trPr>
          <w:trHeight w:val="304"/>
        </w:trPr>
        <w:tc>
          <w:tcPr>
            <w:tcW w:w="1000" w:type="dxa"/>
            <w:vAlign w:val="bottom"/>
            <w:tcBorders>
              <w:right w:val="single" w:sz="8" w:color="CCEEFF"/>
            </w:tcBorders>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160" w:type="dxa"/>
            <w:vAlign w:val="bottom"/>
            <w:gridSpan w:val="28"/>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Executive Summary</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c>
          <w:tcPr>
            <w:tcW w:w="980" w:type="dxa"/>
            <w:vAlign w:val="bottom"/>
          </w:tcPr>
          <w:p>
            <w:pPr>
              <w:spacing w:after="0"/>
              <w:rPr>
                <w:sz w:val="24"/>
                <w:szCs w:val="24"/>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13"/>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Compensation Governance and Process</w:t>
              </w:r>
            </w:hyperlink>
          </w:p>
        </w:tc>
        <w:tc>
          <w:tcPr>
            <w:tcW w:w="4940" w:type="dxa"/>
            <w:vAlign w:val="bottom"/>
            <w:gridSpan w:val="15"/>
          </w:tcPr>
          <w:p>
            <w:pPr>
              <w:spacing w:after="0"/>
              <w:rPr>
                <w:sz w:val="18"/>
                <w:szCs w:val="18"/>
                <w:color w:val="auto"/>
              </w:rPr>
            </w:pPr>
          </w:p>
        </w:tc>
        <w:tc>
          <w:tcPr>
            <w:tcW w:w="1380" w:type="dxa"/>
            <w:vAlign w:val="bottom"/>
            <w:gridSpan w:val="3"/>
          </w:tcPr>
          <w:p>
            <w:pPr>
              <w:jc w:val="right"/>
              <w:ind w:right="980"/>
              <w:spacing w:after="0"/>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Overview of Pay Programs</w:t>
              </w:r>
            </w:hyperlink>
          </w:p>
        </w:tc>
        <w:tc>
          <w:tcPr>
            <w:tcW w:w="1100" w:type="dxa"/>
            <w:vAlign w:val="bottom"/>
            <w:gridSpan w:val="7"/>
            <w:shd w:val="clear" w:color="auto" w:fill="CCEEFF"/>
          </w:tcPr>
          <w:p>
            <w:pPr>
              <w:spacing w:after="0"/>
              <w:rPr>
                <w:sz w:val="18"/>
                <w:szCs w:val="18"/>
                <w:color w:val="auto"/>
              </w:rPr>
            </w:pPr>
          </w:p>
        </w:tc>
        <w:tc>
          <w:tcPr>
            <w:tcW w:w="4940" w:type="dxa"/>
            <w:vAlign w:val="bottom"/>
            <w:gridSpan w:val="15"/>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6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Elements of Executive Compensation</w:t>
              </w:r>
            </w:hyperlink>
          </w:p>
        </w:tc>
        <w:tc>
          <w:tcPr>
            <w:tcW w:w="1380" w:type="dxa"/>
            <w:vAlign w:val="bottom"/>
            <w:gridSpan w:val="3"/>
          </w:tcPr>
          <w:p>
            <w:pPr>
              <w:jc w:val="right"/>
              <w:ind w:right="980"/>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160" w:type="dxa"/>
            <w:vAlign w:val="bottom"/>
            <w:gridSpan w:val="28"/>
            <w:shd w:val="clear" w:color="auto" w:fill="CCEEFF"/>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Additional Practices, Policies and Guidelines</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378"/>
        </w:trPr>
        <w:tc>
          <w:tcPr>
            <w:tcW w:w="1000" w:type="dxa"/>
            <w:vAlign w:val="bottom"/>
          </w:tcPr>
          <w:p>
            <w:pPr>
              <w:spacing w:after="0"/>
              <w:rPr>
                <w:sz w:val="24"/>
                <w:szCs w:val="24"/>
                <w:color w:val="auto"/>
              </w:rPr>
            </w:pPr>
          </w:p>
        </w:tc>
        <w:tc>
          <w:tcPr>
            <w:tcW w:w="8340" w:type="dxa"/>
            <w:vAlign w:val="bottom"/>
            <w:gridSpan w:val="29"/>
          </w:tcPr>
          <w:p>
            <w:pPr>
              <w:spacing w:after="0"/>
              <w:rPr>
                <w:rFonts w:ascii="Arial" w:cs="Arial" w:eastAsia="Arial" w:hAnsi="Arial"/>
                <w:sz w:val="22"/>
                <w:szCs w:val="22"/>
                <w:b w:val="1"/>
                <w:bCs w:val="1"/>
                <w:color w:val="56C271"/>
              </w:rPr>
            </w:pPr>
            <w:hyperlink w:anchor="page64">
              <w:r>
                <w:rPr>
                  <w:rFonts w:ascii="Arial" w:cs="Arial" w:eastAsia="Arial" w:hAnsi="Arial"/>
                  <w:sz w:val="22"/>
                  <w:szCs w:val="22"/>
                  <w:b w:val="1"/>
                  <w:bCs w:val="1"/>
                  <w:color w:val="56C271"/>
                </w:rPr>
                <w:t>Compensation and Leadership Development Committee Report</w:t>
              </w:r>
            </w:hyperlink>
          </w:p>
        </w:tc>
        <w:tc>
          <w:tcPr>
            <w:tcW w:w="1380" w:type="dxa"/>
            <w:vAlign w:val="bottom"/>
            <w:gridSpan w:val="3"/>
          </w:tcPr>
          <w:p>
            <w:pPr>
              <w:jc w:val="right"/>
              <w:ind w:right="980"/>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48"/>
        </w:trPr>
        <w:tc>
          <w:tcPr>
            <w:tcW w:w="1000" w:type="dxa"/>
            <w:vAlign w:val="bottom"/>
          </w:tcPr>
          <w:p>
            <w:pPr>
              <w:spacing w:after="0"/>
              <w:rPr>
                <w:sz w:val="4"/>
                <w:szCs w:val="4"/>
                <w:color w:val="auto"/>
              </w:rPr>
            </w:pPr>
          </w:p>
        </w:tc>
        <w:tc>
          <w:tcPr>
            <w:tcW w:w="18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740" w:type="dxa"/>
            <w:vAlign w:val="bottom"/>
            <w:tcBorders>
              <w:top w:val="single" w:sz="8" w:color="56C271"/>
              <w:bottom w:val="single" w:sz="8" w:color="56C271"/>
            </w:tcBorders>
          </w:tcPr>
          <w:p>
            <w:pPr>
              <w:spacing w:after="0"/>
              <w:rPr>
                <w:sz w:val="4"/>
                <w:szCs w:val="4"/>
                <w:color w:val="auto"/>
              </w:rPr>
            </w:pPr>
          </w:p>
        </w:tc>
        <w:tc>
          <w:tcPr>
            <w:tcW w:w="24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2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3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12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220" w:type="dxa"/>
            <w:vAlign w:val="bottom"/>
            <w:tcBorders>
              <w:top w:val="single" w:sz="8" w:color="56C271"/>
              <w:bottom w:val="single" w:sz="8" w:color="56C271"/>
            </w:tcBorders>
          </w:tcPr>
          <w:p>
            <w:pPr>
              <w:spacing w:after="0"/>
              <w:rPr>
                <w:sz w:val="4"/>
                <w:szCs w:val="4"/>
                <w:color w:val="auto"/>
              </w:rPr>
            </w:pPr>
          </w:p>
        </w:tc>
        <w:tc>
          <w:tcPr>
            <w:tcW w:w="80" w:type="dxa"/>
            <w:vAlign w:val="bottom"/>
            <w:tcBorders>
              <w:top w:val="single" w:sz="8" w:color="56C271"/>
              <w:bottom w:val="single" w:sz="8" w:color="56C271"/>
            </w:tcBorders>
          </w:tcPr>
          <w:p>
            <w:pPr>
              <w:spacing w:after="0"/>
              <w:rPr>
                <w:sz w:val="4"/>
                <w:szCs w:val="4"/>
                <w:color w:val="auto"/>
              </w:rPr>
            </w:pPr>
          </w:p>
        </w:tc>
        <w:tc>
          <w:tcPr>
            <w:tcW w:w="1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80" w:type="dxa"/>
            <w:vAlign w:val="bottom"/>
            <w:tcBorders>
              <w:top w:val="single" w:sz="8" w:color="56C271"/>
              <w:bottom w:val="single" w:sz="8" w:color="56C271"/>
            </w:tcBorders>
          </w:tcPr>
          <w:p>
            <w:pPr>
              <w:spacing w:after="0"/>
              <w:rPr>
                <w:sz w:val="4"/>
                <w:szCs w:val="4"/>
                <w:color w:val="auto"/>
              </w:rPr>
            </w:pPr>
          </w:p>
        </w:tc>
        <w:tc>
          <w:tcPr>
            <w:tcW w:w="260" w:type="dxa"/>
            <w:vAlign w:val="bottom"/>
            <w:tcBorders>
              <w:top w:val="single" w:sz="8" w:color="56C271"/>
              <w:bottom w:val="single" w:sz="8" w:color="56C271"/>
            </w:tcBorders>
          </w:tcPr>
          <w:p>
            <w:pPr>
              <w:spacing w:after="0"/>
              <w:rPr>
                <w:sz w:val="4"/>
                <w:szCs w:val="4"/>
                <w:color w:val="auto"/>
              </w:rPr>
            </w:pPr>
          </w:p>
        </w:tc>
        <w:tc>
          <w:tcPr>
            <w:tcW w:w="520" w:type="dxa"/>
            <w:vAlign w:val="bottom"/>
            <w:tcBorders>
              <w:top w:val="single" w:sz="8" w:color="56C271"/>
              <w:bottom w:val="single" w:sz="8" w:color="56C271"/>
            </w:tcBorders>
          </w:tcPr>
          <w:p>
            <w:pPr>
              <w:spacing w:after="0"/>
              <w:rPr>
                <w:sz w:val="4"/>
                <w:szCs w:val="4"/>
                <w:color w:val="auto"/>
              </w:rPr>
            </w:pPr>
          </w:p>
        </w:tc>
        <w:tc>
          <w:tcPr>
            <w:tcW w:w="480" w:type="dxa"/>
            <w:vAlign w:val="bottom"/>
            <w:tcBorders>
              <w:top w:val="single" w:sz="8" w:color="56C271"/>
              <w:bottom w:val="single" w:sz="8" w:color="56C271"/>
            </w:tcBorders>
          </w:tcPr>
          <w:p>
            <w:pPr>
              <w:spacing w:after="0"/>
              <w:rPr>
                <w:sz w:val="4"/>
                <w:szCs w:val="4"/>
                <w:color w:val="auto"/>
              </w:rPr>
            </w:pPr>
          </w:p>
        </w:tc>
        <w:tc>
          <w:tcPr>
            <w:tcW w:w="1020" w:type="dxa"/>
            <w:vAlign w:val="bottom"/>
            <w:tcBorders>
              <w:top w:val="single" w:sz="8" w:color="56C271"/>
              <w:bottom w:val="single" w:sz="8" w:color="56C271"/>
            </w:tcBorders>
          </w:tcPr>
          <w:p>
            <w:pPr>
              <w:spacing w:after="0"/>
              <w:rPr>
                <w:sz w:val="4"/>
                <w:szCs w:val="4"/>
                <w:color w:val="auto"/>
              </w:rPr>
            </w:pPr>
          </w:p>
        </w:tc>
        <w:tc>
          <w:tcPr>
            <w:tcW w:w="760" w:type="dxa"/>
            <w:vAlign w:val="bottom"/>
            <w:tcBorders>
              <w:bottom w:val="single" w:sz="8" w:color="56C271"/>
            </w:tcBorders>
          </w:tcPr>
          <w:p>
            <w:pPr>
              <w:spacing w:after="0"/>
              <w:rPr>
                <w:sz w:val="4"/>
                <w:szCs w:val="4"/>
                <w:color w:val="auto"/>
              </w:rPr>
            </w:pPr>
          </w:p>
        </w:tc>
        <w:tc>
          <w:tcPr>
            <w:tcW w:w="40" w:type="dxa"/>
            <w:vAlign w:val="bottom"/>
            <w:tcBorders>
              <w:bottom w:val="single" w:sz="8" w:color="56C271"/>
            </w:tcBorders>
          </w:tcPr>
          <w:p>
            <w:pPr>
              <w:spacing w:after="0"/>
              <w:rPr>
                <w:sz w:val="4"/>
                <w:szCs w:val="4"/>
                <w:color w:val="auto"/>
              </w:rPr>
            </w:pPr>
          </w:p>
        </w:tc>
        <w:tc>
          <w:tcPr>
            <w:tcW w:w="360" w:type="dxa"/>
            <w:vAlign w:val="bottom"/>
            <w:tcBorders>
              <w:bottom w:val="single" w:sz="8" w:color="56C271"/>
            </w:tcBorders>
          </w:tcPr>
          <w:p>
            <w:pPr>
              <w:spacing w:after="0"/>
              <w:rPr>
                <w:sz w:val="4"/>
                <w:szCs w:val="4"/>
                <w:color w:val="auto"/>
              </w:rPr>
            </w:pPr>
          </w:p>
        </w:tc>
        <w:tc>
          <w:tcPr>
            <w:tcW w:w="20" w:type="dxa"/>
            <w:vAlign w:val="bottom"/>
            <w:tcBorders>
              <w:bottom w:val="single" w:sz="8" w:color="56C271"/>
            </w:tcBorders>
          </w:tcPr>
          <w:p>
            <w:pPr>
              <w:spacing w:after="0"/>
              <w:rPr>
                <w:sz w:val="4"/>
                <w:szCs w:val="4"/>
                <w:color w:val="auto"/>
              </w:rPr>
            </w:pPr>
          </w:p>
        </w:tc>
        <w:tc>
          <w:tcPr>
            <w:tcW w:w="580" w:type="dxa"/>
            <w:vAlign w:val="bottom"/>
            <w:tcBorders>
              <w:bottom w:val="single" w:sz="8" w:color="56C271"/>
            </w:tcBorders>
          </w:tcPr>
          <w:p>
            <w:pPr>
              <w:spacing w:after="0"/>
              <w:rPr>
                <w:sz w:val="4"/>
                <w:szCs w:val="4"/>
                <w:color w:val="auto"/>
              </w:rPr>
            </w:pPr>
          </w:p>
        </w:tc>
        <w:tc>
          <w:tcPr>
            <w:tcW w:w="220" w:type="dxa"/>
            <w:vAlign w:val="bottom"/>
            <w:tcBorders>
              <w:bottom w:val="single" w:sz="8" w:color="56C271"/>
            </w:tcBorders>
          </w:tcPr>
          <w:p>
            <w:pPr>
              <w:spacing w:after="0"/>
              <w:rPr>
                <w:sz w:val="4"/>
                <w:szCs w:val="4"/>
                <w:color w:val="auto"/>
              </w:rPr>
            </w:pPr>
          </w:p>
        </w:tc>
        <w:tc>
          <w:tcPr>
            <w:tcW w:w="200" w:type="dxa"/>
            <w:vAlign w:val="bottom"/>
            <w:tcBorders>
              <w:bottom w:val="single" w:sz="8" w:color="56C271"/>
            </w:tcBorders>
          </w:tcPr>
          <w:p>
            <w:pPr>
              <w:spacing w:after="0"/>
              <w:rPr>
                <w:sz w:val="4"/>
                <w:szCs w:val="4"/>
                <w:color w:val="auto"/>
              </w:rPr>
            </w:pPr>
          </w:p>
        </w:tc>
        <w:tc>
          <w:tcPr>
            <w:tcW w:w="200" w:type="dxa"/>
            <w:vAlign w:val="bottom"/>
            <w:tcBorders>
              <w:top w:val="single" w:sz="8" w:color="0000EE"/>
              <w:bottom w:val="single" w:sz="8" w:color="56C271"/>
            </w:tcBorders>
          </w:tcPr>
          <w:p>
            <w:pPr>
              <w:spacing w:after="0"/>
              <w:rPr>
                <w:sz w:val="4"/>
                <w:szCs w:val="4"/>
                <w:color w:val="auto"/>
              </w:rPr>
            </w:pPr>
          </w:p>
        </w:tc>
        <w:tc>
          <w:tcPr>
            <w:tcW w:w="980" w:type="dxa"/>
            <w:vAlign w:val="bottom"/>
          </w:tcPr>
          <w:p>
            <w:pPr>
              <w:spacing w:after="0"/>
              <w:rPr>
                <w:sz w:val="4"/>
                <w:szCs w:val="4"/>
                <w:color w:val="auto"/>
              </w:rPr>
            </w:pPr>
          </w:p>
        </w:tc>
      </w:tr>
      <w:tr>
        <w:trPr>
          <w:trHeight w:val="419"/>
        </w:trPr>
        <w:tc>
          <w:tcPr>
            <w:tcW w:w="1000" w:type="dxa"/>
            <w:vAlign w:val="bottom"/>
            <w:tcBorders>
              <w:right w:val="single" w:sz="8" w:color="CCEEFF"/>
            </w:tcBorders>
          </w:tcPr>
          <w:p>
            <w:pPr>
              <w:spacing w:after="0"/>
              <w:rPr>
                <w:sz w:val="24"/>
                <w:szCs w:val="24"/>
                <w:color w:val="auto"/>
              </w:rPr>
            </w:pPr>
          </w:p>
        </w:tc>
        <w:tc>
          <w:tcPr>
            <w:tcW w:w="8340" w:type="dxa"/>
            <w:vAlign w:val="bottom"/>
            <w:gridSpan w:val="29"/>
            <w:shd w:val="clear" w:color="auto" w:fill="CCEEFF"/>
          </w:tcPr>
          <w:p>
            <w:pPr>
              <w:spacing w:after="0"/>
              <w:rPr>
                <w:rFonts w:ascii="Arial" w:cs="Arial" w:eastAsia="Arial" w:hAnsi="Arial"/>
                <w:sz w:val="22"/>
                <w:szCs w:val="22"/>
                <w:b w:val="1"/>
                <w:bCs w:val="1"/>
                <w:color w:val="56C271"/>
              </w:rPr>
            </w:pPr>
            <w:hyperlink w:anchor="page65">
              <w:r>
                <w:rPr>
                  <w:rFonts w:ascii="Arial" w:cs="Arial" w:eastAsia="Arial" w:hAnsi="Arial"/>
                  <w:sz w:val="22"/>
                  <w:szCs w:val="22"/>
                  <w:b w:val="1"/>
                  <w:bCs w:val="1"/>
                  <w:color w:val="56C271"/>
                </w:rPr>
                <w:t>Compensation of Executive Officers</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c>
          <w:tcPr>
            <w:tcW w:w="980" w:type="dxa"/>
            <w:vAlign w:val="bottom"/>
          </w:tcPr>
          <w:p>
            <w:pPr>
              <w:spacing w:after="0"/>
              <w:rPr>
                <w:sz w:val="24"/>
                <w:szCs w:val="24"/>
                <w:color w:val="auto"/>
              </w:rPr>
            </w:pPr>
          </w:p>
        </w:tc>
      </w:tr>
      <w:tr>
        <w:trPr>
          <w:trHeight w:val="20"/>
        </w:trPr>
        <w:tc>
          <w:tcPr>
            <w:tcW w:w="1000" w:type="dxa"/>
            <w:vAlign w:val="bottom"/>
            <w:tcBorders>
              <w:right w:val="single" w:sz="8" w:color="56C271"/>
            </w:tcBorders>
          </w:tcPr>
          <w:p>
            <w:pPr>
              <w:spacing w:after="0" w:line="20" w:lineRule="exact"/>
              <w:rPr>
                <w:sz w:val="1"/>
                <w:szCs w:val="1"/>
                <w:color w:val="auto"/>
              </w:rPr>
            </w:pPr>
          </w:p>
        </w:tc>
        <w:tc>
          <w:tcPr>
            <w:tcW w:w="18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7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24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3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left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left w:val="single" w:sz="8" w:color="56C271"/>
            </w:tcBorders>
            <w:shd w:val="clear" w:color="auto" w:fill="56C271"/>
          </w:tcPr>
          <w:p>
            <w:pPr>
              <w:spacing w:after="0" w:line="20" w:lineRule="exact"/>
              <w:rPr>
                <w:sz w:val="1"/>
                <w:szCs w:val="1"/>
                <w:color w:val="auto"/>
              </w:rPr>
            </w:pPr>
          </w:p>
        </w:tc>
        <w:tc>
          <w:tcPr>
            <w:tcW w:w="220" w:type="dxa"/>
            <w:vAlign w:val="bottom"/>
            <w:tcBorders>
              <w:top w:val="single" w:sz="8" w:color="56C271"/>
            </w:tcBorders>
            <w:shd w:val="clear" w:color="auto" w:fill="56C271"/>
          </w:tcPr>
          <w:p>
            <w:pPr>
              <w:spacing w:after="0" w:line="20" w:lineRule="exact"/>
              <w:rPr>
                <w:sz w:val="1"/>
                <w:szCs w:val="1"/>
                <w:color w:val="auto"/>
              </w:rPr>
            </w:pPr>
          </w:p>
        </w:tc>
        <w:tc>
          <w:tcPr>
            <w:tcW w:w="80" w:type="dxa"/>
            <w:vAlign w:val="bottom"/>
            <w:tcBorders>
              <w:top w:val="single" w:sz="8" w:color="CCEEFF"/>
            </w:tcBorders>
            <w:shd w:val="clear" w:color="auto" w:fill="56C271"/>
          </w:tcPr>
          <w:p>
            <w:pPr>
              <w:spacing w:after="0" w:line="20" w:lineRule="exact"/>
              <w:rPr>
                <w:sz w:val="1"/>
                <w:szCs w:val="1"/>
                <w:color w:val="auto"/>
              </w:rPr>
            </w:pPr>
          </w:p>
        </w:tc>
        <w:tc>
          <w:tcPr>
            <w:tcW w:w="140" w:type="dxa"/>
            <w:vAlign w:val="bottom"/>
            <w:tcBorders>
              <w:top w:val="single" w:sz="8" w:color="CCEEFF"/>
            </w:tcBorders>
            <w:shd w:val="clear" w:color="auto" w:fill="56C271"/>
          </w:tcPr>
          <w:p>
            <w:pPr>
              <w:spacing w:after="0" w:line="20" w:lineRule="exact"/>
              <w:rPr>
                <w:sz w:val="1"/>
                <w:szCs w:val="1"/>
                <w:color w:val="auto"/>
              </w:rPr>
            </w:pPr>
          </w:p>
        </w:tc>
        <w:tc>
          <w:tcPr>
            <w:tcW w:w="160" w:type="dxa"/>
            <w:vAlign w:val="bottom"/>
            <w:tcBorders>
              <w:top w:val="single" w:sz="8" w:color="CCEEFF"/>
            </w:tcBorders>
            <w:shd w:val="clear" w:color="auto" w:fill="56C271"/>
          </w:tcPr>
          <w:p>
            <w:pPr>
              <w:spacing w:after="0" w:line="20" w:lineRule="exact"/>
              <w:rPr>
                <w:sz w:val="1"/>
                <w:szCs w:val="1"/>
                <w:color w:val="auto"/>
              </w:rPr>
            </w:pPr>
          </w:p>
        </w:tc>
        <w:tc>
          <w:tcPr>
            <w:tcW w:w="80" w:type="dxa"/>
            <w:vAlign w:val="bottom"/>
            <w:tcBorders>
              <w:top w:val="single" w:sz="8" w:color="CCEEFF"/>
            </w:tcBorders>
            <w:shd w:val="clear" w:color="auto" w:fill="56C271"/>
          </w:tcPr>
          <w:p>
            <w:pPr>
              <w:spacing w:after="0" w:line="20" w:lineRule="exact"/>
              <w:rPr>
                <w:sz w:val="1"/>
                <w:szCs w:val="1"/>
                <w:color w:val="auto"/>
              </w:rPr>
            </w:pPr>
          </w:p>
        </w:tc>
        <w:tc>
          <w:tcPr>
            <w:tcW w:w="260" w:type="dxa"/>
            <w:vAlign w:val="bottom"/>
            <w:tcBorders>
              <w:top w:val="single" w:sz="8" w:color="CCEEFF"/>
            </w:tcBorders>
            <w:shd w:val="clear" w:color="auto" w:fill="56C271"/>
          </w:tcPr>
          <w:p>
            <w:pPr>
              <w:spacing w:after="0" w:line="20" w:lineRule="exact"/>
              <w:rPr>
                <w:sz w:val="1"/>
                <w:szCs w:val="1"/>
                <w:color w:val="auto"/>
              </w:rPr>
            </w:pPr>
          </w:p>
        </w:tc>
        <w:tc>
          <w:tcPr>
            <w:tcW w:w="520" w:type="dxa"/>
            <w:vAlign w:val="bottom"/>
            <w:tcBorders>
              <w:top w:val="single" w:sz="8" w:color="CCEEFF"/>
            </w:tcBorders>
            <w:shd w:val="clear" w:color="auto" w:fill="56C271"/>
          </w:tcPr>
          <w:p>
            <w:pPr>
              <w:spacing w:after="0" w:line="20" w:lineRule="exact"/>
              <w:rPr>
                <w:sz w:val="1"/>
                <w:szCs w:val="1"/>
                <w:color w:val="auto"/>
              </w:rPr>
            </w:pPr>
          </w:p>
        </w:tc>
        <w:tc>
          <w:tcPr>
            <w:tcW w:w="480" w:type="dxa"/>
            <w:vAlign w:val="bottom"/>
            <w:tcBorders>
              <w:top w:val="single" w:sz="8" w:color="CCEEFF"/>
            </w:tcBorders>
            <w:shd w:val="clear" w:color="auto" w:fill="56C271"/>
          </w:tcPr>
          <w:p>
            <w:pPr>
              <w:spacing w:after="0" w:line="20" w:lineRule="exact"/>
              <w:rPr>
                <w:sz w:val="1"/>
                <w:szCs w:val="1"/>
                <w:color w:val="auto"/>
              </w:rPr>
            </w:pPr>
          </w:p>
        </w:tc>
        <w:tc>
          <w:tcPr>
            <w:tcW w:w="1020" w:type="dxa"/>
            <w:vAlign w:val="bottom"/>
            <w:tcBorders>
              <w:top w:val="single" w:sz="8" w:color="CCEEFF"/>
            </w:tcBorders>
            <w:shd w:val="clear" w:color="auto" w:fill="56C271"/>
          </w:tcPr>
          <w:p>
            <w:pPr>
              <w:spacing w:after="0" w:line="20" w:lineRule="exact"/>
              <w:rPr>
                <w:sz w:val="1"/>
                <w:szCs w:val="1"/>
                <w:color w:val="auto"/>
              </w:rPr>
            </w:pPr>
          </w:p>
        </w:tc>
        <w:tc>
          <w:tcPr>
            <w:tcW w:w="760" w:type="dxa"/>
            <w:vAlign w:val="bottom"/>
            <w:tcBorders>
              <w:top w:val="single" w:sz="8" w:color="CCEEFF"/>
            </w:tcBorders>
            <w:shd w:val="clear" w:color="auto" w:fill="56C271"/>
          </w:tcPr>
          <w:p>
            <w:pPr>
              <w:spacing w:after="0" w:line="20" w:lineRule="exact"/>
              <w:rPr>
                <w:sz w:val="1"/>
                <w:szCs w:val="1"/>
                <w:color w:val="auto"/>
              </w:rPr>
            </w:pPr>
          </w:p>
        </w:tc>
        <w:tc>
          <w:tcPr>
            <w:tcW w:w="40" w:type="dxa"/>
            <w:vAlign w:val="bottom"/>
            <w:tcBorders>
              <w:top w:val="single" w:sz="8" w:color="CCEEFF"/>
            </w:tcBorders>
            <w:shd w:val="clear" w:color="auto" w:fill="56C271"/>
          </w:tcPr>
          <w:p>
            <w:pPr>
              <w:spacing w:after="0" w:line="20" w:lineRule="exact"/>
              <w:rPr>
                <w:sz w:val="1"/>
                <w:szCs w:val="1"/>
                <w:color w:val="auto"/>
              </w:rPr>
            </w:pPr>
          </w:p>
        </w:tc>
        <w:tc>
          <w:tcPr>
            <w:tcW w:w="360" w:type="dxa"/>
            <w:vAlign w:val="bottom"/>
            <w:tcBorders>
              <w:top w:val="single" w:sz="8" w:color="CCEEFF"/>
            </w:tcBorders>
            <w:shd w:val="clear" w:color="auto" w:fill="56C271"/>
          </w:tcPr>
          <w:p>
            <w:pPr>
              <w:spacing w:after="0" w:line="20" w:lineRule="exact"/>
              <w:rPr>
                <w:sz w:val="1"/>
                <w:szCs w:val="1"/>
                <w:color w:val="auto"/>
              </w:rPr>
            </w:pPr>
          </w:p>
        </w:tc>
        <w:tc>
          <w:tcPr>
            <w:tcW w:w="20" w:type="dxa"/>
            <w:vAlign w:val="bottom"/>
            <w:tcBorders>
              <w:top w:val="single" w:sz="8" w:color="CCEEFF"/>
            </w:tcBorders>
            <w:shd w:val="clear" w:color="auto" w:fill="56C271"/>
          </w:tcPr>
          <w:p>
            <w:pPr>
              <w:spacing w:after="0" w:line="20" w:lineRule="exact"/>
              <w:rPr>
                <w:sz w:val="1"/>
                <w:szCs w:val="1"/>
                <w:color w:val="auto"/>
              </w:rPr>
            </w:pPr>
          </w:p>
        </w:tc>
        <w:tc>
          <w:tcPr>
            <w:tcW w:w="580" w:type="dxa"/>
            <w:vAlign w:val="bottom"/>
            <w:tcBorders>
              <w:top w:val="single" w:sz="8" w:color="CCEEFF"/>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0000EE"/>
            </w:tcBorders>
            <w:shd w:val="clear" w:color="auto" w:fill="56C27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gridSpan w:val="9"/>
          </w:tcPr>
          <w:p>
            <w:pPr>
              <w:spacing w:after="0"/>
              <w:rPr>
                <w:rFonts w:ascii="Arial" w:cs="Arial" w:eastAsia="Arial" w:hAnsi="Arial"/>
                <w:sz w:val="18"/>
                <w:szCs w:val="18"/>
                <w:color w:val="0000EE"/>
                <w:w w:val="97"/>
              </w:rPr>
            </w:pPr>
            <w:hyperlink w:anchor="page65">
              <w:r>
                <w:rPr>
                  <w:rFonts w:ascii="Arial" w:cs="Arial" w:eastAsia="Arial" w:hAnsi="Arial"/>
                  <w:sz w:val="18"/>
                  <w:szCs w:val="18"/>
                  <w:color w:val="0000EE"/>
                  <w:w w:val="97"/>
                </w:rPr>
                <w:t>Summary Compensation Table</w:t>
              </w:r>
            </w:hyperlink>
          </w:p>
        </w:tc>
        <w:tc>
          <w:tcPr>
            <w:tcW w:w="5720" w:type="dxa"/>
            <w:vAlign w:val="bottom"/>
            <w:gridSpan w:val="19"/>
          </w:tcPr>
          <w:p>
            <w:pPr>
              <w:spacing w:after="0"/>
              <w:rPr>
                <w:sz w:val="21"/>
                <w:szCs w:val="21"/>
                <w:color w:val="auto"/>
              </w:rPr>
            </w:pPr>
          </w:p>
        </w:tc>
        <w:tc>
          <w:tcPr>
            <w:tcW w:w="1380" w:type="dxa"/>
            <w:vAlign w:val="bottom"/>
            <w:gridSpan w:val="3"/>
          </w:tcPr>
          <w:p>
            <w:pPr>
              <w:jc w:val="right"/>
              <w:ind w:right="980"/>
              <w:spacing w:after="0"/>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160" w:type="dxa"/>
            <w:vAlign w:val="bottom"/>
            <w:gridSpan w:val="28"/>
            <w:shd w:val="clear" w:color="auto" w:fill="CCEEFF"/>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Equity Compensation Plan Information</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1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Grants of Plan-Based Awards</w:t>
              </w:r>
            </w:hyperlink>
          </w:p>
        </w:tc>
        <w:tc>
          <w:tcPr>
            <w:tcW w:w="5100" w:type="dxa"/>
            <w:vAlign w:val="bottom"/>
            <w:gridSpan w:val="16"/>
          </w:tcPr>
          <w:p>
            <w:pPr>
              <w:spacing w:after="0"/>
              <w:rPr>
                <w:sz w:val="18"/>
                <w:szCs w:val="18"/>
                <w:color w:val="auto"/>
              </w:rPr>
            </w:pPr>
          </w:p>
        </w:tc>
        <w:tc>
          <w:tcPr>
            <w:tcW w:w="1380" w:type="dxa"/>
            <w:vAlign w:val="bottom"/>
            <w:gridSpan w:val="3"/>
          </w:tcPr>
          <w:p>
            <w:pPr>
              <w:jc w:val="right"/>
              <w:ind w:right="980"/>
              <w:spacing w:after="0"/>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60" w:type="dxa"/>
            <w:vAlign w:val="bottom"/>
            <w:gridSpan w:val="16"/>
            <w:shd w:val="clear" w:color="auto" w:fill="CCEEFF"/>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Outstanding Equity Awards at Fiscal Year-End</w:t>
              </w:r>
            </w:hyperlink>
          </w:p>
        </w:tc>
        <w:tc>
          <w:tcPr>
            <w:tcW w:w="4500" w:type="dxa"/>
            <w:vAlign w:val="bottom"/>
            <w:gridSpan w:val="12"/>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1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Option Exercises and Stock Vested</w:t>
              </w:r>
            </w:hyperlink>
          </w:p>
        </w:tc>
        <w:tc>
          <w:tcPr>
            <w:tcW w:w="4500" w:type="dxa"/>
            <w:vAlign w:val="bottom"/>
            <w:gridSpan w:val="12"/>
          </w:tcPr>
          <w:p>
            <w:pPr>
              <w:spacing w:after="0"/>
              <w:rPr>
                <w:sz w:val="18"/>
                <w:szCs w:val="18"/>
                <w:color w:val="auto"/>
              </w:rPr>
            </w:pPr>
          </w:p>
        </w:tc>
        <w:tc>
          <w:tcPr>
            <w:tcW w:w="1380" w:type="dxa"/>
            <w:vAlign w:val="bottom"/>
            <w:gridSpan w:val="3"/>
          </w:tcPr>
          <w:p>
            <w:pPr>
              <w:jc w:val="right"/>
              <w:ind w:right="980"/>
              <w:spacing w:after="0"/>
              <w:rPr>
                <w:rFonts w:ascii="Arial" w:cs="Arial" w:eastAsia="Arial" w:hAnsi="Arial"/>
                <w:sz w:val="18"/>
                <w:szCs w:val="18"/>
                <w:color w:val="0000EE"/>
              </w:rPr>
            </w:pPr>
            <w:hyperlink w:anchor="page69">
              <w:r>
                <w:rPr>
                  <w:rFonts w:ascii="Arial" w:cs="Arial" w:eastAsia="Arial" w:hAnsi="Arial"/>
                  <w:sz w:val="18"/>
                  <w:szCs w:val="18"/>
                  <w:color w:val="0000EE"/>
                </w:rPr>
                <w:t>65</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Pension Benefits</w:t>
              </w:r>
            </w:hyperlink>
          </w:p>
        </w:tc>
        <w:tc>
          <w:tcPr>
            <w:tcW w:w="1440" w:type="dxa"/>
            <w:vAlign w:val="bottom"/>
            <w:tcBorders>
              <w:right w:val="single" w:sz="8" w:color="CCEEFF"/>
            </w:tcBorders>
            <w:gridSpan w:val="7"/>
            <w:shd w:val="clear" w:color="auto" w:fill="CCEEFF"/>
          </w:tcPr>
          <w:p>
            <w:pPr>
              <w:spacing w:after="0"/>
              <w:rPr>
                <w:sz w:val="18"/>
                <w:szCs w:val="18"/>
                <w:color w:val="auto"/>
              </w:rPr>
            </w:pPr>
          </w:p>
        </w:tc>
        <w:tc>
          <w:tcPr>
            <w:tcW w:w="5380" w:type="dxa"/>
            <w:vAlign w:val="bottom"/>
            <w:gridSpan w:val="18"/>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11"/>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Nonqualified Deferred Compensation</w:t>
              </w:r>
            </w:hyperlink>
          </w:p>
        </w:tc>
        <w:tc>
          <w:tcPr>
            <w:tcW w:w="5220" w:type="dxa"/>
            <w:vAlign w:val="bottom"/>
            <w:gridSpan w:val="17"/>
          </w:tcPr>
          <w:p>
            <w:pPr>
              <w:spacing w:after="0"/>
              <w:rPr>
                <w:sz w:val="18"/>
                <w:szCs w:val="18"/>
                <w:color w:val="auto"/>
              </w:rPr>
            </w:pPr>
          </w:p>
        </w:tc>
        <w:tc>
          <w:tcPr>
            <w:tcW w:w="1380" w:type="dxa"/>
            <w:vAlign w:val="bottom"/>
            <w:gridSpan w:val="3"/>
          </w:tcPr>
          <w:p>
            <w:pPr>
              <w:jc w:val="right"/>
              <w:ind w:right="980"/>
              <w:spacing w:after="0"/>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160" w:type="dxa"/>
            <w:vAlign w:val="bottom"/>
            <w:gridSpan w:val="28"/>
            <w:shd w:val="clear" w:color="auto" w:fill="CCEEFF"/>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Potential Payouts Upon Termination and Change of Control</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378"/>
        </w:trPr>
        <w:tc>
          <w:tcPr>
            <w:tcW w:w="1000" w:type="dxa"/>
            <w:vAlign w:val="bottom"/>
          </w:tcPr>
          <w:p>
            <w:pPr>
              <w:spacing w:after="0"/>
              <w:rPr>
                <w:sz w:val="24"/>
                <w:szCs w:val="24"/>
                <w:color w:val="auto"/>
              </w:rPr>
            </w:pPr>
          </w:p>
        </w:tc>
        <w:tc>
          <w:tcPr>
            <w:tcW w:w="8340" w:type="dxa"/>
            <w:vAlign w:val="bottom"/>
            <w:gridSpan w:val="29"/>
          </w:tcPr>
          <w:p>
            <w:pPr>
              <w:spacing w:after="0"/>
              <w:rPr>
                <w:rFonts w:ascii="Arial" w:cs="Arial" w:eastAsia="Arial" w:hAnsi="Arial"/>
                <w:sz w:val="22"/>
                <w:szCs w:val="22"/>
                <w:b w:val="1"/>
                <w:bCs w:val="1"/>
                <w:color w:val="56C271"/>
              </w:rPr>
            </w:pPr>
            <w:hyperlink w:anchor="page77">
              <w:r>
                <w:rPr>
                  <w:rFonts w:ascii="Arial" w:cs="Arial" w:eastAsia="Arial" w:hAnsi="Arial"/>
                  <w:sz w:val="22"/>
                  <w:szCs w:val="22"/>
                  <w:b w:val="1"/>
                  <w:bCs w:val="1"/>
                  <w:color w:val="56C271"/>
                </w:rPr>
                <w:t>CEO Pay Ratio</w:t>
              </w:r>
            </w:hyperlink>
          </w:p>
        </w:tc>
        <w:tc>
          <w:tcPr>
            <w:tcW w:w="1380" w:type="dxa"/>
            <w:vAlign w:val="bottom"/>
            <w:gridSpan w:val="3"/>
          </w:tcPr>
          <w:p>
            <w:pPr>
              <w:jc w:val="right"/>
              <w:ind w:right="980"/>
              <w:spacing w:after="0"/>
              <w:rPr>
                <w:rFonts w:ascii="Arial" w:cs="Arial" w:eastAsia="Arial" w:hAnsi="Arial"/>
                <w:sz w:val="18"/>
                <w:szCs w:val="18"/>
                <w:color w:val="0000EE"/>
              </w:rPr>
            </w:pPr>
            <w:hyperlink w:anchor="page77">
              <w:r>
                <w:rPr>
                  <w:rFonts w:ascii="Arial" w:cs="Arial" w:eastAsia="Arial" w:hAnsi="Arial"/>
                  <w:sz w:val="18"/>
                  <w:szCs w:val="18"/>
                  <w:color w:val="0000EE"/>
                </w:rPr>
                <w:t>73</w:t>
              </w:r>
            </w:hyperlink>
          </w:p>
        </w:tc>
      </w:tr>
      <w:tr>
        <w:trPr>
          <w:trHeight w:val="48"/>
        </w:trPr>
        <w:tc>
          <w:tcPr>
            <w:tcW w:w="1000" w:type="dxa"/>
            <w:vAlign w:val="bottom"/>
          </w:tcPr>
          <w:p>
            <w:pPr>
              <w:spacing w:after="0"/>
              <w:rPr>
                <w:sz w:val="4"/>
                <w:szCs w:val="4"/>
                <w:color w:val="auto"/>
              </w:rPr>
            </w:pPr>
          </w:p>
        </w:tc>
        <w:tc>
          <w:tcPr>
            <w:tcW w:w="18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740" w:type="dxa"/>
            <w:vAlign w:val="bottom"/>
            <w:tcBorders>
              <w:top w:val="single" w:sz="8" w:color="56C271"/>
              <w:bottom w:val="single" w:sz="8" w:color="56C271"/>
            </w:tcBorders>
          </w:tcPr>
          <w:p>
            <w:pPr>
              <w:spacing w:after="0"/>
              <w:rPr>
                <w:sz w:val="4"/>
                <w:szCs w:val="4"/>
                <w:color w:val="auto"/>
              </w:rPr>
            </w:pPr>
          </w:p>
        </w:tc>
        <w:tc>
          <w:tcPr>
            <w:tcW w:w="240" w:type="dxa"/>
            <w:vAlign w:val="bottom"/>
            <w:tcBorders>
              <w:bottom w:val="single" w:sz="8" w:color="56C271"/>
            </w:tcBorders>
          </w:tcPr>
          <w:p>
            <w:pPr>
              <w:spacing w:after="0"/>
              <w:rPr>
                <w:sz w:val="4"/>
                <w:szCs w:val="4"/>
                <w:color w:val="auto"/>
              </w:rPr>
            </w:pPr>
          </w:p>
        </w:tc>
        <w:tc>
          <w:tcPr>
            <w:tcW w:w="100" w:type="dxa"/>
            <w:vAlign w:val="bottom"/>
            <w:tcBorders>
              <w:bottom w:val="single" w:sz="8" w:color="56C271"/>
            </w:tcBorders>
          </w:tcPr>
          <w:p>
            <w:pPr>
              <w:spacing w:after="0"/>
              <w:rPr>
                <w:sz w:val="4"/>
                <w:szCs w:val="4"/>
                <w:color w:val="auto"/>
              </w:rPr>
            </w:pPr>
          </w:p>
        </w:tc>
        <w:tc>
          <w:tcPr>
            <w:tcW w:w="440" w:type="dxa"/>
            <w:vAlign w:val="bottom"/>
            <w:tcBorders>
              <w:bottom w:val="single" w:sz="8" w:color="56C271"/>
            </w:tcBorders>
          </w:tcPr>
          <w:p>
            <w:pPr>
              <w:spacing w:after="0"/>
              <w:rPr>
                <w:sz w:val="4"/>
                <w:szCs w:val="4"/>
                <w:color w:val="auto"/>
              </w:rPr>
            </w:pPr>
          </w:p>
        </w:tc>
        <w:tc>
          <w:tcPr>
            <w:tcW w:w="120" w:type="dxa"/>
            <w:vAlign w:val="bottom"/>
            <w:tcBorders>
              <w:bottom w:val="single" w:sz="8" w:color="56C271"/>
            </w:tcBorders>
          </w:tcPr>
          <w:p>
            <w:pPr>
              <w:spacing w:after="0"/>
              <w:rPr>
                <w:sz w:val="4"/>
                <w:szCs w:val="4"/>
                <w:color w:val="auto"/>
              </w:rPr>
            </w:pPr>
          </w:p>
        </w:tc>
        <w:tc>
          <w:tcPr>
            <w:tcW w:w="100" w:type="dxa"/>
            <w:vAlign w:val="bottom"/>
            <w:tcBorders>
              <w:bottom w:val="single" w:sz="8" w:color="56C271"/>
            </w:tcBorders>
          </w:tcPr>
          <w:p>
            <w:pPr>
              <w:spacing w:after="0"/>
              <w:rPr>
                <w:sz w:val="4"/>
                <w:szCs w:val="4"/>
                <w:color w:val="auto"/>
              </w:rPr>
            </w:pPr>
          </w:p>
        </w:tc>
        <w:tc>
          <w:tcPr>
            <w:tcW w:w="100" w:type="dxa"/>
            <w:vAlign w:val="bottom"/>
            <w:tcBorders>
              <w:bottom w:val="single" w:sz="8" w:color="56C271"/>
            </w:tcBorders>
          </w:tcPr>
          <w:p>
            <w:pPr>
              <w:spacing w:after="0"/>
              <w:rPr>
                <w:sz w:val="4"/>
                <w:szCs w:val="4"/>
                <w:color w:val="auto"/>
              </w:rPr>
            </w:pPr>
          </w:p>
        </w:tc>
        <w:tc>
          <w:tcPr>
            <w:tcW w:w="340" w:type="dxa"/>
            <w:vAlign w:val="bottom"/>
            <w:tcBorders>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120" w:type="dxa"/>
            <w:vAlign w:val="bottom"/>
            <w:tcBorders>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220" w:type="dxa"/>
            <w:vAlign w:val="bottom"/>
            <w:tcBorders>
              <w:bottom w:val="single" w:sz="8" w:color="56C271"/>
            </w:tcBorders>
          </w:tcPr>
          <w:p>
            <w:pPr>
              <w:spacing w:after="0"/>
              <w:rPr>
                <w:sz w:val="4"/>
                <w:szCs w:val="4"/>
                <w:color w:val="auto"/>
              </w:rPr>
            </w:pPr>
          </w:p>
        </w:tc>
        <w:tc>
          <w:tcPr>
            <w:tcW w:w="80" w:type="dxa"/>
            <w:vAlign w:val="bottom"/>
            <w:tcBorders>
              <w:bottom w:val="single" w:sz="8" w:color="56C271"/>
            </w:tcBorders>
          </w:tcPr>
          <w:p>
            <w:pPr>
              <w:spacing w:after="0"/>
              <w:rPr>
                <w:sz w:val="4"/>
                <w:szCs w:val="4"/>
                <w:color w:val="auto"/>
              </w:rPr>
            </w:pPr>
          </w:p>
        </w:tc>
        <w:tc>
          <w:tcPr>
            <w:tcW w:w="140" w:type="dxa"/>
            <w:vAlign w:val="bottom"/>
            <w:tcBorders>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80" w:type="dxa"/>
            <w:vAlign w:val="bottom"/>
            <w:tcBorders>
              <w:bottom w:val="single" w:sz="8" w:color="56C271"/>
            </w:tcBorders>
          </w:tcPr>
          <w:p>
            <w:pPr>
              <w:spacing w:after="0"/>
              <w:rPr>
                <w:sz w:val="4"/>
                <w:szCs w:val="4"/>
                <w:color w:val="auto"/>
              </w:rPr>
            </w:pPr>
          </w:p>
        </w:tc>
        <w:tc>
          <w:tcPr>
            <w:tcW w:w="260" w:type="dxa"/>
            <w:vAlign w:val="bottom"/>
            <w:tcBorders>
              <w:bottom w:val="single" w:sz="8" w:color="56C271"/>
            </w:tcBorders>
          </w:tcPr>
          <w:p>
            <w:pPr>
              <w:spacing w:after="0"/>
              <w:rPr>
                <w:sz w:val="4"/>
                <w:szCs w:val="4"/>
                <w:color w:val="auto"/>
              </w:rPr>
            </w:pPr>
          </w:p>
        </w:tc>
        <w:tc>
          <w:tcPr>
            <w:tcW w:w="520" w:type="dxa"/>
            <w:vAlign w:val="bottom"/>
            <w:tcBorders>
              <w:bottom w:val="single" w:sz="8" w:color="56C271"/>
            </w:tcBorders>
          </w:tcPr>
          <w:p>
            <w:pPr>
              <w:spacing w:after="0"/>
              <w:rPr>
                <w:sz w:val="4"/>
                <w:szCs w:val="4"/>
                <w:color w:val="auto"/>
              </w:rPr>
            </w:pPr>
          </w:p>
        </w:tc>
        <w:tc>
          <w:tcPr>
            <w:tcW w:w="480" w:type="dxa"/>
            <w:vAlign w:val="bottom"/>
            <w:tcBorders>
              <w:bottom w:val="single" w:sz="8" w:color="56C271"/>
            </w:tcBorders>
          </w:tcPr>
          <w:p>
            <w:pPr>
              <w:spacing w:after="0"/>
              <w:rPr>
                <w:sz w:val="4"/>
                <w:szCs w:val="4"/>
                <w:color w:val="auto"/>
              </w:rPr>
            </w:pPr>
          </w:p>
        </w:tc>
        <w:tc>
          <w:tcPr>
            <w:tcW w:w="1020" w:type="dxa"/>
            <w:vAlign w:val="bottom"/>
            <w:tcBorders>
              <w:bottom w:val="single" w:sz="8" w:color="56C271"/>
            </w:tcBorders>
          </w:tcPr>
          <w:p>
            <w:pPr>
              <w:spacing w:after="0"/>
              <w:rPr>
                <w:sz w:val="4"/>
                <w:szCs w:val="4"/>
                <w:color w:val="auto"/>
              </w:rPr>
            </w:pPr>
          </w:p>
        </w:tc>
        <w:tc>
          <w:tcPr>
            <w:tcW w:w="760" w:type="dxa"/>
            <w:vAlign w:val="bottom"/>
            <w:tcBorders>
              <w:bottom w:val="single" w:sz="8" w:color="56C271"/>
            </w:tcBorders>
          </w:tcPr>
          <w:p>
            <w:pPr>
              <w:spacing w:after="0"/>
              <w:rPr>
                <w:sz w:val="4"/>
                <w:szCs w:val="4"/>
                <w:color w:val="auto"/>
              </w:rPr>
            </w:pPr>
          </w:p>
        </w:tc>
        <w:tc>
          <w:tcPr>
            <w:tcW w:w="40" w:type="dxa"/>
            <w:vAlign w:val="bottom"/>
            <w:tcBorders>
              <w:bottom w:val="single" w:sz="8" w:color="56C271"/>
            </w:tcBorders>
          </w:tcPr>
          <w:p>
            <w:pPr>
              <w:spacing w:after="0"/>
              <w:rPr>
                <w:sz w:val="4"/>
                <w:szCs w:val="4"/>
                <w:color w:val="auto"/>
              </w:rPr>
            </w:pPr>
          </w:p>
        </w:tc>
        <w:tc>
          <w:tcPr>
            <w:tcW w:w="360" w:type="dxa"/>
            <w:vAlign w:val="bottom"/>
            <w:tcBorders>
              <w:bottom w:val="single" w:sz="8" w:color="56C271"/>
            </w:tcBorders>
          </w:tcPr>
          <w:p>
            <w:pPr>
              <w:spacing w:after="0"/>
              <w:rPr>
                <w:sz w:val="4"/>
                <w:szCs w:val="4"/>
                <w:color w:val="auto"/>
              </w:rPr>
            </w:pPr>
          </w:p>
        </w:tc>
        <w:tc>
          <w:tcPr>
            <w:tcW w:w="20" w:type="dxa"/>
            <w:vAlign w:val="bottom"/>
            <w:tcBorders>
              <w:bottom w:val="single" w:sz="8" w:color="56C271"/>
            </w:tcBorders>
          </w:tcPr>
          <w:p>
            <w:pPr>
              <w:spacing w:after="0"/>
              <w:rPr>
                <w:sz w:val="4"/>
                <w:szCs w:val="4"/>
                <w:color w:val="auto"/>
              </w:rPr>
            </w:pPr>
          </w:p>
        </w:tc>
        <w:tc>
          <w:tcPr>
            <w:tcW w:w="580" w:type="dxa"/>
            <w:vAlign w:val="bottom"/>
            <w:tcBorders>
              <w:bottom w:val="single" w:sz="8" w:color="56C271"/>
            </w:tcBorders>
          </w:tcPr>
          <w:p>
            <w:pPr>
              <w:spacing w:after="0"/>
              <w:rPr>
                <w:sz w:val="4"/>
                <w:szCs w:val="4"/>
                <w:color w:val="auto"/>
              </w:rPr>
            </w:pPr>
          </w:p>
        </w:tc>
        <w:tc>
          <w:tcPr>
            <w:tcW w:w="220" w:type="dxa"/>
            <w:vAlign w:val="bottom"/>
            <w:tcBorders>
              <w:bottom w:val="single" w:sz="8" w:color="56C271"/>
            </w:tcBorders>
          </w:tcPr>
          <w:p>
            <w:pPr>
              <w:spacing w:after="0"/>
              <w:rPr>
                <w:sz w:val="4"/>
                <w:szCs w:val="4"/>
                <w:color w:val="auto"/>
              </w:rPr>
            </w:pPr>
          </w:p>
        </w:tc>
        <w:tc>
          <w:tcPr>
            <w:tcW w:w="200" w:type="dxa"/>
            <w:vAlign w:val="bottom"/>
            <w:tcBorders>
              <w:bottom w:val="single" w:sz="8" w:color="56C271"/>
            </w:tcBorders>
          </w:tcPr>
          <w:p>
            <w:pPr>
              <w:spacing w:after="0"/>
              <w:rPr>
                <w:sz w:val="4"/>
                <w:szCs w:val="4"/>
                <w:color w:val="auto"/>
              </w:rPr>
            </w:pPr>
          </w:p>
        </w:tc>
        <w:tc>
          <w:tcPr>
            <w:tcW w:w="200" w:type="dxa"/>
            <w:vAlign w:val="bottom"/>
            <w:tcBorders>
              <w:top w:val="single" w:sz="8" w:color="0000EE"/>
              <w:bottom w:val="single" w:sz="8" w:color="56C271"/>
            </w:tcBorders>
          </w:tcPr>
          <w:p>
            <w:pPr>
              <w:spacing w:after="0"/>
              <w:rPr>
                <w:sz w:val="4"/>
                <w:szCs w:val="4"/>
                <w:color w:val="auto"/>
              </w:rPr>
            </w:pPr>
          </w:p>
        </w:tc>
        <w:tc>
          <w:tcPr>
            <w:tcW w:w="980" w:type="dxa"/>
            <w:vAlign w:val="bottom"/>
          </w:tcPr>
          <w:p>
            <w:pPr>
              <w:spacing w:after="0"/>
              <w:rPr>
                <w:sz w:val="4"/>
                <w:szCs w:val="4"/>
                <w:color w:val="auto"/>
              </w:rPr>
            </w:pPr>
          </w:p>
        </w:tc>
      </w:tr>
      <w:tr>
        <w:trPr>
          <w:trHeight w:val="358"/>
        </w:trPr>
        <w:tc>
          <w:tcPr>
            <w:tcW w:w="1000" w:type="dxa"/>
            <w:vAlign w:val="bottom"/>
            <w:tcBorders>
              <w:right w:val="single" w:sz="8" w:color="CCEEFF"/>
            </w:tcBorders>
          </w:tcPr>
          <w:p>
            <w:pPr>
              <w:spacing w:after="0"/>
              <w:rPr>
                <w:sz w:val="24"/>
                <w:szCs w:val="24"/>
                <w:color w:val="auto"/>
              </w:rPr>
            </w:pPr>
          </w:p>
        </w:tc>
        <w:tc>
          <w:tcPr>
            <w:tcW w:w="8340" w:type="dxa"/>
            <w:vAlign w:val="bottom"/>
            <w:gridSpan w:val="29"/>
            <w:shd w:val="clear" w:color="auto" w:fill="CCEEFF"/>
          </w:tcPr>
          <w:p>
            <w:pPr>
              <w:spacing w:after="0"/>
              <w:rPr>
                <w:rFonts w:ascii="Arial" w:cs="Arial" w:eastAsia="Arial" w:hAnsi="Arial"/>
                <w:sz w:val="22"/>
                <w:szCs w:val="22"/>
                <w:b w:val="1"/>
                <w:bCs w:val="1"/>
                <w:color w:val="56C271"/>
                <w:w w:val="97"/>
              </w:rPr>
            </w:pPr>
            <w:hyperlink w:anchor="page78">
              <w:r>
                <w:rPr>
                  <w:rFonts w:ascii="Arial" w:cs="Arial" w:eastAsia="Arial" w:hAnsi="Arial"/>
                  <w:sz w:val="22"/>
                  <w:szCs w:val="22"/>
                  <w:b w:val="1"/>
                  <w:bCs w:val="1"/>
                  <w:color w:val="56C271"/>
                  <w:w w:val="97"/>
                </w:rPr>
                <w:t>Proposal 3 — Approval of the Avnet, Inc. 2021 Stock Compensation and Incentive</w:t>
              </w:r>
            </w:hyperlink>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tcPr>
          <w:p>
            <w:pPr>
              <w:spacing w:after="0"/>
              <w:rPr>
                <w:sz w:val="24"/>
                <w:szCs w:val="24"/>
                <w:color w:val="auto"/>
              </w:rPr>
            </w:pPr>
          </w:p>
        </w:tc>
      </w:tr>
      <w:tr>
        <w:trPr>
          <w:trHeight w:val="257"/>
        </w:trPr>
        <w:tc>
          <w:tcPr>
            <w:tcW w:w="1000" w:type="dxa"/>
            <w:vAlign w:val="bottom"/>
            <w:tcBorders>
              <w:right w:val="single" w:sz="8" w:color="CCEEFF"/>
            </w:tcBorders>
          </w:tcPr>
          <w:p>
            <w:pPr>
              <w:spacing w:after="0"/>
              <w:rPr>
                <w:sz w:val="22"/>
                <w:szCs w:val="22"/>
                <w:color w:val="auto"/>
              </w:rPr>
            </w:pPr>
          </w:p>
        </w:tc>
        <w:tc>
          <w:tcPr>
            <w:tcW w:w="180" w:type="dxa"/>
            <w:vAlign w:val="bottom"/>
            <w:tcBorders>
              <w:top w:val="single" w:sz="8" w:color="56C271"/>
            </w:tcBorders>
            <w:shd w:val="clear" w:color="auto" w:fill="CCEEFF"/>
          </w:tcPr>
          <w:p>
            <w:pPr>
              <w:spacing w:after="0"/>
              <w:rPr>
                <w:sz w:val="22"/>
                <w:szCs w:val="22"/>
                <w:color w:val="auto"/>
              </w:rPr>
            </w:pPr>
          </w:p>
        </w:tc>
        <w:tc>
          <w:tcPr>
            <w:tcW w:w="7940" w:type="dxa"/>
            <w:vAlign w:val="bottom"/>
            <w:tcBorders>
              <w:top w:val="single" w:sz="8" w:color="56C271"/>
            </w:tcBorders>
            <w:gridSpan w:val="27"/>
            <w:shd w:val="clear" w:color="auto" w:fill="CCEEFF"/>
          </w:tcPr>
          <w:p>
            <w:pPr>
              <w:spacing w:after="0" w:line="223" w:lineRule="exact"/>
              <w:rPr>
                <w:rFonts w:ascii="Arial" w:cs="Arial" w:eastAsia="Arial" w:hAnsi="Arial"/>
                <w:sz w:val="22"/>
                <w:szCs w:val="22"/>
                <w:b w:val="1"/>
                <w:bCs w:val="1"/>
                <w:color w:val="56C271"/>
              </w:rPr>
            </w:pPr>
            <w:hyperlink w:anchor="page78">
              <w:r>
                <w:rPr>
                  <w:rFonts w:ascii="Arial" w:cs="Arial" w:eastAsia="Arial" w:hAnsi="Arial"/>
                  <w:sz w:val="22"/>
                  <w:szCs w:val="22"/>
                  <w:b w:val="1"/>
                  <w:bCs w:val="1"/>
                  <w:color w:val="56C271"/>
                </w:rPr>
                <w:t>Plan</w:t>
              </w:r>
            </w:hyperlink>
          </w:p>
        </w:tc>
        <w:tc>
          <w:tcPr>
            <w:tcW w:w="2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gridSpan w:val="2"/>
            <w:shd w:val="clear" w:color="auto" w:fill="CCEEFF"/>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c>
          <w:tcPr>
            <w:tcW w:w="980" w:type="dxa"/>
            <w:vAlign w:val="bottom"/>
          </w:tcPr>
          <w:p>
            <w:pPr>
              <w:spacing w:after="0"/>
              <w:rPr>
                <w:sz w:val="22"/>
                <w:szCs w:val="22"/>
                <w:color w:val="auto"/>
              </w:rPr>
            </w:pPr>
          </w:p>
        </w:tc>
      </w:tr>
      <w:tr>
        <w:trPr>
          <w:trHeight w:val="20"/>
        </w:trPr>
        <w:tc>
          <w:tcPr>
            <w:tcW w:w="1000" w:type="dxa"/>
            <w:vAlign w:val="bottom"/>
            <w:tcBorders>
              <w:right w:val="single" w:sz="8" w:color="56C271"/>
            </w:tcBorders>
          </w:tcPr>
          <w:p>
            <w:pPr>
              <w:spacing w:after="0" w:line="20" w:lineRule="exact"/>
              <w:rPr>
                <w:sz w:val="1"/>
                <w:szCs w:val="1"/>
                <w:color w:val="auto"/>
              </w:rPr>
            </w:pPr>
          </w:p>
        </w:tc>
        <w:tc>
          <w:tcPr>
            <w:tcW w:w="180" w:type="dxa"/>
            <w:vAlign w:val="bottom"/>
            <w:tcBorders>
              <w:top w:val="single" w:sz="8" w:color="CCEEFF"/>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CCEEFF"/>
            </w:tcBorders>
            <w:shd w:val="clear" w:color="auto" w:fill="56C271"/>
          </w:tcPr>
          <w:p>
            <w:pPr>
              <w:spacing w:after="0" w:line="20" w:lineRule="exact"/>
              <w:rPr>
                <w:sz w:val="1"/>
                <w:szCs w:val="1"/>
                <w:color w:val="auto"/>
              </w:rPr>
            </w:pPr>
          </w:p>
        </w:tc>
        <w:tc>
          <w:tcPr>
            <w:tcW w:w="740" w:type="dxa"/>
            <w:vAlign w:val="bottom"/>
            <w:tcBorders>
              <w:top w:val="single" w:sz="8" w:color="CCEEFF"/>
              <w:right w:val="single" w:sz="8" w:color="56C271"/>
            </w:tcBorders>
            <w:shd w:val="clear" w:color="auto" w:fill="56C271"/>
          </w:tcPr>
          <w:p>
            <w:pPr>
              <w:spacing w:after="0" w:line="20" w:lineRule="exact"/>
              <w:rPr>
                <w:sz w:val="1"/>
                <w:szCs w:val="1"/>
                <w:color w:val="auto"/>
              </w:rPr>
            </w:pPr>
          </w:p>
        </w:tc>
        <w:tc>
          <w:tcPr>
            <w:tcW w:w="240" w:type="dxa"/>
            <w:vAlign w:val="bottom"/>
            <w:tcBorders>
              <w:top w:val="single" w:sz="8" w:color="CCEEFF"/>
            </w:tcBorders>
            <w:shd w:val="clear" w:color="auto" w:fill="56C271"/>
          </w:tcPr>
          <w:p>
            <w:pPr>
              <w:spacing w:after="0" w:line="20" w:lineRule="exact"/>
              <w:rPr>
                <w:sz w:val="1"/>
                <w:szCs w:val="1"/>
                <w:color w:val="auto"/>
              </w:rPr>
            </w:pPr>
          </w:p>
        </w:tc>
        <w:tc>
          <w:tcPr>
            <w:tcW w:w="100" w:type="dxa"/>
            <w:vAlign w:val="bottom"/>
            <w:tcBorders>
              <w:top w:val="single" w:sz="8" w:color="CCEEFF"/>
            </w:tcBorders>
            <w:shd w:val="clear" w:color="auto" w:fill="56C271"/>
          </w:tcPr>
          <w:p>
            <w:pPr>
              <w:spacing w:after="0" w:line="20" w:lineRule="exact"/>
              <w:rPr>
                <w:sz w:val="1"/>
                <w:szCs w:val="1"/>
                <w:color w:val="auto"/>
              </w:rPr>
            </w:pPr>
          </w:p>
        </w:tc>
        <w:tc>
          <w:tcPr>
            <w:tcW w:w="440" w:type="dxa"/>
            <w:vAlign w:val="bottom"/>
            <w:tcBorders>
              <w:top w:val="single" w:sz="8" w:color="CCEEFF"/>
            </w:tcBorders>
            <w:shd w:val="clear" w:color="auto" w:fill="56C271"/>
          </w:tcPr>
          <w:p>
            <w:pPr>
              <w:spacing w:after="0" w:line="20" w:lineRule="exact"/>
              <w:rPr>
                <w:sz w:val="1"/>
                <w:szCs w:val="1"/>
                <w:color w:val="auto"/>
              </w:rPr>
            </w:pPr>
          </w:p>
        </w:tc>
        <w:tc>
          <w:tcPr>
            <w:tcW w:w="120" w:type="dxa"/>
            <w:vAlign w:val="bottom"/>
            <w:tcBorders>
              <w:top w:val="single" w:sz="8" w:color="CCEEFF"/>
            </w:tcBorders>
            <w:shd w:val="clear" w:color="auto" w:fill="56C271"/>
          </w:tcPr>
          <w:p>
            <w:pPr>
              <w:spacing w:after="0" w:line="20" w:lineRule="exact"/>
              <w:rPr>
                <w:sz w:val="1"/>
                <w:szCs w:val="1"/>
                <w:color w:val="auto"/>
              </w:rPr>
            </w:pPr>
          </w:p>
        </w:tc>
        <w:tc>
          <w:tcPr>
            <w:tcW w:w="100" w:type="dxa"/>
            <w:vAlign w:val="bottom"/>
            <w:tcBorders>
              <w:top w:val="single" w:sz="8" w:color="CCEEFF"/>
            </w:tcBorders>
            <w:shd w:val="clear" w:color="auto" w:fill="56C271"/>
          </w:tcPr>
          <w:p>
            <w:pPr>
              <w:spacing w:after="0" w:line="20" w:lineRule="exact"/>
              <w:rPr>
                <w:sz w:val="1"/>
                <w:szCs w:val="1"/>
                <w:color w:val="auto"/>
              </w:rPr>
            </w:pPr>
          </w:p>
        </w:tc>
        <w:tc>
          <w:tcPr>
            <w:tcW w:w="100" w:type="dxa"/>
            <w:vAlign w:val="bottom"/>
            <w:tcBorders>
              <w:top w:val="single" w:sz="8" w:color="CCEEFF"/>
            </w:tcBorders>
            <w:shd w:val="clear" w:color="auto" w:fill="56C271"/>
          </w:tcPr>
          <w:p>
            <w:pPr>
              <w:spacing w:after="0" w:line="20" w:lineRule="exact"/>
              <w:rPr>
                <w:sz w:val="1"/>
                <w:szCs w:val="1"/>
                <w:color w:val="auto"/>
              </w:rPr>
            </w:pPr>
          </w:p>
        </w:tc>
        <w:tc>
          <w:tcPr>
            <w:tcW w:w="340" w:type="dxa"/>
            <w:vAlign w:val="bottom"/>
            <w:tcBorders>
              <w:top w:val="single" w:sz="8" w:color="CCEEFF"/>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CCEEFF"/>
            </w:tcBorders>
            <w:shd w:val="clear" w:color="auto" w:fill="56C271"/>
          </w:tcPr>
          <w:p>
            <w:pPr>
              <w:spacing w:after="0" w:line="20" w:lineRule="exact"/>
              <w:rPr>
                <w:sz w:val="1"/>
                <w:szCs w:val="1"/>
                <w:color w:val="auto"/>
              </w:rPr>
            </w:pPr>
          </w:p>
        </w:tc>
        <w:tc>
          <w:tcPr>
            <w:tcW w:w="120" w:type="dxa"/>
            <w:vAlign w:val="bottom"/>
            <w:tcBorders>
              <w:top w:val="single" w:sz="8" w:color="CCEEFF"/>
              <w:left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CCEEFF"/>
              <w:left w:val="single" w:sz="8" w:color="56C271"/>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80" w:type="dxa"/>
            <w:vAlign w:val="bottom"/>
            <w:tcBorders>
              <w:top w:val="single" w:sz="8" w:color="CCEEFF"/>
            </w:tcBorders>
            <w:shd w:val="clear" w:color="auto" w:fill="56C271"/>
          </w:tcPr>
          <w:p>
            <w:pPr>
              <w:spacing w:after="0" w:line="20" w:lineRule="exact"/>
              <w:rPr>
                <w:sz w:val="1"/>
                <w:szCs w:val="1"/>
                <w:color w:val="auto"/>
              </w:rPr>
            </w:pPr>
          </w:p>
        </w:tc>
        <w:tc>
          <w:tcPr>
            <w:tcW w:w="140" w:type="dxa"/>
            <w:vAlign w:val="bottom"/>
            <w:tcBorders>
              <w:top w:val="single" w:sz="8" w:color="CCEEFF"/>
            </w:tcBorders>
            <w:shd w:val="clear" w:color="auto" w:fill="56C271"/>
          </w:tcPr>
          <w:p>
            <w:pPr>
              <w:spacing w:after="0" w:line="20" w:lineRule="exact"/>
              <w:rPr>
                <w:sz w:val="1"/>
                <w:szCs w:val="1"/>
                <w:color w:val="auto"/>
              </w:rPr>
            </w:pPr>
          </w:p>
        </w:tc>
        <w:tc>
          <w:tcPr>
            <w:tcW w:w="160" w:type="dxa"/>
            <w:vAlign w:val="bottom"/>
            <w:tcBorders>
              <w:top w:val="single" w:sz="8" w:color="CCEEFF"/>
            </w:tcBorders>
            <w:shd w:val="clear" w:color="auto" w:fill="56C271"/>
          </w:tcPr>
          <w:p>
            <w:pPr>
              <w:spacing w:after="0" w:line="20" w:lineRule="exact"/>
              <w:rPr>
                <w:sz w:val="1"/>
                <w:szCs w:val="1"/>
                <w:color w:val="auto"/>
              </w:rPr>
            </w:pPr>
          </w:p>
        </w:tc>
        <w:tc>
          <w:tcPr>
            <w:tcW w:w="80" w:type="dxa"/>
            <w:vAlign w:val="bottom"/>
            <w:tcBorders>
              <w:top w:val="single" w:sz="8" w:color="CCEEFF"/>
            </w:tcBorders>
            <w:shd w:val="clear" w:color="auto" w:fill="56C271"/>
          </w:tcPr>
          <w:p>
            <w:pPr>
              <w:spacing w:after="0" w:line="20" w:lineRule="exact"/>
              <w:rPr>
                <w:sz w:val="1"/>
                <w:szCs w:val="1"/>
                <w:color w:val="auto"/>
              </w:rPr>
            </w:pPr>
          </w:p>
        </w:tc>
        <w:tc>
          <w:tcPr>
            <w:tcW w:w="260" w:type="dxa"/>
            <w:vAlign w:val="bottom"/>
            <w:tcBorders>
              <w:top w:val="single" w:sz="8" w:color="CCEEFF"/>
            </w:tcBorders>
            <w:shd w:val="clear" w:color="auto" w:fill="56C271"/>
          </w:tcPr>
          <w:p>
            <w:pPr>
              <w:spacing w:after="0" w:line="20" w:lineRule="exact"/>
              <w:rPr>
                <w:sz w:val="1"/>
                <w:szCs w:val="1"/>
                <w:color w:val="auto"/>
              </w:rPr>
            </w:pPr>
          </w:p>
        </w:tc>
        <w:tc>
          <w:tcPr>
            <w:tcW w:w="520" w:type="dxa"/>
            <w:vAlign w:val="bottom"/>
            <w:tcBorders>
              <w:top w:val="single" w:sz="8" w:color="CCEEFF"/>
            </w:tcBorders>
            <w:shd w:val="clear" w:color="auto" w:fill="56C271"/>
          </w:tcPr>
          <w:p>
            <w:pPr>
              <w:spacing w:after="0" w:line="20" w:lineRule="exact"/>
              <w:rPr>
                <w:sz w:val="1"/>
                <w:szCs w:val="1"/>
                <w:color w:val="auto"/>
              </w:rPr>
            </w:pPr>
          </w:p>
        </w:tc>
        <w:tc>
          <w:tcPr>
            <w:tcW w:w="480" w:type="dxa"/>
            <w:vAlign w:val="bottom"/>
            <w:tcBorders>
              <w:top w:val="single" w:sz="8" w:color="CCEEFF"/>
            </w:tcBorders>
            <w:shd w:val="clear" w:color="auto" w:fill="56C271"/>
          </w:tcPr>
          <w:p>
            <w:pPr>
              <w:spacing w:after="0" w:line="20" w:lineRule="exact"/>
              <w:rPr>
                <w:sz w:val="1"/>
                <w:szCs w:val="1"/>
                <w:color w:val="auto"/>
              </w:rPr>
            </w:pPr>
          </w:p>
        </w:tc>
        <w:tc>
          <w:tcPr>
            <w:tcW w:w="1020" w:type="dxa"/>
            <w:vAlign w:val="bottom"/>
            <w:tcBorders>
              <w:top w:val="single" w:sz="8" w:color="CCEEFF"/>
            </w:tcBorders>
            <w:shd w:val="clear" w:color="auto" w:fill="56C271"/>
          </w:tcPr>
          <w:p>
            <w:pPr>
              <w:spacing w:after="0" w:line="20" w:lineRule="exact"/>
              <w:rPr>
                <w:sz w:val="1"/>
                <w:szCs w:val="1"/>
                <w:color w:val="auto"/>
              </w:rPr>
            </w:pPr>
          </w:p>
        </w:tc>
        <w:tc>
          <w:tcPr>
            <w:tcW w:w="760" w:type="dxa"/>
            <w:vAlign w:val="bottom"/>
            <w:tcBorders>
              <w:top w:val="single" w:sz="8" w:color="CCEEFF"/>
            </w:tcBorders>
            <w:shd w:val="clear" w:color="auto" w:fill="56C271"/>
          </w:tcPr>
          <w:p>
            <w:pPr>
              <w:spacing w:after="0" w:line="20" w:lineRule="exact"/>
              <w:rPr>
                <w:sz w:val="1"/>
                <w:szCs w:val="1"/>
                <w:color w:val="auto"/>
              </w:rPr>
            </w:pPr>
          </w:p>
        </w:tc>
        <w:tc>
          <w:tcPr>
            <w:tcW w:w="40" w:type="dxa"/>
            <w:vAlign w:val="bottom"/>
            <w:tcBorders>
              <w:top w:val="single" w:sz="8" w:color="CCEEFF"/>
            </w:tcBorders>
            <w:shd w:val="clear" w:color="auto" w:fill="56C271"/>
          </w:tcPr>
          <w:p>
            <w:pPr>
              <w:spacing w:after="0" w:line="20" w:lineRule="exact"/>
              <w:rPr>
                <w:sz w:val="1"/>
                <w:szCs w:val="1"/>
                <w:color w:val="auto"/>
              </w:rPr>
            </w:pPr>
          </w:p>
        </w:tc>
        <w:tc>
          <w:tcPr>
            <w:tcW w:w="360" w:type="dxa"/>
            <w:vAlign w:val="bottom"/>
            <w:tcBorders>
              <w:top w:val="single" w:sz="8" w:color="CCEEFF"/>
            </w:tcBorders>
            <w:shd w:val="clear" w:color="auto" w:fill="56C271"/>
          </w:tcPr>
          <w:p>
            <w:pPr>
              <w:spacing w:after="0" w:line="20" w:lineRule="exact"/>
              <w:rPr>
                <w:sz w:val="1"/>
                <w:szCs w:val="1"/>
                <w:color w:val="auto"/>
              </w:rPr>
            </w:pPr>
          </w:p>
        </w:tc>
        <w:tc>
          <w:tcPr>
            <w:tcW w:w="20" w:type="dxa"/>
            <w:vAlign w:val="bottom"/>
            <w:tcBorders>
              <w:top w:val="single" w:sz="8" w:color="CCEEFF"/>
            </w:tcBorders>
            <w:shd w:val="clear" w:color="auto" w:fill="56C271"/>
          </w:tcPr>
          <w:p>
            <w:pPr>
              <w:spacing w:after="0" w:line="20" w:lineRule="exact"/>
              <w:rPr>
                <w:sz w:val="1"/>
                <w:szCs w:val="1"/>
                <w:color w:val="auto"/>
              </w:rPr>
            </w:pPr>
          </w:p>
        </w:tc>
        <w:tc>
          <w:tcPr>
            <w:tcW w:w="580" w:type="dxa"/>
            <w:vAlign w:val="bottom"/>
            <w:tcBorders>
              <w:top w:val="single" w:sz="8" w:color="CCEEFF"/>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0000EE"/>
            </w:tcBorders>
            <w:shd w:val="clear" w:color="auto" w:fill="56C27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gridSpan w:val="12"/>
          </w:tcPr>
          <w:p>
            <w:pPr>
              <w:spacing w:after="0" w:line="196"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Summary Description of the 2021 Plan</w:t>
              </w:r>
            </w:hyperlink>
          </w:p>
        </w:tc>
        <w:tc>
          <w:tcPr>
            <w:tcW w:w="5100" w:type="dxa"/>
            <w:vAlign w:val="bottom"/>
            <w:gridSpan w:val="16"/>
          </w:tcPr>
          <w:p>
            <w:pPr>
              <w:spacing w:after="0"/>
              <w:rPr>
                <w:sz w:val="17"/>
                <w:szCs w:val="17"/>
                <w:color w:val="auto"/>
              </w:rPr>
            </w:pPr>
          </w:p>
        </w:tc>
        <w:tc>
          <w:tcPr>
            <w:tcW w:w="1380" w:type="dxa"/>
            <w:vAlign w:val="bottom"/>
            <w:gridSpan w:val="3"/>
          </w:tcPr>
          <w:p>
            <w:pPr>
              <w:jc w:val="right"/>
              <w:ind w:right="98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75</w:t>
              </w:r>
            </w:hyperlink>
          </w:p>
        </w:tc>
      </w:tr>
      <w:tr>
        <w:trPr>
          <w:trHeight w:val="27"/>
        </w:trPr>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1000" w:type="dxa"/>
            <w:vAlign w:val="bottom"/>
            <w:tcBorders>
              <w:right w:val="single" w:sz="8" w:color="CCEEFF"/>
            </w:tcBorders>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160" w:type="dxa"/>
            <w:vAlign w:val="bottom"/>
            <w:gridSpan w:val="19"/>
            <w:shd w:val="clear" w:color="auto" w:fill="CCEEFF"/>
          </w:tcPr>
          <w:p>
            <w:pPr>
              <w:spacing w:after="0"/>
              <w:rPr>
                <w:rFonts w:ascii="Arial" w:cs="Arial" w:eastAsia="Arial" w:hAnsi="Arial"/>
                <w:sz w:val="18"/>
                <w:szCs w:val="18"/>
                <w:color w:val="0000EE"/>
                <w:w w:val="98"/>
              </w:rPr>
            </w:pPr>
            <w:hyperlink w:anchor="page84">
              <w:r>
                <w:rPr>
                  <w:rFonts w:ascii="Arial" w:cs="Arial" w:eastAsia="Arial" w:hAnsi="Arial"/>
                  <w:sz w:val="18"/>
                  <w:szCs w:val="18"/>
                  <w:color w:val="0000EE"/>
                  <w:w w:val="98"/>
                </w:rPr>
                <w:t>Federal Income Tax Consequences of the 2021 Plan</w:t>
              </w:r>
            </w:hyperlink>
          </w:p>
        </w:tc>
        <w:tc>
          <w:tcPr>
            <w:tcW w:w="4000" w:type="dxa"/>
            <w:vAlign w:val="bottom"/>
            <w:gridSpan w:val="9"/>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980" w:type="dxa"/>
            <w:vAlign w:val="bottom"/>
          </w:tcPr>
          <w:p>
            <w:pPr>
              <w:spacing w:after="0"/>
              <w:rPr>
                <w:sz w:val="18"/>
                <w:szCs w:val="18"/>
                <w:color w:val="auto"/>
              </w:rPr>
            </w:pPr>
          </w:p>
        </w:tc>
      </w:tr>
      <w:tr>
        <w:trPr>
          <w:trHeight w:val="27"/>
        </w:trPr>
        <w:tc>
          <w:tcPr>
            <w:tcW w:w="1000" w:type="dxa"/>
            <w:vAlign w:val="bottom"/>
            <w:tcBorders>
              <w:right w:val="single" w:sz="8" w:color="CCEEFF"/>
            </w:tcBorders>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r>
      <w:tr>
        <w:trPr>
          <w:trHeight w:val="351"/>
        </w:trPr>
        <w:tc>
          <w:tcPr>
            <w:tcW w:w="1000" w:type="dxa"/>
            <w:vAlign w:val="bottom"/>
          </w:tcPr>
          <w:p>
            <w:pPr>
              <w:spacing w:after="0"/>
              <w:rPr>
                <w:sz w:val="24"/>
                <w:szCs w:val="24"/>
                <w:color w:val="auto"/>
              </w:rPr>
            </w:pPr>
          </w:p>
        </w:tc>
        <w:tc>
          <w:tcPr>
            <w:tcW w:w="8340" w:type="dxa"/>
            <w:vAlign w:val="bottom"/>
            <w:gridSpan w:val="29"/>
          </w:tcPr>
          <w:p>
            <w:pPr>
              <w:spacing w:after="0"/>
              <w:rPr>
                <w:rFonts w:ascii="Arial" w:cs="Arial" w:eastAsia="Arial" w:hAnsi="Arial"/>
                <w:sz w:val="22"/>
                <w:szCs w:val="22"/>
                <w:b w:val="1"/>
                <w:bCs w:val="1"/>
                <w:color w:val="56C271"/>
              </w:rPr>
            </w:pPr>
            <w:hyperlink w:anchor="page88">
              <w:r>
                <w:rPr>
                  <w:rFonts w:ascii="Arial" w:cs="Arial" w:eastAsia="Arial" w:hAnsi="Arial"/>
                  <w:sz w:val="22"/>
                  <w:szCs w:val="22"/>
                  <w:b w:val="1"/>
                  <w:bCs w:val="1"/>
                  <w:color w:val="56C271"/>
                </w:rPr>
                <w:t>Proposal 4 — Ratification of Appointment of Independent Registered Public</w:t>
              </w:r>
            </w:hyperlink>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1000" w:type="dxa"/>
            <w:vAlign w:val="bottom"/>
          </w:tcPr>
          <w:p>
            <w:pPr>
              <w:spacing w:after="0"/>
              <w:rPr>
                <w:sz w:val="19"/>
                <w:szCs w:val="19"/>
                <w:color w:val="auto"/>
              </w:rPr>
            </w:pPr>
          </w:p>
        </w:tc>
        <w:tc>
          <w:tcPr>
            <w:tcW w:w="180" w:type="dxa"/>
            <w:vAlign w:val="bottom"/>
            <w:tcBorders>
              <w:top w:val="single" w:sz="8" w:color="56C271"/>
            </w:tcBorders>
          </w:tcPr>
          <w:p>
            <w:pPr>
              <w:spacing w:after="0"/>
              <w:rPr>
                <w:sz w:val="19"/>
                <w:szCs w:val="19"/>
                <w:color w:val="auto"/>
              </w:rPr>
            </w:pPr>
          </w:p>
        </w:tc>
        <w:tc>
          <w:tcPr>
            <w:tcW w:w="7360" w:type="dxa"/>
            <w:vAlign w:val="bottom"/>
            <w:tcBorders>
              <w:top w:val="single" w:sz="8" w:color="56C271"/>
            </w:tcBorders>
            <w:gridSpan w:val="26"/>
          </w:tcPr>
          <w:p>
            <w:pPr>
              <w:spacing w:after="0" w:line="223" w:lineRule="exact"/>
              <w:rPr>
                <w:rFonts w:ascii="Arial" w:cs="Arial" w:eastAsia="Arial" w:hAnsi="Arial"/>
                <w:sz w:val="22"/>
                <w:szCs w:val="22"/>
                <w:b w:val="1"/>
                <w:bCs w:val="1"/>
                <w:color w:val="56C271"/>
              </w:rPr>
            </w:pPr>
            <w:hyperlink w:anchor="page88">
              <w:r>
                <w:rPr>
                  <w:rFonts w:ascii="Arial" w:cs="Arial" w:eastAsia="Arial" w:hAnsi="Arial"/>
                  <w:sz w:val="22"/>
                  <w:szCs w:val="22"/>
                  <w:b w:val="1"/>
                  <w:bCs w:val="1"/>
                  <w:color w:val="56C271"/>
                </w:rPr>
                <w:t>Accounting Firm</w:t>
              </w:r>
            </w:hyperlink>
          </w:p>
        </w:tc>
        <w:tc>
          <w:tcPr>
            <w:tcW w:w="800" w:type="dxa"/>
            <w:vAlign w:val="bottom"/>
            <w:gridSpan w:val="2"/>
          </w:tcPr>
          <w:p>
            <w:pPr>
              <w:spacing w:after="0"/>
              <w:rPr>
                <w:sz w:val="19"/>
                <w:szCs w:val="19"/>
                <w:color w:val="auto"/>
              </w:rPr>
            </w:pPr>
          </w:p>
        </w:tc>
        <w:tc>
          <w:tcPr>
            <w:tcW w:w="1380" w:type="dxa"/>
            <w:vAlign w:val="bottom"/>
            <w:gridSpan w:val="3"/>
          </w:tcPr>
          <w:p>
            <w:pPr>
              <w:jc w:val="right"/>
              <w:ind w:right="980"/>
              <w:spacing w:after="0"/>
              <w:rPr>
                <w:rFonts w:ascii="Arial" w:cs="Arial" w:eastAsia="Arial" w:hAnsi="Arial"/>
                <w:sz w:val="18"/>
                <w:szCs w:val="18"/>
                <w:color w:val="0000EE"/>
              </w:rPr>
            </w:pPr>
            <w:hyperlink w:anchor="page88">
              <w:r>
                <w:rPr>
                  <w:rFonts w:ascii="Arial" w:cs="Arial" w:eastAsia="Arial" w:hAnsi="Arial"/>
                  <w:sz w:val="18"/>
                  <w:szCs w:val="18"/>
                  <w:color w:val="0000EE"/>
                </w:rPr>
                <w:t>84</w:t>
              </w:r>
            </w:hyperlink>
          </w:p>
        </w:tc>
      </w:tr>
      <w:tr>
        <w:trPr>
          <w:trHeight w:val="34"/>
        </w:trPr>
        <w:tc>
          <w:tcPr>
            <w:tcW w:w="1000" w:type="dxa"/>
            <w:vAlign w:val="bottom"/>
          </w:tcPr>
          <w:p>
            <w:pPr>
              <w:spacing w:after="0"/>
              <w:rPr>
                <w:sz w:val="2"/>
                <w:szCs w:val="2"/>
                <w:color w:val="auto"/>
              </w:rPr>
            </w:pPr>
          </w:p>
        </w:tc>
        <w:tc>
          <w:tcPr>
            <w:tcW w:w="180" w:type="dxa"/>
            <w:vAlign w:val="bottom"/>
            <w:tcBorders>
              <w:bottom w:val="single" w:sz="8" w:color="56C271"/>
            </w:tcBorders>
          </w:tcPr>
          <w:p>
            <w:pPr>
              <w:spacing w:after="0"/>
              <w:rPr>
                <w:sz w:val="2"/>
                <w:szCs w:val="2"/>
                <w:color w:val="auto"/>
              </w:rPr>
            </w:pPr>
          </w:p>
        </w:tc>
        <w:tc>
          <w:tcPr>
            <w:tcW w:w="440" w:type="dxa"/>
            <w:vAlign w:val="bottom"/>
            <w:tcBorders>
              <w:top w:val="single" w:sz="8" w:color="56C271"/>
              <w:bottom w:val="single" w:sz="8" w:color="56C271"/>
            </w:tcBorders>
          </w:tcPr>
          <w:p>
            <w:pPr>
              <w:spacing w:after="0"/>
              <w:rPr>
                <w:sz w:val="2"/>
                <w:szCs w:val="2"/>
                <w:color w:val="auto"/>
              </w:rPr>
            </w:pPr>
          </w:p>
        </w:tc>
        <w:tc>
          <w:tcPr>
            <w:tcW w:w="160" w:type="dxa"/>
            <w:vAlign w:val="bottom"/>
            <w:tcBorders>
              <w:top w:val="single" w:sz="8" w:color="56C271"/>
              <w:bottom w:val="single" w:sz="8" w:color="56C271"/>
            </w:tcBorders>
          </w:tcPr>
          <w:p>
            <w:pPr>
              <w:spacing w:after="0"/>
              <w:rPr>
                <w:sz w:val="2"/>
                <w:szCs w:val="2"/>
                <w:color w:val="auto"/>
              </w:rPr>
            </w:pPr>
          </w:p>
        </w:tc>
        <w:tc>
          <w:tcPr>
            <w:tcW w:w="740" w:type="dxa"/>
            <w:vAlign w:val="bottom"/>
            <w:tcBorders>
              <w:top w:val="single" w:sz="8" w:color="56C271"/>
              <w:bottom w:val="single" w:sz="8" w:color="56C271"/>
            </w:tcBorders>
          </w:tcPr>
          <w:p>
            <w:pPr>
              <w:spacing w:after="0"/>
              <w:rPr>
                <w:sz w:val="2"/>
                <w:szCs w:val="2"/>
                <w:color w:val="auto"/>
              </w:rPr>
            </w:pPr>
          </w:p>
        </w:tc>
        <w:tc>
          <w:tcPr>
            <w:tcW w:w="240" w:type="dxa"/>
            <w:vAlign w:val="bottom"/>
            <w:tcBorders>
              <w:top w:val="single" w:sz="8" w:color="56C271"/>
              <w:bottom w:val="single" w:sz="8" w:color="56C271"/>
            </w:tcBorders>
          </w:tcPr>
          <w:p>
            <w:pPr>
              <w:spacing w:after="0"/>
              <w:rPr>
                <w:sz w:val="2"/>
                <w:szCs w:val="2"/>
                <w:color w:val="auto"/>
              </w:rPr>
            </w:pPr>
          </w:p>
        </w:tc>
        <w:tc>
          <w:tcPr>
            <w:tcW w:w="100" w:type="dxa"/>
            <w:vAlign w:val="bottom"/>
            <w:tcBorders>
              <w:top w:val="single" w:sz="8" w:color="56C271"/>
              <w:bottom w:val="single" w:sz="8" w:color="56C271"/>
            </w:tcBorders>
          </w:tcPr>
          <w:p>
            <w:pPr>
              <w:spacing w:after="0"/>
              <w:rPr>
                <w:sz w:val="2"/>
                <w:szCs w:val="2"/>
                <w:color w:val="auto"/>
              </w:rPr>
            </w:pPr>
          </w:p>
        </w:tc>
        <w:tc>
          <w:tcPr>
            <w:tcW w:w="440" w:type="dxa"/>
            <w:vAlign w:val="bottom"/>
            <w:tcBorders>
              <w:bottom w:val="single" w:sz="8" w:color="56C271"/>
            </w:tcBorders>
          </w:tcPr>
          <w:p>
            <w:pPr>
              <w:spacing w:after="0"/>
              <w:rPr>
                <w:sz w:val="2"/>
                <w:szCs w:val="2"/>
                <w:color w:val="auto"/>
              </w:rPr>
            </w:pPr>
          </w:p>
        </w:tc>
        <w:tc>
          <w:tcPr>
            <w:tcW w:w="120" w:type="dxa"/>
            <w:vAlign w:val="bottom"/>
            <w:tcBorders>
              <w:bottom w:val="single" w:sz="8" w:color="56C271"/>
            </w:tcBorders>
          </w:tcPr>
          <w:p>
            <w:pPr>
              <w:spacing w:after="0"/>
              <w:rPr>
                <w:sz w:val="2"/>
                <w:szCs w:val="2"/>
                <w:color w:val="auto"/>
              </w:rPr>
            </w:pPr>
          </w:p>
        </w:tc>
        <w:tc>
          <w:tcPr>
            <w:tcW w:w="100" w:type="dxa"/>
            <w:vAlign w:val="bottom"/>
            <w:tcBorders>
              <w:bottom w:val="single" w:sz="8" w:color="56C271"/>
            </w:tcBorders>
          </w:tcPr>
          <w:p>
            <w:pPr>
              <w:spacing w:after="0"/>
              <w:rPr>
                <w:sz w:val="2"/>
                <w:szCs w:val="2"/>
                <w:color w:val="auto"/>
              </w:rPr>
            </w:pPr>
          </w:p>
        </w:tc>
        <w:tc>
          <w:tcPr>
            <w:tcW w:w="100" w:type="dxa"/>
            <w:vAlign w:val="bottom"/>
            <w:tcBorders>
              <w:bottom w:val="single" w:sz="8" w:color="56C271"/>
            </w:tcBorders>
          </w:tcPr>
          <w:p>
            <w:pPr>
              <w:spacing w:after="0"/>
              <w:rPr>
                <w:sz w:val="2"/>
                <w:szCs w:val="2"/>
                <w:color w:val="auto"/>
              </w:rPr>
            </w:pPr>
          </w:p>
        </w:tc>
        <w:tc>
          <w:tcPr>
            <w:tcW w:w="340" w:type="dxa"/>
            <w:vAlign w:val="bottom"/>
            <w:tcBorders>
              <w:bottom w:val="single" w:sz="8" w:color="56C271"/>
            </w:tcBorders>
          </w:tcPr>
          <w:p>
            <w:pPr>
              <w:spacing w:after="0"/>
              <w:rPr>
                <w:sz w:val="2"/>
                <w:szCs w:val="2"/>
                <w:color w:val="auto"/>
              </w:rPr>
            </w:pPr>
          </w:p>
        </w:tc>
        <w:tc>
          <w:tcPr>
            <w:tcW w:w="160" w:type="dxa"/>
            <w:vAlign w:val="bottom"/>
            <w:tcBorders>
              <w:bottom w:val="single" w:sz="8" w:color="56C271"/>
            </w:tcBorders>
          </w:tcPr>
          <w:p>
            <w:pPr>
              <w:spacing w:after="0"/>
              <w:rPr>
                <w:sz w:val="2"/>
                <w:szCs w:val="2"/>
                <w:color w:val="auto"/>
              </w:rPr>
            </w:pPr>
          </w:p>
        </w:tc>
        <w:tc>
          <w:tcPr>
            <w:tcW w:w="120" w:type="dxa"/>
            <w:vAlign w:val="bottom"/>
            <w:tcBorders>
              <w:bottom w:val="single" w:sz="8" w:color="56C271"/>
            </w:tcBorders>
          </w:tcPr>
          <w:p>
            <w:pPr>
              <w:spacing w:after="0"/>
              <w:rPr>
                <w:sz w:val="2"/>
                <w:szCs w:val="2"/>
                <w:color w:val="auto"/>
              </w:rPr>
            </w:pPr>
          </w:p>
        </w:tc>
        <w:tc>
          <w:tcPr>
            <w:tcW w:w="160" w:type="dxa"/>
            <w:vAlign w:val="bottom"/>
            <w:tcBorders>
              <w:bottom w:val="single" w:sz="8" w:color="56C271"/>
            </w:tcBorders>
          </w:tcPr>
          <w:p>
            <w:pPr>
              <w:spacing w:after="0"/>
              <w:rPr>
                <w:sz w:val="2"/>
                <w:szCs w:val="2"/>
                <w:color w:val="auto"/>
              </w:rPr>
            </w:pPr>
          </w:p>
        </w:tc>
        <w:tc>
          <w:tcPr>
            <w:tcW w:w="220" w:type="dxa"/>
            <w:vAlign w:val="bottom"/>
            <w:tcBorders>
              <w:bottom w:val="single" w:sz="8" w:color="56C271"/>
            </w:tcBorders>
          </w:tcPr>
          <w:p>
            <w:pPr>
              <w:spacing w:after="0"/>
              <w:rPr>
                <w:sz w:val="2"/>
                <w:szCs w:val="2"/>
                <w:color w:val="auto"/>
              </w:rPr>
            </w:pPr>
          </w:p>
        </w:tc>
        <w:tc>
          <w:tcPr>
            <w:tcW w:w="8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160" w:type="dxa"/>
            <w:vAlign w:val="bottom"/>
            <w:tcBorders>
              <w:bottom w:val="single" w:sz="8" w:color="56C271"/>
            </w:tcBorders>
          </w:tcPr>
          <w:p>
            <w:pPr>
              <w:spacing w:after="0"/>
              <w:rPr>
                <w:sz w:val="2"/>
                <w:szCs w:val="2"/>
                <w:color w:val="auto"/>
              </w:rPr>
            </w:pPr>
          </w:p>
        </w:tc>
        <w:tc>
          <w:tcPr>
            <w:tcW w:w="80" w:type="dxa"/>
            <w:vAlign w:val="bottom"/>
            <w:tcBorders>
              <w:bottom w:val="single" w:sz="8" w:color="56C271"/>
            </w:tcBorders>
          </w:tcPr>
          <w:p>
            <w:pPr>
              <w:spacing w:after="0"/>
              <w:rPr>
                <w:sz w:val="2"/>
                <w:szCs w:val="2"/>
                <w:color w:val="auto"/>
              </w:rPr>
            </w:pPr>
          </w:p>
        </w:tc>
        <w:tc>
          <w:tcPr>
            <w:tcW w:w="260" w:type="dxa"/>
            <w:vAlign w:val="bottom"/>
            <w:tcBorders>
              <w:bottom w:val="single" w:sz="8" w:color="56C271"/>
            </w:tcBorders>
          </w:tcPr>
          <w:p>
            <w:pPr>
              <w:spacing w:after="0"/>
              <w:rPr>
                <w:sz w:val="2"/>
                <w:szCs w:val="2"/>
                <w:color w:val="auto"/>
              </w:rPr>
            </w:pPr>
          </w:p>
        </w:tc>
        <w:tc>
          <w:tcPr>
            <w:tcW w:w="520" w:type="dxa"/>
            <w:vAlign w:val="bottom"/>
            <w:tcBorders>
              <w:bottom w:val="single" w:sz="8" w:color="56C271"/>
            </w:tcBorders>
          </w:tcPr>
          <w:p>
            <w:pPr>
              <w:spacing w:after="0"/>
              <w:rPr>
                <w:sz w:val="2"/>
                <w:szCs w:val="2"/>
                <w:color w:val="auto"/>
              </w:rPr>
            </w:pPr>
          </w:p>
        </w:tc>
        <w:tc>
          <w:tcPr>
            <w:tcW w:w="480" w:type="dxa"/>
            <w:vAlign w:val="bottom"/>
            <w:tcBorders>
              <w:bottom w:val="single" w:sz="8" w:color="56C271"/>
            </w:tcBorders>
          </w:tcPr>
          <w:p>
            <w:pPr>
              <w:spacing w:after="0"/>
              <w:rPr>
                <w:sz w:val="2"/>
                <w:szCs w:val="2"/>
                <w:color w:val="auto"/>
              </w:rPr>
            </w:pPr>
          </w:p>
        </w:tc>
        <w:tc>
          <w:tcPr>
            <w:tcW w:w="1020" w:type="dxa"/>
            <w:vAlign w:val="bottom"/>
            <w:tcBorders>
              <w:bottom w:val="single" w:sz="8" w:color="56C271"/>
            </w:tcBorders>
          </w:tcPr>
          <w:p>
            <w:pPr>
              <w:spacing w:after="0"/>
              <w:rPr>
                <w:sz w:val="2"/>
                <w:szCs w:val="2"/>
                <w:color w:val="auto"/>
              </w:rPr>
            </w:pPr>
          </w:p>
        </w:tc>
        <w:tc>
          <w:tcPr>
            <w:tcW w:w="760" w:type="dxa"/>
            <w:vAlign w:val="bottom"/>
            <w:tcBorders>
              <w:bottom w:val="single" w:sz="8" w:color="56C271"/>
            </w:tcBorders>
          </w:tcPr>
          <w:p>
            <w:pPr>
              <w:spacing w:after="0"/>
              <w:rPr>
                <w:sz w:val="2"/>
                <w:szCs w:val="2"/>
                <w:color w:val="auto"/>
              </w:rPr>
            </w:pPr>
          </w:p>
        </w:tc>
        <w:tc>
          <w:tcPr>
            <w:tcW w:w="40" w:type="dxa"/>
            <w:vAlign w:val="bottom"/>
            <w:tcBorders>
              <w:bottom w:val="single" w:sz="8" w:color="56C271"/>
            </w:tcBorders>
          </w:tcPr>
          <w:p>
            <w:pPr>
              <w:spacing w:after="0"/>
              <w:rPr>
                <w:sz w:val="2"/>
                <w:szCs w:val="2"/>
                <w:color w:val="auto"/>
              </w:rPr>
            </w:pPr>
          </w:p>
        </w:tc>
        <w:tc>
          <w:tcPr>
            <w:tcW w:w="360" w:type="dxa"/>
            <w:vAlign w:val="bottom"/>
            <w:tcBorders>
              <w:bottom w:val="single" w:sz="8" w:color="56C271"/>
            </w:tcBorders>
          </w:tcPr>
          <w:p>
            <w:pPr>
              <w:spacing w:after="0"/>
              <w:rPr>
                <w:sz w:val="2"/>
                <w:szCs w:val="2"/>
                <w:color w:val="auto"/>
              </w:rPr>
            </w:pPr>
          </w:p>
        </w:tc>
        <w:tc>
          <w:tcPr>
            <w:tcW w:w="20" w:type="dxa"/>
            <w:vAlign w:val="bottom"/>
            <w:tcBorders>
              <w:bottom w:val="single" w:sz="8" w:color="56C271"/>
            </w:tcBorders>
          </w:tcPr>
          <w:p>
            <w:pPr>
              <w:spacing w:after="0"/>
              <w:rPr>
                <w:sz w:val="2"/>
                <w:szCs w:val="2"/>
                <w:color w:val="auto"/>
              </w:rPr>
            </w:pPr>
          </w:p>
        </w:tc>
        <w:tc>
          <w:tcPr>
            <w:tcW w:w="580" w:type="dxa"/>
            <w:vAlign w:val="bottom"/>
            <w:tcBorders>
              <w:bottom w:val="single" w:sz="8" w:color="56C271"/>
            </w:tcBorders>
          </w:tcPr>
          <w:p>
            <w:pPr>
              <w:spacing w:after="0"/>
              <w:rPr>
                <w:sz w:val="2"/>
                <w:szCs w:val="2"/>
                <w:color w:val="auto"/>
              </w:rPr>
            </w:pPr>
          </w:p>
        </w:tc>
        <w:tc>
          <w:tcPr>
            <w:tcW w:w="220" w:type="dxa"/>
            <w:vAlign w:val="bottom"/>
            <w:tcBorders>
              <w:bottom w:val="single" w:sz="8" w:color="56C271"/>
            </w:tcBorders>
          </w:tcPr>
          <w:p>
            <w:pPr>
              <w:spacing w:after="0"/>
              <w:rPr>
                <w:sz w:val="2"/>
                <w:szCs w:val="2"/>
                <w:color w:val="auto"/>
              </w:rPr>
            </w:pPr>
          </w:p>
        </w:tc>
        <w:tc>
          <w:tcPr>
            <w:tcW w:w="200" w:type="dxa"/>
            <w:vAlign w:val="bottom"/>
            <w:tcBorders>
              <w:bottom w:val="single" w:sz="8" w:color="56C271"/>
            </w:tcBorders>
          </w:tcPr>
          <w:p>
            <w:pPr>
              <w:spacing w:after="0"/>
              <w:rPr>
                <w:sz w:val="2"/>
                <w:szCs w:val="2"/>
                <w:color w:val="auto"/>
              </w:rPr>
            </w:pPr>
          </w:p>
        </w:tc>
        <w:tc>
          <w:tcPr>
            <w:tcW w:w="200" w:type="dxa"/>
            <w:vAlign w:val="bottom"/>
            <w:tcBorders>
              <w:top w:val="single" w:sz="8" w:color="0000EE"/>
              <w:bottom w:val="single" w:sz="8" w:color="56C271"/>
            </w:tcBorders>
          </w:tcPr>
          <w:p>
            <w:pPr>
              <w:spacing w:after="0"/>
              <w:rPr>
                <w:sz w:val="2"/>
                <w:szCs w:val="2"/>
                <w:color w:val="auto"/>
              </w:rPr>
            </w:pPr>
          </w:p>
        </w:tc>
        <w:tc>
          <w:tcPr>
            <w:tcW w:w="980" w:type="dxa"/>
            <w:vAlign w:val="bottom"/>
          </w:tcPr>
          <w:p>
            <w:pPr>
              <w:spacing w:after="0"/>
              <w:rPr>
                <w:sz w:val="2"/>
                <w:szCs w:val="2"/>
                <w:color w:val="auto"/>
              </w:rPr>
            </w:pPr>
          </w:p>
        </w:tc>
      </w:tr>
      <w:tr>
        <w:trPr>
          <w:trHeight w:val="419"/>
        </w:trPr>
        <w:tc>
          <w:tcPr>
            <w:tcW w:w="1000" w:type="dxa"/>
            <w:vAlign w:val="bottom"/>
            <w:tcBorders>
              <w:right w:val="single" w:sz="8" w:color="CCEEFF"/>
            </w:tcBorders>
          </w:tcPr>
          <w:p>
            <w:pPr>
              <w:spacing w:after="0"/>
              <w:rPr>
                <w:sz w:val="24"/>
                <w:szCs w:val="24"/>
                <w:color w:val="auto"/>
              </w:rPr>
            </w:pPr>
          </w:p>
        </w:tc>
        <w:tc>
          <w:tcPr>
            <w:tcW w:w="8340" w:type="dxa"/>
            <w:vAlign w:val="bottom"/>
            <w:gridSpan w:val="29"/>
            <w:shd w:val="clear" w:color="auto" w:fill="CCEEFF"/>
          </w:tcPr>
          <w:p>
            <w:pPr>
              <w:spacing w:after="0"/>
              <w:rPr>
                <w:rFonts w:ascii="Arial" w:cs="Arial" w:eastAsia="Arial" w:hAnsi="Arial"/>
                <w:sz w:val="22"/>
                <w:szCs w:val="22"/>
                <w:b w:val="1"/>
                <w:bCs w:val="1"/>
                <w:color w:val="56C271"/>
              </w:rPr>
            </w:pPr>
            <w:hyperlink w:anchor="page89">
              <w:r>
                <w:rPr>
                  <w:rFonts w:ascii="Arial" w:cs="Arial" w:eastAsia="Arial" w:hAnsi="Arial"/>
                  <w:sz w:val="22"/>
                  <w:szCs w:val="22"/>
                  <w:b w:val="1"/>
                  <w:bCs w:val="1"/>
                  <w:color w:val="56C271"/>
                </w:rPr>
                <w:t>Principal Accounting Firm Fees</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c>
          <w:tcPr>
            <w:tcW w:w="980" w:type="dxa"/>
            <w:vAlign w:val="bottom"/>
          </w:tcPr>
          <w:p>
            <w:pPr>
              <w:spacing w:after="0"/>
              <w:rPr>
                <w:sz w:val="24"/>
                <w:szCs w:val="24"/>
                <w:color w:val="auto"/>
              </w:rPr>
            </w:pPr>
          </w:p>
        </w:tc>
      </w:tr>
      <w:tr>
        <w:trPr>
          <w:trHeight w:val="20"/>
        </w:trPr>
        <w:tc>
          <w:tcPr>
            <w:tcW w:w="1000" w:type="dxa"/>
            <w:vAlign w:val="bottom"/>
            <w:tcBorders>
              <w:right w:val="single" w:sz="8" w:color="56C271"/>
            </w:tcBorders>
          </w:tcPr>
          <w:p>
            <w:pPr>
              <w:spacing w:after="0" w:line="20" w:lineRule="exact"/>
              <w:rPr>
                <w:sz w:val="1"/>
                <w:szCs w:val="1"/>
                <w:color w:val="auto"/>
              </w:rPr>
            </w:pPr>
          </w:p>
        </w:tc>
        <w:tc>
          <w:tcPr>
            <w:tcW w:w="18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7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24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3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left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CCEEFF"/>
              <w:left w:val="single" w:sz="8" w:color="56C271"/>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80" w:type="dxa"/>
            <w:vAlign w:val="bottom"/>
            <w:tcBorders>
              <w:top w:val="single" w:sz="8" w:color="CCEEFF"/>
            </w:tcBorders>
            <w:shd w:val="clear" w:color="auto" w:fill="56C271"/>
          </w:tcPr>
          <w:p>
            <w:pPr>
              <w:spacing w:after="0" w:line="20" w:lineRule="exact"/>
              <w:rPr>
                <w:sz w:val="1"/>
                <w:szCs w:val="1"/>
                <w:color w:val="auto"/>
              </w:rPr>
            </w:pPr>
          </w:p>
        </w:tc>
        <w:tc>
          <w:tcPr>
            <w:tcW w:w="140" w:type="dxa"/>
            <w:vAlign w:val="bottom"/>
            <w:tcBorders>
              <w:top w:val="single" w:sz="8" w:color="CCEEFF"/>
            </w:tcBorders>
            <w:shd w:val="clear" w:color="auto" w:fill="56C271"/>
          </w:tcPr>
          <w:p>
            <w:pPr>
              <w:spacing w:after="0" w:line="20" w:lineRule="exact"/>
              <w:rPr>
                <w:sz w:val="1"/>
                <w:szCs w:val="1"/>
                <w:color w:val="auto"/>
              </w:rPr>
            </w:pPr>
          </w:p>
        </w:tc>
        <w:tc>
          <w:tcPr>
            <w:tcW w:w="160" w:type="dxa"/>
            <w:vAlign w:val="bottom"/>
            <w:tcBorders>
              <w:top w:val="single" w:sz="8" w:color="CCEEFF"/>
            </w:tcBorders>
            <w:shd w:val="clear" w:color="auto" w:fill="56C271"/>
          </w:tcPr>
          <w:p>
            <w:pPr>
              <w:spacing w:after="0" w:line="20" w:lineRule="exact"/>
              <w:rPr>
                <w:sz w:val="1"/>
                <w:szCs w:val="1"/>
                <w:color w:val="auto"/>
              </w:rPr>
            </w:pPr>
          </w:p>
        </w:tc>
        <w:tc>
          <w:tcPr>
            <w:tcW w:w="80" w:type="dxa"/>
            <w:vAlign w:val="bottom"/>
            <w:tcBorders>
              <w:top w:val="single" w:sz="8" w:color="CCEEFF"/>
            </w:tcBorders>
            <w:shd w:val="clear" w:color="auto" w:fill="56C271"/>
          </w:tcPr>
          <w:p>
            <w:pPr>
              <w:spacing w:after="0" w:line="20" w:lineRule="exact"/>
              <w:rPr>
                <w:sz w:val="1"/>
                <w:szCs w:val="1"/>
                <w:color w:val="auto"/>
              </w:rPr>
            </w:pPr>
          </w:p>
        </w:tc>
        <w:tc>
          <w:tcPr>
            <w:tcW w:w="260" w:type="dxa"/>
            <w:vAlign w:val="bottom"/>
            <w:tcBorders>
              <w:top w:val="single" w:sz="8" w:color="CCEEFF"/>
            </w:tcBorders>
            <w:shd w:val="clear" w:color="auto" w:fill="56C271"/>
          </w:tcPr>
          <w:p>
            <w:pPr>
              <w:spacing w:after="0" w:line="20" w:lineRule="exact"/>
              <w:rPr>
                <w:sz w:val="1"/>
                <w:szCs w:val="1"/>
                <w:color w:val="auto"/>
              </w:rPr>
            </w:pPr>
          </w:p>
        </w:tc>
        <w:tc>
          <w:tcPr>
            <w:tcW w:w="520" w:type="dxa"/>
            <w:vAlign w:val="bottom"/>
            <w:tcBorders>
              <w:top w:val="single" w:sz="8" w:color="CCEEFF"/>
            </w:tcBorders>
            <w:shd w:val="clear" w:color="auto" w:fill="56C271"/>
          </w:tcPr>
          <w:p>
            <w:pPr>
              <w:spacing w:after="0" w:line="20" w:lineRule="exact"/>
              <w:rPr>
                <w:sz w:val="1"/>
                <w:szCs w:val="1"/>
                <w:color w:val="auto"/>
              </w:rPr>
            </w:pPr>
          </w:p>
        </w:tc>
        <w:tc>
          <w:tcPr>
            <w:tcW w:w="480" w:type="dxa"/>
            <w:vAlign w:val="bottom"/>
            <w:tcBorders>
              <w:top w:val="single" w:sz="8" w:color="CCEEFF"/>
            </w:tcBorders>
            <w:shd w:val="clear" w:color="auto" w:fill="56C271"/>
          </w:tcPr>
          <w:p>
            <w:pPr>
              <w:spacing w:after="0" w:line="20" w:lineRule="exact"/>
              <w:rPr>
                <w:sz w:val="1"/>
                <w:szCs w:val="1"/>
                <w:color w:val="auto"/>
              </w:rPr>
            </w:pPr>
          </w:p>
        </w:tc>
        <w:tc>
          <w:tcPr>
            <w:tcW w:w="1020" w:type="dxa"/>
            <w:vAlign w:val="bottom"/>
            <w:tcBorders>
              <w:top w:val="single" w:sz="8" w:color="CCEEFF"/>
            </w:tcBorders>
            <w:shd w:val="clear" w:color="auto" w:fill="56C271"/>
          </w:tcPr>
          <w:p>
            <w:pPr>
              <w:spacing w:after="0" w:line="20" w:lineRule="exact"/>
              <w:rPr>
                <w:sz w:val="1"/>
                <w:szCs w:val="1"/>
                <w:color w:val="auto"/>
              </w:rPr>
            </w:pPr>
          </w:p>
        </w:tc>
        <w:tc>
          <w:tcPr>
            <w:tcW w:w="760" w:type="dxa"/>
            <w:vAlign w:val="bottom"/>
            <w:tcBorders>
              <w:top w:val="single" w:sz="8" w:color="CCEEFF"/>
            </w:tcBorders>
            <w:shd w:val="clear" w:color="auto" w:fill="56C271"/>
          </w:tcPr>
          <w:p>
            <w:pPr>
              <w:spacing w:after="0" w:line="20" w:lineRule="exact"/>
              <w:rPr>
                <w:sz w:val="1"/>
                <w:szCs w:val="1"/>
                <w:color w:val="auto"/>
              </w:rPr>
            </w:pPr>
          </w:p>
        </w:tc>
        <w:tc>
          <w:tcPr>
            <w:tcW w:w="40" w:type="dxa"/>
            <w:vAlign w:val="bottom"/>
            <w:tcBorders>
              <w:top w:val="single" w:sz="8" w:color="CCEEFF"/>
            </w:tcBorders>
            <w:shd w:val="clear" w:color="auto" w:fill="56C271"/>
          </w:tcPr>
          <w:p>
            <w:pPr>
              <w:spacing w:after="0" w:line="20" w:lineRule="exact"/>
              <w:rPr>
                <w:sz w:val="1"/>
                <w:szCs w:val="1"/>
                <w:color w:val="auto"/>
              </w:rPr>
            </w:pPr>
          </w:p>
        </w:tc>
        <w:tc>
          <w:tcPr>
            <w:tcW w:w="360" w:type="dxa"/>
            <w:vAlign w:val="bottom"/>
            <w:tcBorders>
              <w:top w:val="single" w:sz="8" w:color="CCEEFF"/>
            </w:tcBorders>
            <w:shd w:val="clear" w:color="auto" w:fill="56C271"/>
          </w:tcPr>
          <w:p>
            <w:pPr>
              <w:spacing w:after="0" w:line="20" w:lineRule="exact"/>
              <w:rPr>
                <w:sz w:val="1"/>
                <w:szCs w:val="1"/>
                <w:color w:val="auto"/>
              </w:rPr>
            </w:pPr>
          </w:p>
        </w:tc>
        <w:tc>
          <w:tcPr>
            <w:tcW w:w="20" w:type="dxa"/>
            <w:vAlign w:val="bottom"/>
            <w:tcBorders>
              <w:top w:val="single" w:sz="8" w:color="CCEEFF"/>
            </w:tcBorders>
            <w:shd w:val="clear" w:color="auto" w:fill="56C271"/>
          </w:tcPr>
          <w:p>
            <w:pPr>
              <w:spacing w:after="0" w:line="20" w:lineRule="exact"/>
              <w:rPr>
                <w:sz w:val="1"/>
                <w:szCs w:val="1"/>
                <w:color w:val="auto"/>
              </w:rPr>
            </w:pPr>
          </w:p>
        </w:tc>
        <w:tc>
          <w:tcPr>
            <w:tcW w:w="580" w:type="dxa"/>
            <w:vAlign w:val="bottom"/>
            <w:tcBorders>
              <w:top w:val="single" w:sz="8" w:color="CCEEFF"/>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0000EE"/>
            </w:tcBorders>
            <w:shd w:val="clear" w:color="auto" w:fill="56C27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340" w:type="dxa"/>
            <w:vAlign w:val="bottom"/>
            <w:gridSpan w:val="29"/>
          </w:tcPr>
          <w:p>
            <w:pPr>
              <w:spacing w:after="0"/>
              <w:rPr>
                <w:rFonts w:ascii="Arial" w:cs="Arial" w:eastAsia="Arial" w:hAnsi="Arial"/>
                <w:sz w:val="22"/>
                <w:szCs w:val="22"/>
                <w:b w:val="1"/>
                <w:bCs w:val="1"/>
                <w:color w:val="56C271"/>
              </w:rPr>
            </w:pPr>
            <w:hyperlink w:anchor="page90">
              <w:r>
                <w:rPr>
                  <w:rFonts w:ascii="Arial" w:cs="Arial" w:eastAsia="Arial" w:hAnsi="Arial"/>
                  <w:sz w:val="22"/>
                  <w:szCs w:val="22"/>
                  <w:b w:val="1"/>
                  <w:bCs w:val="1"/>
                  <w:color w:val="56C271"/>
                </w:rPr>
                <w:t>Audit Committee Report</w:t>
              </w:r>
            </w:hyperlink>
          </w:p>
        </w:tc>
        <w:tc>
          <w:tcPr>
            <w:tcW w:w="1380" w:type="dxa"/>
            <w:vAlign w:val="bottom"/>
            <w:gridSpan w:val="3"/>
          </w:tcPr>
          <w:p>
            <w:pPr>
              <w:jc w:val="right"/>
              <w:ind w:right="980"/>
              <w:spacing w:after="0"/>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r>
      <w:tr>
        <w:trPr>
          <w:trHeight w:val="48"/>
        </w:trPr>
        <w:tc>
          <w:tcPr>
            <w:tcW w:w="1000" w:type="dxa"/>
            <w:vAlign w:val="bottom"/>
          </w:tcPr>
          <w:p>
            <w:pPr>
              <w:spacing w:after="0"/>
              <w:rPr>
                <w:sz w:val="4"/>
                <w:szCs w:val="4"/>
                <w:color w:val="auto"/>
              </w:rPr>
            </w:pPr>
          </w:p>
        </w:tc>
        <w:tc>
          <w:tcPr>
            <w:tcW w:w="18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740" w:type="dxa"/>
            <w:vAlign w:val="bottom"/>
            <w:tcBorders>
              <w:top w:val="single" w:sz="8" w:color="56C271"/>
              <w:bottom w:val="single" w:sz="8" w:color="56C271"/>
            </w:tcBorders>
          </w:tcPr>
          <w:p>
            <w:pPr>
              <w:spacing w:after="0"/>
              <w:rPr>
                <w:sz w:val="4"/>
                <w:szCs w:val="4"/>
                <w:color w:val="auto"/>
              </w:rPr>
            </w:pPr>
          </w:p>
        </w:tc>
        <w:tc>
          <w:tcPr>
            <w:tcW w:w="24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20" w:type="dxa"/>
            <w:vAlign w:val="bottom"/>
            <w:tcBorders>
              <w:top w:val="single" w:sz="8" w:color="56C271"/>
              <w:bottom w:val="single" w:sz="8" w:color="56C271"/>
            </w:tcBorders>
          </w:tcPr>
          <w:p>
            <w:pPr>
              <w:spacing w:after="0"/>
              <w:rPr>
                <w:sz w:val="4"/>
                <w:szCs w:val="4"/>
                <w:color w:val="auto"/>
              </w:rPr>
            </w:pPr>
          </w:p>
        </w:tc>
        <w:tc>
          <w:tcPr>
            <w:tcW w:w="100" w:type="dxa"/>
            <w:vAlign w:val="bottom"/>
            <w:tcBorders>
              <w:bottom w:val="single" w:sz="8" w:color="56C271"/>
            </w:tcBorders>
          </w:tcPr>
          <w:p>
            <w:pPr>
              <w:spacing w:after="0"/>
              <w:rPr>
                <w:sz w:val="4"/>
                <w:szCs w:val="4"/>
                <w:color w:val="auto"/>
              </w:rPr>
            </w:pPr>
          </w:p>
        </w:tc>
        <w:tc>
          <w:tcPr>
            <w:tcW w:w="100" w:type="dxa"/>
            <w:vAlign w:val="bottom"/>
            <w:tcBorders>
              <w:bottom w:val="single" w:sz="8" w:color="56C271"/>
            </w:tcBorders>
          </w:tcPr>
          <w:p>
            <w:pPr>
              <w:spacing w:after="0"/>
              <w:rPr>
                <w:sz w:val="4"/>
                <w:szCs w:val="4"/>
                <w:color w:val="auto"/>
              </w:rPr>
            </w:pPr>
          </w:p>
        </w:tc>
        <w:tc>
          <w:tcPr>
            <w:tcW w:w="340" w:type="dxa"/>
            <w:vAlign w:val="bottom"/>
            <w:tcBorders>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120" w:type="dxa"/>
            <w:vAlign w:val="bottom"/>
            <w:tcBorders>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220" w:type="dxa"/>
            <w:vAlign w:val="bottom"/>
            <w:tcBorders>
              <w:bottom w:val="single" w:sz="8" w:color="56C271"/>
            </w:tcBorders>
          </w:tcPr>
          <w:p>
            <w:pPr>
              <w:spacing w:after="0"/>
              <w:rPr>
                <w:sz w:val="4"/>
                <w:szCs w:val="4"/>
                <w:color w:val="auto"/>
              </w:rPr>
            </w:pPr>
          </w:p>
        </w:tc>
        <w:tc>
          <w:tcPr>
            <w:tcW w:w="80" w:type="dxa"/>
            <w:vAlign w:val="bottom"/>
            <w:tcBorders>
              <w:bottom w:val="single" w:sz="8" w:color="56C271"/>
            </w:tcBorders>
          </w:tcPr>
          <w:p>
            <w:pPr>
              <w:spacing w:after="0"/>
              <w:rPr>
                <w:sz w:val="4"/>
                <w:szCs w:val="4"/>
                <w:color w:val="auto"/>
              </w:rPr>
            </w:pPr>
          </w:p>
        </w:tc>
        <w:tc>
          <w:tcPr>
            <w:tcW w:w="140" w:type="dxa"/>
            <w:vAlign w:val="bottom"/>
            <w:tcBorders>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80" w:type="dxa"/>
            <w:vAlign w:val="bottom"/>
            <w:tcBorders>
              <w:bottom w:val="single" w:sz="8" w:color="56C271"/>
            </w:tcBorders>
          </w:tcPr>
          <w:p>
            <w:pPr>
              <w:spacing w:after="0"/>
              <w:rPr>
                <w:sz w:val="4"/>
                <w:szCs w:val="4"/>
                <w:color w:val="auto"/>
              </w:rPr>
            </w:pPr>
          </w:p>
        </w:tc>
        <w:tc>
          <w:tcPr>
            <w:tcW w:w="260" w:type="dxa"/>
            <w:vAlign w:val="bottom"/>
            <w:tcBorders>
              <w:bottom w:val="single" w:sz="8" w:color="56C271"/>
            </w:tcBorders>
          </w:tcPr>
          <w:p>
            <w:pPr>
              <w:spacing w:after="0"/>
              <w:rPr>
                <w:sz w:val="4"/>
                <w:szCs w:val="4"/>
                <w:color w:val="auto"/>
              </w:rPr>
            </w:pPr>
          </w:p>
        </w:tc>
        <w:tc>
          <w:tcPr>
            <w:tcW w:w="520" w:type="dxa"/>
            <w:vAlign w:val="bottom"/>
            <w:tcBorders>
              <w:bottom w:val="single" w:sz="8" w:color="56C271"/>
            </w:tcBorders>
          </w:tcPr>
          <w:p>
            <w:pPr>
              <w:spacing w:after="0"/>
              <w:rPr>
                <w:sz w:val="4"/>
                <w:szCs w:val="4"/>
                <w:color w:val="auto"/>
              </w:rPr>
            </w:pPr>
          </w:p>
        </w:tc>
        <w:tc>
          <w:tcPr>
            <w:tcW w:w="480" w:type="dxa"/>
            <w:vAlign w:val="bottom"/>
            <w:tcBorders>
              <w:bottom w:val="single" w:sz="8" w:color="56C271"/>
            </w:tcBorders>
          </w:tcPr>
          <w:p>
            <w:pPr>
              <w:spacing w:after="0"/>
              <w:rPr>
                <w:sz w:val="4"/>
                <w:szCs w:val="4"/>
                <w:color w:val="auto"/>
              </w:rPr>
            </w:pPr>
          </w:p>
        </w:tc>
        <w:tc>
          <w:tcPr>
            <w:tcW w:w="1020" w:type="dxa"/>
            <w:vAlign w:val="bottom"/>
            <w:tcBorders>
              <w:bottom w:val="single" w:sz="8" w:color="56C271"/>
            </w:tcBorders>
          </w:tcPr>
          <w:p>
            <w:pPr>
              <w:spacing w:after="0"/>
              <w:rPr>
                <w:sz w:val="4"/>
                <w:szCs w:val="4"/>
                <w:color w:val="auto"/>
              </w:rPr>
            </w:pPr>
          </w:p>
        </w:tc>
        <w:tc>
          <w:tcPr>
            <w:tcW w:w="760" w:type="dxa"/>
            <w:vAlign w:val="bottom"/>
            <w:tcBorders>
              <w:bottom w:val="single" w:sz="8" w:color="56C271"/>
            </w:tcBorders>
          </w:tcPr>
          <w:p>
            <w:pPr>
              <w:spacing w:after="0"/>
              <w:rPr>
                <w:sz w:val="4"/>
                <w:szCs w:val="4"/>
                <w:color w:val="auto"/>
              </w:rPr>
            </w:pPr>
          </w:p>
        </w:tc>
        <w:tc>
          <w:tcPr>
            <w:tcW w:w="40" w:type="dxa"/>
            <w:vAlign w:val="bottom"/>
            <w:tcBorders>
              <w:bottom w:val="single" w:sz="8" w:color="56C271"/>
            </w:tcBorders>
          </w:tcPr>
          <w:p>
            <w:pPr>
              <w:spacing w:after="0"/>
              <w:rPr>
                <w:sz w:val="4"/>
                <w:szCs w:val="4"/>
                <w:color w:val="auto"/>
              </w:rPr>
            </w:pPr>
          </w:p>
        </w:tc>
        <w:tc>
          <w:tcPr>
            <w:tcW w:w="360" w:type="dxa"/>
            <w:vAlign w:val="bottom"/>
            <w:tcBorders>
              <w:bottom w:val="single" w:sz="8" w:color="56C271"/>
            </w:tcBorders>
          </w:tcPr>
          <w:p>
            <w:pPr>
              <w:spacing w:after="0"/>
              <w:rPr>
                <w:sz w:val="4"/>
                <w:szCs w:val="4"/>
                <w:color w:val="auto"/>
              </w:rPr>
            </w:pPr>
          </w:p>
        </w:tc>
        <w:tc>
          <w:tcPr>
            <w:tcW w:w="20" w:type="dxa"/>
            <w:vAlign w:val="bottom"/>
            <w:tcBorders>
              <w:bottom w:val="single" w:sz="8" w:color="56C271"/>
            </w:tcBorders>
          </w:tcPr>
          <w:p>
            <w:pPr>
              <w:spacing w:after="0"/>
              <w:rPr>
                <w:sz w:val="4"/>
                <w:szCs w:val="4"/>
                <w:color w:val="auto"/>
              </w:rPr>
            </w:pPr>
          </w:p>
        </w:tc>
        <w:tc>
          <w:tcPr>
            <w:tcW w:w="580" w:type="dxa"/>
            <w:vAlign w:val="bottom"/>
            <w:tcBorders>
              <w:bottom w:val="single" w:sz="8" w:color="56C271"/>
            </w:tcBorders>
          </w:tcPr>
          <w:p>
            <w:pPr>
              <w:spacing w:after="0"/>
              <w:rPr>
                <w:sz w:val="4"/>
                <w:szCs w:val="4"/>
                <w:color w:val="auto"/>
              </w:rPr>
            </w:pPr>
          </w:p>
        </w:tc>
        <w:tc>
          <w:tcPr>
            <w:tcW w:w="220" w:type="dxa"/>
            <w:vAlign w:val="bottom"/>
            <w:tcBorders>
              <w:bottom w:val="single" w:sz="8" w:color="56C271"/>
            </w:tcBorders>
          </w:tcPr>
          <w:p>
            <w:pPr>
              <w:spacing w:after="0"/>
              <w:rPr>
                <w:sz w:val="4"/>
                <w:szCs w:val="4"/>
                <w:color w:val="auto"/>
              </w:rPr>
            </w:pPr>
          </w:p>
        </w:tc>
        <w:tc>
          <w:tcPr>
            <w:tcW w:w="200" w:type="dxa"/>
            <w:vAlign w:val="bottom"/>
            <w:tcBorders>
              <w:bottom w:val="single" w:sz="8" w:color="56C271"/>
            </w:tcBorders>
          </w:tcPr>
          <w:p>
            <w:pPr>
              <w:spacing w:after="0"/>
              <w:rPr>
                <w:sz w:val="4"/>
                <w:szCs w:val="4"/>
                <w:color w:val="auto"/>
              </w:rPr>
            </w:pPr>
          </w:p>
        </w:tc>
        <w:tc>
          <w:tcPr>
            <w:tcW w:w="200" w:type="dxa"/>
            <w:vAlign w:val="bottom"/>
            <w:tcBorders>
              <w:top w:val="single" w:sz="8" w:color="0000EE"/>
              <w:bottom w:val="single" w:sz="8" w:color="56C271"/>
            </w:tcBorders>
          </w:tcPr>
          <w:p>
            <w:pPr>
              <w:spacing w:after="0"/>
              <w:rPr>
                <w:sz w:val="4"/>
                <w:szCs w:val="4"/>
                <w:color w:val="auto"/>
              </w:rPr>
            </w:pPr>
          </w:p>
        </w:tc>
        <w:tc>
          <w:tcPr>
            <w:tcW w:w="980" w:type="dxa"/>
            <w:vAlign w:val="bottom"/>
          </w:tcPr>
          <w:p>
            <w:pPr>
              <w:spacing w:after="0"/>
              <w:rPr>
                <w:sz w:val="4"/>
                <w:szCs w:val="4"/>
                <w:color w:val="auto"/>
              </w:rPr>
            </w:pPr>
          </w:p>
        </w:tc>
      </w:tr>
      <w:tr>
        <w:trPr>
          <w:trHeight w:val="419"/>
        </w:trPr>
        <w:tc>
          <w:tcPr>
            <w:tcW w:w="1000" w:type="dxa"/>
            <w:vAlign w:val="bottom"/>
            <w:tcBorders>
              <w:right w:val="single" w:sz="8" w:color="CCEEFF"/>
            </w:tcBorders>
          </w:tcPr>
          <w:p>
            <w:pPr>
              <w:spacing w:after="0"/>
              <w:rPr>
                <w:sz w:val="24"/>
                <w:szCs w:val="24"/>
                <w:color w:val="auto"/>
              </w:rPr>
            </w:pPr>
          </w:p>
        </w:tc>
        <w:tc>
          <w:tcPr>
            <w:tcW w:w="8340" w:type="dxa"/>
            <w:vAlign w:val="bottom"/>
            <w:gridSpan w:val="29"/>
            <w:shd w:val="clear" w:color="auto" w:fill="CCEEFF"/>
          </w:tcPr>
          <w:p>
            <w:pPr>
              <w:spacing w:after="0"/>
              <w:rPr>
                <w:rFonts w:ascii="Arial" w:cs="Arial" w:eastAsia="Arial" w:hAnsi="Arial"/>
                <w:sz w:val="22"/>
                <w:szCs w:val="22"/>
                <w:b w:val="1"/>
                <w:bCs w:val="1"/>
                <w:color w:val="56C271"/>
              </w:rPr>
            </w:pPr>
            <w:hyperlink w:anchor="page91">
              <w:r>
                <w:rPr>
                  <w:rFonts w:ascii="Arial" w:cs="Arial" w:eastAsia="Arial" w:hAnsi="Arial"/>
                  <w:sz w:val="22"/>
                  <w:szCs w:val="22"/>
                  <w:b w:val="1"/>
                  <w:bCs w:val="1"/>
                  <w:color w:val="56C271"/>
                </w:rPr>
                <w:t>Shareholder Proposals and Nominations</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c>
          <w:tcPr>
            <w:tcW w:w="980" w:type="dxa"/>
            <w:vAlign w:val="bottom"/>
          </w:tcPr>
          <w:p>
            <w:pPr>
              <w:spacing w:after="0"/>
              <w:rPr>
                <w:sz w:val="24"/>
                <w:szCs w:val="24"/>
                <w:color w:val="auto"/>
              </w:rPr>
            </w:pPr>
          </w:p>
        </w:tc>
      </w:tr>
      <w:tr>
        <w:trPr>
          <w:trHeight w:val="20"/>
        </w:trPr>
        <w:tc>
          <w:tcPr>
            <w:tcW w:w="1000" w:type="dxa"/>
            <w:vAlign w:val="bottom"/>
            <w:tcBorders>
              <w:right w:val="single" w:sz="8" w:color="56C271"/>
            </w:tcBorders>
          </w:tcPr>
          <w:p>
            <w:pPr>
              <w:spacing w:after="0" w:line="20" w:lineRule="exact"/>
              <w:rPr>
                <w:sz w:val="1"/>
                <w:szCs w:val="1"/>
                <w:color w:val="auto"/>
              </w:rPr>
            </w:pPr>
          </w:p>
        </w:tc>
        <w:tc>
          <w:tcPr>
            <w:tcW w:w="18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7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24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3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left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left w:val="single" w:sz="8" w:color="56C271"/>
            </w:tcBorders>
            <w:shd w:val="clear" w:color="auto" w:fill="56C271"/>
          </w:tcPr>
          <w:p>
            <w:pPr>
              <w:spacing w:after="0" w:line="20" w:lineRule="exact"/>
              <w:rPr>
                <w:sz w:val="1"/>
                <w:szCs w:val="1"/>
                <w:color w:val="auto"/>
              </w:rPr>
            </w:pPr>
          </w:p>
        </w:tc>
        <w:tc>
          <w:tcPr>
            <w:tcW w:w="220" w:type="dxa"/>
            <w:vAlign w:val="bottom"/>
            <w:tcBorders>
              <w:top w:val="single" w:sz="8" w:color="56C271"/>
            </w:tcBorders>
            <w:shd w:val="clear" w:color="auto" w:fill="56C271"/>
          </w:tcPr>
          <w:p>
            <w:pPr>
              <w:spacing w:after="0" w:line="20" w:lineRule="exact"/>
              <w:rPr>
                <w:sz w:val="1"/>
                <w:szCs w:val="1"/>
                <w:color w:val="auto"/>
              </w:rPr>
            </w:pPr>
          </w:p>
        </w:tc>
        <w:tc>
          <w:tcPr>
            <w:tcW w:w="80" w:type="dxa"/>
            <w:vAlign w:val="bottom"/>
            <w:tcBorders>
              <w:top w:val="single" w:sz="8" w:color="56C271"/>
            </w:tcBorders>
            <w:shd w:val="clear" w:color="auto" w:fill="56C271"/>
          </w:tcPr>
          <w:p>
            <w:pPr>
              <w:spacing w:after="0" w:line="20" w:lineRule="exact"/>
              <w:rPr>
                <w:sz w:val="1"/>
                <w:szCs w:val="1"/>
                <w:color w:val="auto"/>
              </w:rPr>
            </w:pPr>
          </w:p>
        </w:tc>
        <w:tc>
          <w:tcPr>
            <w:tcW w:w="14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80" w:type="dxa"/>
            <w:vAlign w:val="bottom"/>
            <w:tcBorders>
              <w:top w:val="single" w:sz="8" w:color="56C271"/>
            </w:tcBorders>
            <w:shd w:val="clear" w:color="auto" w:fill="56C271"/>
          </w:tcPr>
          <w:p>
            <w:pPr>
              <w:spacing w:after="0" w:line="20" w:lineRule="exact"/>
              <w:rPr>
                <w:sz w:val="1"/>
                <w:szCs w:val="1"/>
                <w:color w:val="auto"/>
              </w:rPr>
            </w:pPr>
          </w:p>
        </w:tc>
        <w:tc>
          <w:tcPr>
            <w:tcW w:w="260" w:type="dxa"/>
            <w:vAlign w:val="bottom"/>
            <w:tcBorders>
              <w:top w:val="single" w:sz="8" w:color="CCEEFF"/>
            </w:tcBorders>
            <w:shd w:val="clear" w:color="auto" w:fill="56C271"/>
          </w:tcPr>
          <w:p>
            <w:pPr>
              <w:spacing w:after="0" w:line="20" w:lineRule="exact"/>
              <w:rPr>
                <w:sz w:val="1"/>
                <w:szCs w:val="1"/>
                <w:color w:val="auto"/>
              </w:rPr>
            </w:pPr>
          </w:p>
        </w:tc>
        <w:tc>
          <w:tcPr>
            <w:tcW w:w="520" w:type="dxa"/>
            <w:vAlign w:val="bottom"/>
            <w:tcBorders>
              <w:top w:val="single" w:sz="8" w:color="CCEEFF"/>
            </w:tcBorders>
            <w:shd w:val="clear" w:color="auto" w:fill="56C271"/>
          </w:tcPr>
          <w:p>
            <w:pPr>
              <w:spacing w:after="0" w:line="20" w:lineRule="exact"/>
              <w:rPr>
                <w:sz w:val="1"/>
                <w:szCs w:val="1"/>
                <w:color w:val="auto"/>
              </w:rPr>
            </w:pPr>
          </w:p>
        </w:tc>
        <w:tc>
          <w:tcPr>
            <w:tcW w:w="480" w:type="dxa"/>
            <w:vAlign w:val="bottom"/>
            <w:tcBorders>
              <w:top w:val="single" w:sz="8" w:color="CCEEFF"/>
            </w:tcBorders>
            <w:shd w:val="clear" w:color="auto" w:fill="56C271"/>
          </w:tcPr>
          <w:p>
            <w:pPr>
              <w:spacing w:after="0" w:line="20" w:lineRule="exact"/>
              <w:rPr>
                <w:sz w:val="1"/>
                <w:szCs w:val="1"/>
                <w:color w:val="auto"/>
              </w:rPr>
            </w:pPr>
          </w:p>
        </w:tc>
        <w:tc>
          <w:tcPr>
            <w:tcW w:w="1020" w:type="dxa"/>
            <w:vAlign w:val="bottom"/>
            <w:tcBorders>
              <w:top w:val="single" w:sz="8" w:color="CCEEFF"/>
            </w:tcBorders>
            <w:shd w:val="clear" w:color="auto" w:fill="56C271"/>
          </w:tcPr>
          <w:p>
            <w:pPr>
              <w:spacing w:after="0" w:line="20" w:lineRule="exact"/>
              <w:rPr>
                <w:sz w:val="1"/>
                <w:szCs w:val="1"/>
                <w:color w:val="auto"/>
              </w:rPr>
            </w:pPr>
          </w:p>
        </w:tc>
        <w:tc>
          <w:tcPr>
            <w:tcW w:w="760" w:type="dxa"/>
            <w:vAlign w:val="bottom"/>
            <w:tcBorders>
              <w:top w:val="single" w:sz="8" w:color="CCEEFF"/>
            </w:tcBorders>
            <w:shd w:val="clear" w:color="auto" w:fill="56C271"/>
          </w:tcPr>
          <w:p>
            <w:pPr>
              <w:spacing w:after="0" w:line="20" w:lineRule="exact"/>
              <w:rPr>
                <w:sz w:val="1"/>
                <w:szCs w:val="1"/>
                <w:color w:val="auto"/>
              </w:rPr>
            </w:pPr>
          </w:p>
        </w:tc>
        <w:tc>
          <w:tcPr>
            <w:tcW w:w="40" w:type="dxa"/>
            <w:vAlign w:val="bottom"/>
            <w:tcBorders>
              <w:top w:val="single" w:sz="8" w:color="CCEEFF"/>
            </w:tcBorders>
            <w:shd w:val="clear" w:color="auto" w:fill="56C271"/>
          </w:tcPr>
          <w:p>
            <w:pPr>
              <w:spacing w:after="0" w:line="20" w:lineRule="exact"/>
              <w:rPr>
                <w:sz w:val="1"/>
                <w:szCs w:val="1"/>
                <w:color w:val="auto"/>
              </w:rPr>
            </w:pPr>
          </w:p>
        </w:tc>
        <w:tc>
          <w:tcPr>
            <w:tcW w:w="360" w:type="dxa"/>
            <w:vAlign w:val="bottom"/>
            <w:tcBorders>
              <w:top w:val="single" w:sz="8" w:color="CCEEFF"/>
            </w:tcBorders>
            <w:shd w:val="clear" w:color="auto" w:fill="56C271"/>
          </w:tcPr>
          <w:p>
            <w:pPr>
              <w:spacing w:after="0" w:line="20" w:lineRule="exact"/>
              <w:rPr>
                <w:sz w:val="1"/>
                <w:szCs w:val="1"/>
                <w:color w:val="auto"/>
              </w:rPr>
            </w:pPr>
          </w:p>
        </w:tc>
        <w:tc>
          <w:tcPr>
            <w:tcW w:w="20" w:type="dxa"/>
            <w:vAlign w:val="bottom"/>
            <w:tcBorders>
              <w:top w:val="single" w:sz="8" w:color="CCEEFF"/>
            </w:tcBorders>
            <w:shd w:val="clear" w:color="auto" w:fill="56C271"/>
          </w:tcPr>
          <w:p>
            <w:pPr>
              <w:spacing w:after="0" w:line="20" w:lineRule="exact"/>
              <w:rPr>
                <w:sz w:val="1"/>
                <w:szCs w:val="1"/>
                <w:color w:val="auto"/>
              </w:rPr>
            </w:pPr>
          </w:p>
        </w:tc>
        <w:tc>
          <w:tcPr>
            <w:tcW w:w="580" w:type="dxa"/>
            <w:vAlign w:val="bottom"/>
            <w:tcBorders>
              <w:top w:val="single" w:sz="8" w:color="CCEEFF"/>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0000EE"/>
            </w:tcBorders>
            <w:shd w:val="clear" w:color="auto" w:fill="56C27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340" w:type="dxa"/>
            <w:vAlign w:val="bottom"/>
            <w:gridSpan w:val="29"/>
          </w:tcPr>
          <w:p>
            <w:pPr>
              <w:spacing w:after="0"/>
              <w:rPr>
                <w:rFonts w:ascii="Arial" w:cs="Arial" w:eastAsia="Arial" w:hAnsi="Arial"/>
                <w:sz w:val="22"/>
                <w:szCs w:val="22"/>
                <w:b w:val="1"/>
                <w:bCs w:val="1"/>
                <w:color w:val="56C271"/>
              </w:rPr>
            </w:pPr>
            <w:hyperlink w:anchor="page92">
              <w:r>
                <w:rPr>
                  <w:rFonts w:ascii="Arial" w:cs="Arial" w:eastAsia="Arial" w:hAnsi="Arial"/>
                  <w:sz w:val="22"/>
                  <w:szCs w:val="22"/>
                  <w:b w:val="1"/>
                  <w:bCs w:val="1"/>
                  <w:color w:val="56C271"/>
                </w:rPr>
                <w:t>Delivery of Documents to Shareholders with Same Last Name and Address</w:t>
              </w:r>
            </w:hyperlink>
          </w:p>
        </w:tc>
        <w:tc>
          <w:tcPr>
            <w:tcW w:w="1380" w:type="dxa"/>
            <w:vAlign w:val="bottom"/>
            <w:gridSpan w:val="3"/>
          </w:tcPr>
          <w:p>
            <w:pPr>
              <w:jc w:val="right"/>
              <w:ind w:right="980"/>
              <w:spacing w:after="0"/>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r>
      <w:tr>
        <w:trPr>
          <w:trHeight w:val="48"/>
        </w:trPr>
        <w:tc>
          <w:tcPr>
            <w:tcW w:w="1000" w:type="dxa"/>
            <w:vAlign w:val="bottom"/>
          </w:tcPr>
          <w:p>
            <w:pPr>
              <w:spacing w:after="0"/>
              <w:rPr>
                <w:sz w:val="4"/>
                <w:szCs w:val="4"/>
                <w:color w:val="auto"/>
              </w:rPr>
            </w:pPr>
          </w:p>
        </w:tc>
        <w:tc>
          <w:tcPr>
            <w:tcW w:w="18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740" w:type="dxa"/>
            <w:vAlign w:val="bottom"/>
            <w:tcBorders>
              <w:top w:val="single" w:sz="8" w:color="56C271"/>
              <w:bottom w:val="single" w:sz="8" w:color="56C271"/>
            </w:tcBorders>
          </w:tcPr>
          <w:p>
            <w:pPr>
              <w:spacing w:after="0"/>
              <w:rPr>
                <w:sz w:val="4"/>
                <w:szCs w:val="4"/>
                <w:color w:val="auto"/>
              </w:rPr>
            </w:pPr>
          </w:p>
        </w:tc>
        <w:tc>
          <w:tcPr>
            <w:tcW w:w="24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2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3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12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220" w:type="dxa"/>
            <w:vAlign w:val="bottom"/>
            <w:tcBorders>
              <w:top w:val="single" w:sz="8" w:color="56C271"/>
              <w:bottom w:val="single" w:sz="8" w:color="56C271"/>
            </w:tcBorders>
          </w:tcPr>
          <w:p>
            <w:pPr>
              <w:spacing w:after="0"/>
              <w:rPr>
                <w:sz w:val="4"/>
                <w:szCs w:val="4"/>
                <w:color w:val="auto"/>
              </w:rPr>
            </w:pPr>
          </w:p>
        </w:tc>
        <w:tc>
          <w:tcPr>
            <w:tcW w:w="80" w:type="dxa"/>
            <w:vAlign w:val="bottom"/>
            <w:tcBorders>
              <w:top w:val="single" w:sz="8" w:color="56C271"/>
              <w:bottom w:val="single" w:sz="8" w:color="56C271"/>
            </w:tcBorders>
          </w:tcPr>
          <w:p>
            <w:pPr>
              <w:spacing w:after="0"/>
              <w:rPr>
                <w:sz w:val="4"/>
                <w:szCs w:val="4"/>
                <w:color w:val="auto"/>
              </w:rPr>
            </w:pPr>
          </w:p>
        </w:tc>
        <w:tc>
          <w:tcPr>
            <w:tcW w:w="1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80" w:type="dxa"/>
            <w:vAlign w:val="bottom"/>
            <w:tcBorders>
              <w:top w:val="single" w:sz="8" w:color="56C271"/>
              <w:bottom w:val="single" w:sz="8" w:color="56C271"/>
            </w:tcBorders>
          </w:tcPr>
          <w:p>
            <w:pPr>
              <w:spacing w:after="0"/>
              <w:rPr>
                <w:sz w:val="4"/>
                <w:szCs w:val="4"/>
                <w:color w:val="auto"/>
              </w:rPr>
            </w:pPr>
          </w:p>
        </w:tc>
        <w:tc>
          <w:tcPr>
            <w:tcW w:w="260" w:type="dxa"/>
            <w:vAlign w:val="bottom"/>
            <w:tcBorders>
              <w:top w:val="single" w:sz="8" w:color="56C271"/>
              <w:bottom w:val="single" w:sz="8" w:color="56C271"/>
            </w:tcBorders>
          </w:tcPr>
          <w:p>
            <w:pPr>
              <w:spacing w:after="0"/>
              <w:rPr>
                <w:sz w:val="4"/>
                <w:szCs w:val="4"/>
                <w:color w:val="auto"/>
              </w:rPr>
            </w:pPr>
          </w:p>
        </w:tc>
        <w:tc>
          <w:tcPr>
            <w:tcW w:w="520" w:type="dxa"/>
            <w:vAlign w:val="bottom"/>
            <w:tcBorders>
              <w:top w:val="single" w:sz="8" w:color="56C271"/>
              <w:bottom w:val="single" w:sz="8" w:color="56C271"/>
            </w:tcBorders>
          </w:tcPr>
          <w:p>
            <w:pPr>
              <w:spacing w:after="0"/>
              <w:rPr>
                <w:sz w:val="4"/>
                <w:szCs w:val="4"/>
                <w:color w:val="auto"/>
              </w:rPr>
            </w:pPr>
          </w:p>
        </w:tc>
        <w:tc>
          <w:tcPr>
            <w:tcW w:w="480" w:type="dxa"/>
            <w:vAlign w:val="bottom"/>
            <w:tcBorders>
              <w:top w:val="single" w:sz="8" w:color="56C271"/>
              <w:bottom w:val="single" w:sz="8" w:color="56C271"/>
            </w:tcBorders>
          </w:tcPr>
          <w:p>
            <w:pPr>
              <w:spacing w:after="0"/>
              <w:rPr>
                <w:sz w:val="4"/>
                <w:szCs w:val="4"/>
                <w:color w:val="auto"/>
              </w:rPr>
            </w:pPr>
          </w:p>
        </w:tc>
        <w:tc>
          <w:tcPr>
            <w:tcW w:w="1020" w:type="dxa"/>
            <w:vAlign w:val="bottom"/>
            <w:tcBorders>
              <w:top w:val="single" w:sz="8" w:color="56C271"/>
              <w:bottom w:val="single" w:sz="8" w:color="56C271"/>
            </w:tcBorders>
          </w:tcPr>
          <w:p>
            <w:pPr>
              <w:spacing w:after="0"/>
              <w:rPr>
                <w:sz w:val="4"/>
                <w:szCs w:val="4"/>
                <w:color w:val="auto"/>
              </w:rPr>
            </w:pPr>
          </w:p>
        </w:tc>
        <w:tc>
          <w:tcPr>
            <w:tcW w:w="760" w:type="dxa"/>
            <w:vAlign w:val="bottom"/>
            <w:tcBorders>
              <w:top w:val="single" w:sz="8" w:color="56C271"/>
              <w:bottom w:val="single" w:sz="8" w:color="56C271"/>
            </w:tcBorders>
          </w:tcPr>
          <w:p>
            <w:pPr>
              <w:spacing w:after="0"/>
              <w:rPr>
                <w:sz w:val="4"/>
                <w:szCs w:val="4"/>
                <w:color w:val="auto"/>
              </w:rPr>
            </w:pPr>
          </w:p>
        </w:tc>
        <w:tc>
          <w:tcPr>
            <w:tcW w:w="40" w:type="dxa"/>
            <w:vAlign w:val="bottom"/>
            <w:tcBorders>
              <w:top w:val="single" w:sz="8" w:color="56C271"/>
              <w:bottom w:val="single" w:sz="8" w:color="56C271"/>
            </w:tcBorders>
          </w:tcPr>
          <w:p>
            <w:pPr>
              <w:spacing w:after="0"/>
              <w:rPr>
                <w:sz w:val="4"/>
                <w:szCs w:val="4"/>
                <w:color w:val="auto"/>
              </w:rPr>
            </w:pPr>
          </w:p>
        </w:tc>
        <w:tc>
          <w:tcPr>
            <w:tcW w:w="360" w:type="dxa"/>
            <w:vAlign w:val="bottom"/>
            <w:tcBorders>
              <w:top w:val="single" w:sz="8" w:color="56C271"/>
              <w:bottom w:val="single" w:sz="8" w:color="56C271"/>
            </w:tcBorders>
          </w:tcPr>
          <w:p>
            <w:pPr>
              <w:spacing w:after="0"/>
              <w:rPr>
                <w:sz w:val="4"/>
                <w:szCs w:val="4"/>
                <w:color w:val="auto"/>
              </w:rPr>
            </w:pPr>
          </w:p>
        </w:tc>
        <w:tc>
          <w:tcPr>
            <w:tcW w:w="20" w:type="dxa"/>
            <w:vAlign w:val="bottom"/>
            <w:tcBorders>
              <w:bottom w:val="single" w:sz="8" w:color="56C271"/>
            </w:tcBorders>
          </w:tcPr>
          <w:p>
            <w:pPr>
              <w:spacing w:after="0"/>
              <w:rPr>
                <w:sz w:val="4"/>
                <w:szCs w:val="4"/>
                <w:color w:val="auto"/>
              </w:rPr>
            </w:pPr>
          </w:p>
        </w:tc>
        <w:tc>
          <w:tcPr>
            <w:tcW w:w="580" w:type="dxa"/>
            <w:vAlign w:val="bottom"/>
            <w:tcBorders>
              <w:bottom w:val="single" w:sz="8" w:color="56C271"/>
            </w:tcBorders>
          </w:tcPr>
          <w:p>
            <w:pPr>
              <w:spacing w:after="0"/>
              <w:rPr>
                <w:sz w:val="4"/>
                <w:szCs w:val="4"/>
                <w:color w:val="auto"/>
              </w:rPr>
            </w:pPr>
          </w:p>
        </w:tc>
        <w:tc>
          <w:tcPr>
            <w:tcW w:w="220" w:type="dxa"/>
            <w:vAlign w:val="bottom"/>
            <w:tcBorders>
              <w:bottom w:val="single" w:sz="8" w:color="56C271"/>
            </w:tcBorders>
          </w:tcPr>
          <w:p>
            <w:pPr>
              <w:spacing w:after="0"/>
              <w:rPr>
                <w:sz w:val="4"/>
                <w:szCs w:val="4"/>
                <w:color w:val="auto"/>
              </w:rPr>
            </w:pPr>
          </w:p>
        </w:tc>
        <w:tc>
          <w:tcPr>
            <w:tcW w:w="200" w:type="dxa"/>
            <w:vAlign w:val="bottom"/>
            <w:tcBorders>
              <w:bottom w:val="single" w:sz="8" w:color="56C271"/>
            </w:tcBorders>
          </w:tcPr>
          <w:p>
            <w:pPr>
              <w:spacing w:after="0"/>
              <w:rPr>
                <w:sz w:val="4"/>
                <w:szCs w:val="4"/>
                <w:color w:val="auto"/>
              </w:rPr>
            </w:pPr>
          </w:p>
        </w:tc>
        <w:tc>
          <w:tcPr>
            <w:tcW w:w="200" w:type="dxa"/>
            <w:vAlign w:val="bottom"/>
            <w:tcBorders>
              <w:top w:val="single" w:sz="8" w:color="0000EE"/>
              <w:bottom w:val="single" w:sz="8" w:color="56C271"/>
            </w:tcBorders>
          </w:tcPr>
          <w:p>
            <w:pPr>
              <w:spacing w:after="0"/>
              <w:rPr>
                <w:sz w:val="4"/>
                <w:szCs w:val="4"/>
                <w:color w:val="auto"/>
              </w:rPr>
            </w:pPr>
          </w:p>
        </w:tc>
        <w:tc>
          <w:tcPr>
            <w:tcW w:w="980" w:type="dxa"/>
            <w:vAlign w:val="bottom"/>
          </w:tcPr>
          <w:p>
            <w:pPr>
              <w:spacing w:after="0"/>
              <w:rPr>
                <w:sz w:val="4"/>
                <w:szCs w:val="4"/>
                <w:color w:val="auto"/>
              </w:rPr>
            </w:pPr>
          </w:p>
        </w:tc>
      </w:tr>
      <w:tr>
        <w:trPr>
          <w:trHeight w:val="419"/>
        </w:trPr>
        <w:tc>
          <w:tcPr>
            <w:tcW w:w="1000" w:type="dxa"/>
            <w:vAlign w:val="bottom"/>
            <w:tcBorders>
              <w:right w:val="single" w:sz="8" w:color="CCEEFF"/>
            </w:tcBorders>
          </w:tcPr>
          <w:p>
            <w:pPr>
              <w:spacing w:after="0"/>
              <w:rPr>
                <w:sz w:val="24"/>
                <w:szCs w:val="24"/>
                <w:color w:val="auto"/>
              </w:rPr>
            </w:pPr>
          </w:p>
        </w:tc>
        <w:tc>
          <w:tcPr>
            <w:tcW w:w="8340" w:type="dxa"/>
            <w:vAlign w:val="bottom"/>
            <w:gridSpan w:val="29"/>
            <w:shd w:val="clear" w:color="auto" w:fill="CCEEFF"/>
          </w:tcPr>
          <w:p>
            <w:pPr>
              <w:spacing w:after="0"/>
              <w:rPr>
                <w:rFonts w:ascii="Arial" w:cs="Arial" w:eastAsia="Arial" w:hAnsi="Arial"/>
                <w:sz w:val="22"/>
                <w:szCs w:val="22"/>
                <w:b w:val="1"/>
                <w:bCs w:val="1"/>
                <w:color w:val="56C271"/>
              </w:rPr>
            </w:pPr>
            <w:hyperlink w:anchor="page92">
              <w:r>
                <w:rPr>
                  <w:rFonts w:ascii="Arial" w:cs="Arial" w:eastAsia="Arial" w:hAnsi="Arial"/>
                  <w:sz w:val="22"/>
                  <w:szCs w:val="22"/>
                  <w:b w:val="1"/>
                  <w:bCs w:val="1"/>
                  <w:color w:val="56C271"/>
                </w:rPr>
                <w:t>General</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c>
          <w:tcPr>
            <w:tcW w:w="980" w:type="dxa"/>
            <w:vAlign w:val="bottom"/>
          </w:tcPr>
          <w:p>
            <w:pPr>
              <w:spacing w:after="0"/>
              <w:rPr>
                <w:sz w:val="24"/>
                <w:szCs w:val="24"/>
                <w:color w:val="auto"/>
              </w:rPr>
            </w:pPr>
          </w:p>
        </w:tc>
      </w:tr>
      <w:tr>
        <w:trPr>
          <w:trHeight w:val="20"/>
        </w:trPr>
        <w:tc>
          <w:tcPr>
            <w:tcW w:w="1000" w:type="dxa"/>
            <w:vAlign w:val="bottom"/>
            <w:tcBorders>
              <w:right w:val="single" w:sz="8" w:color="56C271"/>
            </w:tcBorders>
          </w:tcPr>
          <w:p>
            <w:pPr>
              <w:spacing w:after="0" w:line="20" w:lineRule="exact"/>
              <w:rPr>
                <w:sz w:val="1"/>
                <w:szCs w:val="1"/>
                <w:color w:val="auto"/>
              </w:rPr>
            </w:pPr>
          </w:p>
        </w:tc>
        <w:tc>
          <w:tcPr>
            <w:tcW w:w="18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740" w:type="dxa"/>
            <w:vAlign w:val="bottom"/>
            <w:tcBorders>
              <w:top w:val="single" w:sz="8" w:color="CCEEFF"/>
              <w:right w:val="single" w:sz="8" w:color="56C271"/>
            </w:tcBorders>
            <w:shd w:val="clear" w:color="auto" w:fill="56C271"/>
          </w:tcPr>
          <w:p>
            <w:pPr>
              <w:spacing w:after="0" w:line="20" w:lineRule="exact"/>
              <w:rPr>
                <w:sz w:val="1"/>
                <w:szCs w:val="1"/>
                <w:color w:val="auto"/>
              </w:rPr>
            </w:pPr>
          </w:p>
        </w:tc>
        <w:tc>
          <w:tcPr>
            <w:tcW w:w="240" w:type="dxa"/>
            <w:vAlign w:val="bottom"/>
            <w:tcBorders>
              <w:top w:val="single" w:sz="8" w:color="CCEEFF"/>
            </w:tcBorders>
            <w:shd w:val="clear" w:color="auto" w:fill="56C271"/>
          </w:tcPr>
          <w:p>
            <w:pPr>
              <w:spacing w:after="0" w:line="20" w:lineRule="exact"/>
              <w:rPr>
                <w:sz w:val="1"/>
                <w:szCs w:val="1"/>
                <w:color w:val="auto"/>
              </w:rPr>
            </w:pPr>
          </w:p>
        </w:tc>
        <w:tc>
          <w:tcPr>
            <w:tcW w:w="100" w:type="dxa"/>
            <w:vAlign w:val="bottom"/>
            <w:tcBorders>
              <w:top w:val="single" w:sz="8" w:color="CCEEFF"/>
            </w:tcBorders>
            <w:shd w:val="clear" w:color="auto" w:fill="56C271"/>
          </w:tcPr>
          <w:p>
            <w:pPr>
              <w:spacing w:after="0" w:line="20" w:lineRule="exact"/>
              <w:rPr>
                <w:sz w:val="1"/>
                <w:szCs w:val="1"/>
                <w:color w:val="auto"/>
              </w:rPr>
            </w:pPr>
          </w:p>
        </w:tc>
        <w:tc>
          <w:tcPr>
            <w:tcW w:w="440" w:type="dxa"/>
            <w:vAlign w:val="bottom"/>
            <w:tcBorders>
              <w:top w:val="single" w:sz="8" w:color="CCEEFF"/>
            </w:tcBorders>
            <w:shd w:val="clear" w:color="auto" w:fill="56C271"/>
          </w:tcPr>
          <w:p>
            <w:pPr>
              <w:spacing w:after="0" w:line="20" w:lineRule="exact"/>
              <w:rPr>
                <w:sz w:val="1"/>
                <w:szCs w:val="1"/>
                <w:color w:val="auto"/>
              </w:rPr>
            </w:pPr>
          </w:p>
        </w:tc>
        <w:tc>
          <w:tcPr>
            <w:tcW w:w="120" w:type="dxa"/>
            <w:vAlign w:val="bottom"/>
            <w:tcBorders>
              <w:top w:val="single" w:sz="8" w:color="CCEEFF"/>
            </w:tcBorders>
            <w:shd w:val="clear" w:color="auto" w:fill="56C271"/>
          </w:tcPr>
          <w:p>
            <w:pPr>
              <w:spacing w:after="0" w:line="20" w:lineRule="exact"/>
              <w:rPr>
                <w:sz w:val="1"/>
                <w:szCs w:val="1"/>
                <w:color w:val="auto"/>
              </w:rPr>
            </w:pPr>
          </w:p>
        </w:tc>
        <w:tc>
          <w:tcPr>
            <w:tcW w:w="100" w:type="dxa"/>
            <w:vAlign w:val="bottom"/>
            <w:tcBorders>
              <w:top w:val="single" w:sz="8" w:color="CCEEFF"/>
            </w:tcBorders>
            <w:shd w:val="clear" w:color="auto" w:fill="56C271"/>
          </w:tcPr>
          <w:p>
            <w:pPr>
              <w:spacing w:after="0" w:line="20" w:lineRule="exact"/>
              <w:rPr>
                <w:sz w:val="1"/>
                <w:szCs w:val="1"/>
                <w:color w:val="auto"/>
              </w:rPr>
            </w:pPr>
          </w:p>
        </w:tc>
        <w:tc>
          <w:tcPr>
            <w:tcW w:w="100" w:type="dxa"/>
            <w:vAlign w:val="bottom"/>
            <w:tcBorders>
              <w:top w:val="single" w:sz="8" w:color="CCEEFF"/>
            </w:tcBorders>
            <w:shd w:val="clear" w:color="auto" w:fill="56C271"/>
          </w:tcPr>
          <w:p>
            <w:pPr>
              <w:spacing w:after="0" w:line="20" w:lineRule="exact"/>
              <w:rPr>
                <w:sz w:val="1"/>
                <w:szCs w:val="1"/>
                <w:color w:val="auto"/>
              </w:rPr>
            </w:pPr>
          </w:p>
        </w:tc>
        <w:tc>
          <w:tcPr>
            <w:tcW w:w="340" w:type="dxa"/>
            <w:vAlign w:val="bottom"/>
            <w:tcBorders>
              <w:top w:val="single" w:sz="8" w:color="CCEEFF"/>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CCEEFF"/>
            </w:tcBorders>
            <w:shd w:val="clear" w:color="auto" w:fill="56C271"/>
          </w:tcPr>
          <w:p>
            <w:pPr>
              <w:spacing w:after="0" w:line="20" w:lineRule="exact"/>
              <w:rPr>
                <w:sz w:val="1"/>
                <w:szCs w:val="1"/>
                <w:color w:val="auto"/>
              </w:rPr>
            </w:pPr>
          </w:p>
        </w:tc>
        <w:tc>
          <w:tcPr>
            <w:tcW w:w="120" w:type="dxa"/>
            <w:vAlign w:val="bottom"/>
            <w:tcBorders>
              <w:top w:val="single" w:sz="8" w:color="CCEEFF"/>
              <w:left w:val="single" w:sz="8" w:color="56C271"/>
              <w:right w:val="single" w:sz="8" w:color="56C271"/>
            </w:tcBorders>
            <w:shd w:val="clear" w:color="auto" w:fill="56C271"/>
          </w:tcPr>
          <w:p>
            <w:pPr>
              <w:spacing w:after="0" w:line="20" w:lineRule="exact"/>
              <w:rPr>
                <w:sz w:val="1"/>
                <w:szCs w:val="1"/>
                <w:color w:val="auto"/>
              </w:rPr>
            </w:pPr>
          </w:p>
        </w:tc>
        <w:tc>
          <w:tcPr>
            <w:tcW w:w="160" w:type="dxa"/>
            <w:vAlign w:val="bottom"/>
            <w:tcBorders>
              <w:top w:val="single" w:sz="8" w:color="CCEEFF"/>
              <w:left w:val="single" w:sz="8" w:color="56C271"/>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80" w:type="dxa"/>
            <w:vAlign w:val="bottom"/>
            <w:tcBorders>
              <w:top w:val="single" w:sz="8" w:color="CCEEFF"/>
            </w:tcBorders>
            <w:shd w:val="clear" w:color="auto" w:fill="56C271"/>
          </w:tcPr>
          <w:p>
            <w:pPr>
              <w:spacing w:after="0" w:line="20" w:lineRule="exact"/>
              <w:rPr>
                <w:sz w:val="1"/>
                <w:szCs w:val="1"/>
                <w:color w:val="auto"/>
              </w:rPr>
            </w:pPr>
          </w:p>
        </w:tc>
        <w:tc>
          <w:tcPr>
            <w:tcW w:w="140" w:type="dxa"/>
            <w:vAlign w:val="bottom"/>
            <w:tcBorders>
              <w:top w:val="single" w:sz="8" w:color="CCEEFF"/>
            </w:tcBorders>
            <w:shd w:val="clear" w:color="auto" w:fill="56C271"/>
          </w:tcPr>
          <w:p>
            <w:pPr>
              <w:spacing w:after="0" w:line="20" w:lineRule="exact"/>
              <w:rPr>
                <w:sz w:val="1"/>
                <w:szCs w:val="1"/>
                <w:color w:val="auto"/>
              </w:rPr>
            </w:pPr>
          </w:p>
        </w:tc>
        <w:tc>
          <w:tcPr>
            <w:tcW w:w="160" w:type="dxa"/>
            <w:vAlign w:val="bottom"/>
            <w:tcBorders>
              <w:top w:val="single" w:sz="8" w:color="CCEEFF"/>
            </w:tcBorders>
            <w:shd w:val="clear" w:color="auto" w:fill="56C271"/>
          </w:tcPr>
          <w:p>
            <w:pPr>
              <w:spacing w:after="0" w:line="20" w:lineRule="exact"/>
              <w:rPr>
                <w:sz w:val="1"/>
                <w:szCs w:val="1"/>
                <w:color w:val="auto"/>
              </w:rPr>
            </w:pPr>
          </w:p>
        </w:tc>
        <w:tc>
          <w:tcPr>
            <w:tcW w:w="80" w:type="dxa"/>
            <w:vAlign w:val="bottom"/>
            <w:tcBorders>
              <w:top w:val="single" w:sz="8" w:color="CCEEFF"/>
            </w:tcBorders>
            <w:shd w:val="clear" w:color="auto" w:fill="56C271"/>
          </w:tcPr>
          <w:p>
            <w:pPr>
              <w:spacing w:after="0" w:line="20" w:lineRule="exact"/>
              <w:rPr>
                <w:sz w:val="1"/>
                <w:szCs w:val="1"/>
                <w:color w:val="auto"/>
              </w:rPr>
            </w:pPr>
          </w:p>
        </w:tc>
        <w:tc>
          <w:tcPr>
            <w:tcW w:w="260" w:type="dxa"/>
            <w:vAlign w:val="bottom"/>
            <w:tcBorders>
              <w:top w:val="single" w:sz="8" w:color="CCEEFF"/>
            </w:tcBorders>
            <w:shd w:val="clear" w:color="auto" w:fill="56C271"/>
          </w:tcPr>
          <w:p>
            <w:pPr>
              <w:spacing w:after="0" w:line="20" w:lineRule="exact"/>
              <w:rPr>
                <w:sz w:val="1"/>
                <w:szCs w:val="1"/>
                <w:color w:val="auto"/>
              </w:rPr>
            </w:pPr>
          </w:p>
        </w:tc>
        <w:tc>
          <w:tcPr>
            <w:tcW w:w="520" w:type="dxa"/>
            <w:vAlign w:val="bottom"/>
            <w:tcBorders>
              <w:top w:val="single" w:sz="8" w:color="CCEEFF"/>
            </w:tcBorders>
            <w:shd w:val="clear" w:color="auto" w:fill="56C271"/>
          </w:tcPr>
          <w:p>
            <w:pPr>
              <w:spacing w:after="0" w:line="20" w:lineRule="exact"/>
              <w:rPr>
                <w:sz w:val="1"/>
                <w:szCs w:val="1"/>
                <w:color w:val="auto"/>
              </w:rPr>
            </w:pPr>
          </w:p>
        </w:tc>
        <w:tc>
          <w:tcPr>
            <w:tcW w:w="480" w:type="dxa"/>
            <w:vAlign w:val="bottom"/>
            <w:tcBorders>
              <w:top w:val="single" w:sz="8" w:color="CCEEFF"/>
            </w:tcBorders>
            <w:shd w:val="clear" w:color="auto" w:fill="56C271"/>
          </w:tcPr>
          <w:p>
            <w:pPr>
              <w:spacing w:after="0" w:line="20" w:lineRule="exact"/>
              <w:rPr>
                <w:sz w:val="1"/>
                <w:szCs w:val="1"/>
                <w:color w:val="auto"/>
              </w:rPr>
            </w:pPr>
          </w:p>
        </w:tc>
        <w:tc>
          <w:tcPr>
            <w:tcW w:w="1020" w:type="dxa"/>
            <w:vAlign w:val="bottom"/>
            <w:tcBorders>
              <w:top w:val="single" w:sz="8" w:color="CCEEFF"/>
            </w:tcBorders>
            <w:shd w:val="clear" w:color="auto" w:fill="56C271"/>
          </w:tcPr>
          <w:p>
            <w:pPr>
              <w:spacing w:after="0" w:line="20" w:lineRule="exact"/>
              <w:rPr>
                <w:sz w:val="1"/>
                <w:szCs w:val="1"/>
                <w:color w:val="auto"/>
              </w:rPr>
            </w:pPr>
          </w:p>
        </w:tc>
        <w:tc>
          <w:tcPr>
            <w:tcW w:w="760" w:type="dxa"/>
            <w:vAlign w:val="bottom"/>
            <w:tcBorders>
              <w:top w:val="single" w:sz="8" w:color="CCEEFF"/>
            </w:tcBorders>
            <w:shd w:val="clear" w:color="auto" w:fill="56C271"/>
          </w:tcPr>
          <w:p>
            <w:pPr>
              <w:spacing w:after="0" w:line="20" w:lineRule="exact"/>
              <w:rPr>
                <w:sz w:val="1"/>
                <w:szCs w:val="1"/>
                <w:color w:val="auto"/>
              </w:rPr>
            </w:pPr>
          </w:p>
        </w:tc>
        <w:tc>
          <w:tcPr>
            <w:tcW w:w="40" w:type="dxa"/>
            <w:vAlign w:val="bottom"/>
            <w:tcBorders>
              <w:top w:val="single" w:sz="8" w:color="CCEEFF"/>
            </w:tcBorders>
            <w:shd w:val="clear" w:color="auto" w:fill="56C271"/>
          </w:tcPr>
          <w:p>
            <w:pPr>
              <w:spacing w:after="0" w:line="20" w:lineRule="exact"/>
              <w:rPr>
                <w:sz w:val="1"/>
                <w:szCs w:val="1"/>
                <w:color w:val="auto"/>
              </w:rPr>
            </w:pPr>
          </w:p>
        </w:tc>
        <w:tc>
          <w:tcPr>
            <w:tcW w:w="360" w:type="dxa"/>
            <w:vAlign w:val="bottom"/>
            <w:tcBorders>
              <w:top w:val="single" w:sz="8" w:color="CCEEFF"/>
            </w:tcBorders>
            <w:shd w:val="clear" w:color="auto" w:fill="56C271"/>
          </w:tcPr>
          <w:p>
            <w:pPr>
              <w:spacing w:after="0" w:line="20" w:lineRule="exact"/>
              <w:rPr>
                <w:sz w:val="1"/>
                <w:szCs w:val="1"/>
                <w:color w:val="auto"/>
              </w:rPr>
            </w:pPr>
          </w:p>
        </w:tc>
        <w:tc>
          <w:tcPr>
            <w:tcW w:w="20" w:type="dxa"/>
            <w:vAlign w:val="bottom"/>
            <w:tcBorders>
              <w:top w:val="single" w:sz="8" w:color="CCEEFF"/>
            </w:tcBorders>
            <w:shd w:val="clear" w:color="auto" w:fill="56C271"/>
          </w:tcPr>
          <w:p>
            <w:pPr>
              <w:spacing w:after="0" w:line="20" w:lineRule="exact"/>
              <w:rPr>
                <w:sz w:val="1"/>
                <w:szCs w:val="1"/>
                <w:color w:val="auto"/>
              </w:rPr>
            </w:pPr>
          </w:p>
        </w:tc>
        <w:tc>
          <w:tcPr>
            <w:tcW w:w="580" w:type="dxa"/>
            <w:vAlign w:val="bottom"/>
            <w:tcBorders>
              <w:top w:val="single" w:sz="8" w:color="CCEEFF"/>
            </w:tcBorders>
            <w:shd w:val="clear" w:color="auto" w:fill="56C271"/>
          </w:tcPr>
          <w:p>
            <w:pPr>
              <w:spacing w:after="0" w:line="20" w:lineRule="exact"/>
              <w:rPr>
                <w:sz w:val="1"/>
                <w:szCs w:val="1"/>
                <w:color w:val="auto"/>
              </w:rPr>
            </w:pPr>
          </w:p>
        </w:tc>
        <w:tc>
          <w:tcPr>
            <w:tcW w:w="22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0000EE"/>
            </w:tcBorders>
            <w:shd w:val="clear" w:color="auto" w:fill="56C27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1000" w:type="dxa"/>
            <w:vAlign w:val="bottom"/>
          </w:tcPr>
          <w:p>
            <w:pPr>
              <w:spacing w:after="0"/>
              <w:rPr>
                <w:sz w:val="24"/>
                <w:szCs w:val="24"/>
                <w:color w:val="auto"/>
              </w:rPr>
            </w:pPr>
          </w:p>
        </w:tc>
        <w:tc>
          <w:tcPr>
            <w:tcW w:w="8340" w:type="dxa"/>
            <w:vAlign w:val="bottom"/>
            <w:gridSpan w:val="29"/>
          </w:tcPr>
          <w:p>
            <w:pPr>
              <w:spacing w:after="0"/>
              <w:rPr>
                <w:rFonts w:ascii="Arial" w:cs="Arial" w:eastAsia="Arial" w:hAnsi="Arial"/>
                <w:sz w:val="22"/>
                <w:szCs w:val="22"/>
                <w:b w:val="1"/>
                <w:bCs w:val="1"/>
                <w:color w:val="56C271"/>
              </w:rPr>
            </w:pPr>
            <w:hyperlink w:anchor="page93">
              <w:r>
                <w:rPr>
                  <w:rFonts w:ascii="Arial" w:cs="Arial" w:eastAsia="Arial" w:hAnsi="Arial"/>
                  <w:sz w:val="22"/>
                  <w:szCs w:val="22"/>
                  <w:b w:val="1"/>
                  <w:bCs w:val="1"/>
                  <w:color w:val="56C271"/>
                </w:rPr>
                <w:t>Appendix A — Reconciliation of Non-GAAP Measures</w:t>
              </w:r>
            </w:hyperlink>
          </w:p>
        </w:tc>
        <w:tc>
          <w:tcPr>
            <w:tcW w:w="1380" w:type="dxa"/>
            <w:vAlign w:val="bottom"/>
            <w:gridSpan w:val="3"/>
          </w:tcPr>
          <w:p>
            <w:pPr>
              <w:jc w:val="right"/>
              <w:ind w:right="980"/>
              <w:spacing w:after="0"/>
              <w:rPr>
                <w:rFonts w:ascii="Arial" w:cs="Arial" w:eastAsia="Arial" w:hAnsi="Arial"/>
                <w:sz w:val="18"/>
                <w:szCs w:val="18"/>
                <w:color w:val="0000EE"/>
              </w:rPr>
            </w:pPr>
            <w:hyperlink w:anchor="page93">
              <w:r>
                <w:rPr>
                  <w:rFonts w:ascii="Arial" w:cs="Arial" w:eastAsia="Arial" w:hAnsi="Arial"/>
                  <w:sz w:val="18"/>
                  <w:szCs w:val="18"/>
                  <w:color w:val="0000EE"/>
                </w:rPr>
                <w:t>89</w:t>
              </w:r>
            </w:hyperlink>
          </w:p>
        </w:tc>
      </w:tr>
      <w:tr>
        <w:trPr>
          <w:trHeight w:val="48"/>
        </w:trPr>
        <w:tc>
          <w:tcPr>
            <w:tcW w:w="1000" w:type="dxa"/>
            <w:vAlign w:val="bottom"/>
          </w:tcPr>
          <w:p>
            <w:pPr>
              <w:spacing w:after="0"/>
              <w:rPr>
                <w:sz w:val="4"/>
                <w:szCs w:val="4"/>
                <w:color w:val="auto"/>
              </w:rPr>
            </w:pPr>
          </w:p>
        </w:tc>
        <w:tc>
          <w:tcPr>
            <w:tcW w:w="18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740" w:type="dxa"/>
            <w:vAlign w:val="bottom"/>
            <w:tcBorders>
              <w:top w:val="single" w:sz="8" w:color="56C271"/>
              <w:bottom w:val="single" w:sz="8" w:color="56C271"/>
            </w:tcBorders>
          </w:tcPr>
          <w:p>
            <w:pPr>
              <w:spacing w:after="0"/>
              <w:rPr>
                <w:sz w:val="4"/>
                <w:szCs w:val="4"/>
                <w:color w:val="auto"/>
              </w:rPr>
            </w:pPr>
          </w:p>
        </w:tc>
        <w:tc>
          <w:tcPr>
            <w:tcW w:w="24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440" w:type="dxa"/>
            <w:vAlign w:val="bottom"/>
            <w:tcBorders>
              <w:top w:val="single" w:sz="8" w:color="56C271"/>
              <w:bottom w:val="single" w:sz="8" w:color="56C271"/>
            </w:tcBorders>
          </w:tcPr>
          <w:p>
            <w:pPr>
              <w:spacing w:after="0"/>
              <w:rPr>
                <w:sz w:val="4"/>
                <w:szCs w:val="4"/>
                <w:color w:val="auto"/>
              </w:rPr>
            </w:pPr>
          </w:p>
        </w:tc>
        <w:tc>
          <w:tcPr>
            <w:tcW w:w="12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100" w:type="dxa"/>
            <w:vAlign w:val="bottom"/>
            <w:tcBorders>
              <w:top w:val="single" w:sz="8" w:color="56C271"/>
              <w:bottom w:val="single" w:sz="8" w:color="56C271"/>
            </w:tcBorders>
          </w:tcPr>
          <w:p>
            <w:pPr>
              <w:spacing w:after="0"/>
              <w:rPr>
                <w:sz w:val="4"/>
                <w:szCs w:val="4"/>
                <w:color w:val="auto"/>
              </w:rPr>
            </w:pPr>
          </w:p>
        </w:tc>
        <w:tc>
          <w:tcPr>
            <w:tcW w:w="3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12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220" w:type="dxa"/>
            <w:vAlign w:val="bottom"/>
            <w:tcBorders>
              <w:top w:val="single" w:sz="8" w:color="56C271"/>
              <w:bottom w:val="single" w:sz="8" w:color="56C271"/>
            </w:tcBorders>
          </w:tcPr>
          <w:p>
            <w:pPr>
              <w:spacing w:after="0"/>
              <w:rPr>
                <w:sz w:val="4"/>
                <w:szCs w:val="4"/>
                <w:color w:val="auto"/>
              </w:rPr>
            </w:pPr>
          </w:p>
        </w:tc>
        <w:tc>
          <w:tcPr>
            <w:tcW w:w="80" w:type="dxa"/>
            <w:vAlign w:val="bottom"/>
            <w:tcBorders>
              <w:top w:val="single" w:sz="8" w:color="56C271"/>
              <w:bottom w:val="single" w:sz="8" w:color="56C271"/>
            </w:tcBorders>
          </w:tcPr>
          <w:p>
            <w:pPr>
              <w:spacing w:after="0"/>
              <w:rPr>
                <w:sz w:val="4"/>
                <w:szCs w:val="4"/>
                <w:color w:val="auto"/>
              </w:rPr>
            </w:pPr>
          </w:p>
        </w:tc>
        <w:tc>
          <w:tcPr>
            <w:tcW w:w="140" w:type="dxa"/>
            <w:vAlign w:val="bottom"/>
            <w:tcBorders>
              <w:top w:val="single" w:sz="8" w:color="56C271"/>
              <w:bottom w:val="single" w:sz="8" w:color="56C271"/>
            </w:tcBorders>
          </w:tcPr>
          <w:p>
            <w:pPr>
              <w:spacing w:after="0"/>
              <w:rPr>
                <w:sz w:val="4"/>
                <w:szCs w:val="4"/>
                <w:color w:val="auto"/>
              </w:rPr>
            </w:pPr>
          </w:p>
        </w:tc>
        <w:tc>
          <w:tcPr>
            <w:tcW w:w="160" w:type="dxa"/>
            <w:vAlign w:val="bottom"/>
            <w:tcBorders>
              <w:top w:val="single" w:sz="8" w:color="56C271"/>
              <w:bottom w:val="single" w:sz="8" w:color="56C271"/>
            </w:tcBorders>
          </w:tcPr>
          <w:p>
            <w:pPr>
              <w:spacing w:after="0"/>
              <w:rPr>
                <w:sz w:val="4"/>
                <w:szCs w:val="4"/>
                <w:color w:val="auto"/>
              </w:rPr>
            </w:pPr>
          </w:p>
        </w:tc>
        <w:tc>
          <w:tcPr>
            <w:tcW w:w="80" w:type="dxa"/>
            <w:vAlign w:val="bottom"/>
            <w:tcBorders>
              <w:top w:val="single" w:sz="8" w:color="56C271"/>
              <w:bottom w:val="single" w:sz="8" w:color="56C271"/>
            </w:tcBorders>
          </w:tcPr>
          <w:p>
            <w:pPr>
              <w:spacing w:after="0"/>
              <w:rPr>
                <w:sz w:val="4"/>
                <w:szCs w:val="4"/>
                <w:color w:val="auto"/>
              </w:rPr>
            </w:pPr>
          </w:p>
        </w:tc>
        <w:tc>
          <w:tcPr>
            <w:tcW w:w="260" w:type="dxa"/>
            <w:vAlign w:val="bottom"/>
            <w:tcBorders>
              <w:top w:val="single" w:sz="8" w:color="56C271"/>
              <w:bottom w:val="single" w:sz="8" w:color="56C271"/>
            </w:tcBorders>
          </w:tcPr>
          <w:p>
            <w:pPr>
              <w:spacing w:after="0"/>
              <w:rPr>
                <w:sz w:val="4"/>
                <w:szCs w:val="4"/>
                <w:color w:val="auto"/>
              </w:rPr>
            </w:pPr>
          </w:p>
        </w:tc>
        <w:tc>
          <w:tcPr>
            <w:tcW w:w="520" w:type="dxa"/>
            <w:vAlign w:val="bottom"/>
            <w:tcBorders>
              <w:top w:val="single" w:sz="8" w:color="56C271"/>
              <w:bottom w:val="single" w:sz="8" w:color="56C271"/>
            </w:tcBorders>
          </w:tcPr>
          <w:p>
            <w:pPr>
              <w:spacing w:after="0"/>
              <w:rPr>
                <w:sz w:val="4"/>
                <w:szCs w:val="4"/>
                <w:color w:val="auto"/>
              </w:rPr>
            </w:pPr>
          </w:p>
        </w:tc>
        <w:tc>
          <w:tcPr>
            <w:tcW w:w="480" w:type="dxa"/>
            <w:vAlign w:val="bottom"/>
            <w:tcBorders>
              <w:top w:val="single" w:sz="8" w:color="56C271"/>
              <w:bottom w:val="single" w:sz="8" w:color="56C271"/>
            </w:tcBorders>
          </w:tcPr>
          <w:p>
            <w:pPr>
              <w:spacing w:after="0"/>
              <w:rPr>
                <w:sz w:val="4"/>
                <w:szCs w:val="4"/>
                <w:color w:val="auto"/>
              </w:rPr>
            </w:pPr>
          </w:p>
        </w:tc>
        <w:tc>
          <w:tcPr>
            <w:tcW w:w="1020" w:type="dxa"/>
            <w:vAlign w:val="bottom"/>
            <w:tcBorders>
              <w:bottom w:val="single" w:sz="8" w:color="56C271"/>
            </w:tcBorders>
          </w:tcPr>
          <w:p>
            <w:pPr>
              <w:spacing w:after="0"/>
              <w:rPr>
                <w:sz w:val="4"/>
                <w:szCs w:val="4"/>
                <w:color w:val="auto"/>
              </w:rPr>
            </w:pPr>
          </w:p>
        </w:tc>
        <w:tc>
          <w:tcPr>
            <w:tcW w:w="760" w:type="dxa"/>
            <w:vAlign w:val="bottom"/>
            <w:tcBorders>
              <w:bottom w:val="single" w:sz="8" w:color="56C271"/>
            </w:tcBorders>
          </w:tcPr>
          <w:p>
            <w:pPr>
              <w:spacing w:after="0"/>
              <w:rPr>
                <w:sz w:val="4"/>
                <w:szCs w:val="4"/>
                <w:color w:val="auto"/>
              </w:rPr>
            </w:pPr>
          </w:p>
        </w:tc>
        <w:tc>
          <w:tcPr>
            <w:tcW w:w="40" w:type="dxa"/>
            <w:vAlign w:val="bottom"/>
            <w:tcBorders>
              <w:bottom w:val="single" w:sz="8" w:color="56C271"/>
            </w:tcBorders>
          </w:tcPr>
          <w:p>
            <w:pPr>
              <w:spacing w:after="0"/>
              <w:rPr>
                <w:sz w:val="4"/>
                <w:szCs w:val="4"/>
                <w:color w:val="auto"/>
              </w:rPr>
            </w:pPr>
          </w:p>
        </w:tc>
        <w:tc>
          <w:tcPr>
            <w:tcW w:w="360" w:type="dxa"/>
            <w:vAlign w:val="bottom"/>
            <w:tcBorders>
              <w:bottom w:val="single" w:sz="8" w:color="56C271"/>
            </w:tcBorders>
          </w:tcPr>
          <w:p>
            <w:pPr>
              <w:spacing w:after="0"/>
              <w:rPr>
                <w:sz w:val="4"/>
                <w:szCs w:val="4"/>
                <w:color w:val="auto"/>
              </w:rPr>
            </w:pPr>
          </w:p>
        </w:tc>
        <w:tc>
          <w:tcPr>
            <w:tcW w:w="20" w:type="dxa"/>
            <w:vAlign w:val="bottom"/>
            <w:tcBorders>
              <w:bottom w:val="single" w:sz="8" w:color="56C271"/>
            </w:tcBorders>
          </w:tcPr>
          <w:p>
            <w:pPr>
              <w:spacing w:after="0"/>
              <w:rPr>
                <w:sz w:val="4"/>
                <w:szCs w:val="4"/>
                <w:color w:val="auto"/>
              </w:rPr>
            </w:pPr>
          </w:p>
        </w:tc>
        <w:tc>
          <w:tcPr>
            <w:tcW w:w="580" w:type="dxa"/>
            <w:vAlign w:val="bottom"/>
            <w:tcBorders>
              <w:bottom w:val="single" w:sz="8" w:color="56C271"/>
            </w:tcBorders>
          </w:tcPr>
          <w:p>
            <w:pPr>
              <w:spacing w:after="0"/>
              <w:rPr>
                <w:sz w:val="4"/>
                <w:szCs w:val="4"/>
                <w:color w:val="auto"/>
              </w:rPr>
            </w:pPr>
          </w:p>
        </w:tc>
        <w:tc>
          <w:tcPr>
            <w:tcW w:w="220" w:type="dxa"/>
            <w:vAlign w:val="bottom"/>
            <w:tcBorders>
              <w:bottom w:val="single" w:sz="8" w:color="56C271"/>
            </w:tcBorders>
          </w:tcPr>
          <w:p>
            <w:pPr>
              <w:spacing w:after="0"/>
              <w:rPr>
                <w:sz w:val="4"/>
                <w:szCs w:val="4"/>
                <w:color w:val="auto"/>
              </w:rPr>
            </w:pPr>
          </w:p>
        </w:tc>
        <w:tc>
          <w:tcPr>
            <w:tcW w:w="200" w:type="dxa"/>
            <w:vAlign w:val="bottom"/>
            <w:tcBorders>
              <w:bottom w:val="single" w:sz="8" w:color="56C271"/>
            </w:tcBorders>
          </w:tcPr>
          <w:p>
            <w:pPr>
              <w:spacing w:after="0"/>
              <w:rPr>
                <w:sz w:val="4"/>
                <w:szCs w:val="4"/>
                <w:color w:val="auto"/>
              </w:rPr>
            </w:pPr>
          </w:p>
        </w:tc>
        <w:tc>
          <w:tcPr>
            <w:tcW w:w="200" w:type="dxa"/>
            <w:vAlign w:val="bottom"/>
            <w:tcBorders>
              <w:top w:val="single" w:sz="8" w:color="0000EE"/>
              <w:bottom w:val="single" w:sz="8" w:color="56C271"/>
            </w:tcBorders>
          </w:tcPr>
          <w:p>
            <w:pPr>
              <w:spacing w:after="0"/>
              <w:rPr>
                <w:sz w:val="4"/>
                <w:szCs w:val="4"/>
                <w:color w:val="auto"/>
              </w:rPr>
            </w:pPr>
          </w:p>
        </w:tc>
        <w:tc>
          <w:tcPr>
            <w:tcW w:w="980" w:type="dxa"/>
            <w:vAlign w:val="bottom"/>
          </w:tcPr>
          <w:p>
            <w:pPr>
              <w:spacing w:after="0"/>
              <w:rPr>
                <w:sz w:val="4"/>
                <w:szCs w:val="4"/>
                <w:color w:val="auto"/>
              </w:rPr>
            </w:pPr>
          </w:p>
        </w:tc>
      </w:tr>
      <w:tr>
        <w:trPr>
          <w:trHeight w:val="439"/>
        </w:trPr>
        <w:tc>
          <w:tcPr>
            <w:tcW w:w="1000" w:type="dxa"/>
            <w:vAlign w:val="bottom"/>
            <w:tcBorders>
              <w:right w:val="single" w:sz="8" w:color="CCEEFF"/>
            </w:tcBorders>
          </w:tcPr>
          <w:p>
            <w:pPr>
              <w:spacing w:after="0"/>
              <w:rPr>
                <w:sz w:val="24"/>
                <w:szCs w:val="24"/>
                <w:color w:val="auto"/>
              </w:rPr>
            </w:pPr>
          </w:p>
        </w:tc>
        <w:tc>
          <w:tcPr>
            <w:tcW w:w="8340" w:type="dxa"/>
            <w:vAlign w:val="bottom"/>
            <w:gridSpan w:val="29"/>
            <w:shd w:val="clear" w:color="auto" w:fill="CCEEFF"/>
          </w:tcPr>
          <w:p>
            <w:pPr>
              <w:spacing w:after="0"/>
              <w:rPr>
                <w:rFonts w:ascii="Arial" w:cs="Arial" w:eastAsia="Arial" w:hAnsi="Arial"/>
                <w:sz w:val="22"/>
                <w:szCs w:val="22"/>
                <w:b w:val="1"/>
                <w:bCs w:val="1"/>
                <w:color w:val="56C271"/>
              </w:rPr>
            </w:pPr>
            <w:hyperlink w:anchor="page95">
              <w:r>
                <w:rPr>
                  <w:rFonts w:ascii="Arial" w:cs="Arial" w:eastAsia="Arial" w:hAnsi="Arial"/>
                  <w:sz w:val="22"/>
                  <w:szCs w:val="22"/>
                  <w:b w:val="1"/>
                  <w:bCs w:val="1"/>
                  <w:color w:val="56C271"/>
                </w:rPr>
                <w:t>Appendix B — Avnet, Inc. 2021 Stock Compensation and Incentive Plan</w:t>
              </w:r>
            </w:hyperlink>
          </w:p>
        </w:tc>
        <w:tc>
          <w:tcPr>
            <w:tcW w:w="400" w:type="dxa"/>
            <w:vAlign w:val="bottom"/>
            <w:gridSpan w:val="2"/>
            <w:shd w:val="clear" w:color="auto" w:fill="CCEEFF"/>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91</w:t>
              </w:r>
            </w:hyperlink>
          </w:p>
        </w:tc>
        <w:tc>
          <w:tcPr>
            <w:tcW w:w="980" w:type="dxa"/>
            <w:vAlign w:val="bottom"/>
          </w:tcPr>
          <w:p>
            <w:pPr>
              <w:spacing w:after="0"/>
              <w:rPr>
                <w:sz w:val="24"/>
                <w:szCs w:val="24"/>
                <w:color w:val="auto"/>
              </w:rPr>
            </w:pPr>
          </w:p>
        </w:tc>
      </w:tr>
      <w:tr>
        <w:trPr>
          <w:trHeight w:val="1526"/>
        </w:trPr>
        <w:tc>
          <w:tcPr>
            <w:tcW w:w="1000" w:type="dxa"/>
            <w:vAlign w:val="bottom"/>
            <w:tcBorders>
              <w:bottom w:val="single" w:sz="8" w:color="9A9A9A"/>
            </w:tcBorders>
          </w:tcPr>
          <w:p>
            <w:pPr>
              <w:spacing w:after="0"/>
              <w:rPr>
                <w:sz w:val="24"/>
                <w:szCs w:val="24"/>
                <w:color w:val="auto"/>
              </w:rPr>
            </w:pPr>
          </w:p>
        </w:tc>
        <w:tc>
          <w:tcPr>
            <w:tcW w:w="180" w:type="dxa"/>
            <w:vAlign w:val="bottom"/>
            <w:tcBorders>
              <w:top w:val="single" w:sz="8" w:color="56C271"/>
              <w:bottom w:val="single" w:sz="8" w:color="9A9A9A"/>
            </w:tcBorders>
          </w:tcPr>
          <w:p>
            <w:pPr>
              <w:spacing w:after="0"/>
              <w:rPr>
                <w:sz w:val="24"/>
                <w:szCs w:val="24"/>
                <w:color w:val="auto"/>
              </w:rPr>
            </w:pPr>
          </w:p>
        </w:tc>
        <w:tc>
          <w:tcPr>
            <w:tcW w:w="440" w:type="dxa"/>
            <w:vAlign w:val="bottom"/>
            <w:tcBorders>
              <w:top w:val="single" w:sz="8" w:color="56C271"/>
              <w:bottom w:val="single" w:sz="8" w:color="9A9A9A"/>
            </w:tcBorders>
          </w:tcPr>
          <w:p>
            <w:pPr>
              <w:spacing w:after="0"/>
              <w:rPr>
                <w:sz w:val="24"/>
                <w:szCs w:val="24"/>
                <w:color w:val="auto"/>
              </w:rPr>
            </w:pPr>
          </w:p>
        </w:tc>
        <w:tc>
          <w:tcPr>
            <w:tcW w:w="160" w:type="dxa"/>
            <w:vAlign w:val="bottom"/>
            <w:tcBorders>
              <w:top w:val="single" w:sz="8" w:color="56C271"/>
              <w:bottom w:val="single" w:sz="8" w:color="9A9A9A"/>
            </w:tcBorders>
          </w:tcPr>
          <w:p>
            <w:pPr>
              <w:spacing w:after="0"/>
              <w:rPr>
                <w:sz w:val="24"/>
                <w:szCs w:val="24"/>
                <w:color w:val="auto"/>
              </w:rPr>
            </w:pPr>
          </w:p>
        </w:tc>
        <w:tc>
          <w:tcPr>
            <w:tcW w:w="740" w:type="dxa"/>
            <w:vAlign w:val="bottom"/>
            <w:tcBorders>
              <w:top w:val="single" w:sz="8" w:color="56C271"/>
              <w:bottom w:val="single" w:sz="8" w:color="9A9A9A"/>
            </w:tcBorders>
          </w:tcPr>
          <w:p>
            <w:pPr>
              <w:spacing w:after="0"/>
              <w:rPr>
                <w:sz w:val="24"/>
                <w:szCs w:val="24"/>
                <w:color w:val="auto"/>
              </w:rPr>
            </w:pPr>
          </w:p>
        </w:tc>
        <w:tc>
          <w:tcPr>
            <w:tcW w:w="240" w:type="dxa"/>
            <w:vAlign w:val="bottom"/>
            <w:tcBorders>
              <w:top w:val="single" w:sz="8" w:color="56C271"/>
              <w:bottom w:val="single" w:sz="8" w:color="9A9A9A"/>
            </w:tcBorders>
          </w:tcPr>
          <w:p>
            <w:pPr>
              <w:spacing w:after="0"/>
              <w:rPr>
                <w:sz w:val="24"/>
                <w:szCs w:val="24"/>
                <w:color w:val="auto"/>
              </w:rPr>
            </w:pPr>
          </w:p>
        </w:tc>
        <w:tc>
          <w:tcPr>
            <w:tcW w:w="100" w:type="dxa"/>
            <w:vAlign w:val="bottom"/>
            <w:tcBorders>
              <w:top w:val="single" w:sz="8" w:color="56C271"/>
              <w:bottom w:val="single" w:sz="8" w:color="9A9A9A"/>
            </w:tcBorders>
          </w:tcPr>
          <w:p>
            <w:pPr>
              <w:spacing w:after="0"/>
              <w:rPr>
                <w:sz w:val="24"/>
                <w:szCs w:val="24"/>
                <w:color w:val="auto"/>
              </w:rPr>
            </w:pPr>
          </w:p>
        </w:tc>
        <w:tc>
          <w:tcPr>
            <w:tcW w:w="440" w:type="dxa"/>
            <w:vAlign w:val="bottom"/>
            <w:tcBorders>
              <w:top w:val="single" w:sz="8" w:color="56C271"/>
              <w:bottom w:val="single" w:sz="8" w:color="9A9A9A"/>
            </w:tcBorders>
          </w:tcPr>
          <w:p>
            <w:pPr>
              <w:spacing w:after="0"/>
              <w:rPr>
                <w:sz w:val="24"/>
                <w:szCs w:val="24"/>
                <w:color w:val="auto"/>
              </w:rPr>
            </w:pPr>
          </w:p>
        </w:tc>
        <w:tc>
          <w:tcPr>
            <w:tcW w:w="120" w:type="dxa"/>
            <w:vAlign w:val="bottom"/>
            <w:tcBorders>
              <w:top w:val="single" w:sz="8" w:color="56C271"/>
              <w:bottom w:val="single" w:sz="8" w:color="9A9A9A"/>
            </w:tcBorders>
          </w:tcPr>
          <w:p>
            <w:pPr>
              <w:spacing w:after="0"/>
              <w:rPr>
                <w:sz w:val="24"/>
                <w:szCs w:val="24"/>
                <w:color w:val="auto"/>
              </w:rPr>
            </w:pPr>
          </w:p>
        </w:tc>
        <w:tc>
          <w:tcPr>
            <w:tcW w:w="100" w:type="dxa"/>
            <w:vAlign w:val="bottom"/>
            <w:tcBorders>
              <w:top w:val="single" w:sz="8" w:color="56C271"/>
              <w:bottom w:val="single" w:sz="8" w:color="9A9A9A"/>
            </w:tcBorders>
          </w:tcPr>
          <w:p>
            <w:pPr>
              <w:spacing w:after="0"/>
              <w:rPr>
                <w:sz w:val="24"/>
                <w:szCs w:val="24"/>
                <w:color w:val="auto"/>
              </w:rPr>
            </w:pPr>
          </w:p>
        </w:tc>
        <w:tc>
          <w:tcPr>
            <w:tcW w:w="100" w:type="dxa"/>
            <w:vAlign w:val="bottom"/>
            <w:tcBorders>
              <w:top w:val="single" w:sz="8" w:color="56C271"/>
              <w:bottom w:val="single" w:sz="8" w:color="9A9A9A"/>
            </w:tcBorders>
          </w:tcPr>
          <w:p>
            <w:pPr>
              <w:spacing w:after="0"/>
              <w:rPr>
                <w:sz w:val="24"/>
                <w:szCs w:val="24"/>
                <w:color w:val="auto"/>
              </w:rPr>
            </w:pPr>
          </w:p>
        </w:tc>
        <w:tc>
          <w:tcPr>
            <w:tcW w:w="340" w:type="dxa"/>
            <w:vAlign w:val="bottom"/>
            <w:tcBorders>
              <w:top w:val="single" w:sz="8" w:color="56C271"/>
              <w:bottom w:val="single" w:sz="8" w:color="9A9A9A"/>
            </w:tcBorders>
          </w:tcPr>
          <w:p>
            <w:pPr>
              <w:spacing w:after="0"/>
              <w:rPr>
                <w:sz w:val="24"/>
                <w:szCs w:val="24"/>
                <w:color w:val="auto"/>
              </w:rPr>
            </w:pPr>
          </w:p>
        </w:tc>
        <w:tc>
          <w:tcPr>
            <w:tcW w:w="160" w:type="dxa"/>
            <w:vAlign w:val="bottom"/>
            <w:tcBorders>
              <w:top w:val="single" w:sz="8" w:color="56C271"/>
              <w:bottom w:val="single" w:sz="8" w:color="9A9A9A"/>
            </w:tcBorders>
          </w:tcPr>
          <w:p>
            <w:pPr>
              <w:spacing w:after="0"/>
              <w:rPr>
                <w:sz w:val="24"/>
                <w:szCs w:val="24"/>
                <w:color w:val="auto"/>
              </w:rPr>
            </w:pPr>
          </w:p>
        </w:tc>
        <w:tc>
          <w:tcPr>
            <w:tcW w:w="120" w:type="dxa"/>
            <w:vAlign w:val="bottom"/>
            <w:tcBorders>
              <w:top w:val="single" w:sz="8" w:color="56C271"/>
              <w:bottom w:val="single" w:sz="8" w:color="9A9A9A"/>
            </w:tcBorders>
          </w:tcPr>
          <w:p>
            <w:pPr>
              <w:spacing w:after="0"/>
              <w:rPr>
                <w:sz w:val="24"/>
                <w:szCs w:val="24"/>
                <w:color w:val="auto"/>
              </w:rPr>
            </w:pPr>
          </w:p>
        </w:tc>
        <w:tc>
          <w:tcPr>
            <w:tcW w:w="160" w:type="dxa"/>
            <w:vAlign w:val="bottom"/>
            <w:tcBorders>
              <w:top w:val="single" w:sz="8" w:color="56C271"/>
              <w:bottom w:val="single" w:sz="8" w:color="9A9A9A"/>
            </w:tcBorders>
          </w:tcPr>
          <w:p>
            <w:pPr>
              <w:spacing w:after="0"/>
              <w:rPr>
                <w:sz w:val="24"/>
                <w:szCs w:val="24"/>
                <w:color w:val="auto"/>
              </w:rPr>
            </w:pPr>
          </w:p>
        </w:tc>
        <w:tc>
          <w:tcPr>
            <w:tcW w:w="220" w:type="dxa"/>
            <w:vAlign w:val="bottom"/>
            <w:tcBorders>
              <w:top w:val="single" w:sz="8" w:color="56C271"/>
              <w:bottom w:val="single" w:sz="8" w:color="9A9A9A"/>
            </w:tcBorders>
          </w:tcPr>
          <w:p>
            <w:pPr>
              <w:spacing w:after="0"/>
              <w:rPr>
                <w:sz w:val="24"/>
                <w:szCs w:val="24"/>
                <w:color w:val="auto"/>
              </w:rPr>
            </w:pPr>
          </w:p>
        </w:tc>
        <w:tc>
          <w:tcPr>
            <w:tcW w:w="80" w:type="dxa"/>
            <w:vAlign w:val="bottom"/>
            <w:tcBorders>
              <w:top w:val="single" w:sz="8" w:color="56C271"/>
              <w:bottom w:val="single" w:sz="8" w:color="9A9A9A"/>
            </w:tcBorders>
          </w:tcPr>
          <w:p>
            <w:pPr>
              <w:spacing w:after="0"/>
              <w:rPr>
                <w:sz w:val="24"/>
                <w:szCs w:val="24"/>
                <w:color w:val="auto"/>
              </w:rPr>
            </w:pPr>
          </w:p>
        </w:tc>
        <w:tc>
          <w:tcPr>
            <w:tcW w:w="140" w:type="dxa"/>
            <w:vAlign w:val="bottom"/>
            <w:tcBorders>
              <w:top w:val="single" w:sz="8" w:color="56C271"/>
              <w:bottom w:val="single" w:sz="8" w:color="9A9A9A"/>
            </w:tcBorders>
          </w:tcPr>
          <w:p>
            <w:pPr>
              <w:spacing w:after="0"/>
              <w:rPr>
                <w:sz w:val="24"/>
                <w:szCs w:val="24"/>
                <w:color w:val="auto"/>
              </w:rPr>
            </w:pPr>
          </w:p>
        </w:tc>
        <w:tc>
          <w:tcPr>
            <w:tcW w:w="160" w:type="dxa"/>
            <w:vAlign w:val="bottom"/>
            <w:tcBorders>
              <w:top w:val="single" w:sz="8" w:color="56C271"/>
              <w:bottom w:val="single" w:sz="8" w:color="9A9A9A"/>
            </w:tcBorders>
          </w:tcPr>
          <w:p>
            <w:pPr>
              <w:spacing w:after="0"/>
              <w:rPr>
                <w:sz w:val="24"/>
                <w:szCs w:val="24"/>
                <w:color w:val="auto"/>
              </w:rPr>
            </w:pPr>
          </w:p>
        </w:tc>
        <w:tc>
          <w:tcPr>
            <w:tcW w:w="80" w:type="dxa"/>
            <w:vAlign w:val="bottom"/>
            <w:tcBorders>
              <w:top w:val="single" w:sz="8" w:color="56C271"/>
              <w:bottom w:val="single" w:sz="8" w:color="9A9A9A"/>
            </w:tcBorders>
          </w:tcPr>
          <w:p>
            <w:pPr>
              <w:spacing w:after="0"/>
              <w:rPr>
                <w:sz w:val="24"/>
                <w:szCs w:val="24"/>
                <w:color w:val="auto"/>
              </w:rPr>
            </w:pPr>
          </w:p>
        </w:tc>
        <w:tc>
          <w:tcPr>
            <w:tcW w:w="260" w:type="dxa"/>
            <w:vAlign w:val="bottom"/>
            <w:tcBorders>
              <w:top w:val="single" w:sz="8" w:color="56C271"/>
              <w:bottom w:val="single" w:sz="8" w:color="9A9A9A"/>
            </w:tcBorders>
          </w:tcPr>
          <w:p>
            <w:pPr>
              <w:spacing w:after="0"/>
              <w:rPr>
                <w:sz w:val="24"/>
                <w:szCs w:val="24"/>
                <w:color w:val="auto"/>
              </w:rPr>
            </w:pPr>
          </w:p>
        </w:tc>
        <w:tc>
          <w:tcPr>
            <w:tcW w:w="520" w:type="dxa"/>
            <w:vAlign w:val="bottom"/>
            <w:tcBorders>
              <w:top w:val="single" w:sz="8" w:color="56C271"/>
              <w:bottom w:val="single" w:sz="8" w:color="9A9A9A"/>
            </w:tcBorders>
          </w:tcPr>
          <w:p>
            <w:pPr>
              <w:spacing w:after="0"/>
              <w:rPr>
                <w:sz w:val="24"/>
                <w:szCs w:val="24"/>
                <w:color w:val="auto"/>
              </w:rPr>
            </w:pPr>
          </w:p>
        </w:tc>
        <w:tc>
          <w:tcPr>
            <w:tcW w:w="480" w:type="dxa"/>
            <w:vAlign w:val="bottom"/>
            <w:tcBorders>
              <w:top w:val="single" w:sz="8" w:color="56C271"/>
              <w:bottom w:val="single" w:sz="8" w:color="9A9A9A"/>
            </w:tcBorders>
          </w:tcPr>
          <w:p>
            <w:pPr>
              <w:spacing w:after="0"/>
              <w:rPr>
                <w:sz w:val="24"/>
                <w:szCs w:val="24"/>
                <w:color w:val="auto"/>
              </w:rPr>
            </w:pPr>
          </w:p>
        </w:tc>
        <w:tc>
          <w:tcPr>
            <w:tcW w:w="1020" w:type="dxa"/>
            <w:vAlign w:val="bottom"/>
            <w:tcBorders>
              <w:top w:val="single" w:sz="8" w:color="56C271"/>
              <w:bottom w:val="single" w:sz="8" w:color="9A9A9A"/>
            </w:tcBorders>
          </w:tcPr>
          <w:p>
            <w:pPr>
              <w:spacing w:after="0"/>
              <w:rPr>
                <w:sz w:val="24"/>
                <w:szCs w:val="24"/>
                <w:color w:val="auto"/>
              </w:rPr>
            </w:pPr>
          </w:p>
        </w:tc>
        <w:tc>
          <w:tcPr>
            <w:tcW w:w="760" w:type="dxa"/>
            <w:vAlign w:val="bottom"/>
            <w:tcBorders>
              <w:top w:val="single" w:sz="8" w:color="56C271"/>
              <w:bottom w:val="single" w:sz="8" w:color="9A9A9A"/>
            </w:tcBorders>
          </w:tcPr>
          <w:p>
            <w:pPr>
              <w:spacing w:after="0"/>
              <w:rPr>
                <w:sz w:val="24"/>
                <w:szCs w:val="24"/>
                <w:color w:val="auto"/>
              </w:rPr>
            </w:pPr>
          </w:p>
        </w:tc>
        <w:tc>
          <w:tcPr>
            <w:tcW w:w="40" w:type="dxa"/>
            <w:vAlign w:val="bottom"/>
            <w:tcBorders>
              <w:top w:val="single" w:sz="8" w:color="56C271"/>
              <w:bottom w:val="single" w:sz="8" w:color="9A9A9A"/>
            </w:tcBorders>
          </w:tcPr>
          <w:p>
            <w:pPr>
              <w:spacing w:after="0"/>
              <w:rPr>
                <w:sz w:val="24"/>
                <w:szCs w:val="24"/>
                <w:color w:val="auto"/>
              </w:rPr>
            </w:pPr>
          </w:p>
        </w:tc>
        <w:tc>
          <w:tcPr>
            <w:tcW w:w="360" w:type="dxa"/>
            <w:vAlign w:val="bottom"/>
            <w:tcBorders>
              <w:top w:val="single" w:sz="8" w:color="56C271"/>
              <w:bottom w:val="single" w:sz="8" w:color="9A9A9A"/>
            </w:tcBorders>
          </w:tcPr>
          <w:p>
            <w:pPr>
              <w:spacing w:after="0"/>
              <w:rPr>
                <w:sz w:val="24"/>
                <w:szCs w:val="24"/>
                <w:color w:val="auto"/>
              </w:rPr>
            </w:pPr>
          </w:p>
        </w:tc>
        <w:tc>
          <w:tcPr>
            <w:tcW w:w="20" w:type="dxa"/>
            <w:vAlign w:val="bottom"/>
            <w:tcBorders>
              <w:top w:val="single" w:sz="8" w:color="56C271"/>
              <w:bottom w:val="single" w:sz="8" w:color="9A9A9A"/>
            </w:tcBorders>
          </w:tcPr>
          <w:p>
            <w:pPr>
              <w:spacing w:after="0"/>
              <w:rPr>
                <w:sz w:val="24"/>
                <w:szCs w:val="24"/>
                <w:color w:val="auto"/>
              </w:rPr>
            </w:pPr>
          </w:p>
        </w:tc>
        <w:tc>
          <w:tcPr>
            <w:tcW w:w="580" w:type="dxa"/>
            <w:vAlign w:val="bottom"/>
            <w:tcBorders>
              <w:top w:val="single" w:sz="8" w:color="56C271"/>
              <w:bottom w:val="single" w:sz="8" w:color="9A9A9A"/>
            </w:tcBorders>
          </w:tcPr>
          <w:p>
            <w:pPr>
              <w:spacing w:after="0"/>
              <w:rPr>
                <w:sz w:val="24"/>
                <w:szCs w:val="24"/>
                <w:color w:val="auto"/>
              </w:rPr>
            </w:pPr>
          </w:p>
        </w:tc>
        <w:tc>
          <w:tcPr>
            <w:tcW w:w="220" w:type="dxa"/>
            <w:vAlign w:val="bottom"/>
            <w:tcBorders>
              <w:top w:val="single" w:sz="8" w:color="56C271"/>
              <w:bottom w:val="single" w:sz="8" w:color="9A9A9A"/>
            </w:tcBorders>
          </w:tcPr>
          <w:p>
            <w:pPr>
              <w:spacing w:after="0"/>
              <w:rPr>
                <w:sz w:val="24"/>
                <w:szCs w:val="24"/>
                <w:color w:val="auto"/>
              </w:rPr>
            </w:pPr>
          </w:p>
        </w:tc>
        <w:tc>
          <w:tcPr>
            <w:tcW w:w="200" w:type="dxa"/>
            <w:vAlign w:val="bottom"/>
            <w:tcBorders>
              <w:top w:val="single" w:sz="8" w:color="56C271"/>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20"/>
        <w:spacing w:after="0"/>
        <w:rPr>
          <w:sz w:val="20"/>
          <w:szCs w:val="20"/>
          <w:color w:val="auto"/>
        </w:rPr>
      </w:pPr>
      <w:r>
        <w:rPr>
          <w:rFonts w:ascii="Arial" w:cs="Arial" w:eastAsia="Arial" w:hAnsi="Arial"/>
          <w:sz w:val="40"/>
          <w:szCs w:val="40"/>
          <w:b w:val="1"/>
          <w:bCs w:val="1"/>
          <w:color w:val="FEFEFE"/>
        </w:rPr>
        <w:t>PROXY STATEMENT SUMMARY</w:t>
      </w:r>
    </w:p>
    <w:p>
      <w:pPr>
        <w:spacing w:after="0" w:line="366" w:lineRule="exact"/>
        <w:rPr>
          <w:sz w:val="20"/>
          <w:szCs w:val="20"/>
          <w:color w:val="auto"/>
        </w:rPr>
      </w:pPr>
    </w:p>
    <w:p>
      <w:pPr>
        <w:ind w:left="1000" w:right="579"/>
        <w:spacing w:after="0" w:line="261" w:lineRule="auto"/>
        <w:rPr>
          <w:sz w:val="20"/>
          <w:szCs w:val="20"/>
          <w:color w:val="auto"/>
        </w:rPr>
      </w:pPr>
      <w:r>
        <w:rPr>
          <w:rFonts w:ascii="Arial" w:cs="Arial" w:eastAsia="Arial" w:hAnsi="Arial"/>
          <w:sz w:val="18"/>
          <w:szCs w:val="18"/>
          <w:color w:val="auto"/>
        </w:rPr>
        <w:t>This summary highlights selected information in this Proxy Statement. Please review the entire document before voting.</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ANNUAL MEETING OF SHAREHOLDERS</w:t>
      </w:r>
    </w:p>
    <w:p>
      <w:pPr>
        <w:spacing w:after="0" w:line="178" w:lineRule="exact"/>
        <w:rPr>
          <w:sz w:val="20"/>
          <w:szCs w:val="20"/>
          <w:color w:val="auto"/>
        </w:rPr>
      </w:pPr>
    </w:p>
    <w:tbl>
      <w:tblPr>
        <w:tblLayout w:type="fixed"/>
        <w:tblInd w:w="980" w:type="dxa"/>
        <w:tblCellMar>
          <w:top w:w="0" w:type="dxa"/>
          <w:left w:w="0" w:type="dxa"/>
          <w:bottom w:w="0" w:type="dxa"/>
          <w:right w:w="0" w:type="dxa"/>
        </w:tblCellMar>
      </w:tblPr>
      <w:tr>
        <w:trPr>
          <w:trHeight w:val="1136"/>
        </w:trPr>
        <w:tc>
          <w:tcPr>
            <w:tcW w:w="2240" w:type="dxa"/>
            <w:vAlign w:val="bottom"/>
            <w:tcBorders>
              <w:top w:val="single" w:sz="8" w:color="56C271"/>
            </w:tcBorders>
            <w:shd w:val="clear" w:color="auto" w:fill="D8D8D8"/>
          </w:tcPr>
          <w:p>
            <w:pPr>
              <w:jc w:val="center"/>
              <w:ind w:left="19"/>
              <w:spacing w:after="0"/>
              <w:rPr>
                <w:sz w:val="20"/>
                <w:szCs w:val="20"/>
                <w:color w:val="auto"/>
              </w:rPr>
            </w:pPr>
            <w:r>
              <w:rPr>
                <w:rFonts w:ascii="Arial" w:cs="Arial" w:eastAsia="Arial" w:hAnsi="Arial"/>
                <w:sz w:val="16"/>
                <w:szCs w:val="16"/>
                <w:b w:val="1"/>
                <w:bCs w:val="1"/>
                <w:color w:val="56C271"/>
                <w:w w:val="96"/>
              </w:rPr>
              <w:t>DATE</w:t>
            </w:r>
          </w:p>
        </w:tc>
        <w:tc>
          <w:tcPr>
            <w:tcW w:w="20" w:type="dxa"/>
            <w:vAlign w:val="bottom"/>
            <w:tcBorders>
              <w:top w:val="single" w:sz="8" w:color="56C271"/>
            </w:tcBorders>
          </w:tcPr>
          <w:p>
            <w:pPr>
              <w:spacing w:after="0"/>
              <w:rPr>
                <w:sz w:val="24"/>
                <w:szCs w:val="24"/>
                <w:color w:val="auto"/>
              </w:rPr>
            </w:pPr>
          </w:p>
        </w:tc>
        <w:tc>
          <w:tcPr>
            <w:tcW w:w="2100" w:type="dxa"/>
            <w:vAlign w:val="bottom"/>
            <w:tcBorders>
              <w:top w:val="single" w:sz="8" w:color="56C271"/>
            </w:tcBorders>
            <w:shd w:val="clear" w:color="auto" w:fill="D8D8D8"/>
          </w:tcPr>
          <w:p>
            <w:pPr>
              <w:jc w:val="center"/>
              <w:spacing w:after="0"/>
              <w:rPr>
                <w:sz w:val="20"/>
                <w:szCs w:val="20"/>
                <w:color w:val="auto"/>
              </w:rPr>
            </w:pPr>
            <w:r>
              <w:rPr>
                <w:rFonts w:ascii="Arial" w:cs="Arial" w:eastAsia="Arial" w:hAnsi="Arial"/>
                <w:sz w:val="16"/>
                <w:szCs w:val="16"/>
                <w:b w:val="1"/>
                <w:bCs w:val="1"/>
                <w:color w:val="56C271"/>
                <w:w w:val="99"/>
              </w:rPr>
              <w:t>TIME</w:t>
            </w:r>
          </w:p>
        </w:tc>
        <w:tc>
          <w:tcPr>
            <w:tcW w:w="20" w:type="dxa"/>
            <w:vAlign w:val="bottom"/>
            <w:tcBorders>
              <w:top w:val="single" w:sz="8" w:color="56C271"/>
            </w:tcBorders>
          </w:tcPr>
          <w:p>
            <w:pPr>
              <w:spacing w:after="0"/>
              <w:rPr>
                <w:sz w:val="24"/>
                <w:szCs w:val="24"/>
                <w:color w:val="auto"/>
              </w:rPr>
            </w:pPr>
          </w:p>
        </w:tc>
        <w:tc>
          <w:tcPr>
            <w:tcW w:w="2100" w:type="dxa"/>
            <w:vAlign w:val="bottom"/>
            <w:tcBorders>
              <w:top w:val="single" w:sz="8" w:color="56C271"/>
            </w:tcBorders>
            <w:shd w:val="clear" w:color="auto" w:fill="D8D8D8"/>
          </w:tcPr>
          <w:p>
            <w:pPr>
              <w:jc w:val="center"/>
              <w:spacing w:after="0"/>
              <w:rPr>
                <w:sz w:val="20"/>
                <w:szCs w:val="20"/>
                <w:color w:val="auto"/>
              </w:rPr>
            </w:pPr>
            <w:r>
              <w:rPr>
                <w:rFonts w:ascii="Arial" w:cs="Arial" w:eastAsia="Arial" w:hAnsi="Arial"/>
                <w:sz w:val="16"/>
                <w:szCs w:val="16"/>
                <w:b w:val="1"/>
                <w:bCs w:val="1"/>
                <w:color w:val="56C271"/>
                <w:w w:val="99"/>
              </w:rPr>
              <w:t>PLACE</w:t>
            </w:r>
          </w:p>
        </w:tc>
        <w:tc>
          <w:tcPr>
            <w:tcW w:w="20" w:type="dxa"/>
            <w:vAlign w:val="bottom"/>
            <w:tcBorders>
              <w:top w:val="single" w:sz="8" w:color="56C271"/>
            </w:tcBorders>
          </w:tcPr>
          <w:p>
            <w:pPr>
              <w:spacing w:after="0"/>
              <w:rPr>
                <w:sz w:val="24"/>
                <w:szCs w:val="24"/>
                <w:color w:val="auto"/>
              </w:rPr>
            </w:pPr>
          </w:p>
        </w:tc>
        <w:tc>
          <w:tcPr>
            <w:tcW w:w="2260" w:type="dxa"/>
            <w:vAlign w:val="bottom"/>
            <w:tcBorders>
              <w:top w:val="single" w:sz="8" w:color="56C271"/>
            </w:tcBorders>
            <w:shd w:val="clear" w:color="auto" w:fill="D8D8D8"/>
          </w:tcPr>
          <w:p>
            <w:pPr>
              <w:jc w:val="center"/>
              <w:ind w:right="99"/>
              <w:spacing w:after="0"/>
              <w:rPr>
                <w:sz w:val="20"/>
                <w:szCs w:val="20"/>
                <w:color w:val="auto"/>
              </w:rPr>
            </w:pPr>
            <w:r>
              <w:rPr>
                <w:rFonts w:ascii="Arial" w:cs="Arial" w:eastAsia="Arial" w:hAnsi="Arial"/>
                <w:sz w:val="16"/>
                <w:szCs w:val="16"/>
                <w:b w:val="1"/>
                <w:bCs w:val="1"/>
                <w:color w:val="56C271"/>
                <w:w w:val="98"/>
              </w:rPr>
              <w:t>RECORD DATE</w:t>
            </w:r>
          </w:p>
        </w:tc>
      </w:tr>
      <w:tr>
        <w:trPr>
          <w:trHeight w:val="229"/>
        </w:trPr>
        <w:tc>
          <w:tcPr>
            <w:tcW w:w="2240" w:type="dxa"/>
            <w:vAlign w:val="bottom"/>
            <w:shd w:val="clear" w:color="auto" w:fill="D8D8D8"/>
          </w:tcPr>
          <w:p>
            <w:pPr>
              <w:jc w:val="center"/>
              <w:ind w:left="59"/>
              <w:spacing w:after="0"/>
              <w:rPr>
                <w:sz w:val="20"/>
                <w:szCs w:val="20"/>
                <w:color w:val="auto"/>
              </w:rPr>
            </w:pPr>
            <w:r>
              <w:rPr>
                <w:rFonts w:ascii="Arial" w:cs="Arial" w:eastAsia="Arial" w:hAnsi="Arial"/>
                <w:sz w:val="16"/>
                <w:szCs w:val="16"/>
                <w:color w:val="auto"/>
              </w:rPr>
              <w:t>November 18, 2021</w:t>
            </w:r>
          </w:p>
        </w:tc>
        <w:tc>
          <w:tcPr>
            <w:tcW w:w="20" w:type="dxa"/>
            <w:vAlign w:val="bottom"/>
          </w:tcPr>
          <w:p>
            <w:pPr>
              <w:spacing w:after="0"/>
              <w:rPr>
                <w:sz w:val="19"/>
                <w:szCs w:val="19"/>
                <w:color w:val="auto"/>
              </w:rPr>
            </w:pPr>
          </w:p>
        </w:tc>
        <w:tc>
          <w:tcPr>
            <w:tcW w:w="21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8:00 am local time</w:t>
            </w:r>
          </w:p>
        </w:tc>
        <w:tc>
          <w:tcPr>
            <w:tcW w:w="20" w:type="dxa"/>
            <w:vAlign w:val="bottom"/>
          </w:tcPr>
          <w:p>
            <w:pPr>
              <w:spacing w:after="0"/>
              <w:rPr>
                <w:sz w:val="19"/>
                <w:szCs w:val="19"/>
                <w:color w:val="auto"/>
              </w:rPr>
            </w:pPr>
          </w:p>
        </w:tc>
        <w:tc>
          <w:tcPr>
            <w:tcW w:w="21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Avnet’s Headquarters</w:t>
            </w:r>
          </w:p>
        </w:tc>
        <w:tc>
          <w:tcPr>
            <w:tcW w:w="20" w:type="dxa"/>
            <w:vAlign w:val="bottom"/>
          </w:tcPr>
          <w:p>
            <w:pPr>
              <w:spacing w:after="0"/>
              <w:rPr>
                <w:sz w:val="19"/>
                <w:szCs w:val="19"/>
                <w:color w:val="auto"/>
              </w:rPr>
            </w:pPr>
          </w:p>
        </w:tc>
        <w:tc>
          <w:tcPr>
            <w:tcW w:w="2260" w:type="dxa"/>
            <w:vAlign w:val="bottom"/>
            <w:shd w:val="clear" w:color="auto" w:fill="D8D8D8"/>
          </w:tcPr>
          <w:p>
            <w:pPr>
              <w:jc w:val="center"/>
              <w:ind w:right="59"/>
              <w:spacing w:after="0"/>
              <w:rPr>
                <w:sz w:val="20"/>
                <w:szCs w:val="20"/>
                <w:color w:val="auto"/>
              </w:rPr>
            </w:pPr>
            <w:r>
              <w:rPr>
                <w:rFonts w:ascii="Arial" w:cs="Arial" w:eastAsia="Arial" w:hAnsi="Arial"/>
                <w:sz w:val="16"/>
                <w:szCs w:val="16"/>
                <w:color w:val="auto"/>
              </w:rPr>
              <w:t>September 20, 2021</w:t>
            </w:r>
          </w:p>
        </w:tc>
      </w:tr>
      <w:tr>
        <w:trPr>
          <w:trHeight w:val="189"/>
        </w:trPr>
        <w:tc>
          <w:tcPr>
            <w:tcW w:w="224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2211 South 47th Street</w:t>
            </w:r>
          </w:p>
        </w:tc>
        <w:tc>
          <w:tcPr>
            <w:tcW w:w="20" w:type="dxa"/>
            <w:vAlign w:val="bottom"/>
          </w:tcPr>
          <w:p>
            <w:pPr>
              <w:spacing w:after="0"/>
              <w:rPr>
                <w:sz w:val="16"/>
                <w:szCs w:val="16"/>
                <w:color w:val="auto"/>
              </w:rPr>
            </w:pPr>
          </w:p>
        </w:tc>
        <w:tc>
          <w:tcPr>
            <w:tcW w:w="2260" w:type="dxa"/>
            <w:vAlign w:val="bottom"/>
            <w:shd w:val="clear" w:color="auto" w:fill="D8D8D8"/>
          </w:tcPr>
          <w:p>
            <w:pPr>
              <w:spacing w:after="0"/>
              <w:rPr>
                <w:sz w:val="16"/>
                <w:szCs w:val="16"/>
                <w:color w:val="auto"/>
              </w:rPr>
            </w:pPr>
          </w:p>
        </w:tc>
      </w:tr>
      <w:tr>
        <w:trPr>
          <w:trHeight w:val="189"/>
        </w:trPr>
        <w:tc>
          <w:tcPr>
            <w:tcW w:w="224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Phoenix, Arizona 85034</w:t>
            </w:r>
          </w:p>
        </w:tc>
        <w:tc>
          <w:tcPr>
            <w:tcW w:w="20" w:type="dxa"/>
            <w:vAlign w:val="bottom"/>
          </w:tcPr>
          <w:p>
            <w:pPr>
              <w:spacing w:after="0"/>
              <w:rPr>
                <w:sz w:val="16"/>
                <w:szCs w:val="16"/>
                <w:color w:val="auto"/>
              </w:rPr>
            </w:pPr>
          </w:p>
        </w:tc>
        <w:tc>
          <w:tcPr>
            <w:tcW w:w="2260" w:type="dxa"/>
            <w:vAlign w:val="bottom"/>
            <w:shd w:val="clear" w:color="auto" w:fill="D8D8D8"/>
          </w:tcPr>
          <w:p>
            <w:pPr>
              <w:spacing w:after="0"/>
              <w:rPr>
                <w:sz w:val="16"/>
                <w:szCs w:val="16"/>
                <w:color w:val="auto"/>
              </w:rPr>
            </w:pPr>
          </w:p>
        </w:tc>
      </w:tr>
      <w:tr>
        <w:trPr>
          <w:trHeight w:val="189"/>
        </w:trPr>
        <w:tc>
          <w:tcPr>
            <w:tcW w:w="224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AND</w:t>
            </w:r>
          </w:p>
        </w:tc>
        <w:tc>
          <w:tcPr>
            <w:tcW w:w="20" w:type="dxa"/>
            <w:vAlign w:val="bottom"/>
          </w:tcPr>
          <w:p>
            <w:pPr>
              <w:spacing w:after="0"/>
              <w:rPr>
                <w:sz w:val="16"/>
                <w:szCs w:val="16"/>
                <w:color w:val="auto"/>
              </w:rPr>
            </w:pPr>
          </w:p>
        </w:tc>
        <w:tc>
          <w:tcPr>
            <w:tcW w:w="2260" w:type="dxa"/>
            <w:vAlign w:val="bottom"/>
            <w:shd w:val="clear" w:color="auto" w:fill="D8D8D8"/>
          </w:tcPr>
          <w:p>
            <w:pPr>
              <w:spacing w:after="0"/>
              <w:rPr>
                <w:sz w:val="16"/>
                <w:szCs w:val="16"/>
                <w:color w:val="auto"/>
              </w:rPr>
            </w:pPr>
          </w:p>
        </w:tc>
      </w:tr>
      <w:tr>
        <w:trPr>
          <w:trHeight w:val="189"/>
        </w:trPr>
        <w:tc>
          <w:tcPr>
            <w:tcW w:w="224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Via Webcast at</w:t>
            </w:r>
          </w:p>
        </w:tc>
        <w:tc>
          <w:tcPr>
            <w:tcW w:w="20" w:type="dxa"/>
            <w:vAlign w:val="bottom"/>
          </w:tcPr>
          <w:p>
            <w:pPr>
              <w:spacing w:after="0"/>
              <w:rPr>
                <w:sz w:val="16"/>
                <w:szCs w:val="16"/>
                <w:color w:val="auto"/>
              </w:rPr>
            </w:pPr>
          </w:p>
        </w:tc>
        <w:tc>
          <w:tcPr>
            <w:tcW w:w="2260" w:type="dxa"/>
            <w:vAlign w:val="bottom"/>
            <w:shd w:val="clear" w:color="auto" w:fill="D8D8D8"/>
          </w:tcPr>
          <w:p>
            <w:pPr>
              <w:spacing w:after="0"/>
              <w:rPr>
                <w:sz w:val="16"/>
                <w:szCs w:val="16"/>
                <w:color w:val="auto"/>
              </w:rPr>
            </w:pPr>
          </w:p>
        </w:tc>
      </w:tr>
      <w:tr>
        <w:trPr>
          <w:trHeight w:val="189"/>
        </w:trPr>
        <w:tc>
          <w:tcPr>
            <w:tcW w:w="224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www.virtualshareholder</w:t>
            </w:r>
          </w:p>
        </w:tc>
        <w:tc>
          <w:tcPr>
            <w:tcW w:w="20" w:type="dxa"/>
            <w:vAlign w:val="bottom"/>
          </w:tcPr>
          <w:p>
            <w:pPr>
              <w:spacing w:after="0"/>
              <w:rPr>
                <w:sz w:val="16"/>
                <w:szCs w:val="16"/>
                <w:color w:val="auto"/>
              </w:rPr>
            </w:pPr>
          </w:p>
        </w:tc>
        <w:tc>
          <w:tcPr>
            <w:tcW w:w="2260" w:type="dxa"/>
            <w:vAlign w:val="bottom"/>
            <w:shd w:val="clear" w:color="auto" w:fill="D8D8D8"/>
          </w:tcPr>
          <w:p>
            <w:pPr>
              <w:spacing w:after="0"/>
              <w:rPr>
                <w:sz w:val="16"/>
                <w:szCs w:val="16"/>
                <w:color w:val="auto"/>
              </w:rPr>
            </w:pPr>
          </w:p>
        </w:tc>
      </w:tr>
      <w:tr>
        <w:trPr>
          <w:trHeight w:val="195"/>
        </w:trPr>
        <w:tc>
          <w:tcPr>
            <w:tcW w:w="224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meeting.com/AVT2021</w:t>
            </w:r>
          </w:p>
        </w:tc>
        <w:tc>
          <w:tcPr>
            <w:tcW w:w="20" w:type="dxa"/>
            <w:vAlign w:val="bottom"/>
          </w:tcPr>
          <w:p>
            <w:pPr>
              <w:spacing w:after="0"/>
              <w:rPr>
                <w:sz w:val="16"/>
                <w:szCs w:val="16"/>
                <w:color w:val="auto"/>
              </w:rPr>
            </w:pPr>
          </w:p>
        </w:tc>
        <w:tc>
          <w:tcPr>
            <w:tcW w:w="2260" w:type="dxa"/>
            <w:vAlign w:val="bottom"/>
            <w:shd w:val="clear" w:color="auto" w:fill="D8D8D8"/>
          </w:tcPr>
          <w:p>
            <w:pPr>
              <w:spacing w:after="0"/>
              <w:rPr>
                <w:sz w:val="16"/>
                <w:szCs w:val="16"/>
                <w:color w:val="auto"/>
              </w:rPr>
            </w:pPr>
          </w:p>
        </w:tc>
      </w:tr>
      <w:tr>
        <w:trPr>
          <w:trHeight w:val="208"/>
        </w:trPr>
        <w:tc>
          <w:tcPr>
            <w:tcW w:w="2240" w:type="dxa"/>
            <w:vAlign w:val="bottom"/>
            <w:tcBorders>
              <w:bottom w:val="single" w:sz="8" w:color="56C271"/>
            </w:tcBorders>
            <w:shd w:val="clear" w:color="auto" w:fill="D8D8D8"/>
          </w:tcPr>
          <w:p>
            <w:pPr>
              <w:spacing w:after="0"/>
              <w:rPr>
                <w:sz w:val="18"/>
                <w:szCs w:val="18"/>
                <w:color w:val="auto"/>
              </w:rPr>
            </w:pPr>
          </w:p>
        </w:tc>
        <w:tc>
          <w:tcPr>
            <w:tcW w:w="20" w:type="dxa"/>
            <w:vAlign w:val="bottom"/>
            <w:tcBorders>
              <w:bottom w:val="single" w:sz="8" w:color="56C271"/>
            </w:tcBorders>
          </w:tcPr>
          <w:p>
            <w:pPr>
              <w:spacing w:after="0"/>
              <w:rPr>
                <w:sz w:val="18"/>
                <w:szCs w:val="18"/>
                <w:color w:val="auto"/>
              </w:rPr>
            </w:pPr>
          </w:p>
        </w:tc>
        <w:tc>
          <w:tcPr>
            <w:tcW w:w="2100" w:type="dxa"/>
            <w:vAlign w:val="bottom"/>
            <w:tcBorders>
              <w:bottom w:val="single" w:sz="8" w:color="56C271"/>
            </w:tcBorders>
            <w:shd w:val="clear" w:color="auto" w:fill="D8D8D8"/>
          </w:tcPr>
          <w:p>
            <w:pPr>
              <w:spacing w:after="0"/>
              <w:rPr>
                <w:sz w:val="18"/>
                <w:szCs w:val="18"/>
                <w:color w:val="auto"/>
              </w:rPr>
            </w:pPr>
          </w:p>
        </w:tc>
        <w:tc>
          <w:tcPr>
            <w:tcW w:w="20" w:type="dxa"/>
            <w:vAlign w:val="bottom"/>
            <w:tcBorders>
              <w:bottom w:val="single" w:sz="8" w:color="56C271"/>
            </w:tcBorders>
          </w:tcPr>
          <w:p>
            <w:pPr>
              <w:spacing w:after="0"/>
              <w:rPr>
                <w:sz w:val="18"/>
                <w:szCs w:val="18"/>
                <w:color w:val="auto"/>
              </w:rPr>
            </w:pPr>
          </w:p>
        </w:tc>
        <w:tc>
          <w:tcPr>
            <w:tcW w:w="2100" w:type="dxa"/>
            <w:vAlign w:val="bottom"/>
            <w:tcBorders>
              <w:bottom w:val="single" w:sz="8" w:color="56C271"/>
            </w:tcBorders>
            <w:shd w:val="clear" w:color="auto" w:fill="D8D8D8"/>
          </w:tcPr>
          <w:p>
            <w:pPr>
              <w:spacing w:after="0"/>
              <w:rPr>
                <w:sz w:val="18"/>
                <w:szCs w:val="18"/>
                <w:color w:val="auto"/>
              </w:rPr>
            </w:pPr>
          </w:p>
        </w:tc>
        <w:tc>
          <w:tcPr>
            <w:tcW w:w="20" w:type="dxa"/>
            <w:vAlign w:val="bottom"/>
            <w:tcBorders>
              <w:bottom w:val="single" w:sz="8" w:color="56C271"/>
            </w:tcBorders>
          </w:tcPr>
          <w:p>
            <w:pPr>
              <w:spacing w:after="0"/>
              <w:rPr>
                <w:sz w:val="18"/>
                <w:szCs w:val="18"/>
                <w:color w:val="auto"/>
              </w:rPr>
            </w:pPr>
          </w:p>
        </w:tc>
        <w:tc>
          <w:tcPr>
            <w:tcW w:w="2260" w:type="dxa"/>
            <w:vAlign w:val="bottom"/>
            <w:tcBorders>
              <w:bottom w:val="single" w:sz="8" w:color="56C271"/>
            </w:tcBorders>
            <w:shd w:val="clear" w:color="auto" w:fill="D8D8D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-1576705</wp:posOffset>
            </wp:positionV>
            <wp:extent cx="428625" cy="436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8625" cy="43688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-1576705</wp:posOffset>
            </wp:positionV>
            <wp:extent cx="437515" cy="436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7515" cy="436880"/>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-1576705</wp:posOffset>
            </wp:positionV>
            <wp:extent cx="325755" cy="436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755" cy="436880"/>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-1576705</wp:posOffset>
            </wp:positionV>
            <wp:extent cx="428625" cy="436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625" cy="436880"/>
                    </a:xfrm>
                    <a:prstGeom prst="rect">
                      <a:avLst/>
                    </a:prstGeom>
                    <a:noFill/>
                  </pic:spPr>
                </pic:pic>
              </a:graphicData>
            </a:graphic>
          </wp:anchor>
        </w:drawing>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PROPOSALS AND BOARD RECOMMENDATIONS</w:t>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6C271"/>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20320</wp:posOffset>
            </wp:positionV>
            <wp:extent cx="3763010" cy="1157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63010" cy="1157605"/>
                    </a:xfrm>
                    <a:prstGeom prst="rect">
                      <a:avLst/>
                    </a:prstGeom>
                    <a:noFill/>
                  </pic:spPr>
                </pic:pic>
              </a:graphicData>
            </a:graphic>
          </wp:anchor>
        </w:drawing>
      </w:r>
    </w:p>
    <w:p>
      <w:pPr>
        <w:ind w:left="1940" w:hanging="687"/>
        <w:spacing w:after="0"/>
        <w:tabs>
          <w:tab w:leader="none" w:pos="1940" w:val="left"/>
        </w:tabs>
        <w:numPr>
          <w:ilvl w:val="0"/>
          <w:numId w:val="5"/>
        </w:numPr>
        <w:rPr>
          <w:rFonts w:ascii="Arial" w:cs="Arial" w:eastAsia="Arial" w:hAnsi="Arial"/>
          <w:sz w:val="32"/>
          <w:szCs w:val="32"/>
          <w:b w:val="1"/>
          <w:bCs w:val="1"/>
          <w:color w:val="FEFEFE"/>
        </w:rPr>
      </w:pPr>
      <w:r>
        <w:rPr>
          <w:rFonts w:ascii="Arial" w:cs="Arial" w:eastAsia="Arial" w:hAnsi="Arial"/>
          <w:sz w:val="18"/>
          <w:szCs w:val="18"/>
          <w:b w:val="1"/>
          <w:bCs w:val="1"/>
          <w:color w:val="auto"/>
        </w:rPr>
        <w:t>Election of Directors</w:t>
      </w:r>
    </w:p>
    <w:p>
      <w:pPr>
        <w:spacing w:after="0" w:line="24" w:lineRule="exact"/>
        <w:rPr>
          <w:sz w:val="20"/>
          <w:szCs w:val="20"/>
          <w:color w:val="auto"/>
        </w:rPr>
      </w:pPr>
    </w:p>
    <w:p>
      <w:pPr>
        <w:ind w:left="1920" w:hanging="667"/>
        <w:spacing w:after="0"/>
        <w:tabs>
          <w:tab w:leader="none" w:pos="1920" w:val="left"/>
        </w:tabs>
        <w:numPr>
          <w:ilvl w:val="0"/>
          <w:numId w:val="6"/>
        </w:numPr>
        <w:rPr>
          <w:rFonts w:ascii="Arial" w:cs="Arial" w:eastAsia="Arial" w:hAnsi="Arial"/>
          <w:sz w:val="32"/>
          <w:szCs w:val="32"/>
          <w:b w:val="1"/>
          <w:bCs w:val="1"/>
          <w:color w:val="FEFEFE"/>
        </w:rPr>
      </w:pPr>
      <w:r>
        <w:rPr>
          <w:rFonts w:ascii="Arial" w:cs="Arial" w:eastAsia="Arial" w:hAnsi="Arial"/>
          <w:sz w:val="18"/>
          <w:szCs w:val="18"/>
          <w:b w:val="1"/>
          <w:bCs w:val="1"/>
          <w:color w:val="auto"/>
        </w:rPr>
        <w:t>Advisory vote on executive compensation</w:t>
      </w:r>
    </w:p>
    <w:p>
      <w:pPr>
        <w:spacing w:after="0" w:line="99" w:lineRule="exact"/>
        <w:rPr>
          <w:sz w:val="20"/>
          <w:szCs w:val="20"/>
          <w:color w:val="auto"/>
        </w:rPr>
      </w:pPr>
    </w:p>
    <w:p>
      <w:pPr>
        <w:ind w:left="1920" w:right="280" w:hanging="667"/>
        <w:spacing w:after="0" w:line="182" w:lineRule="auto"/>
        <w:tabs>
          <w:tab w:leader="none" w:pos="1920" w:val="left"/>
        </w:tabs>
        <w:numPr>
          <w:ilvl w:val="0"/>
          <w:numId w:val="7"/>
        </w:numPr>
        <w:rPr>
          <w:rFonts w:ascii="Arial" w:cs="Arial" w:eastAsia="Arial" w:hAnsi="Arial"/>
          <w:sz w:val="37"/>
          <w:szCs w:val="37"/>
          <w:b w:val="1"/>
          <w:bCs w:val="1"/>
          <w:color w:val="FEFEFE"/>
          <w:vertAlign w:val="subscript"/>
        </w:rPr>
      </w:pPr>
      <w:r>
        <w:rPr>
          <w:rFonts w:ascii="Arial" w:cs="Arial" w:eastAsia="Arial" w:hAnsi="Arial"/>
          <w:sz w:val="15"/>
          <w:szCs w:val="15"/>
          <w:b w:val="1"/>
          <w:bCs w:val="1"/>
          <w:color w:val="auto"/>
        </w:rPr>
        <w:t>Approval of the Avnet, Inc. 2021 Stock Compensation and Incentive Plan</w:t>
      </w:r>
    </w:p>
    <w:p>
      <w:pPr>
        <w:spacing w:after="0" w:line="33" w:lineRule="exact"/>
        <w:rPr>
          <w:sz w:val="20"/>
          <w:szCs w:val="20"/>
          <w:color w:val="auto"/>
        </w:rPr>
      </w:pPr>
    </w:p>
    <w:p>
      <w:pPr>
        <w:ind w:left="1940" w:hanging="687"/>
        <w:spacing w:after="0" w:line="182" w:lineRule="auto"/>
        <w:tabs>
          <w:tab w:leader="none" w:pos="1940" w:val="left"/>
        </w:tabs>
        <w:numPr>
          <w:ilvl w:val="0"/>
          <w:numId w:val="8"/>
        </w:numPr>
        <w:rPr>
          <w:rFonts w:ascii="Arial" w:cs="Arial" w:eastAsia="Arial" w:hAnsi="Arial"/>
          <w:sz w:val="52"/>
          <w:szCs w:val="52"/>
          <w:b w:val="1"/>
          <w:bCs w:val="1"/>
          <w:color w:val="FEFEFE"/>
          <w:vertAlign w:val="subscript"/>
        </w:rPr>
      </w:pPr>
      <w:r>
        <w:rPr>
          <w:rFonts w:ascii="Arial" w:cs="Arial" w:eastAsia="Arial" w:hAnsi="Arial"/>
          <w:sz w:val="16"/>
          <w:szCs w:val="16"/>
          <w:b w:val="1"/>
          <w:bCs w:val="1"/>
          <w:color w:val="auto"/>
        </w:rPr>
        <w:t>Ratification of independent registered public accounting firm</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151765</wp:posOffset>
            </wp:positionV>
            <wp:extent cx="2708910" cy="634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08910" cy="634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59" w:firstLine="461"/>
        <w:spacing w:after="0" w:line="263" w:lineRule="auto"/>
        <w:rPr>
          <w:sz w:val="20"/>
          <w:szCs w:val="20"/>
          <w:color w:val="auto"/>
        </w:rPr>
      </w:pPr>
      <w:r>
        <w:rPr>
          <w:rFonts w:ascii="Arial" w:cs="Arial" w:eastAsia="Arial" w:hAnsi="Arial"/>
          <w:sz w:val="18"/>
          <w:szCs w:val="18"/>
          <w:b w:val="1"/>
          <w:bCs w:val="1"/>
          <w:color w:val="56C271"/>
        </w:rPr>
        <w:t>Board Page Recommendation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-6985</wp:posOffset>
            </wp:positionV>
            <wp:extent cx="1783080" cy="1157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1157605"/>
                    </a:xfrm>
                    <a:prstGeom prst="rect">
                      <a:avLst/>
                    </a:prstGeom>
                    <a:noFill/>
                  </pic:spPr>
                </pic:pic>
              </a:graphicData>
            </a:graphic>
          </wp:anchor>
        </w:drawing>
      </w:r>
    </w:p>
    <w:p>
      <w:pPr>
        <w:ind w:left="440"/>
        <w:spacing w:after="0" w:line="185" w:lineRule="auto"/>
        <w:tabs>
          <w:tab w:leader="none" w:pos="2140" w:val="left"/>
        </w:tabs>
        <w:rPr>
          <w:rFonts w:ascii="Arial" w:cs="Arial" w:eastAsia="Arial" w:hAnsi="Arial"/>
          <w:sz w:val="17"/>
          <w:szCs w:val="17"/>
          <w:b w:val="1"/>
          <w:bCs w:val="1"/>
          <w:u w:val="single" w:color="auto"/>
          <w:color w:val="0000EE"/>
        </w:rPr>
      </w:pPr>
      <w:r>
        <w:rPr>
          <w:rFonts w:ascii="Arial" w:cs="Arial" w:eastAsia="Arial" w:hAnsi="Arial"/>
          <w:sz w:val="27"/>
          <w:szCs w:val="27"/>
          <w:b w:val="1"/>
          <w:bCs w:val="1"/>
          <w:color w:val="FFFFFF"/>
        </w:rPr>
        <w:t>FOR</w:t>
      </w:r>
      <w:r>
        <w:rPr>
          <w:sz w:val="20"/>
          <w:szCs w:val="20"/>
          <w:color w:val="auto"/>
        </w:rPr>
        <w:tab/>
      </w:r>
      <w:hyperlink w:anchor="page12">
        <w:r>
          <w:rPr>
            <w:rFonts w:ascii="Arial" w:cs="Arial" w:eastAsia="Arial" w:hAnsi="Arial"/>
            <w:sz w:val="17"/>
            <w:szCs w:val="17"/>
            <w:b w:val="1"/>
            <w:bCs w:val="1"/>
            <w:u w:val="single" w:color="auto"/>
            <w:color w:val="0000EE"/>
          </w:rPr>
          <w:t>8</w:t>
        </w:r>
      </w:hyperlink>
    </w:p>
    <w:p>
      <w:pPr>
        <w:spacing w:after="0" w:line="73" w:lineRule="exact"/>
        <w:rPr>
          <w:sz w:val="20"/>
          <w:szCs w:val="20"/>
          <w:color w:val="auto"/>
        </w:rPr>
      </w:pPr>
    </w:p>
    <w:p>
      <w:pPr>
        <w:ind w:left="440"/>
        <w:spacing w:after="0"/>
        <w:tabs>
          <w:tab w:leader="none" w:pos="2100" w:val="left"/>
        </w:tabs>
        <w:rPr>
          <w:rFonts w:ascii="Arial" w:cs="Arial" w:eastAsia="Arial" w:hAnsi="Arial"/>
          <w:sz w:val="18"/>
          <w:szCs w:val="18"/>
          <w:b w:val="1"/>
          <w:bCs w:val="1"/>
          <w:u w:val="single" w:color="auto"/>
          <w:color w:val="0000EE"/>
        </w:rPr>
      </w:pPr>
      <w:r>
        <w:rPr>
          <w:rFonts w:ascii="Arial" w:cs="Arial" w:eastAsia="Arial" w:hAnsi="Arial"/>
          <w:sz w:val="29"/>
          <w:szCs w:val="29"/>
          <w:b w:val="1"/>
          <w:bCs w:val="1"/>
          <w:color w:val="FFFFFF"/>
        </w:rPr>
        <w:t>FOR</w:t>
      </w:r>
      <w:r>
        <w:rPr>
          <w:sz w:val="20"/>
          <w:szCs w:val="20"/>
          <w:color w:val="auto"/>
        </w:rPr>
        <w:tab/>
      </w:r>
      <w:hyperlink w:anchor="page42">
        <w:r>
          <w:rPr>
            <w:rFonts w:ascii="Arial" w:cs="Arial" w:eastAsia="Arial" w:hAnsi="Arial"/>
            <w:sz w:val="18"/>
            <w:szCs w:val="18"/>
            <w:b w:val="1"/>
            <w:bCs w:val="1"/>
            <w:u w:val="single" w:color="auto"/>
            <w:color w:val="0000EE"/>
          </w:rPr>
          <w:t>38</w:t>
        </w:r>
      </w:hyperlink>
    </w:p>
    <w:p>
      <w:pPr>
        <w:spacing w:after="0" w:line="112" w:lineRule="exact"/>
        <w:rPr>
          <w:sz w:val="20"/>
          <w:szCs w:val="20"/>
          <w:color w:val="auto"/>
        </w:rPr>
      </w:pPr>
    </w:p>
    <w:p>
      <w:pPr>
        <w:ind w:left="440"/>
        <w:spacing w:after="0"/>
        <w:tabs>
          <w:tab w:leader="none" w:pos="2100" w:val="left"/>
        </w:tabs>
        <w:rPr>
          <w:rFonts w:ascii="Arial" w:cs="Arial" w:eastAsia="Arial" w:hAnsi="Arial"/>
          <w:sz w:val="18"/>
          <w:szCs w:val="18"/>
          <w:b w:val="1"/>
          <w:bCs w:val="1"/>
          <w:u w:val="single" w:color="auto"/>
          <w:color w:val="0000EE"/>
        </w:rPr>
      </w:pPr>
      <w:r>
        <w:rPr>
          <w:rFonts w:ascii="Arial" w:cs="Arial" w:eastAsia="Arial" w:hAnsi="Arial"/>
          <w:sz w:val="29"/>
          <w:szCs w:val="29"/>
          <w:b w:val="1"/>
          <w:bCs w:val="1"/>
          <w:color w:val="FFFFFF"/>
        </w:rPr>
        <w:t>FOR</w:t>
      </w:r>
      <w:r>
        <w:rPr>
          <w:sz w:val="20"/>
          <w:szCs w:val="20"/>
          <w:color w:val="auto"/>
        </w:rPr>
        <w:tab/>
      </w:r>
      <w:hyperlink w:anchor="page78">
        <w:r>
          <w:rPr>
            <w:rFonts w:ascii="Arial" w:cs="Arial" w:eastAsia="Arial" w:hAnsi="Arial"/>
            <w:sz w:val="18"/>
            <w:szCs w:val="18"/>
            <w:b w:val="1"/>
            <w:bCs w:val="1"/>
            <w:u w:val="single" w:color="auto"/>
            <w:color w:val="0000EE"/>
          </w:rPr>
          <w:t>74</w:t>
        </w:r>
      </w:hyperlink>
    </w:p>
    <w:p>
      <w:pPr>
        <w:spacing w:after="0" w:line="153" w:lineRule="exact"/>
        <w:rPr>
          <w:sz w:val="20"/>
          <w:szCs w:val="20"/>
          <w:color w:val="auto"/>
        </w:rPr>
      </w:pPr>
    </w:p>
    <w:p>
      <w:pPr>
        <w:ind w:left="440"/>
        <w:spacing w:after="0"/>
        <w:tabs>
          <w:tab w:leader="none" w:pos="2100" w:val="left"/>
        </w:tabs>
        <w:rPr>
          <w:rFonts w:ascii="Arial" w:cs="Arial" w:eastAsia="Arial" w:hAnsi="Arial"/>
          <w:sz w:val="18"/>
          <w:szCs w:val="18"/>
          <w:b w:val="1"/>
          <w:bCs w:val="1"/>
          <w:u w:val="single" w:color="auto"/>
          <w:color w:val="0000EE"/>
        </w:rPr>
      </w:pPr>
      <w:r>
        <w:rPr>
          <w:rFonts w:ascii="Arial" w:cs="Arial" w:eastAsia="Arial" w:hAnsi="Arial"/>
          <w:sz w:val="29"/>
          <w:szCs w:val="29"/>
          <w:b w:val="1"/>
          <w:bCs w:val="1"/>
          <w:color w:val="FFFFFF"/>
        </w:rPr>
        <w:t>FOR</w:t>
      </w:r>
      <w:r>
        <w:rPr>
          <w:sz w:val="20"/>
          <w:szCs w:val="20"/>
          <w:color w:val="auto"/>
        </w:rPr>
        <w:tab/>
      </w:r>
      <w:hyperlink w:anchor="page88">
        <w:r>
          <w:rPr>
            <w:rFonts w:ascii="Arial" w:cs="Arial" w:eastAsia="Arial" w:hAnsi="Arial"/>
            <w:sz w:val="18"/>
            <w:szCs w:val="18"/>
            <w:b w:val="1"/>
            <w:bCs w:val="1"/>
            <w:u w:val="single" w:color="auto"/>
            <w:color w:val="0000EE"/>
          </w:rPr>
          <w:t>84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576580</wp:posOffset>
            </wp:positionV>
            <wp:extent cx="2708910" cy="574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08910" cy="574040"/>
                    </a:xfrm>
                    <a:prstGeom prst="rect">
                      <a:avLst/>
                    </a:prstGeom>
                    <a:noFill/>
                  </pic:spPr>
                </pic:pic>
              </a:graphicData>
            </a:graphic>
          </wp:anchor>
        </w:drawing>
      </w:r>
    </w:p>
    <w:p>
      <w:pPr>
        <w:spacing w:after="0" w:line="869" w:lineRule="exact"/>
        <w:rPr>
          <w:sz w:val="20"/>
          <w:szCs w:val="20"/>
          <w:color w:val="auto"/>
        </w:rPr>
      </w:pPr>
    </w:p>
    <w:p>
      <w:pPr>
        <w:sectPr>
          <w:pgSz w:w="11900" w:h="16838" w:orient="portrait"/>
          <w:cols w:equalWidth="0" w:num="2">
            <w:col w:w="6660" w:space="420"/>
            <w:col w:w="2799"/>
          </w:cols>
          <w:pgMar w:left="580" w:top="131" w:right="1440" w:bottom="1440" w:gutter="0" w:footer="0" w:header="0"/>
          <w:type w:val="continuous"/>
        </w:sectPr>
      </w:pP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56C271"/>
        </w:rPr>
        <w:t>INTERNET</w:t>
      </w:r>
    </w:p>
    <w:p>
      <w:pPr>
        <w:spacing w:after="0" w:line="79" w:lineRule="exact"/>
        <w:rPr>
          <w:sz w:val="20"/>
          <w:szCs w:val="20"/>
          <w:color w:val="auto"/>
        </w:rPr>
      </w:pPr>
    </w:p>
    <w:p>
      <w:pPr>
        <w:ind w:left="1120" w:right="820"/>
        <w:spacing w:after="0" w:line="260" w:lineRule="auto"/>
        <w:rPr>
          <w:sz w:val="20"/>
          <w:szCs w:val="20"/>
          <w:color w:val="auto"/>
        </w:rPr>
      </w:pPr>
      <w:r>
        <w:rPr>
          <w:rFonts w:ascii="Arial" w:cs="Arial" w:eastAsia="Arial" w:hAnsi="Arial"/>
          <w:sz w:val="16"/>
          <w:szCs w:val="16"/>
          <w:color w:val="auto"/>
        </w:rPr>
        <w:t>Visit the website noted on your proxycard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234315</wp:posOffset>
            </wp:positionV>
            <wp:extent cx="2708910" cy="702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08910" cy="7029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56C271"/>
        </w:rPr>
        <w:t>TELEPHONE</w:t>
      </w:r>
    </w:p>
    <w:p>
      <w:pPr>
        <w:spacing w:after="0" w:line="79" w:lineRule="exact"/>
        <w:rPr>
          <w:sz w:val="20"/>
          <w:szCs w:val="20"/>
          <w:color w:val="auto"/>
        </w:rPr>
      </w:pPr>
    </w:p>
    <w:p>
      <w:pPr>
        <w:jc w:val="both"/>
        <w:ind w:left="1120" w:right="1060"/>
        <w:spacing w:after="0" w:line="260" w:lineRule="auto"/>
        <w:rPr>
          <w:sz w:val="20"/>
          <w:szCs w:val="20"/>
          <w:color w:val="auto"/>
        </w:rPr>
      </w:pPr>
      <w:r>
        <w:rPr>
          <w:rFonts w:ascii="Arial" w:cs="Arial" w:eastAsia="Arial" w:hAnsi="Arial"/>
          <w:sz w:val="16"/>
          <w:szCs w:val="16"/>
          <w:color w:val="auto"/>
        </w:rPr>
        <w:t>Use the toll-free telephone number on your proxy card to vote by telephone.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56C271"/>
        </w:rPr>
        <w:t>MAIL</w:t>
      </w:r>
    </w:p>
    <w:p>
      <w:pPr>
        <w:spacing w:after="0" w:line="79" w:lineRule="exact"/>
        <w:rPr>
          <w:sz w:val="20"/>
          <w:szCs w:val="20"/>
          <w:color w:val="auto"/>
        </w:rPr>
      </w:pPr>
    </w:p>
    <w:p>
      <w:pPr>
        <w:ind w:right="1419"/>
        <w:spacing w:after="0" w:line="260" w:lineRule="auto"/>
        <w:rPr>
          <w:sz w:val="20"/>
          <w:szCs w:val="20"/>
          <w:color w:val="auto"/>
        </w:rPr>
      </w:pPr>
      <w:r>
        <w:rPr>
          <w:rFonts w:ascii="Arial" w:cs="Arial" w:eastAsia="Arial" w:hAnsi="Arial"/>
          <w:sz w:val="16"/>
          <w:szCs w:val="16"/>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173990</wp:posOffset>
            </wp:positionV>
            <wp:extent cx="2708910" cy="668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08910" cy="6686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56C271"/>
        </w:rPr>
        <w:t>IN PERSON</w:t>
      </w:r>
    </w:p>
    <w:p>
      <w:pPr>
        <w:spacing w:after="0" w:line="79" w:lineRule="exact"/>
        <w:rPr>
          <w:sz w:val="20"/>
          <w:szCs w:val="20"/>
          <w:color w:val="auto"/>
        </w:rPr>
      </w:pPr>
    </w:p>
    <w:p>
      <w:pPr>
        <w:ind w:right="1559"/>
        <w:spacing w:after="0" w:line="253" w:lineRule="auto"/>
        <w:rPr>
          <w:sz w:val="20"/>
          <w:szCs w:val="20"/>
          <w:color w:val="auto"/>
        </w:rPr>
      </w:pPr>
      <w:r>
        <w:rPr>
          <w:rFonts w:ascii="Arial" w:cs="Arial" w:eastAsia="Arial" w:hAnsi="Arial"/>
          <w:sz w:val="16"/>
          <w:szCs w:val="16"/>
          <w:color w:val="auto"/>
        </w:rPr>
        <w:t>Cast your vote in person, including virtually via the webcast, at the annual meeting.</w:t>
      </w:r>
    </w:p>
    <w:p>
      <w:pPr>
        <w:spacing w:after="0" w:line="200" w:lineRule="exact"/>
        <w:rPr>
          <w:sz w:val="20"/>
          <w:szCs w:val="20"/>
          <w:color w:val="auto"/>
        </w:rPr>
      </w:pPr>
    </w:p>
    <w:p>
      <w:pPr>
        <w:sectPr>
          <w:pgSz w:w="11900" w:h="16838" w:orient="portrait"/>
          <w:cols w:equalWidth="0" w:num="2">
            <w:col w:w="4880" w:space="720"/>
            <w:col w:w="42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260"/>
        <w:spacing w:after="0"/>
        <w:rPr>
          <w:sz w:val="20"/>
          <w:szCs w:val="20"/>
          <w:color w:val="auto"/>
        </w:rPr>
      </w:pPr>
      <w:r>
        <w:rPr>
          <w:sz w:val="1"/>
          <w:szCs w:val="1"/>
          <w:color w:val="auto"/>
        </w:rPr>
        <w:drawing>
          <wp:inline distT="0" distB="0" distL="0" distR="0">
            <wp:extent cx="1482725" cy="2997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82725" cy="299720"/>
                    </a:xfrm>
                    <a:prstGeom prst="rect">
                      <a:avLst/>
                    </a:prstGeom>
                    <a:noFill/>
                    <a:ln>
                      <a:noFill/>
                    </a:ln>
                  </pic:spPr>
                </pic:pic>
              </a:graphicData>
            </a:graphic>
          </wp:inline>
        </w:drawing>
      </w:r>
      <w:r>
        <w:rPr>
          <w:rFonts w:ascii="Arial" w:cs="Arial" w:eastAsia="Arial" w:hAnsi="Arial"/>
          <w:sz w:val="7"/>
          <w:szCs w:val="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Proxy Summary</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SNAPSHOT OF 2021 DIRECTOR NOMINEES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09"/>
        </w:trPr>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Director</w:t>
            </w:r>
          </w:p>
        </w:tc>
        <w:tc>
          <w:tcPr>
            <w:tcW w:w="1080" w:type="dxa"/>
            <w:vAlign w:val="bottom"/>
          </w:tcPr>
          <w:p>
            <w:pPr>
              <w:spacing w:after="0"/>
              <w:rPr>
                <w:sz w:val="18"/>
                <w:szCs w:val="18"/>
                <w:color w:val="auto"/>
              </w:rPr>
            </w:pPr>
          </w:p>
        </w:tc>
        <w:tc>
          <w:tcPr>
            <w:tcW w:w="240" w:type="dxa"/>
            <w:vAlign w:val="bottom"/>
            <w:tcBorders>
              <w:bottom w:val="single" w:sz="8" w:color="56C271"/>
            </w:tcBorders>
          </w:tcPr>
          <w:p>
            <w:pPr>
              <w:spacing w:after="0"/>
              <w:rPr>
                <w:sz w:val="18"/>
                <w:szCs w:val="18"/>
                <w:color w:val="auto"/>
              </w:rPr>
            </w:pPr>
          </w:p>
        </w:tc>
        <w:tc>
          <w:tcPr>
            <w:tcW w:w="240" w:type="dxa"/>
            <w:vAlign w:val="bottom"/>
            <w:tcBorders>
              <w:bottom w:val="single" w:sz="8" w:color="56C271"/>
            </w:tcBorders>
          </w:tcPr>
          <w:p>
            <w:pPr>
              <w:spacing w:after="0"/>
              <w:rPr>
                <w:sz w:val="18"/>
                <w:szCs w:val="18"/>
                <w:color w:val="auto"/>
              </w:rPr>
            </w:pPr>
          </w:p>
        </w:tc>
        <w:tc>
          <w:tcPr>
            <w:tcW w:w="240" w:type="dxa"/>
            <w:vAlign w:val="bottom"/>
            <w:tcBorders>
              <w:bottom w:val="single" w:sz="8" w:color="56C271"/>
            </w:tcBorders>
          </w:tcPr>
          <w:p>
            <w:pPr>
              <w:spacing w:after="0"/>
              <w:rPr>
                <w:sz w:val="18"/>
                <w:szCs w:val="18"/>
                <w:color w:val="auto"/>
              </w:rPr>
            </w:pPr>
          </w:p>
        </w:tc>
        <w:tc>
          <w:tcPr>
            <w:tcW w:w="220" w:type="dxa"/>
            <w:vAlign w:val="bottom"/>
            <w:tcBorders>
              <w:bottom w:val="single" w:sz="8" w:color="56C271"/>
            </w:tcBorders>
          </w:tcPr>
          <w:p>
            <w:pPr>
              <w:spacing w:after="0"/>
              <w:rPr>
                <w:sz w:val="18"/>
                <w:szCs w:val="18"/>
                <w:color w:val="auto"/>
              </w:rPr>
            </w:pPr>
          </w:p>
        </w:tc>
        <w:tc>
          <w:tcPr>
            <w:tcW w:w="1440" w:type="dxa"/>
            <w:vAlign w:val="bottom"/>
            <w:tcBorders>
              <w:bottom w:val="single" w:sz="8" w:color="56C271"/>
            </w:tcBorders>
            <w:gridSpan w:val="6"/>
          </w:tcPr>
          <w:p>
            <w:pPr>
              <w:ind w:left="200"/>
              <w:spacing w:after="0"/>
              <w:rPr>
                <w:sz w:val="20"/>
                <w:szCs w:val="20"/>
                <w:color w:val="auto"/>
              </w:rPr>
            </w:pPr>
            <w:r>
              <w:rPr>
                <w:rFonts w:ascii="Arial" w:cs="Arial" w:eastAsia="Arial" w:hAnsi="Arial"/>
                <w:sz w:val="14"/>
                <w:szCs w:val="14"/>
                <w:b w:val="1"/>
                <w:bCs w:val="1"/>
                <w:color w:val="auto"/>
                <w:w w:val="99"/>
              </w:rPr>
              <w:t>Avnet Committees</w:t>
            </w:r>
          </w:p>
        </w:tc>
        <w:tc>
          <w:tcPr>
            <w:tcW w:w="200" w:type="dxa"/>
            <w:vAlign w:val="bottom"/>
            <w:tcBorders>
              <w:bottom w:val="single" w:sz="8" w:color="56C271"/>
            </w:tcBorders>
          </w:tcPr>
          <w:p>
            <w:pPr>
              <w:spacing w:after="0"/>
              <w:rPr>
                <w:sz w:val="18"/>
                <w:szCs w:val="18"/>
                <w:color w:val="auto"/>
              </w:rPr>
            </w:pPr>
          </w:p>
        </w:tc>
        <w:tc>
          <w:tcPr>
            <w:tcW w:w="240" w:type="dxa"/>
            <w:vAlign w:val="bottom"/>
            <w:tcBorders>
              <w:bottom w:val="single" w:sz="8" w:color="56C271"/>
            </w:tcBorders>
          </w:tcPr>
          <w:p>
            <w:pPr>
              <w:spacing w:after="0"/>
              <w:rPr>
                <w:sz w:val="18"/>
                <w:szCs w:val="18"/>
                <w:color w:val="auto"/>
              </w:rPr>
            </w:pPr>
          </w:p>
        </w:tc>
        <w:tc>
          <w:tcPr>
            <w:tcW w:w="220" w:type="dxa"/>
            <w:vAlign w:val="bottom"/>
            <w:tcBorders>
              <w:bottom w:val="single" w:sz="8" w:color="56C271"/>
            </w:tcBorders>
          </w:tcPr>
          <w:p>
            <w:pPr>
              <w:spacing w:after="0"/>
              <w:rPr>
                <w:sz w:val="18"/>
                <w:szCs w:val="18"/>
                <w:color w:val="auto"/>
              </w:rPr>
            </w:pPr>
          </w:p>
        </w:tc>
        <w:tc>
          <w:tcPr>
            <w:tcW w:w="240" w:type="dxa"/>
            <w:vAlign w:val="bottom"/>
            <w:tcBorders>
              <w:bottom w:val="single" w:sz="8" w:color="56C271"/>
            </w:tcBorders>
          </w:tcPr>
          <w:p>
            <w:pPr>
              <w:spacing w:after="0"/>
              <w:rPr>
                <w:sz w:val="18"/>
                <w:szCs w:val="18"/>
                <w:color w:val="auto"/>
              </w:rPr>
            </w:pPr>
          </w:p>
        </w:tc>
        <w:tc>
          <w:tcPr>
            <w:tcW w:w="160" w:type="dxa"/>
            <w:vAlign w:val="bottom"/>
            <w:tcBorders>
              <w:bottom w:val="single" w:sz="8" w:color="56C271"/>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56C271"/>
            </w:tcBorders>
          </w:tcPr>
          <w:p>
            <w:pPr>
              <w:spacing w:after="0"/>
              <w:rPr>
                <w:sz w:val="19"/>
                <w:szCs w:val="19"/>
                <w:color w:val="auto"/>
              </w:rPr>
            </w:pPr>
          </w:p>
        </w:tc>
        <w:tc>
          <w:tcPr>
            <w:tcW w:w="520" w:type="dxa"/>
            <w:vAlign w:val="bottom"/>
            <w:tcBorders>
              <w:bottom w:val="single" w:sz="8" w:color="56C271"/>
            </w:tcBorders>
          </w:tcPr>
          <w:p>
            <w:pPr>
              <w:jc w:val="right"/>
              <w:spacing w:after="0"/>
              <w:rPr>
                <w:sz w:val="20"/>
                <w:szCs w:val="20"/>
                <w:color w:val="auto"/>
              </w:rPr>
            </w:pPr>
            <w:r>
              <w:rPr>
                <w:rFonts w:ascii="Arial" w:cs="Arial" w:eastAsia="Arial" w:hAnsi="Arial"/>
                <w:sz w:val="14"/>
                <w:szCs w:val="14"/>
                <w:b w:val="1"/>
                <w:bCs w:val="1"/>
                <w:color w:val="auto"/>
              </w:rPr>
              <w:t>Age</w:t>
            </w:r>
          </w:p>
        </w:tc>
        <w:tc>
          <w:tcPr>
            <w:tcW w:w="780" w:type="dxa"/>
            <w:vAlign w:val="bottom"/>
            <w:tcBorders>
              <w:bottom w:val="single" w:sz="8" w:color="56C271"/>
            </w:tcBorders>
          </w:tcPr>
          <w:p>
            <w:pPr>
              <w:jc w:val="center"/>
              <w:ind w:right="8"/>
              <w:spacing w:after="0"/>
              <w:rPr>
                <w:sz w:val="20"/>
                <w:szCs w:val="20"/>
                <w:color w:val="auto"/>
              </w:rPr>
            </w:pPr>
            <w:r>
              <w:rPr>
                <w:rFonts w:ascii="Arial" w:cs="Arial" w:eastAsia="Arial" w:hAnsi="Arial"/>
                <w:sz w:val="14"/>
                <w:szCs w:val="14"/>
                <w:b w:val="1"/>
                <w:bCs w:val="1"/>
                <w:color w:val="auto"/>
              </w:rPr>
              <w:t>Since</w:t>
            </w:r>
          </w:p>
        </w:tc>
        <w:tc>
          <w:tcPr>
            <w:tcW w:w="1080" w:type="dxa"/>
            <w:vAlign w:val="bottom"/>
            <w:tcBorders>
              <w:bottom w:val="single" w:sz="8" w:color="56C271"/>
            </w:tcBorders>
          </w:tcPr>
          <w:p>
            <w:pPr>
              <w:jc w:val="right"/>
              <w:ind w:right="88"/>
              <w:spacing w:after="0"/>
              <w:rPr>
                <w:sz w:val="20"/>
                <w:szCs w:val="20"/>
                <w:color w:val="auto"/>
              </w:rPr>
            </w:pPr>
            <w:r>
              <w:rPr>
                <w:rFonts w:ascii="Arial" w:cs="Arial" w:eastAsia="Arial" w:hAnsi="Arial"/>
                <w:sz w:val="14"/>
                <w:szCs w:val="14"/>
                <w:b w:val="1"/>
                <w:bCs w:val="1"/>
                <w:color w:val="auto"/>
              </w:rPr>
              <w:t>Independent</w:t>
            </w:r>
          </w:p>
        </w:tc>
        <w:tc>
          <w:tcPr>
            <w:tcW w:w="240" w:type="dxa"/>
            <w:vAlign w:val="bottom"/>
            <w:tcBorders>
              <w:bottom w:val="single" w:sz="8" w:color="56C271"/>
            </w:tcBorders>
          </w:tcPr>
          <w:p>
            <w:pPr>
              <w:spacing w:after="0"/>
              <w:rPr>
                <w:sz w:val="19"/>
                <w:szCs w:val="19"/>
                <w:color w:val="auto"/>
              </w:rPr>
            </w:pPr>
          </w:p>
        </w:tc>
        <w:tc>
          <w:tcPr>
            <w:tcW w:w="480" w:type="dxa"/>
            <w:vAlign w:val="bottom"/>
            <w:tcBorders>
              <w:bottom w:val="single" w:sz="8" w:color="56C271"/>
            </w:tcBorders>
            <w:gridSpan w:val="2"/>
          </w:tcPr>
          <w:p>
            <w:pPr>
              <w:ind w:left="60"/>
              <w:spacing w:after="0"/>
              <w:rPr>
                <w:sz w:val="20"/>
                <w:szCs w:val="20"/>
                <w:color w:val="auto"/>
              </w:rPr>
            </w:pPr>
            <w:r>
              <w:rPr>
                <w:rFonts w:ascii="Arial" w:cs="Arial" w:eastAsia="Arial" w:hAnsi="Arial"/>
                <w:sz w:val="14"/>
                <w:szCs w:val="14"/>
                <w:b w:val="1"/>
                <w:bCs w:val="1"/>
                <w:color w:val="auto"/>
              </w:rPr>
              <w:t>A</w:t>
            </w:r>
          </w:p>
        </w:tc>
        <w:tc>
          <w:tcPr>
            <w:tcW w:w="220" w:type="dxa"/>
            <w:vAlign w:val="bottom"/>
            <w:tcBorders>
              <w:bottom w:val="single" w:sz="8" w:color="56C271"/>
            </w:tcBorders>
          </w:tcPr>
          <w:p>
            <w:pPr>
              <w:spacing w:after="0"/>
              <w:rPr>
                <w:sz w:val="19"/>
                <w:szCs w:val="19"/>
                <w:color w:val="auto"/>
              </w:rPr>
            </w:pPr>
          </w:p>
        </w:tc>
        <w:tc>
          <w:tcPr>
            <w:tcW w:w="480" w:type="dxa"/>
            <w:vAlign w:val="bottom"/>
            <w:tcBorders>
              <w:bottom w:val="single" w:sz="8" w:color="56C271"/>
            </w:tcBorders>
            <w:gridSpan w:val="2"/>
          </w:tcPr>
          <w:p>
            <w:pPr>
              <w:ind w:left="60"/>
              <w:spacing w:after="0"/>
              <w:rPr>
                <w:sz w:val="20"/>
                <w:szCs w:val="20"/>
                <w:color w:val="auto"/>
              </w:rPr>
            </w:pPr>
            <w:r>
              <w:rPr>
                <w:rFonts w:ascii="Arial" w:cs="Arial" w:eastAsia="Arial" w:hAnsi="Arial"/>
                <w:sz w:val="14"/>
                <w:szCs w:val="14"/>
                <w:b w:val="1"/>
                <w:bCs w:val="1"/>
                <w:color w:val="auto"/>
              </w:rPr>
              <w:t>C</w:t>
            </w:r>
          </w:p>
        </w:tc>
        <w:tc>
          <w:tcPr>
            <w:tcW w:w="220" w:type="dxa"/>
            <w:vAlign w:val="bottom"/>
            <w:tcBorders>
              <w:bottom w:val="single" w:sz="8" w:color="56C271"/>
            </w:tcBorders>
          </w:tcPr>
          <w:p>
            <w:pPr>
              <w:spacing w:after="0"/>
              <w:rPr>
                <w:sz w:val="19"/>
                <w:szCs w:val="19"/>
                <w:color w:val="auto"/>
              </w:rPr>
            </w:pPr>
          </w:p>
        </w:tc>
        <w:tc>
          <w:tcPr>
            <w:tcW w:w="740" w:type="dxa"/>
            <w:vAlign w:val="bottom"/>
            <w:tcBorders>
              <w:bottom w:val="single" w:sz="8" w:color="56C271"/>
            </w:tcBorders>
            <w:gridSpan w:val="3"/>
          </w:tcPr>
          <w:p>
            <w:pPr>
              <w:spacing w:after="0"/>
              <w:rPr>
                <w:sz w:val="20"/>
                <w:szCs w:val="20"/>
                <w:color w:val="auto"/>
              </w:rPr>
            </w:pPr>
            <w:r>
              <w:rPr>
                <w:rFonts w:ascii="Arial" w:cs="Arial" w:eastAsia="Arial" w:hAnsi="Arial"/>
                <w:sz w:val="14"/>
                <w:szCs w:val="14"/>
                <w:b w:val="1"/>
                <w:bCs w:val="1"/>
                <w:color w:val="auto"/>
              </w:rPr>
              <w:t>CG</w:t>
            </w:r>
          </w:p>
        </w:tc>
        <w:tc>
          <w:tcPr>
            <w:tcW w:w="440" w:type="dxa"/>
            <w:vAlign w:val="bottom"/>
            <w:tcBorders>
              <w:bottom w:val="single" w:sz="8" w:color="56C271"/>
            </w:tcBorders>
            <w:gridSpan w:val="2"/>
          </w:tcPr>
          <w:p>
            <w:pPr>
              <w:ind w:left="20"/>
              <w:spacing w:after="0"/>
              <w:rPr>
                <w:sz w:val="20"/>
                <w:szCs w:val="20"/>
                <w:color w:val="auto"/>
              </w:rPr>
            </w:pPr>
            <w:r>
              <w:rPr>
                <w:rFonts w:ascii="Arial" w:cs="Arial" w:eastAsia="Arial" w:hAnsi="Arial"/>
                <w:sz w:val="14"/>
                <w:szCs w:val="14"/>
                <w:b w:val="1"/>
                <w:bCs w:val="1"/>
                <w:color w:val="auto"/>
              </w:rPr>
              <w:t>F</w:t>
            </w:r>
          </w:p>
        </w:tc>
        <w:tc>
          <w:tcPr>
            <w:tcW w:w="220" w:type="dxa"/>
            <w:vAlign w:val="bottom"/>
            <w:tcBorders>
              <w:bottom w:val="single" w:sz="8" w:color="56C271"/>
            </w:tcBorders>
          </w:tcPr>
          <w:p>
            <w:pPr>
              <w:spacing w:after="0"/>
              <w:rPr>
                <w:sz w:val="19"/>
                <w:szCs w:val="19"/>
                <w:color w:val="auto"/>
              </w:rPr>
            </w:pPr>
          </w:p>
        </w:tc>
        <w:tc>
          <w:tcPr>
            <w:tcW w:w="400" w:type="dxa"/>
            <w:vAlign w:val="bottom"/>
            <w:tcBorders>
              <w:bottom w:val="single" w:sz="8" w:color="56C271"/>
            </w:tcBorders>
            <w:gridSpan w:val="2"/>
          </w:tcPr>
          <w:p>
            <w:pPr>
              <w:ind w:left="60"/>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248"/>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Rodney C. Adkins</w:t>
            </w: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63</w:t>
            </w: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color w:val="auto"/>
              </w:rPr>
              <w:t>2015</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YES</w:t>
            </w:r>
          </w:p>
        </w:tc>
        <w:tc>
          <w:tcPr>
            <w:tcW w:w="240" w:type="dxa"/>
            <w:vAlign w:val="bottom"/>
            <w:shd w:val="clear" w:color="auto" w:fill="B2B2B2"/>
          </w:tcPr>
          <w:p>
            <w:pPr>
              <w:spacing w:after="0"/>
              <w:rPr>
                <w:sz w:val="21"/>
                <w:szCs w:val="21"/>
                <w:color w:val="auto"/>
              </w:rPr>
            </w:pPr>
          </w:p>
        </w:tc>
        <w:tc>
          <w:tcPr>
            <w:tcW w:w="480" w:type="dxa"/>
            <w:vAlign w:val="bottom"/>
            <w:tcBorders>
              <w:right w:val="single" w:sz="8" w:color="FEFEFE"/>
            </w:tcBorders>
            <w:gridSpan w:val="2"/>
            <w:vMerge w:val="restart"/>
            <w:shd w:val="clear" w:color="auto" w:fill="B2B2B2"/>
          </w:tcPr>
          <w:p>
            <w:pPr>
              <w:ind w:left="140"/>
              <w:spacing w:after="0"/>
              <w:rPr>
                <w:sz w:val="20"/>
                <w:szCs w:val="20"/>
                <w:color w:val="auto"/>
              </w:rPr>
            </w:pPr>
            <w:r>
              <w:rPr>
                <w:rFonts w:ascii="Arial" w:cs="Arial" w:eastAsia="Arial" w:hAnsi="Arial"/>
                <w:sz w:val="25"/>
                <w:szCs w:val="25"/>
                <w:color w:val="56C271"/>
              </w:rPr>
              <w:t>•</w:t>
            </w:r>
          </w:p>
        </w:tc>
        <w:tc>
          <w:tcPr>
            <w:tcW w:w="220" w:type="dxa"/>
            <w:vAlign w:val="bottom"/>
            <w:shd w:val="clear" w:color="auto" w:fill="B2B2B2"/>
          </w:tcPr>
          <w:p>
            <w:pPr>
              <w:spacing w:after="0"/>
              <w:rPr>
                <w:sz w:val="21"/>
                <w:szCs w:val="21"/>
                <w:color w:val="auto"/>
              </w:rPr>
            </w:pPr>
          </w:p>
        </w:tc>
        <w:tc>
          <w:tcPr>
            <w:tcW w:w="240" w:type="dxa"/>
            <w:vAlign w:val="bottom"/>
            <w:shd w:val="clear" w:color="auto" w:fill="B2B2B2"/>
          </w:tcPr>
          <w:p>
            <w:pPr>
              <w:spacing w:after="0"/>
              <w:rPr>
                <w:sz w:val="21"/>
                <w:szCs w:val="21"/>
                <w:color w:val="auto"/>
              </w:rPr>
            </w:pPr>
          </w:p>
        </w:tc>
        <w:tc>
          <w:tcPr>
            <w:tcW w:w="240" w:type="dxa"/>
            <w:vAlign w:val="bottom"/>
            <w:tcBorders>
              <w:right w:val="single" w:sz="8" w:color="FEFEFE"/>
            </w:tcBorders>
            <w:shd w:val="clear" w:color="auto" w:fill="B2B2B2"/>
          </w:tcPr>
          <w:p>
            <w:pPr>
              <w:spacing w:after="0"/>
              <w:rPr>
                <w:sz w:val="21"/>
                <w:szCs w:val="21"/>
                <w:color w:val="auto"/>
              </w:rPr>
            </w:pPr>
          </w:p>
        </w:tc>
        <w:tc>
          <w:tcPr>
            <w:tcW w:w="220" w:type="dxa"/>
            <w:vAlign w:val="bottom"/>
            <w:shd w:val="clear" w:color="auto" w:fill="B2B2B2"/>
          </w:tcPr>
          <w:p>
            <w:pPr>
              <w:spacing w:after="0"/>
              <w:rPr>
                <w:sz w:val="21"/>
                <w:szCs w:val="21"/>
                <w:color w:val="auto"/>
              </w:rPr>
            </w:pPr>
          </w:p>
        </w:tc>
        <w:tc>
          <w:tcPr>
            <w:tcW w:w="480" w:type="dxa"/>
            <w:vAlign w:val="bottom"/>
            <w:tcBorders>
              <w:right w:val="single" w:sz="8" w:color="FEFEFE"/>
            </w:tcBorders>
            <w:gridSpan w:val="2"/>
            <w:vMerge w:val="restart"/>
            <w:shd w:val="clear" w:color="auto" w:fill="B2B2B2"/>
          </w:tcPr>
          <w:p>
            <w:pPr>
              <w:ind w:left="140"/>
              <w:spacing w:after="0"/>
              <w:rPr>
                <w:sz w:val="20"/>
                <w:szCs w:val="20"/>
                <w:color w:val="auto"/>
              </w:rPr>
            </w:pPr>
            <w:r>
              <w:rPr>
                <w:rFonts w:ascii="Arial" w:cs="Arial" w:eastAsia="Arial" w:hAnsi="Arial"/>
                <w:sz w:val="25"/>
                <w:szCs w:val="25"/>
                <w:color w:val="56C271"/>
              </w:rPr>
              <w:t>•</w:t>
            </w:r>
          </w:p>
        </w:tc>
        <w:tc>
          <w:tcPr>
            <w:tcW w:w="260" w:type="dxa"/>
            <w:vAlign w:val="bottom"/>
            <w:shd w:val="clear" w:color="auto" w:fill="B2B2B2"/>
          </w:tcPr>
          <w:p>
            <w:pPr>
              <w:spacing w:after="0"/>
              <w:rPr>
                <w:sz w:val="21"/>
                <w:szCs w:val="21"/>
                <w:color w:val="auto"/>
              </w:rPr>
            </w:pPr>
          </w:p>
        </w:tc>
        <w:tc>
          <w:tcPr>
            <w:tcW w:w="200" w:type="dxa"/>
            <w:vAlign w:val="bottom"/>
            <w:shd w:val="clear" w:color="auto" w:fill="B2B2B2"/>
          </w:tcPr>
          <w:p>
            <w:pPr>
              <w:spacing w:after="0"/>
              <w:rPr>
                <w:sz w:val="21"/>
                <w:szCs w:val="21"/>
                <w:color w:val="auto"/>
              </w:rPr>
            </w:pPr>
          </w:p>
        </w:tc>
        <w:tc>
          <w:tcPr>
            <w:tcW w:w="240" w:type="dxa"/>
            <w:vAlign w:val="bottom"/>
            <w:tcBorders>
              <w:right w:val="single" w:sz="8" w:color="FEFEFE"/>
            </w:tcBorders>
            <w:shd w:val="clear" w:color="auto" w:fill="B2B2B2"/>
          </w:tcPr>
          <w:p>
            <w:pPr>
              <w:spacing w:after="0"/>
              <w:rPr>
                <w:sz w:val="21"/>
                <w:szCs w:val="21"/>
                <w:color w:val="auto"/>
              </w:rPr>
            </w:pPr>
          </w:p>
        </w:tc>
        <w:tc>
          <w:tcPr>
            <w:tcW w:w="220" w:type="dxa"/>
            <w:vAlign w:val="bottom"/>
            <w:shd w:val="clear" w:color="auto" w:fill="B2B2B2"/>
          </w:tcPr>
          <w:p>
            <w:pPr>
              <w:spacing w:after="0"/>
              <w:rPr>
                <w:sz w:val="21"/>
                <w:szCs w:val="21"/>
                <w:color w:val="auto"/>
              </w:rPr>
            </w:pPr>
          </w:p>
        </w:tc>
        <w:tc>
          <w:tcPr>
            <w:tcW w:w="400" w:type="dxa"/>
            <w:vAlign w:val="bottom"/>
            <w:gridSpan w:val="2"/>
            <w:vMerge w:val="restart"/>
            <w:shd w:val="clear" w:color="auto" w:fill="B2B2B2"/>
          </w:tcPr>
          <w:p>
            <w:pPr>
              <w:jc w:val="right"/>
              <w:ind w:right="160"/>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162"/>
        </w:trPr>
        <w:tc>
          <w:tcPr>
            <w:tcW w:w="2940" w:type="dxa"/>
            <w:vAlign w:val="bottom"/>
          </w:tcPr>
          <w:p>
            <w:pPr>
              <w:ind w:left="40"/>
              <w:spacing w:after="0"/>
              <w:rPr>
                <w:sz w:val="20"/>
                <w:szCs w:val="20"/>
                <w:color w:val="auto"/>
              </w:rPr>
            </w:pPr>
            <w:r>
              <w:rPr>
                <w:rFonts w:ascii="Arial" w:cs="Arial" w:eastAsia="Arial" w:hAnsi="Arial"/>
                <w:sz w:val="14"/>
                <w:szCs w:val="14"/>
                <w:color w:val="auto"/>
              </w:rPr>
              <w:t>Chairman of the Board of Avnet, Inc,</w:t>
            </w: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480" w:type="dxa"/>
            <w:vAlign w:val="bottom"/>
            <w:tcBorders>
              <w:right w:val="single" w:sz="8" w:color="FEFEFE"/>
            </w:tcBorders>
            <w:gridSpan w:val="2"/>
            <w:vMerge w:val="continue"/>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480" w:type="dxa"/>
            <w:vAlign w:val="bottom"/>
            <w:tcBorders>
              <w:right w:val="single" w:sz="8" w:color="FEFEFE"/>
            </w:tcBorders>
            <w:gridSpan w:val="2"/>
            <w:vMerge w:val="continue"/>
            <w:shd w:val="clear" w:color="auto" w:fill="B2B2B2"/>
          </w:tcPr>
          <w:p>
            <w:pPr>
              <w:spacing w:after="0"/>
              <w:rPr>
                <w:sz w:val="14"/>
                <w:szCs w:val="14"/>
                <w:color w:val="auto"/>
              </w:rPr>
            </w:pPr>
          </w:p>
        </w:tc>
        <w:tc>
          <w:tcPr>
            <w:tcW w:w="260" w:type="dxa"/>
            <w:vAlign w:val="bottom"/>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400" w:type="dxa"/>
            <w:vAlign w:val="bottom"/>
            <w:gridSpan w:val="2"/>
            <w:vMerge w:val="continue"/>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tcPr>
          <w:p>
            <w:pPr>
              <w:ind w:left="40"/>
              <w:spacing w:after="0"/>
              <w:rPr>
                <w:sz w:val="20"/>
                <w:szCs w:val="20"/>
                <w:color w:val="auto"/>
              </w:rPr>
            </w:pPr>
            <w:r>
              <w:rPr>
                <w:rFonts w:ascii="Arial" w:cs="Arial" w:eastAsia="Arial" w:hAnsi="Arial"/>
                <w:sz w:val="14"/>
                <w:szCs w:val="14"/>
                <w:color w:val="auto"/>
              </w:rPr>
              <w:t>President, 3RAM Group LLC</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60" w:type="dxa"/>
            <w:vAlign w:val="bottom"/>
            <w:tcBorders>
              <w:bottom w:val="single" w:sz="8" w:color="B2B2B2"/>
            </w:tcBorders>
            <w:shd w:val="clear" w:color="auto" w:fill="B2B2B2"/>
          </w:tcPr>
          <w:p>
            <w:pPr>
              <w:spacing w:after="0"/>
              <w:rPr>
                <w:sz w:val="17"/>
                <w:szCs w:val="17"/>
                <w:color w:val="auto"/>
              </w:rPr>
            </w:pPr>
          </w:p>
        </w:tc>
        <w:tc>
          <w:tcPr>
            <w:tcW w:w="20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160" w:type="dxa"/>
            <w:vAlign w:val="bottom"/>
            <w:tcBorders>
              <w:bottom w:val="single" w:sz="8" w:color="B2B2B2"/>
            </w:tcBorders>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40" w:type="dxa"/>
            <w:vAlign w:val="bottom"/>
            <w:tcBorders>
              <w:top w:val="single" w:sz="8" w:color="7F7F7F"/>
            </w:tcBorders>
          </w:tcPr>
          <w:p>
            <w:pPr>
              <w:ind w:left="40"/>
              <w:spacing w:after="0"/>
              <w:rPr>
                <w:sz w:val="20"/>
                <w:szCs w:val="20"/>
                <w:color w:val="auto"/>
              </w:rPr>
            </w:pPr>
            <w:r>
              <w:rPr>
                <w:rFonts w:ascii="Arial" w:cs="Arial" w:eastAsia="Arial" w:hAnsi="Arial"/>
                <w:sz w:val="14"/>
                <w:szCs w:val="14"/>
                <w:b w:val="1"/>
                <w:bCs w:val="1"/>
                <w:color w:val="auto"/>
              </w:rPr>
              <w:t>Carlo Bozotti</w:t>
            </w:r>
          </w:p>
        </w:tc>
        <w:tc>
          <w:tcPr>
            <w:tcW w:w="520" w:type="dxa"/>
            <w:vAlign w:val="bottom"/>
            <w:tcBorders>
              <w:top w:val="single" w:sz="8" w:color="7F7F7F"/>
            </w:tcBorders>
            <w:vMerge w:val="restart"/>
          </w:tcPr>
          <w:p>
            <w:pPr>
              <w:jc w:val="right"/>
              <w:ind w:right="128"/>
              <w:spacing w:after="0"/>
              <w:rPr>
                <w:sz w:val="20"/>
                <w:szCs w:val="20"/>
                <w:color w:val="auto"/>
              </w:rPr>
            </w:pPr>
            <w:r>
              <w:rPr>
                <w:rFonts w:ascii="Arial" w:cs="Arial" w:eastAsia="Arial" w:hAnsi="Arial"/>
                <w:sz w:val="14"/>
                <w:szCs w:val="14"/>
                <w:color w:val="auto"/>
              </w:rPr>
              <w:t>68</w:t>
            </w:r>
          </w:p>
        </w:tc>
        <w:tc>
          <w:tcPr>
            <w:tcW w:w="780" w:type="dxa"/>
            <w:vAlign w:val="bottom"/>
            <w:tcBorders>
              <w:top w:val="single" w:sz="8" w:color="7F7F7F"/>
            </w:tcBorders>
            <w:vMerge w:val="restart"/>
          </w:tcPr>
          <w:p>
            <w:pPr>
              <w:jc w:val="center"/>
              <w:ind w:right="28"/>
              <w:spacing w:after="0"/>
              <w:rPr>
                <w:sz w:val="20"/>
                <w:szCs w:val="20"/>
                <w:color w:val="auto"/>
              </w:rPr>
            </w:pPr>
            <w:r>
              <w:rPr>
                <w:rFonts w:ascii="Arial" w:cs="Arial" w:eastAsia="Arial" w:hAnsi="Arial"/>
                <w:sz w:val="14"/>
                <w:szCs w:val="14"/>
                <w:color w:val="auto"/>
              </w:rPr>
              <w:t>2019</w:t>
            </w:r>
          </w:p>
        </w:tc>
        <w:tc>
          <w:tcPr>
            <w:tcW w:w="1080" w:type="dxa"/>
            <w:vAlign w:val="bottom"/>
            <w:tcBorders>
              <w:top w:val="single" w:sz="8" w:color="7F7F7F"/>
            </w:tcBorders>
            <w:vMerge w:val="restart"/>
          </w:tcPr>
          <w:p>
            <w:pPr>
              <w:jc w:val="right"/>
              <w:ind w:right="328"/>
              <w:spacing w:after="0"/>
              <w:rPr>
                <w:sz w:val="20"/>
                <w:szCs w:val="20"/>
                <w:color w:val="auto"/>
              </w:rPr>
            </w:pPr>
            <w:r>
              <w:rPr>
                <w:rFonts w:ascii="Arial" w:cs="Arial" w:eastAsia="Arial" w:hAnsi="Arial"/>
                <w:sz w:val="14"/>
                <w:szCs w:val="14"/>
                <w:color w:val="auto"/>
              </w:rPr>
              <w:t>YES</w:t>
            </w:r>
          </w:p>
        </w:tc>
        <w:tc>
          <w:tcPr>
            <w:tcW w:w="240" w:type="dxa"/>
            <w:vAlign w:val="bottom"/>
            <w:tcBorders>
              <w:top w:val="single" w:sz="8" w:color="7F7F7F"/>
            </w:tcBorders>
            <w:shd w:val="clear" w:color="auto" w:fill="B2B2B2"/>
          </w:tcPr>
          <w:p>
            <w:pPr>
              <w:spacing w:after="0"/>
              <w:rPr>
                <w:sz w:val="18"/>
                <w:szCs w:val="18"/>
                <w:color w:val="auto"/>
              </w:rPr>
            </w:pPr>
          </w:p>
        </w:tc>
        <w:tc>
          <w:tcPr>
            <w:tcW w:w="480" w:type="dxa"/>
            <w:vAlign w:val="bottom"/>
            <w:tcBorders>
              <w:top w:val="single" w:sz="8" w:color="7F7F7F"/>
              <w:right w:val="single" w:sz="8" w:color="FEFEFE"/>
            </w:tcBorders>
            <w:gridSpan w:val="2"/>
            <w:vMerge w:val="restart"/>
            <w:shd w:val="clear" w:color="auto" w:fill="B2B2B2"/>
          </w:tcPr>
          <w:p>
            <w:pPr>
              <w:ind w:left="160"/>
              <w:spacing w:after="0"/>
              <w:rPr>
                <w:sz w:val="20"/>
                <w:szCs w:val="20"/>
                <w:color w:val="auto"/>
              </w:rPr>
            </w:pPr>
            <w:r>
              <w:rPr>
                <w:rFonts w:ascii="Arial" w:cs="Arial" w:eastAsia="Arial" w:hAnsi="Arial"/>
                <w:sz w:val="25"/>
                <w:szCs w:val="25"/>
                <w:color w:val="auto"/>
              </w:rPr>
              <w:t>◦</w:t>
            </w: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60" w:type="dxa"/>
            <w:vAlign w:val="bottom"/>
            <w:tcBorders>
              <w:top w:val="single" w:sz="8" w:color="7F7F7F"/>
            </w:tcBorders>
            <w:shd w:val="clear" w:color="auto" w:fill="B2B2B2"/>
          </w:tcPr>
          <w:p>
            <w:pPr>
              <w:spacing w:after="0"/>
              <w:rPr>
                <w:sz w:val="18"/>
                <w:szCs w:val="18"/>
                <w:color w:val="auto"/>
              </w:rPr>
            </w:pPr>
          </w:p>
        </w:tc>
        <w:tc>
          <w:tcPr>
            <w:tcW w:w="440" w:type="dxa"/>
            <w:vAlign w:val="bottom"/>
            <w:tcBorders>
              <w:top w:val="single" w:sz="8" w:color="7F7F7F"/>
              <w:right w:val="single" w:sz="8" w:color="FEFEFE"/>
            </w:tcBorders>
            <w:gridSpan w:val="2"/>
            <w:vMerge w:val="restart"/>
            <w:shd w:val="clear" w:color="auto" w:fill="B2B2B2"/>
          </w:tcPr>
          <w:p>
            <w:pPr>
              <w:ind w:left="120"/>
              <w:spacing w:after="0"/>
              <w:rPr>
                <w:sz w:val="20"/>
                <w:szCs w:val="20"/>
                <w:color w:val="auto"/>
              </w:rPr>
            </w:pPr>
            <w:r>
              <w:rPr>
                <w:rFonts w:ascii="Arial" w:cs="Arial" w:eastAsia="Arial" w:hAnsi="Arial"/>
                <w:sz w:val="25"/>
                <w:szCs w:val="25"/>
                <w:color w:val="56C271"/>
              </w:rPr>
              <w:t>•</w:t>
            </w:r>
          </w:p>
        </w:tc>
        <w:tc>
          <w:tcPr>
            <w:tcW w:w="220" w:type="dxa"/>
            <w:vAlign w:val="bottom"/>
            <w:tcBorders>
              <w:top w:val="single" w:sz="8" w:color="7F7F7F"/>
            </w:tcBorders>
            <w:shd w:val="clear" w:color="auto" w:fill="B2B2B2"/>
          </w:tcPr>
          <w:p>
            <w:pPr>
              <w:spacing w:after="0"/>
              <w:rPr>
                <w:sz w:val="18"/>
                <w:szCs w:val="18"/>
                <w:color w:val="auto"/>
              </w:rPr>
            </w:pPr>
          </w:p>
        </w:tc>
        <w:tc>
          <w:tcPr>
            <w:tcW w:w="400" w:type="dxa"/>
            <w:vAlign w:val="bottom"/>
            <w:tcBorders>
              <w:top w:val="single" w:sz="8" w:color="7F7F7F"/>
            </w:tcBorders>
            <w:gridSpan w:val="2"/>
            <w:vMerge w:val="restart"/>
            <w:shd w:val="clear" w:color="auto" w:fill="B2B2B2"/>
          </w:tcPr>
          <w:p>
            <w:pPr>
              <w:ind w:left="160"/>
              <w:spacing w:after="0"/>
              <w:rPr>
                <w:sz w:val="20"/>
                <w:szCs w:val="20"/>
                <w:color w:val="auto"/>
              </w:rPr>
            </w:pPr>
            <w:r>
              <w:rPr>
                <w:rFonts w:ascii="Arial" w:cs="Arial" w:eastAsia="Arial" w:hAnsi="Arial"/>
                <w:sz w:val="25"/>
                <w:szCs w:val="25"/>
                <w:color w:val="56C271"/>
              </w:rPr>
              <w:t>•</w:t>
            </w:r>
          </w:p>
        </w:tc>
        <w:tc>
          <w:tcPr>
            <w:tcW w:w="0" w:type="dxa"/>
            <w:vAlign w:val="bottom"/>
          </w:tcPr>
          <w:p>
            <w:pPr>
              <w:spacing w:after="0"/>
              <w:rPr>
                <w:sz w:val="1"/>
                <w:szCs w:val="1"/>
                <w:color w:val="auto"/>
              </w:rPr>
            </w:pPr>
          </w:p>
        </w:tc>
      </w:tr>
      <w:tr>
        <w:trPr>
          <w:trHeight w:val="78"/>
        </w:trPr>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Industrial Partner of FSI</w:t>
            </w: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480" w:type="dxa"/>
            <w:vAlign w:val="bottom"/>
            <w:tcBorders>
              <w:right w:val="single" w:sz="8" w:color="FEFEFE"/>
            </w:tcBorders>
            <w:gridSpan w:val="2"/>
            <w:vMerge w:val="continue"/>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60" w:type="dxa"/>
            <w:vAlign w:val="bottom"/>
            <w:shd w:val="clear" w:color="auto" w:fill="B2B2B2"/>
          </w:tcPr>
          <w:p>
            <w:pPr>
              <w:spacing w:after="0"/>
              <w:rPr>
                <w:sz w:val="6"/>
                <w:szCs w:val="6"/>
                <w:color w:val="auto"/>
              </w:rPr>
            </w:pPr>
          </w:p>
        </w:tc>
        <w:tc>
          <w:tcPr>
            <w:tcW w:w="440" w:type="dxa"/>
            <w:vAlign w:val="bottom"/>
            <w:tcBorders>
              <w:right w:val="single" w:sz="8" w:color="FEFEFE"/>
            </w:tcBorders>
            <w:gridSpan w:val="2"/>
            <w:vMerge w:val="continue"/>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400" w:type="dxa"/>
            <w:vAlign w:val="bottom"/>
            <w:gridSpan w:val="2"/>
            <w:vMerge w:val="continue"/>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940" w:type="dxa"/>
            <w:vAlign w:val="bottom"/>
            <w:tcBorders>
              <w:bottom w:val="single" w:sz="8" w:color="7F7F7F"/>
            </w:tcBorders>
            <w:vMerge w:val="continue"/>
          </w:tcPr>
          <w:p>
            <w:pPr>
              <w:spacing w:after="0"/>
              <w:rPr>
                <w:sz w:val="9"/>
                <w:szCs w:val="9"/>
                <w:color w:val="auto"/>
              </w:rPr>
            </w:pPr>
          </w:p>
        </w:tc>
        <w:tc>
          <w:tcPr>
            <w:tcW w:w="520" w:type="dxa"/>
            <w:vAlign w:val="bottom"/>
            <w:tcBorders>
              <w:bottom w:val="single" w:sz="8" w:color="7F7F7F"/>
            </w:tcBorders>
          </w:tcPr>
          <w:p>
            <w:pPr>
              <w:spacing w:after="0"/>
              <w:rPr>
                <w:sz w:val="9"/>
                <w:szCs w:val="9"/>
                <w:color w:val="auto"/>
              </w:rPr>
            </w:pPr>
          </w:p>
        </w:tc>
        <w:tc>
          <w:tcPr>
            <w:tcW w:w="780" w:type="dxa"/>
            <w:vAlign w:val="bottom"/>
            <w:tcBorders>
              <w:bottom w:val="single" w:sz="8" w:color="7F7F7F"/>
            </w:tcBorders>
          </w:tcPr>
          <w:p>
            <w:pPr>
              <w:spacing w:after="0"/>
              <w:rPr>
                <w:sz w:val="9"/>
                <w:szCs w:val="9"/>
                <w:color w:val="auto"/>
              </w:rPr>
            </w:pPr>
          </w:p>
        </w:tc>
        <w:tc>
          <w:tcPr>
            <w:tcW w:w="1080" w:type="dxa"/>
            <w:vAlign w:val="bottom"/>
            <w:tcBorders>
              <w:bottom w:val="single" w:sz="8" w:color="7F7F7F"/>
            </w:tcBorders>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480" w:type="dxa"/>
            <w:vAlign w:val="bottom"/>
            <w:tcBorders>
              <w:bottom w:val="single" w:sz="8" w:color="7F7F7F"/>
              <w:right w:val="single" w:sz="8" w:color="FEFEFE"/>
            </w:tcBorders>
            <w:gridSpan w:val="2"/>
            <w:vMerge w:val="continue"/>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60" w:type="dxa"/>
            <w:vAlign w:val="bottom"/>
            <w:tcBorders>
              <w:bottom w:val="single" w:sz="8" w:color="7F7F7F"/>
            </w:tcBorders>
            <w:shd w:val="clear" w:color="auto" w:fill="B2B2B2"/>
          </w:tcPr>
          <w:p>
            <w:pPr>
              <w:spacing w:after="0"/>
              <w:rPr>
                <w:sz w:val="9"/>
                <w:szCs w:val="9"/>
                <w:color w:val="auto"/>
              </w:rPr>
            </w:pPr>
          </w:p>
        </w:tc>
        <w:tc>
          <w:tcPr>
            <w:tcW w:w="440" w:type="dxa"/>
            <w:vAlign w:val="bottom"/>
            <w:tcBorders>
              <w:bottom w:val="single" w:sz="8" w:color="7F7F7F"/>
              <w:right w:val="single" w:sz="8" w:color="FEFEFE"/>
            </w:tcBorders>
            <w:gridSpan w:val="2"/>
            <w:vMerge w:val="continue"/>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400" w:type="dxa"/>
            <w:vAlign w:val="bottom"/>
            <w:tcBorders>
              <w:bottom w:val="single" w:sz="8" w:color="7F7F7F"/>
            </w:tcBorders>
            <w:gridSpan w:val="2"/>
            <w:vMerge w:val="continue"/>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Brenda L. Freeman</w:t>
            </w: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57</w:t>
            </w: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color w:val="auto"/>
              </w:rPr>
              <w:t>2018</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YES</w:t>
            </w:r>
          </w:p>
        </w:tc>
        <w:tc>
          <w:tcPr>
            <w:tcW w:w="240" w:type="dxa"/>
            <w:vAlign w:val="bottom"/>
            <w:shd w:val="clear" w:color="auto" w:fill="B2B2B2"/>
          </w:tcPr>
          <w:p>
            <w:pPr>
              <w:spacing w:after="0"/>
              <w:rPr>
                <w:sz w:val="19"/>
                <w:szCs w:val="19"/>
                <w:color w:val="auto"/>
              </w:rPr>
            </w:pPr>
          </w:p>
        </w:tc>
        <w:tc>
          <w:tcPr>
            <w:tcW w:w="480" w:type="dxa"/>
            <w:vAlign w:val="bottom"/>
            <w:tcBorders>
              <w:right w:val="single" w:sz="8" w:color="FEFEFE"/>
            </w:tcBorders>
            <w:gridSpan w:val="2"/>
            <w:vMerge w:val="restart"/>
            <w:shd w:val="clear" w:color="auto" w:fill="B2B2B2"/>
          </w:tcPr>
          <w:p>
            <w:pPr>
              <w:ind w:left="160"/>
              <w:spacing w:after="0"/>
              <w:rPr>
                <w:sz w:val="20"/>
                <w:szCs w:val="20"/>
                <w:color w:val="auto"/>
              </w:rPr>
            </w:pPr>
            <w:r>
              <w:rPr>
                <w:rFonts w:ascii="Arial" w:cs="Arial" w:eastAsia="Arial" w:hAnsi="Arial"/>
                <w:sz w:val="25"/>
                <w:szCs w:val="25"/>
                <w:color w:val="56C271"/>
              </w:rPr>
              <w:t>•</w:t>
            </w: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60" w:type="dxa"/>
            <w:vAlign w:val="bottom"/>
            <w:shd w:val="clear" w:color="auto" w:fill="B2B2B2"/>
          </w:tcPr>
          <w:p>
            <w:pPr>
              <w:spacing w:after="0"/>
              <w:rPr>
                <w:sz w:val="19"/>
                <w:szCs w:val="19"/>
                <w:color w:val="auto"/>
              </w:rPr>
            </w:pPr>
          </w:p>
        </w:tc>
        <w:tc>
          <w:tcPr>
            <w:tcW w:w="440" w:type="dxa"/>
            <w:vAlign w:val="bottom"/>
            <w:tcBorders>
              <w:right w:val="single" w:sz="8" w:color="FEFEFE"/>
            </w:tcBorders>
            <w:gridSpan w:val="2"/>
            <w:vMerge w:val="restart"/>
            <w:shd w:val="clear" w:color="auto" w:fill="B2B2B2"/>
          </w:tcPr>
          <w:p>
            <w:pPr>
              <w:ind w:left="120"/>
              <w:spacing w:after="0"/>
              <w:rPr>
                <w:sz w:val="20"/>
                <w:szCs w:val="20"/>
                <w:color w:val="auto"/>
              </w:rPr>
            </w:pPr>
            <w:r>
              <w:rPr>
                <w:rFonts w:ascii="Arial" w:cs="Arial" w:eastAsia="Arial" w:hAnsi="Arial"/>
                <w:sz w:val="25"/>
                <w:szCs w:val="25"/>
                <w:color w:val="56C271"/>
              </w:rPr>
              <w:t>•</w:t>
            </w: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Founder of Joyeux Advisory Group</w:t>
            </w: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480" w:type="dxa"/>
            <w:vAlign w:val="bottom"/>
            <w:tcBorders>
              <w:right w:val="single" w:sz="8" w:color="FEFEFE"/>
            </w:tcBorders>
            <w:gridSpan w:val="2"/>
            <w:vMerge w:val="continue"/>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60" w:type="dxa"/>
            <w:vAlign w:val="bottom"/>
            <w:shd w:val="clear" w:color="auto" w:fill="B2B2B2"/>
          </w:tcPr>
          <w:p>
            <w:pPr>
              <w:spacing w:after="0"/>
              <w:rPr>
                <w:sz w:val="6"/>
                <w:szCs w:val="6"/>
                <w:color w:val="auto"/>
              </w:rPr>
            </w:pPr>
          </w:p>
        </w:tc>
        <w:tc>
          <w:tcPr>
            <w:tcW w:w="440" w:type="dxa"/>
            <w:vAlign w:val="bottom"/>
            <w:tcBorders>
              <w:right w:val="single" w:sz="8" w:color="FEFEFE"/>
            </w:tcBorders>
            <w:gridSpan w:val="2"/>
            <w:vMerge w:val="continue"/>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940" w:type="dxa"/>
            <w:vAlign w:val="bottom"/>
            <w:tcBorders>
              <w:bottom w:val="single" w:sz="8" w:color="7F7F7F"/>
            </w:tcBorders>
            <w:vMerge w:val="continue"/>
          </w:tcPr>
          <w:p>
            <w:pPr>
              <w:spacing w:after="0"/>
              <w:rPr>
                <w:sz w:val="9"/>
                <w:szCs w:val="9"/>
                <w:color w:val="auto"/>
              </w:rPr>
            </w:pPr>
          </w:p>
        </w:tc>
        <w:tc>
          <w:tcPr>
            <w:tcW w:w="520" w:type="dxa"/>
            <w:vAlign w:val="bottom"/>
            <w:tcBorders>
              <w:bottom w:val="single" w:sz="8" w:color="7F7F7F"/>
            </w:tcBorders>
          </w:tcPr>
          <w:p>
            <w:pPr>
              <w:spacing w:after="0"/>
              <w:rPr>
                <w:sz w:val="9"/>
                <w:szCs w:val="9"/>
                <w:color w:val="auto"/>
              </w:rPr>
            </w:pPr>
          </w:p>
        </w:tc>
        <w:tc>
          <w:tcPr>
            <w:tcW w:w="780" w:type="dxa"/>
            <w:vAlign w:val="bottom"/>
            <w:tcBorders>
              <w:bottom w:val="single" w:sz="8" w:color="7F7F7F"/>
            </w:tcBorders>
          </w:tcPr>
          <w:p>
            <w:pPr>
              <w:spacing w:after="0"/>
              <w:rPr>
                <w:sz w:val="9"/>
                <w:szCs w:val="9"/>
                <w:color w:val="auto"/>
              </w:rPr>
            </w:pPr>
          </w:p>
        </w:tc>
        <w:tc>
          <w:tcPr>
            <w:tcW w:w="1080" w:type="dxa"/>
            <w:vAlign w:val="bottom"/>
            <w:tcBorders>
              <w:bottom w:val="single" w:sz="8" w:color="7F7F7F"/>
            </w:tcBorders>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480" w:type="dxa"/>
            <w:vAlign w:val="bottom"/>
            <w:tcBorders>
              <w:bottom w:val="single" w:sz="8" w:color="7F7F7F"/>
              <w:right w:val="single" w:sz="8" w:color="FEFEFE"/>
            </w:tcBorders>
            <w:gridSpan w:val="2"/>
            <w:vMerge w:val="continue"/>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60" w:type="dxa"/>
            <w:vAlign w:val="bottom"/>
            <w:tcBorders>
              <w:bottom w:val="single" w:sz="8" w:color="7F7F7F"/>
            </w:tcBorders>
            <w:shd w:val="clear" w:color="auto" w:fill="B2B2B2"/>
          </w:tcPr>
          <w:p>
            <w:pPr>
              <w:spacing w:after="0"/>
              <w:rPr>
                <w:sz w:val="9"/>
                <w:szCs w:val="9"/>
                <w:color w:val="auto"/>
              </w:rPr>
            </w:pPr>
          </w:p>
        </w:tc>
        <w:tc>
          <w:tcPr>
            <w:tcW w:w="440" w:type="dxa"/>
            <w:vAlign w:val="bottom"/>
            <w:tcBorders>
              <w:bottom w:val="single" w:sz="8" w:color="7F7F7F"/>
              <w:right w:val="single" w:sz="8" w:color="FEFEFE"/>
            </w:tcBorders>
            <w:gridSpan w:val="2"/>
            <w:vMerge w:val="continue"/>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160" w:type="dxa"/>
            <w:vAlign w:val="bottom"/>
            <w:tcBorders>
              <w:bottom w:val="single" w:sz="8" w:color="7F7F7F"/>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Philip R. Gallagher</w:t>
            </w: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60</w:t>
            </w: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color w:val="auto"/>
              </w:rPr>
              <w:t>2020</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NO</w:t>
            </w:r>
          </w:p>
        </w:tc>
        <w:tc>
          <w:tcPr>
            <w:tcW w:w="24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60" w:type="dxa"/>
            <w:vAlign w:val="bottom"/>
            <w:shd w:val="clear" w:color="auto" w:fill="B2B2B2"/>
          </w:tcPr>
          <w:p>
            <w:pPr>
              <w:spacing w:after="0"/>
              <w:rPr>
                <w:sz w:val="19"/>
                <w:szCs w:val="19"/>
                <w:color w:val="auto"/>
              </w:rPr>
            </w:pPr>
          </w:p>
        </w:tc>
        <w:tc>
          <w:tcPr>
            <w:tcW w:w="20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Chief Executive Officer of Avnet, Inc.</w:t>
            </w: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60" w:type="dxa"/>
            <w:vAlign w:val="bottom"/>
            <w:shd w:val="clear" w:color="auto" w:fill="B2B2B2"/>
          </w:tcPr>
          <w:p>
            <w:pPr>
              <w:spacing w:after="0"/>
              <w:rPr>
                <w:sz w:val="6"/>
                <w:szCs w:val="6"/>
                <w:color w:val="auto"/>
              </w:rPr>
            </w:pPr>
          </w:p>
        </w:tc>
        <w:tc>
          <w:tcPr>
            <w:tcW w:w="20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Borders>
              <w:bottom w:val="single" w:sz="8" w:color="B2B2B2"/>
            </w:tcBorders>
            <w:shd w:val="clear" w:color="auto" w:fill="B2B2B2"/>
          </w:tcPr>
          <w:p>
            <w:pPr>
              <w:spacing w:after="0"/>
              <w:rPr>
                <w:sz w:val="10"/>
                <w:szCs w:val="10"/>
                <w:color w:val="auto"/>
              </w:rPr>
            </w:pPr>
          </w:p>
        </w:tc>
        <w:tc>
          <w:tcPr>
            <w:tcW w:w="240" w:type="dxa"/>
            <w:vAlign w:val="bottom"/>
            <w:tcBorders>
              <w:bottom w:val="single" w:sz="8" w:color="B2B2B2"/>
            </w:tcBorders>
            <w:shd w:val="clear" w:color="auto" w:fill="B2B2B2"/>
          </w:tcPr>
          <w:p>
            <w:pPr>
              <w:spacing w:after="0"/>
              <w:rPr>
                <w:sz w:val="10"/>
                <w:szCs w:val="10"/>
                <w:color w:val="auto"/>
              </w:rPr>
            </w:pPr>
          </w:p>
        </w:tc>
        <w:tc>
          <w:tcPr>
            <w:tcW w:w="240" w:type="dxa"/>
            <w:vAlign w:val="bottom"/>
            <w:tcBorders>
              <w:bottom w:val="single" w:sz="8" w:color="B2B2B2"/>
              <w:right w:val="single" w:sz="8" w:color="FEFEFE"/>
            </w:tcBorders>
            <w:shd w:val="clear" w:color="auto" w:fill="B2B2B2"/>
          </w:tcPr>
          <w:p>
            <w:pPr>
              <w:spacing w:after="0"/>
              <w:rPr>
                <w:sz w:val="10"/>
                <w:szCs w:val="10"/>
                <w:color w:val="auto"/>
              </w:rPr>
            </w:pPr>
          </w:p>
        </w:tc>
        <w:tc>
          <w:tcPr>
            <w:tcW w:w="220" w:type="dxa"/>
            <w:vAlign w:val="bottom"/>
            <w:tcBorders>
              <w:bottom w:val="single" w:sz="8" w:color="B2B2B2"/>
            </w:tcBorders>
            <w:shd w:val="clear" w:color="auto" w:fill="B2B2B2"/>
          </w:tcPr>
          <w:p>
            <w:pPr>
              <w:spacing w:after="0"/>
              <w:rPr>
                <w:sz w:val="10"/>
                <w:szCs w:val="10"/>
                <w:color w:val="auto"/>
              </w:rPr>
            </w:pPr>
          </w:p>
        </w:tc>
        <w:tc>
          <w:tcPr>
            <w:tcW w:w="240" w:type="dxa"/>
            <w:vAlign w:val="bottom"/>
            <w:tcBorders>
              <w:bottom w:val="single" w:sz="8" w:color="B2B2B2"/>
            </w:tcBorders>
            <w:shd w:val="clear" w:color="auto" w:fill="B2B2B2"/>
          </w:tcPr>
          <w:p>
            <w:pPr>
              <w:spacing w:after="0"/>
              <w:rPr>
                <w:sz w:val="10"/>
                <w:szCs w:val="10"/>
                <w:color w:val="auto"/>
              </w:rPr>
            </w:pPr>
          </w:p>
        </w:tc>
        <w:tc>
          <w:tcPr>
            <w:tcW w:w="240" w:type="dxa"/>
            <w:vAlign w:val="bottom"/>
            <w:tcBorders>
              <w:bottom w:val="single" w:sz="8" w:color="B2B2B2"/>
              <w:right w:val="single" w:sz="8" w:color="FEFEFE"/>
            </w:tcBorders>
            <w:shd w:val="clear" w:color="auto" w:fill="B2B2B2"/>
          </w:tcPr>
          <w:p>
            <w:pPr>
              <w:spacing w:after="0"/>
              <w:rPr>
                <w:sz w:val="10"/>
                <w:szCs w:val="10"/>
                <w:color w:val="auto"/>
              </w:rPr>
            </w:pPr>
          </w:p>
        </w:tc>
        <w:tc>
          <w:tcPr>
            <w:tcW w:w="220" w:type="dxa"/>
            <w:vAlign w:val="bottom"/>
            <w:tcBorders>
              <w:bottom w:val="single" w:sz="8" w:color="B2B2B2"/>
            </w:tcBorders>
            <w:shd w:val="clear" w:color="auto" w:fill="B2B2B2"/>
          </w:tcPr>
          <w:p>
            <w:pPr>
              <w:spacing w:after="0"/>
              <w:rPr>
                <w:sz w:val="10"/>
                <w:szCs w:val="10"/>
                <w:color w:val="auto"/>
              </w:rPr>
            </w:pPr>
          </w:p>
        </w:tc>
        <w:tc>
          <w:tcPr>
            <w:tcW w:w="240" w:type="dxa"/>
            <w:vAlign w:val="bottom"/>
            <w:tcBorders>
              <w:bottom w:val="single" w:sz="8" w:color="B2B2B2"/>
            </w:tcBorders>
            <w:shd w:val="clear" w:color="auto" w:fill="B2B2B2"/>
          </w:tcPr>
          <w:p>
            <w:pPr>
              <w:spacing w:after="0"/>
              <w:rPr>
                <w:sz w:val="10"/>
                <w:szCs w:val="10"/>
                <w:color w:val="auto"/>
              </w:rPr>
            </w:pPr>
          </w:p>
        </w:tc>
        <w:tc>
          <w:tcPr>
            <w:tcW w:w="240" w:type="dxa"/>
            <w:vAlign w:val="bottom"/>
            <w:tcBorders>
              <w:bottom w:val="single" w:sz="8" w:color="B2B2B2"/>
              <w:right w:val="single" w:sz="8" w:color="FEFEFE"/>
            </w:tcBorders>
            <w:shd w:val="clear" w:color="auto" w:fill="B2B2B2"/>
          </w:tcPr>
          <w:p>
            <w:pPr>
              <w:spacing w:after="0"/>
              <w:rPr>
                <w:sz w:val="10"/>
                <w:szCs w:val="10"/>
                <w:color w:val="auto"/>
              </w:rPr>
            </w:pPr>
          </w:p>
        </w:tc>
        <w:tc>
          <w:tcPr>
            <w:tcW w:w="260" w:type="dxa"/>
            <w:vAlign w:val="bottom"/>
            <w:tcBorders>
              <w:bottom w:val="single" w:sz="8" w:color="B2B2B2"/>
            </w:tcBorders>
            <w:shd w:val="clear" w:color="auto" w:fill="B2B2B2"/>
          </w:tcPr>
          <w:p>
            <w:pPr>
              <w:spacing w:after="0"/>
              <w:rPr>
                <w:sz w:val="10"/>
                <w:szCs w:val="10"/>
                <w:color w:val="auto"/>
              </w:rPr>
            </w:pPr>
          </w:p>
        </w:tc>
        <w:tc>
          <w:tcPr>
            <w:tcW w:w="200" w:type="dxa"/>
            <w:vAlign w:val="bottom"/>
            <w:tcBorders>
              <w:bottom w:val="single" w:sz="8" w:color="B2B2B2"/>
            </w:tcBorders>
            <w:shd w:val="clear" w:color="auto" w:fill="B2B2B2"/>
          </w:tcPr>
          <w:p>
            <w:pPr>
              <w:spacing w:after="0"/>
              <w:rPr>
                <w:sz w:val="10"/>
                <w:szCs w:val="10"/>
                <w:color w:val="auto"/>
              </w:rPr>
            </w:pPr>
          </w:p>
        </w:tc>
        <w:tc>
          <w:tcPr>
            <w:tcW w:w="240" w:type="dxa"/>
            <w:vAlign w:val="bottom"/>
            <w:tcBorders>
              <w:bottom w:val="single" w:sz="8" w:color="B2B2B2"/>
              <w:right w:val="single" w:sz="8" w:color="FEFEFE"/>
            </w:tcBorders>
            <w:shd w:val="clear" w:color="auto" w:fill="B2B2B2"/>
          </w:tcPr>
          <w:p>
            <w:pPr>
              <w:spacing w:after="0"/>
              <w:rPr>
                <w:sz w:val="10"/>
                <w:szCs w:val="10"/>
                <w:color w:val="auto"/>
              </w:rPr>
            </w:pPr>
          </w:p>
        </w:tc>
        <w:tc>
          <w:tcPr>
            <w:tcW w:w="220" w:type="dxa"/>
            <w:vAlign w:val="bottom"/>
            <w:tcBorders>
              <w:bottom w:val="single" w:sz="8" w:color="B2B2B2"/>
            </w:tcBorders>
            <w:shd w:val="clear" w:color="auto" w:fill="B2B2B2"/>
          </w:tcPr>
          <w:p>
            <w:pPr>
              <w:spacing w:after="0"/>
              <w:rPr>
                <w:sz w:val="10"/>
                <w:szCs w:val="10"/>
                <w:color w:val="auto"/>
              </w:rPr>
            </w:pPr>
          </w:p>
        </w:tc>
        <w:tc>
          <w:tcPr>
            <w:tcW w:w="240" w:type="dxa"/>
            <w:vAlign w:val="bottom"/>
            <w:tcBorders>
              <w:bottom w:val="single" w:sz="8" w:color="B2B2B2"/>
            </w:tcBorders>
            <w:shd w:val="clear" w:color="auto" w:fill="B2B2B2"/>
          </w:tcPr>
          <w:p>
            <w:pPr>
              <w:spacing w:after="0"/>
              <w:rPr>
                <w:sz w:val="10"/>
                <w:szCs w:val="10"/>
                <w:color w:val="auto"/>
              </w:rPr>
            </w:pPr>
          </w:p>
        </w:tc>
        <w:tc>
          <w:tcPr>
            <w:tcW w:w="160" w:type="dxa"/>
            <w:vAlign w:val="bottom"/>
            <w:tcBorders>
              <w:bottom w:val="single" w:sz="8" w:color="B2B2B2"/>
            </w:tcBorders>
            <w:shd w:val="clear" w:color="auto" w:fill="B2B2B2"/>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940" w:type="dxa"/>
            <w:vAlign w:val="bottom"/>
            <w:tcBorders>
              <w:top w:val="single" w:sz="8" w:color="7F7F7F"/>
            </w:tcBorders>
          </w:tcPr>
          <w:p>
            <w:pPr>
              <w:ind w:left="40"/>
              <w:spacing w:after="0"/>
              <w:rPr>
                <w:sz w:val="20"/>
                <w:szCs w:val="20"/>
                <w:color w:val="auto"/>
              </w:rPr>
            </w:pPr>
            <w:r>
              <w:rPr>
                <w:rFonts w:ascii="Arial" w:cs="Arial" w:eastAsia="Arial" w:hAnsi="Arial"/>
                <w:sz w:val="14"/>
                <w:szCs w:val="14"/>
                <w:b w:val="1"/>
                <w:bCs w:val="1"/>
                <w:color w:val="auto"/>
              </w:rPr>
              <w:t>Jo Ann Jenkins</w:t>
            </w:r>
          </w:p>
        </w:tc>
        <w:tc>
          <w:tcPr>
            <w:tcW w:w="520" w:type="dxa"/>
            <w:vAlign w:val="bottom"/>
            <w:tcBorders>
              <w:top w:val="single" w:sz="8" w:color="7F7F7F"/>
            </w:tcBorders>
            <w:vMerge w:val="restart"/>
          </w:tcPr>
          <w:p>
            <w:pPr>
              <w:jc w:val="right"/>
              <w:ind w:right="128"/>
              <w:spacing w:after="0"/>
              <w:rPr>
                <w:sz w:val="20"/>
                <w:szCs w:val="20"/>
                <w:color w:val="auto"/>
              </w:rPr>
            </w:pPr>
            <w:r>
              <w:rPr>
                <w:rFonts w:ascii="Arial" w:cs="Arial" w:eastAsia="Arial" w:hAnsi="Arial"/>
                <w:sz w:val="14"/>
                <w:szCs w:val="14"/>
                <w:color w:val="auto"/>
              </w:rPr>
              <w:t>63</w:t>
            </w:r>
          </w:p>
        </w:tc>
        <w:tc>
          <w:tcPr>
            <w:tcW w:w="780" w:type="dxa"/>
            <w:vAlign w:val="bottom"/>
            <w:tcBorders>
              <w:top w:val="single" w:sz="8" w:color="7F7F7F"/>
            </w:tcBorders>
            <w:vMerge w:val="restart"/>
          </w:tcPr>
          <w:p>
            <w:pPr>
              <w:jc w:val="center"/>
              <w:ind w:right="28"/>
              <w:spacing w:after="0"/>
              <w:rPr>
                <w:sz w:val="20"/>
                <w:szCs w:val="20"/>
                <w:color w:val="auto"/>
              </w:rPr>
            </w:pPr>
            <w:r>
              <w:rPr>
                <w:rFonts w:ascii="Arial" w:cs="Arial" w:eastAsia="Arial" w:hAnsi="Arial"/>
                <w:sz w:val="14"/>
                <w:szCs w:val="14"/>
                <w:color w:val="auto"/>
              </w:rPr>
              <w:t>2018</w:t>
            </w:r>
          </w:p>
        </w:tc>
        <w:tc>
          <w:tcPr>
            <w:tcW w:w="1080" w:type="dxa"/>
            <w:vAlign w:val="bottom"/>
            <w:tcBorders>
              <w:top w:val="single" w:sz="8" w:color="7F7F7F"/>
            </w:tcBorders>
            <w:vMerge w:val="restart"/>
          </w:tcPr>
          <w:p>
            <w:pPr>
              <w:jc w:val="right"/>
              <w:ind w:right="328"/>
              <w:spacing w:after="0"/>
              <w:rPr>
                <w:sz w:val="20"/>
                <w:szCs w:val="20"/>
                <w:color w:val="auto"/>
              </w:rPr>
            </w:pPr>
            <w:r>
              <w:rPr>
                <w:rFonts w:ascii="Arial" w:cs="Arial" w:eastAsia="Arial" w:hAnsi="Arial"/>
                <w:sz w:val="14"/>
                <w:szCs w:val="14"/>
                <w:color w:val="auto"/>
              </w:rPr>
              <w:t>YES</w:t>
            </w:r>
          </w:p>
        </w:tc>
        <w:tc>
          <w:tcPr>
            <w:tcW w:w="24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vMerge w:val="restart"/>
            <w:shd w:val="clear" w:color="auto" w:fill="B2B2B2"/>
          </w:tcPr>
          <w:p>
            <w:pPr>
              <w:ind w:left="160"/>
              <w:spacing w:after="0"/>
              <w:rPr>
                <w:sz w:val="20"/>
                <w:szCs w:val="20"/>
                <w:color w:val="auto"/>
              </w:rPr>
            </w:pPr>
            <w:r>
              <w:rPr>
                <w:rFonts w:ascii="Arial" w:cs="Arial" w:eastAsia="Arial" w:hAnsi="Arial"/>
                <w:sz w:val="24"/>
                <w:szCs w:val="24"/>
                <w:color w:val="56C271"/>
                <w:w w:val="70"/>
              </w:rPr>
              <w:t>•</w:t>
            </w: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vMerge w:val="restart"/>
            <w:shd w:val="clear" w:color="auto" w:fill="B2B2B2"/>
          </w:tcPr>
          <w:p>
            <w:pPr>
              <w:ind w:left="160"/>
              <w:spacing w:after="0"/>
              <w:rPr>
                <w:sz w:val="20"/>
                <w:szCs w:val="20"/>
                <w:color w:val="auto"/>
              </w:rPr>
            </w:pPr>
            <w:r>
              <w:rPr>
                <w:rFonts w:ascii="Arial" w:cs="Arial" w:eastAsia="Arial" w:hAnsi="Arial"/>
                <w:sz w:val="24"/>
                <w:szCs w:val="24"/>
                <w:color w:val="56C271"/>
                <w:w w:val="70"/>
              </w:rPr>
              <w:t>•</w:t>
            </w: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60" w:type="dxa"/>
            <w:vAlign w:val="bottom"/>
            <w:tcBorders>
              <w:top w:val="single" w:sz="8" w:color="7F7F7F"/>
            </w:tcBorders>
            <w:shd w:val="clear" w:color="auto" w:fill="B2B2B2"/>
          </w:tcPr>
          <w:p>
            <w:pPr>
              <w:spacing w:after="0"/>
              <w:rPr>
                <w:sz w:val="18"/>
                <w:szCs w:val="18"/>
                <w:color w:val="auto"/>
              </w:rPr>
            </w:pPr>
          </w:p>
        </w:tc>
        <w:tc>
          <w:tcPr>
            <w:tcW w:w="20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shd w:val="clear" w:color="auto" w:fill="B2B2B2"/>
          </w:tcPr>
          <w:p>
            <w:pPr>
              <w:spacing w:after="0"/>
              <w:rPr>
                <w:sz w:val="18"/>
                <w:szCs w:val="18"/>
                <w:color w:val="auto"/>
              </w:rPr>
            </w:pPr>
          </w:p>
        </w:tc>
        <w:tc>
          <w:tcPr>
            <w:tcW w:w="160" w:type="dxa"/>
            <w:vAlign w:val="bottom"/>
            <w:tcBorders>
              <w:top w:val="single" w:sz="8" w:color="7F7F7F"/>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Chief Executive Officer of AARP</w:t>
            </w: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60" w:type="dxa"/>
            <w:vAlign w:val="bottom"/>
            <w:shd w:val="clear" w:color="auto" w:fill="B2B2B2"/>
          </w:tcPr>
          <w:p>
            <w:pPr>
              <w:spacing w:after="0"/>
              <w:rPr>
                <w:sz w:val="6"/>
                <w:szCs w:val="6"/>
                <w:color w:val="auto"/>
              </w:rPr>
            </w:pPr>
          </w:p>
        </w:tc>
        <w:tc>
          <w:tcPr>
            <w:tcW w:w="20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940" w:type="dxa"/>
            <w:vAlign w:val="bottom"/>
            <w:tcBorders>
              <w:bottom w:val="single" w:sz="8" w:color="7F7F7F"/>
            </w:tcBorders>
            <w:vMerge w:val="continue"/>
          </w:tcPr>
          <w:p>
            <w:pPr>
              <w:spacing w:after="0"/>
              <w:rPr>
                <w:sz w:val="9"/>
                <w:szCs w:val="9"/>
                <w:color w:val="auto"/>
              </w:rPr>
            </w:pPr>
          </w:p>
        </w:tc>
        <w:tc>
          <w:tcPr>
            <w:tcW w:w="520" w:type="dxa"/>
            <w:vAlign w:val="bottom"/>
            <w:tcBorders>
              <w:bottom w:val="single" w:sz="8" w:color="7F7F7F"/>
            </w:tcBorders>
          </w:tcPr>
          <w:p>
            <w:pPr>
              <w:spacing w:after="0"/>
              <w:rPr>
                <w:sz w:val="9"/>
                <w:szCs w:val="9"/>
                <w:color w:val="auto"/>
              </w:rPr>
            </w:pPr>
          </w:p>
        </w:tc>
        <w:tc>
          <w:tcPr>
            <w:tcW w:w="780" w:type="dxa"/>
            <w:vAlign w:val="bottom"/>
            <w:tcBorders>
              <w:bottom w:val="single" w:sz="8" w:color="7F7F7F"/>
            </w:tcBorders>
          </w:tcPr>
          <w:p>
            <w:pPr>
              <w:spacing w:after="0"/>
              <w:rPr>
                <w:sz w:val="9"/>
                <w:szCs w:val="9"/>
                <w:color w:val="auto"/>
              </w:rPr>
            </w:pPr>
          </w:p>
        </w:tc>
        <w:tc>
          <w:tcPr>
            <w:tcW w:w="1080" w:type="dxa"/>
            <w:vAlign w:val="bottom"/>
            <w:tcBorders>
              <w:bottom w:val="single" w:sz="8" w:color="7F7F7F"/>
            </w:tcBorders>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vMerge w:val="continue"/>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vMerge w:val="continue"/>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60" w:type="dxa"/>
            <w:vAlign w:val="bottom"/>
            <w:tcBorders>
              <w:bottom w:val="single" w:sz="8" w:color="7F7F7F"/>
            </w:tcBorders>
            <w:shd w:val="clear" w:color="auto" w:fill="B2B2B2"/>
          </w:tcPr>
          <w:p>
            <w:pPr>
              <w:spacing w:after="0"/>
              <w:rPr>
                <w:sz w:val="9"/>
                <w:szCs w:val="9"/>
                <w:color w:val="auto"/>
              </w:rPr>
            </w:pPr>
          </w:p>
        </w:tc>
        <w:tc>
          <w:tcPr>
            <w:tcW w:w="20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160" w:type="dxa"/>
            <w:vAlign w:val="bottom"/>
            <w:tcBorders>
              <w:bottom w:val="single" w:sz="8" w:color="7F7F7F"/>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Oleg Khaykin</w:t>
            </w: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56</w:t>
            </w: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color w:val="auto"/>
              </w:rPr>
              <w:t>2018</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YES</w:t>
            </w:r>
          </w:p>
        </w:tc>
        <w:tc>
          <w:tcPr>
            <w:tcW w:w="240" w:type="dxa"/>
            <w:vAlign w:val="bottom"/>
            <w:shd w:val="clear" w:color="auto" w:fill="B2B2B2"/>
          </w:tcPr>
          <w:p>
            <w:pPr>
              <w:spacing w:after="0"/>
              <w:rPr>
                <w:sz w:val="19"/>
                <w:szCs w:val="19"/>
                <w:color w:val="auto"/>
              </w:rPr>
            </w:pPr>
          </w:p>
        </w:tc>
        <w:tc>
          <w:tcPr>
            <w:tcW w:w="240" w:type="dxa"/>
            <w:vAlign w:val="bottom"/>
            <w:vMerge w:val="restart"/>
            <w:shd w:val="clear" w:color="auto" w:fill="B2B2B2"/>
          </w:tcPr>
          <w:p>
            <w:pPr>
              <w:ind w:left="140"/>
              <w:spacing w:after="0"/>
              <w:rPr>
                <w:sz w:val="20"/>
                <w:szCs w:val="20"/>
                <w:color w:val="auto"/>
              </w:rPr>
            </w:pPr>
            <w:r>
              <w:rPr>
                <w:rFonts w:ascii="Arial" w:cs="Arial" w:eastAsia="Arial" w:hAnsi="Arial"/>
                <w:sz w:val="25"/>
                <w:szCs w:val="25"/>
                <w:color w:val="56C271"/>
                <w:w w:val="90"/>
              </w:rPr>
              <w:t>•</w:t>
            </w: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60" w:type="dxa"/>
            <w:vAlign w:val="bottom"/>
            <w:shd w:val="clear" w:color="auto" w:fill="B2B2B2"/>
          </w:tcPr>
          <w:p>
            <w:pPr>
              <w:spacing w:after="0"/>
              <w:rPr>
                <w:sz w:val="19"/>
                <w:szCs w:val="19"/>
                <w:color w:val="auto"/>
              </w:rPr>
            </w:pP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6C271"/>
              </w:rPr>
              <w:t>•</w:t>
            </w: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40"/>
              <w:spacing w:after="0"/>
              <w:rPr>
                <w:sz w:val="20"/>
                <w:szCs w:val="20"/>
                <w:color w:val="auto"/>
              </w:rPr>
            </w:pPr>
            <w:r>
              <w:rPr>
                <w:rFonts w:ascii="Arial" w:cs="Arial" w:eastAsia="Arial" w:hAnsi="Arial"/>
                <w:sz w:val="14"/>
                <w:szCs w:val="14"/>
                <w:color w:val="auto"/>
              </w:rPr>
              <w:t>President and Chief Executive Officer of</w:t>
            </w: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240" w:type="dxa"/>
            <w:vAlign w:val="bottom"/>
            <w:vMerge w:val="continue"/>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60" w:type="dxa"/>
            <w:vAlign w:val="bottom"/>
            <w:shd w:val="clear" w:color="auto" w:fill="B2B2B2"/>
          </w:tcPr>
          <w:p>
            <w:pPr>
              <w:spacing w:after="0"/>
              <w:rPr>
                <w:sz w:val="14"/>
                <w:szCs w:val="14"/>
                <w:color w:val="auto"/>
              </w:rPr>
            </w:pPr>
          </w:p>
        </w:tc>
        <w:tc>
          <w:tcPr>
            <w:tcW w:w="200" w:type="dxa"/>
            <w:vAlign w:val="bottom"/>
            <w:vMerge w:val="continue"/>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160" w:type="dxa"/>
            <w:vAlign w:val="bottom"/>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tcPr>
          <w:p>
            <w:pPr>
              <w:ind w:left="40"/>
              <w:spacing w:after="0"/>
              <w:rPr>
                <w:sz w:val="20"/>
                <w:szCs w:val="20"/>
                <w:color w:val="auto"/>
              </w:rPr>
            </w:pPr>
            <w:r>
              <w:rPr>
                <w:rFonts w:ascii="Arial" w:cs="Arial" w:eastAsia="Arial" w:hAnsi="Arial"/>
                <w:sz w:val="14"/>
                <w:szCs w:val="14"/>
                <w:color w:val="auto"/>
              </w:rPr>
              <w:t>Viavi Solutions, Inc.</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60" w:type="dxa"/>
            <w:vAlign w:val="bottom"/>
            <w:tcBorders>
              <w:bottom w:val="single" w:sz="8" w:color="B2B2B2"/>
            </w:tcBorders>
            <w:shd w:val="clear" w:color="auto" w:fill="B2B2B2"/>
          </w:tcPr>
          <w:p>
            <w:pPr>
              <w:spacing w:after="0"/>
              <w:rPr>
                <w:sz w:val="17"/>
                <w:szCs w:val="17"/>
                <w:color w:val="auto"/>
              </w:rPr>
            </w:pPr>
          </w:p>
        </w:tc>
        <w:tc>
          <w:tcPr>
            <w:tcW w:w="20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160" w:type="dxa"/>
            <w:vAlign w:val="bottom"/>
            <w:tcBorders>
              <w:bottom w:val="single" w:sz="8" w:color="B2B2B2"/>
            </w:tcBorders>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40" w:type="dxa"/>
            <w:vAlign w:val="bottom"/>
            <w:tcBorders>
              <w:top w:val="single" w:sz="8" w:color="7F7F7F"/>
            </w:tcBorders>
          </w:tcPr>
          <w:p>
            <w:pPr>
              <w:ind w:left="40"/>
              <w:spacing w:after="0"/>
              <w:rPr>
                <w:sz w:val="20"/>
                <w:szCs w:val="20"/>
                <w:color w:val="auto"/>
              </w:rPr>
            </w:pPr>
            <w:r>
              <w:rPr>
                <w:rFonts w:ascii="Arial" w:cs="Arial" w:eastAsia="Arial" w:hAnsi="Arial"/>
                <w:sz w:val="14"/>
                <w:szCs w:val="14"/>
                <w:b w:val="1"/>
                <w:bCs w:val="1"/>
                <w:color w:val="auto"/>
              </w:rPr>
              <w:t>James A. Lawrence</w:t>
            </w:r>
          </w:p>
        </w:tc>
        <w:tc>
          <w:tcPr>
            <w:tcW w:w="520" w:type="dxa"/>
            <w:vAlign w:val="bottom"/>
            <w:tcBorders>
              <w:top w:val="single" w:sz="8" w:color="7F7F7F"/>
            </w:tcBorders>
            <w:vMerge w:val="restart"/>
          </w:tcPr>
          <w:p>
            <w:pPr>
              <w:jc w:val="right"/>
              <w:ind w:right="128"/>
              <w:spacing w:after="0"/>
              <w:rPr>
                <w:sz w:val="20"/>
                <w:szCs w:val="20"/>
                <w:color w:val="auto"/>
              </w:rPr>
            </w:pPr>
            <w:r>
              <w:rPr>
                <w:rFonts w:ascii="Arial" w:cs="Arial" w:eastAsia="Arial" w:hAnsi="Arial"/>
                <w:sz w:val="14"/>
                <w:szCs w:val="14"/>
                <w:color w:val="auto"/>
              </w:rPr>
              <w:t>68</w:t>
            </w:r>
          </w:p>
        </w:tc>
        <w:tc>
          <w:tcPr>
            <w:tcW w:w="780" w:type="dxa"/>
            <w:vAlign w:val="bottom"/>
            <w:tcBorders>
              <w:top w:val="single" w:sz="8" w:color="7F7F7F"/>
            </w:tcBorders>
            <w:vMerge w:val="restart"/>
          </w:tcPr>
          <w:p>
            <w:pPr>
              <w:jc w:val="center"/>
              <w:ind w:right="28"/>
              <w:spacing w:after="0"/>
              <w:rPr>
                <w:sz w:val="20"/>
                <w:szCs w:val="20"/>
                <w:color w:val="auto"/>
              </w:rPr>
            </w:pPr>
            <w:r>
              <w:rPr>
                <w:rFonts w:ascii="Arial" w:cs="Arial" w:eastAsia="Arial" w:hAnsi="Arial"/>
                <w:sz w:val="14"/>
                <w:szCs w:val="14"/>
                <w:color w:val="auto"/>
              </w:rPr>
              <w:t>2011</w:t>
            </w:r>
          </w:p>
        </w:tc>
        <w:tc>
          <w:tcPr>
            <w:tcW w:w="1080" w:type="dxa"/>
            <w:vAlign w:val="bottom"/>
            <w:tcBorders>
              <w:top w:val="single" w:sz="8" w:color="7F7F7F"/>
            </w:tcBorders>
            <w:vMerge w:val="restart"/>
          </w:tcPr>
          <w:p>
            <w:pPr>
              <w:jc w:val="right"/>
              <w:ind w:right="328"/>
              <w:spacing w:after="0"/>
              <w:rPr>
                <w:sz w:val="20"/>
                <w:szCs w:val="20"/>
                <w:color w:val="auto"/>
              </w:rPr>
            </w:pPr>
            <w:r>
              <w:rPr>
                <w:rFonts w:ascii="Arial" w:cs="Arial" w:eastAsia="Arial" w:hAnsi="Arial"/>
                <w:sz w:val="14"/>
                <w:szCs w:val="14"/>
                <w:color w:val="auto"/>
              </w:rPr>
              <w:t>YES</w:t>
            </w:r>
          </w:p>
        </w:tc>
        <w:tc>
          <w:tcPr>
            <w:tcW w:w="24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vMerge w:val="restart"/>
            <w:shd w:val="clear" w:color="auto" w:fill="B2B2B2"/>
          </w:tcPr>
          <w:p>
            <w:pPr>
              <w:ind w:left="160"/>
              <w:spacing w:after="0"/>
              <w:rPr>
                <w:sz w:val="20"/>
                <w:szCs w:val="20"/>
                <w:color w:val="auto"/>
              </w:rPr>
            </w:pPr>
            <w:r>
              <w:rPr>
                <w:rFonts w:ascii="Arial" w:cs="Arial" w:eastAsia="Arial" w:hAnsi="Arial"/>
                <w:sz w:val="24"/>
                <w:szCs w:val="24"/>
                <w:color w:val="auto"/>
                <w:w w:val="70"/>
              </w:rPr>
              <w:t>◦</w:t>
            </w: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60" w:type="dxa"/>
            <w:vAlign w:val="bottom"/>
            <w:tcBorders>
              <w:top w:val="single" w:sz="8" w:color="7F7F7F"/>
            </w:tcBorders>
            <w:shd w:val="clear" w:color="auto" w:fill="B2B2B2"/>
          </w:tcPr>
          <w:p>
            <w:pPr>
              <w:spacing w:after="0"/>
              <w:rPr>
                <w:sz w:val="18"/>
                <w:szCs w:val="18"/>
                <w:color w:val="auto"/>
              </w:rPr>
            </w:pPr>
          </w:p>
        </w:tc>
        <w:tc>
          <w:tcPr>
            <w:tcW w:w="200" w:type="dxa"/>
            <w:vAlign w:val="bottom"/>
            <w:tcBorders>
              <w:top w:val="single" w:sz="8" w:color="7F7F7F"/>
            </w:tcBorders>
            <w:vMerge w:val="restart"/>
            <w:shd w:val="clear" w:color="auto" w:fill="B2B2B2"/>
          </w:tcPr>
          <w:p>
            <w:pPr>
              <w:jc w:val="right"/>
              <w:spacing w:after="0"/>
              <w:rPr>
                <w:sz w:val="20"/>
                <w:szCs w:val="20"/>
                <w:color w:val="auto"/>
              </w:rPr>
            </w:pPr>
            <w:r>
              <w:rPr>
                <w:rFonts w:ascii="Arial" w:cs="Arial" w:eastAsia="Arial" w:hAnsi="Arial"/>
                <w:sz w:val="25"/>
                <w:szCs w:val="25"/>
                <w:color w:val="56C271"/>
              </w:rPr>
              <w:t>•</w:t>
            </w: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vMerge w:val="restart"/>
            <w:shd w:val="clear" w:color="auto" w:fill="B2B2B2"/>
          </w:tcPr>
          <w:p>
            <w:pPr>
              <w:jc w:val="right"/>
              <w:spacing w:after="0"/>
              <w:rPr>
                <w:sz w:val="20"/>
                <w:szCs w:val="20"/>
                <w:color w:val="auto"/>
              </w:rPr>
            </w:pPr>
            <w:r>
              <w:rPr>
                <w:rFonts w:ascii="Arial" w:cs="Arial" w:eastAsia="Arial" w:hAnsi="Arial"/>
                <w:sz w:val="25"/>
                <w:szCs w:val="25"/>
                <w:color w:val="56C271"/>
              </w:rPr>
              <w:t>•</w:t>
            </w:r>
          </w:p>
        </w:tc>
        <w:tc>
          <w:tcPr>
            <w:tcW w:w="160" w:type="dxa"/>
            <w:vAlign w:val="bottom"/>
            <w:tcBorders>
              <w:top w:val="single" w:sz="8" w:color="7F7F7F"/>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Chairman of Lake Harriet Capital, LLC</w:t>
            </w: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60" w:type="dxa"/>
            <w:vAlign w:val="bottom"/>
            <w:shd w:val="clear" w:color="auto" w:fill="B2B2B2"/>
          </w:tcPr>
          <w:p>
            <w:pPr>
              <w:spacing w:after="0"/>
              <w:rPr>
                <w:sz w:val="6"/>
                <w:szCs w:val="6"/>
                <w:color w:val="auto"/>
              </w:rPr>
            </w:pPr>
          </w:p>
        </w:tc>
        <w:tc>
          <w:tcPr>
            <w:tcW w:w="200" w:type="dxa"/>
            <w:vAlign w:val="bottom"/>
            <w:vMerge w:val="continue"/>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940" w:type="dxa"/>
            <w:vAlign w:val="bottom"/>
            <w:tcBorders>
              <w:bottom w:val="single" w:sz="8" w:color="7F7F7F"/>
            </w:tcBorders>
            <w:vMerge w:val="continue"/>
          </w:tcPr>
          <w:p>
            <w:pPr>
              <w:spacing w:after="0"/>
              <w:rPr>
                <w:sz w:val="9"/>
                <w:szCs w:val="9"/>
                <w:color w:val="auto"/>
              </w:rPr>
            </w:pPr>
          </w:p>
        </w:tc>
        <w:tc>
          <w:tcPr>
            <w:tcW w:w="520" w:type="dxa"/>
            <w:vAlign w:val="bottom"/>
            <w:tcBorders>
              <w:bottom w:val="single" w:sz="8" w:color="7F7F7F"/>
            </w:tcBorders>
          </w:tcPr>
          <w:p>
            <w:pPr>
              <w:spacing w:after="0"/>
              <w:rPr>
                <w:sz w:val="9"/>
                <w:szCs w:val="9"/>
                <w:color w:val="auto"/>
              </w:rPr>
            </w:pPr>
          </w:p>
        </w:tc>
        <w:tc>
          <w:tcPr>
            <w:tcW w:w="780" w:type="dxa"/>
            <w:vAlign w:val="bottom"/>
            <w:tcBorders>
              <w:bottom w:val="single" w:sz="8" w:color="7F7F7F"/>
            </w:tcBorders>
          </w:tcPr>
          <w:p>
            <w:pPr>
              <w:spacing w:after="0"/>
              <w:rPr>
                <w:sz w:val="9"/>
                <w:szCs w:val="9"/>
                <w:color w:val="auto"/>
              </w:rPr>
            </w:pPr>
          </w:p>
        </w:tc>
        <w:tc>
          <w:tcPr>
            <w:tcW w:w="1080" w:type="dxa"/>
            <w:vAlign w:val="bottom"/>
            <w:tcBorders>
              <w:bottom w:val="single" w:sz="8" w:color="7F7F7F"/>
            </w:tcBorders>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vMerge w:val="continue"/>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60" w:type="dxa"/>
            <w:vAlign w:val="bottom"/>
            <w:tcBorders>
              <w:bottom w:val="single" w:sz="8" w:color="7F7F7F"/>
            </w:tcBorders>
            <w:shd w:val="clear" w:color="auto" w:fill="B2B2B2"/>
          </w:tcPr>
          <w:p>
            <w:pPr>
              <w:spacing w:after="0"/>
              <w:rPr>
                <w:sz w:val="9"/>
                <w:szCs w:val="9"/>
                <w:color w:val="auto"/>
              </w:rPr>
            </w:pPr>
          </w:p>
        </w:tc>
        <w:tc>
          <w:tcPr>
            <w:tcW w:w="200" w:type="dxa"/>
            <w:vAlign w:val="bottom"/>
            <w:tcBorders>
              <w:bottom w:val="single" w:sz="8" w:color="7F7F7F"/>
            </w:tcBorders>
            <w:vMerge w:val="continue"/>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vMerge w:val="continue"/>
            <w:shd w:val="clear" w:color="auto" w:fill="B2B2B2"/>
          </w:tcPr>
          <w:p>
            <w:pPr>
              <w:spacing w:after="0"/>
              <w:rPr>
                <w:sz w:val="9"/>
                <w:szCs w:val="9"/>
                <w:color w:val="auto"/>
              </w:rPr>
            </w:pPr>
          </w:p>
        </w:tc>
        <w:tc>
          <w:tcPr>
            <w:tcW w:w="160" w:type="dxa"/>
            <w:vAlign w:val="bottom"/>
            <w:tcBorders>
              <w:bottom w:val="single" w:sz="8" w:color="7F7F7F"/>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Ernest E. Maddock</w:t>
            </w: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63</w:t>
            </w: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color w:val="auto"/>
              </w:rPr>
              <w:t>2021</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YES</w:t>
            </w:r>
          </w:p>
        </w:tc>
        <w:tc>
          <w:tcPr>
            <w:tcW w:w="240" w:type="dxa"/>
            <w:vAlign w:val="bottom"/>
            <w:shd w:val="clear" w:color="auto" w:fill="B2B2B2"/>
          </w:tcPr>
          <w:p>
            <w:pPr>
              <w:spacing w:after="0"/>
              <w:rPr>
                <w:sz w:val="19"/>
                <w:szCs w:val="19"/>
                <w:color w:val="auto"/>
              </w:rPr>
            </w:pPr>
          </w:p>
        </w:tc>
        <w:tc>
          <w:tcPr>
            <w:tcW w:w="240" w:type="dxa"/>
            <w:vAlign w:val="bottom"/>
            <w:vMerge w:val="restart"/>
            <w:shd w:val="clear" w:color="auto" w:fill="B2B2B2"/>
          </w:tcPr>
          <w:p>
            <w:pPr>
              <w:ind w:left="140"/>
              <w:spacing w:after="0"/>
              <w:rPr>
                <w:sz w:val="20"/>
                <w:szCs w:val="20"/>
                <w:color w:val="auto"/>
              </w:rPr>
            </w:pPr>
            <w:r>
              <w:rPr>
                <w:rFonts w:ascii="Arial" w:cs="Arial" w:eastAsia="Arial" w:hAnsi="Arial"/>
                <w:sz w:val="25"/>
                <w:szCs w:val="25"/>
                <w:color w:val="56C271"/>
                <w:w w:val="90"/>
              </w:rPr>
              <w:t>•</w:t>
            </w: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60" w:type="dxa"/>
            <w:vAlign w:val="bottom"/>
            <w:shd w:val="clear" w:color="auto" w:fill="B2B2B2"/>
          </w:tcPr>
          <w:p>
            <w:pPr>
              <w:spacing w:after="0"/>
              <w:rPr>
                <w:sz w:val="19"/>
                <w:szCs w:val="19"/>
                <w:color w:val="auto"/>
              </w:rPr>
            </w:pP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6C271"/>
              </w:rPr>
              <w:t>•</w:t>
            </w: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160" w:type="dxa"/>
            <w:vAlign w:val="bottom"/>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40"/>
              <w:spacing w:after="0"/>
              <w:rPr>
                <w:sz w:val="20"/>
                <w:szCs w:val="20"/>
                <w:color w:val="auto"/>
              </w:rPr>
            </w:pPr>
            <w:r>
              <w:rPr>
                <w:rFonts w:ascii="Arial" w:cs="Arial" w:eastAsia="Arial" w:hAnsi="Arial"/>
                <w:sz w:val="14"/>
                <w:szCs w:val="14"/>
                <w:color w:val="auto"/>
              </w:rPr>
              <w:t>Former Chief Financial Officer of Micron</w:t>
            </w: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240" w:type="dxa"/>
            <w:vAlign w:val="bottom"/>
            <w:vMerge w:val="continue"/>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60" w:type="dxa"/>
            <w:vAlign w:val="bottom"/>
            <w:shd w:val="clear" w:color="auto" w:fill="B2B2B2"/>
          </w:tcPr>
          <w:p>
            <w:pPr>
              <w:spacing w:after="0"/>
              <w:rPr>
                <w:sz w:val="14"/>
                <w:szCs w:val="14"/>
                <w:color w:val="auto"/>
              </w:rPr>
            </w:pPr>
          </w:p>
        </w:tc>
        <w:tc>
          <w:tcPr>
            <w:tcW w:w="200" w:type="dxa"/>
            <w:vAlign w:val="bottom"/>
            <w:vMerge w:val="continue"/>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160" w:type="dxa"/>
            <w:vAlign w:val="bottom"/>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tcPr>
          <w:p>
            <w:pPr>
              <w:ind w:left="40"/>
              <w:spacing w:after="0"/>
              <w:rPr>
                <w:sz w:val="20"/>
                <w:szCs w:val="20"/>
                <w:color w:val="auto"/>
              </w:rPr>
            </w:pPr>
            <w:r>
              <w:rPr>
                <w:rFonts w:ascii="Arial" w:cs="Arial" w:eastAsia="Arial" w:hAnsi="Arial"/>
                <w:sz w:val="14"/>
                <w:szCs w:val="14"/>
                <w:color w:val="auto"/>
              </w:rPr>
              <w:t>Technology, Inc.</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60" w:type="dxa"/>
            <w:vAlign w:val="bottom"/>
            <w:tcBorders>
              <w:bottom w:val="single" w:sz="8" w:color="B2B2B2"/>
            </w:tcBorders>
            <w:shd w:val="clear" w:color="auto" w:fill="B2B2B2"/>
          </w:tcPr>
          <w:p>
            <w:pPr>
              <w:spacing w:after="0"/>
              <w:rPr>
                <w:sz w:val="17"/>
                <w:szCs w:val="17"/>
                <w:color w:val="auto"/>
              </w:rPr>
            </w:pPr>
          </w:p>
        </w:tc>
        <w:tc>
          <w:tcPr>
            <w:tcW w:w="20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160" w:type="dxa"/>
            <w:vAlign w:val="bottom"/>
            <w:tcBorders>
              <w:bottom w:val="single" w:sz="8" w:color="B2B2B2"/>
            </w:tcBorders>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40" w:type="dxa"/>
            <w:vAlign w:val="bottom"/>
            <w:tcBorders>
              <w:top w:val="single" w:sz="8" w:color="7F7F7F"/>
            </w:tcBorders>
          </w:tcPr>
          <w:p>
            <w:pPr>
              <w:ind w:left="40"/>
              <w:spacing w:after="0"/>
              <w:rPr>
                <w:sz w:val="20"/>
                <w:szCs w:val="20"/>
                <w:color w:val="auto"/>
              </w:rPr>
            </w:pPr>
            <w:r>
              <w:rPr>
                <w:rFonts w:ascii="Arial" w:cs="Arial" w:eastAsia="Arial" w:hAnsi="Arial"/>
                <w:sz w:val="14"/>
                <w:szCs w:val="14"/>
                <w:b w:val="1"/>
                <w:bCs w:val="1"/>
                <w:color w:val="auto"/>
              </w:rPr>
              <w:t>Avid Modjtabai</w:t>
            </w:r>
          </w:p>
        </w:tc>
        <w:tc>
          <w:tcPr>
            <w:tcW w:w="520" w:type="dxa"/>
            <w:vAlign w:val="bottom"/>
            <w:tcBorders>
              <w:top w:val="single" w:sz="8" w:color="7F7F7F"/>
            </w:tcBorders>
          </w:tcPr>
          <w:p>
            <w:pPr>
              <w:spacing w:after="0"/>
              <w:rPr>
                <w:sz w:val="19"/>
                <w:szCs w:val="19"/>
                <w:color w:val="auto"/>
              </w:rPr>
            </w:pPr>
          </w:p>
        </w:tc>
        <w:tc>
          <w:tcPr>
            <w:tcW w:w="780" w:type="dxa"/>
            <w:vAlign w:val="bottom"/>
            <w:tcBorders>
              <w:top w:val="single" w:sz="8" w:color="7F7F7F"/>
            </w:tcBorders>
          </w:tcPr>
          <w:p>
            <w:pPr>
              <w:spacing w:after="0"/>
              <w:rPr>
                <w:sz w:val="19"/>
                <w:szCs w:val="19"/>
                <w:color w:val="auto"/>
              </w:rPr>
            </w:pPr>
          </w:p>
        </w:tc>
        <w:tc>
          <w:tcPr>
            <w:tcW w:w="1080" w:type="dxa"/>
            <w:vAlign w:val="bottom"/>
            <w:tcBorders>
              <w:top w:val="single" w:sz="8" w:color="7F7F7F"/>
            </w:tcBorders>
          </w:tcPr>
          <w:p>
            <w:pPr>
              <w:spacing w:after="0"/>
              <w:rPr>
                <w:sz w:val="19"/>
                <w:szCs w:val="19"/>
                <w:color w:val="auto"/>
              </w:rPr>
            </w:pPr>
          </w:p>
        </w:tc>
        <w:tc>
          <w:tcPr>
            <w:tcW w:w="240" w:type="dxa"/>
            <w:vAlign w:val="bottom"/>
            <w:tcBorders>
              <w:top w:val="single" w:sz="8" w:color="7F7F7F"/>
            </w:tcBorders>
            <w:shd w:val="clear" w:color="auto" w:fill="B2B2B2"/>
          </w:tcPr>
          <w:p>
            <w:pPr>
              <w:spacing w:after="0"/>
              <w:rPr>
                <w:sz w:val="19"/>
                <w:szCs w:val="19"/>
                <w:color w:val="auto"/>
              </w:rPr>
            </w:pPr>
          </w:p>
        </w:tc>
        <w:tc>
          <w:tcPr>
            <w:tcW w:w="240" w:type="dxa"/>
            <w:vAlign w:val="bottom"/>
            <w:tcBorders>
              <w:top w:val="single" w:sz="8" w:color="7F7F7F"/>
            </w:tcBorders>
            <w:shd w:val="clear" w:color="auto" w:fill="B2B2B2"/>
          </w:tcPr>
          <w:p>
            <w:pPr>
              <w:spacing w:after="0"/>
              <w:rPr>
                <w:sz w:val="19"/>
                <w:szCs w:val="19"/>
                <w:color w:val="auto"/>
              </w:rPr>
            </w:pPr>
          </w:p>
        </w:tc>
        <w:tc>
          <w:tcPr>
            <w:tcW w:w="240" w:type="dxa"/>
            <w:vAlign w:val="bottom"/>
            <w:tcBorders>
              <w:top w:val="single" w:sz="8" w:color="7F7F7F"/>
              <w:right w:val="single" w:sz="8" w:color="FEFEFE"/>
            </w:tcBorders>
            <w:shd w:val="clear" w:color="auto" w:fill="B2B2B2"/>
          </w:tcPr>
          <w:p>
            <w:pPr>
              <w:spacing w:after="0"/>
              <w:rPr>
                <w:sz w:val="19"/>
                <w:szCs w:val="19"/>
                <w:color w:val="auto"/>
              </w:rPr>
            </w:pPr>
          </w:p>
        </w:tc>
        <w:tc>
          <w:tcPr>
            <w:tcW w:w="220" w:type="dxa"/>
            <w:vAlign w:val="bottom"/>
            <w:tcBorders>
              <w:top w:val="single" w:sz="8" w:color="7F7F7F"/>
            </w:tcBorders>
            <w:shd w:val="clear" w:color="auto" w:fill="B2B2B2"/>
          </w:tcPr>
          <w:p>
            <w:pPr>
              <w:spacing w:after="0"/>
              <w:rPr>
                <w:sz w:val="19"/>
                <w:szCs w:val="19"/>
                <w:color w:val="auto"/>
              </w:rPr>
            </w:pPr>
          </w:p>
        </w:tc>
        <w:tc>
          <w:tcPr>
            <w:tcW w:w="240" w:type="dxa"/>
            <w:vAlign w:val="bottom"/>
            <w:tcBorders>
              <w:top w:val="single" w:sz="8" w:color="7F7F7F"/>
            </w:tcBorders>
            <w:vMerge w:val="restart"/>
            <w:shd w:val="clear" w:color="auto" w:fill="B2B2B2"/>
          </w:tcPr>
          <w:p>
            <w:pPr>
              <w:ind w:left="140"/>
              <w:spacing w:after="0"/>
              <w:rPr>
                <w:sz w:val="20"/>
                <w:szCs w:val="20"/>
                <w:color w:val="auto"/>
              </w:rPr>
            </w:pPr>
            <w:r>
              <w:rPr>
                <w:rFonts w:ascii="Arial" w:cs="Arial" w:eastAsia="Arial" w:hAnsi="Arial"/>
                <w:sz w:val="25"/>
                <w:szCs w:val="25"/>
                <w:color w:val="56C271"/>
                <w:w w:val="90"/>
              </w:rPr>
              <w:t>•</w:t>
            </w:r>
          </w:p>
        </w:tc>
        <w:tc>
          <w:tcPr>
            <w:tcW w:w="240" w:type="dxa"/>
            <w:vAlign w:val="bottom"/>
            <w:tcBorders>
              <w:top w:val="single" w:sz="8" w:color="7F7F7F"/>
              <w:right w:val="single" w:sz="8" w:color="FEFEFE"/>
            </w:tcBorders>
            <w:shd w:val="clear" w:color="auto" w:fill="B2B2B2"/>
          </w:tcPr>
          <w:p>
            <w:pPr>
              <w:spacing w:after="0"/>
              <w:rPr>
                <w:sz w:val="19"/>
                <w:szCs w:val="19"/>
                <w:color w:val="auto"/>
              </w:rPr>
            </w:pPr>
          </w:p>
        </w:tc>
        <w:tc>
          <w:tcPr>
            <w:tcW w:w="220" w:type="dxa"/>
            <w:vAlign w:val="bottom"/>
            <w:tcBorders>
              <w:top w:val="single" w:sz="8" w:color="7F7F7F"/>
            </w:tcBorders>
            <w:shd w:val="clear" w:color="auto" w:fill="B2B2B2"/>
          </w:tcPr>
          <w:p>
            <w:pPr>
              <w:spacing w:after="0"/>
              <w:rPr>
                <w:sz w:val="19"/>
                <w:szCs w:val="19"/>
                <w:color w:val="auto"/>
              </w:rPr>
            </w:pPr>
          </w:p>
        </w:tc>
        <w:tc>
          <w:tcPr>
            <w:tcW w:w="240" w:type="dxa"/>
            <w:vAlign w:val="bottom"/>
            <w:tcBorders>
              <w:top w:val="single" w:sz="8" w:color="7F7F7F"/>
            </w:tcBorders>
            <w:vMerge w:val="restart"/>
            <w:shd w:val="clear" w:color="auto" w:fill="B2B2B2"/>
          </w:tcPr>
          <w:p>
            <w:pPr>
              <w:ind w:left="140"/>
              <w:spacing w:after="0"/>
              <w:rPr>
                <w:sz w:val="20"/>
                <w:szCs w:val="20"/>
                <w:color w:val="auto"/>
              </w:rPr>
            </w:pPr>
            <w:r>
              <w:rPr>
                <w:rFonts w:ascii="Arial" w:cs="Arial" w:eastAsia="Arial" w:hAnsi="Arial"/>
                <w:sz w:val="25"/>
                <w:szCs w:val="25"/>
                <w:color w:val="auto"/>
                <w:w w:val="89"/>
              </w:rPr>
              <w:t>◦</w:t>
            </w:r>
          </w:p>
        </w:tc>
        <w:tc>
          <w:tcPr>
            <w:tcW w:w="240" w:type="dxa"/>
            <w:vAlign w:val="bottom"/>
            <w:tcBorders>
              <w:top w:val="single" w:sz="8" w:color="7F7F7F"/>
              <w:right w:val="single" w:sz="8" w:color="FEFEFE"/>
            </w:tcBorders>
            <w:shd w:val="clear" w:color="auto" w:fill="B2B2B2"/>
          </w:tcPr>
          <w:p>
            <w:pPr>
              <w:spacing w:after="0"/>
              <w:rPr>
                <w:sz w:val="19"/>
                <w:szCs w:val="19"/>
                <w:color w:val="auto"/>
              </w:rPr>
            </w:pPr>
          </w:p>
        </w:tc>
        <w:tc>
          <w:tcPr>
            <w:tcW w:w="260" w:type="dxa"/>
            <w:vAlign w:val="bottom"/>
            <w:tcBorders>
              <w:top w:val="single" w:sz="8" w:color="7F7F7F"/>
            </w:tcBorders>
            <w:shd w:val="clear" w:color="auto" w:fill="B2B2B2"/>
          </w:tcPr>
          <w:p>
            <w:pPr>
              <w:spacing w:after="0"/>
              <w:rPr>
                <w:sz w:val="19"/>
                <w:szCs w:val="19"/>
                <w:color w:val="auto"/>
              </w:rPr>
            </w:pPr>
          </w:p>
        </w:tc>
        <w:tc>
          <w:tcPr>
            <w:tcW w:w="200" w:type="dxa"/>
            <w:vAlign w:val="bottom"/>
            <w:tcBorders>
              <w:top w:val="single" w:sz="8" w:color="7F7F7F"/>
            </w:tcBorders>
            <w:shd w:val="clear" w:color="auto" w:fill="B2B2B2"/>
          </w:tcPr>
          <w:p>
            <w:pPr>
              <w:spacing w:after="0"/>
              <w:rPr>
                <w:sz w:val="19"/>
                <w:szCs w:val="19"/>
                <w:color w:val="auto"/>
              </w:rPr>
            </w:pPr>
          </w:p>
        </w:tc>
        <w:tc>
          <w:tcPr>
            <w:tcW w:w="240" w:type="dxa"/>
            <w:vAlign w:val="bottom"/>
            <w:tcBorders>
              <w:top w:val="single" w:sz="8" w:color="7F7F7F"/>
              <w:right w:val="single" w:sz="8" w:color="FEFEFE"/>
            </w:tcBorders>
            <w:shd w:val="clear" w:color="auto" w:fill="B2B2B2"/>
          </w:tcPr>
          <w:p>
            <w:pPr>
              <w:spacing w:after="0"/>
              <w:rPr>
                <w:sz w:val="19"/>
                <w:szCs w:val="19"/>
                <w:color w:val="auto"/>
              </w:rPr>
            </w:pPr>
          </w:p>
        </w:tc>
        <w:tc>
          <w:tcPr>
            <w:tcW w:w="220" w:type="dxa"/>
            <w:vAlign w:val="bottom"/>
            <w:tcBorders>
              <w:top w:val="single" w:sz="8" w:color="7F7F7F"/>
            </w:tcBorders>
            <w:shd w:val="clear" w:color="auto" w:fill="B2B2B2"/>
          </w:tcPr>
          <w:p>
            <w:pPr>
              <w:spacing w:after="0"/>
              <w:rPr>
                <w:sz w:val="19"/>
                <w:szCs w:val="19"/>
                <w:color w:val="auto"/>
              </w:rPr>
            </w:pPr>
          </w:p>
        </w:tc>
        <w:tc>
          <w:tcPr>
            <w:tcW w:w="240" w:type="dxa"/>
            <w:vAlign w:val="bottom"/>
            <w:tcBorders>
              <w:top w:val="single" w:sz="8" w:color="7F7F7F"/>
            </w:tcBorders>
            <w:vMerge w:val="restart"/>
            <w:shd w:val="clear" w:color="auto" w:fill="B2B2B2"/>
          </w:tcPr>
          <w:p>
            <w:pPr>
              <w:jc w:val="right"/>
              <w:spacing w:after="0"/>
              <w:rPr>
                <w:sz w:val="20"/>
                <w:szCs w:val="20"/>
                <w:color w:val="auto"/>
              </w:rPr>
            </w:pPr>
            <w:r>
              <w:rPr>
                <w:rFonts w:ascii="Arial" w:cs="Arial" w:eastAsia="Arial" w:hAnsi="Arial"/>
                <w:sz w:val="25"/>
                <w:szCs w:val="25"/>
                <w:color w:val="56C271"/>
              </w:rPr>
              <w:t>•</w:t>
            </w:r>
          </w:p>
        </w:tc>
        <w:tc>
          <w:tcPr>
            <w:tcW w:w="160" w:type="dxa"/>
            <w:vAlign w:val="bottom"/>
            <w:tcBorders>
              <w:top w:val="single" w:sz="8" w:color="7F7F7F"/>
            </w:tcBorders>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40"/>
              <w:spacing w:after="0"/>
              <w:rPr>
                <w:sz w:val="20"/>
                <w:szCs w:val="20"/>
                <w:color w:val="auto"/>
              </w:rPr>
            </w:pPr>
            <w:r>
              <w:rPr>
                <w:rFonts w:ascii="Arial" w:cs="Arial" w:eastAsia="Arial" w:hAnsi="Arial"/>
                <w:sz w:val="14"/>
                <w:szCs w:val="14"/>
                <w:color w:val="auto"/>
              </w:rPr>
              <w:t>Former Senior Executive Vice President,</w:t>
            </w: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59</w:t>
            </w: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color w:val="auto"/>
              </w:rPr>
              <w:t>2014</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YES</w:t>
            </w:r>
          </w:p>
        </w:tc>
        <w:tc>
          <w:tcPr>
            <w:tcW w:w="24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vMerge w:val="continue"/>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vMerge w:val="continue"/>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60" w:type="dxa"/>
            <w:vAlign w:val="bottom"/>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vMerge w:val="continue"/>
            <w:shd w:val="clear" w:color="auto" w:fill="B2B2B2"/>
          </w:tcPr>
          <w:p>
            <w:pPr>
              <w:spacing w:after="0"/>
              <w:rPr>
                <w:sz w:val="14"/>
                <w:szCs w:val="14"/>
                <w:color w:val="auto"/>
              </w:rPr>
            </w:pPr>
          </w:p>
        </w:tc>
        <w:tc>
          <w:tcPr>
            <w:tcW w:w="160" w:type="dxa"/>
            <w:vAlign w:val="bottom"/>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Payments, Virtual Solutions and Innovation</w:t>
            </w: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60" w:type="dxa"/>
            <w:vAlign w:val="bottom"/>
            <w:shd w:val="clear" w:color="auto" w:fill="B2B2B2"/>
          </w:tcPr>
          <w:p>
            <w:pPr>
              <w:spacing w:after="0"/>
              <w:rPr>
                <w:sz w:val="6"/>
                <w:szCs w:val="6"/>
                <w:color w:val="auto"/>
              </w:rPr>
            </w:pPr>
          </w:p>
        </w:tc>
        <w:tc>
          <w:tcPr>
            <w:tcW w:w="20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9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240" w:type="dxa"/>
            <w:vAlign w:val="bottom"/>
            <w:tcBorders>
              <w:right w:val="single" w:sz="8" w:color="FEFEFE"/>
            </w:tcBorders>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240" w:type="dxa"/>
            <w:vAlign w:val="bottom"/>
            <w:vMerge w:val="continue"/>
            <w:shd w:val="clear" w:color="auto" w:fill="B2B2B2"/>
          </w:tcPr>
          <w:p>
            <w:pPr>
              <w:spacing w:after="0"/>
              <w:rPr>
                <w:sz w:val="7"/>
                <w:szCs w:val="7"/>
                <w:color w:val="auto"/>
              </w:rPr>
            </w:pPr>
          </w:p>
        </w:tc>
        <w:tc>
          <w:tcPr>
            <w:tcW w:w="240" w:type="dxa"/>
            <w:vAlign w:val="bottom"/>
            <w:tcBorders>
              <w:right w:val="single" w:sz="8" w:color="FEFEFE"/>
            </w:tcBorders>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240" w:type="dxa"/>
            <w:vAlign w:val="bottom"/>
            <w:vMerge w:val="continue"/>
            <w:shd w:val="clear" w:color="auto" w:fill="B2B2B2"/>
          </w:tcPr>
          <w:p>
            <w:pPr>
              <w:spacing w:after="0"/>
              <w:rPr>
                <w:sz w:val="7"/>
                <w:szCs w:val="7"/>
                <w:color w:val="auto"/>
              </w:rPr>
            </w:pPr>
          </w:p>
        </w:tc>
        <w:tc>
          <w:tcPr>
            <w:tcW w:w="240" w:type="dxa"/>
            <w:vAlign w:val="bottom"/>
            <w:tcBorders>
              <w:right w:val="single" w:sz="8" w:color="FEFEFE"/>
            </w:tcBorders>
            <w:shd w:val="clear" w:color="auto" w:fill="B2B2B2"/>
          </w:tcPr>
          <w:p>
            <w:pPr>
              <w:spacing w:after="0"/>
              <w:rPr>
                <w:sz w:val="7"/>
                <w:szCs w:val="7"/>
                <w:color w:val="auto"/>
              </w:rPr>
            </w:pPr>
          </w:p>
        </w:tc>
        <w:tc>
          <w:tcPr>
            <w:tcW w:w="260" w:type="dxa"/>
            <w:vAlign w:val="bottom"/>
            <w:shd w:val="clear" w:color="auto" w:fill="B2B2B2"/>
          </w:tcPr>
          <w:p>
            <w:pPr>
              <w:spacing w:after="0"/>
              <w:rPr>
                <w:sz w:val="7"/>
                <w:szCs w:val="7"/>
                <w:color w:val="auto"/>
              </w:rPr>
            </w:pPr>
          </w:p>
        </w:tc>
        <w:tc>
          <w:tcPr>
            <w:tcW w:w="200" w:type="dxa"/>
            <w:vAlign w:val="bottom"/>
            <w:shd w:val="clear" w:color="auto" w:fill="B2B2B2"/>
          </w:tcPr>
          <w:p>
            <w:pPr>
              <w:spacing w:after="0"/>
              <w:rPr>
                <w:sz w:val="7"/>
                <w:szCs w:val="7"/>
                <w:color w:val="auto"/>
              </w:rPr>
            </w:pPr>
          </w:p>
        </w:tc>
        <w:tc>
          <w:tcPr>
            <w:tcW w:w="240" w:type="dxa"/>
            <w:vAlign w:val="bottom"/>
            <w:tcBorders>
              <w:right w:val="single" w:sz="8" w:color="FEFEFE"/>
            </w:tcBorders>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240" w:type="dxa"/>
            <w:vAlign w:val="bottom"/>
            <w:vMerge w:val="continue"/>
            <w:shd w:val="clear" w:color="auto" w:fill="B2B2B2"/>
          </w:tcPr>
          <w:p>
            <w:pPr>
              <w:spacing w:after="0"/>
              <w:rPr>
                <w:sz w:val="7"/>
                <w:szCs w:val="7"/>
                <w:color w:val="auto"/>
              </w:rPr>
            </w:pPr>
          </w:p>
        </w:tc>
        <w:tc>
          <w:tcPr>
            <w:tcW w:w="160" w:type="dxa"/>
            <w:vAlign w:val="bottom"/>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940" w:type="dxa"/>
            <w:vAlign w:val="bottom"/>
          </w:tcPr>
          <w:p>
            <w:pPr>
              <w:ind w:left="40"/>
              <w:spacing w:after="0"/>
              <w:rPr>
                <w:sz w:val="20"/>
                <w:szCs w:val="20"/>
                <w:color w:val="auto"/>
              </w:rPr>
            </w:pPr>
            <w:r>
              <w:rPr>
                <w:rFonts w:ascii="Arial" w:cs="Arial" w:eastAsia="Arial" w:hAnsi="Arial"/>
                <w:sz w:val="14"/>
                <w:szCs w:val="14"/>
                <w:color w:val="auto"/>
              </w:rPr>
              <w:t>Group, Wells Fargo</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60" w:type="dxa"/>
            <w:vAlign w:val="bottom"/>
            <w:tcBorders>
              <w:bottom w:val="single" w:sz="8" w:color="B2B2B2"/>
            </w:tcBorders>
            <w:shd w:val="clear" w:color="auto" w:fill="B2B2B2"/>
          </w:tcPr>
          <w:p>
            <w:pPr>
              <w:spacing w:after="0"/>
              <w:rPr>
                <w:sz w:val="17"/>
                <w:szCs w:val="17"/>
                <w:color w:val="auto"/>
              </w:rPr>
            </w:pPr>
          </w:p>
        </w:tc>
        <w:tc>
          <w:tcPr>
            <w:tcW w:w="20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right w:val="single" w:sz="8" w:color="FEFEFE"/>
            </w:tcBorders>
            <w:shd w:val="clear" w:color="auto" w:fill="B2B2B2"/>
          </w:tcPr>
          <w:p>
            <w:pPr>
              <w:spacing w:after="0"/>
              <w:rPr>
                <w:sz w:val="17"/>
                <w:szCs w:val="17"/>
                <w:color w:val="auto"/>
              </w:rPr>
            </w:pPr>
          </w:p>
        </w:tc>
        <w:tc>
          <w:tcPr>
            <w:tcW w:w="220" w:type="dxa"/>
            <w:vAlign w:val="bottom"/>
            <w:tcBorders>
              <w:bottom w:val="single" w:sz="8" w:color="B2B2B2"/>
            </w:tcBorders>
            <w:shd w:val="clear" w:color="auto" w:fill="B2B2B2"/>
          </w:tcPr>
          <w:p>
            <w:pPr>
              <w:spacing w:after="0"/>
              <w:rPr>
                <w:sz w:val="17"/>
                <w:szCs w:val="17"/>
                <w:color w:val="auto"/>
              </w:rPr>
            </w:pPr>
          </w:p>
        </w:tc>
        <w:tc>
          <w:tcPr>
            <w:tcW w:w="240" w:type="dxa"/>
            <w:vAlign w:val="bottom"/>
            <w:tcBorders>
              <w:bottom w:val="single" w:sz="8" w:color="B2B2B2"/>
            </w:tcBorders>
            <w:shd w:val="clear" w:color="auto" w:fill="B2B2B2"/>
          </w:tcPr>
          <w:p>
            <w:pPr>
              <w:spacing w:after="0"/>
              <w:rPr>
                <w:sz w:val="17"/>
                <w:szCs w:val="17"/>
                <w:color w:val="auto"/>
              </w:rPr>
            </w:pPr>
          </w:p>
        </w:tc>
        <w:tc>
          <w:tcPr>
            <w:tcW w:w="160" w:type="dxa"/>
            <w:vAlign w:val="bottom"/>
            <w:tcBorders>
              <w:bottom w:val="single" w:sz="8" w:color="B2B2B2"/>
            </w:tcBorders>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40" w:type="dxa"/>
            <w:vAlign w:val="bottom"/>
            <w:tcBorders>
              <w:top w:val="single" w:sz="8" w:color="7F7F7F"/>
            </w:tcBorders>
          </w:tcPr>
          <w:p>
            <w:pPr>
              <w:ind w:left="40"/>
              <w:spacing w:after="0"/>
              <w:rPr>
                <w:sz w:val="20"/>
                <w:szCs w:val="20"/>
                <w:color w:val="auto"/>
              </w:rPr>
            </w:pPr>
            <w:r>
              <w:rPr>
                <w:rFonts w:ascii="Arial" w:cs="Arial" w:eastAsia="Arial" w:hAnsi="Arial"/>
                <w:sz w:val="14"/>
                <w:szCs w:val="14"/>
                <w:b w:val="1"/>
                <w:bCs w:val="1"/>
                <w:color w:val="auto"/>
              </w:rPr>
              <w:t>Adalio T. Sanchez</w:t>
            </w:r>
          </w:p>
        </w:tc>
        <w:tc>
          <w:tcPr>
            <w:tcW w:w="520" w:type="dxa"/>
            <w:vAlign w:val="bottom"/>
            <w:tcBorders>
              <w:top w:val="single" w:sz="8" w:color="7F7F7F"/>
            </w:tcBorders>
            <w:vMerge w:val="restart"/>
          </w:tcPr>
          <w:p>
            <w:pPr>
              <w:jc w:val="right"/>
              <w:ind w:right="128"/>
              <w:spacing w:after="0"/>
              <w:rPr>
                <w:sz w:val="20"/>
                <w:szCs w:val="20"/>
                <w:color w:val="auto"/>
              </w:rPr>
            </w:pPr>
            <w:r>
              <w:rPr>
                <w:rFonts w:ascii="Arial" w:cs="Arial" w:eastAsia="Arial" w:hAnsi="Arial"/>
                <w:sz w:val="14"/>
                <w:szCs w:val="14"/>
                <w:color w:val="auto"/>
              </w:rPr>
              <w:t>62</w:t>
            </w:r>
          </w:p>
        </w:tc>
        <w:tc>
          <w:tcPr>
            <w:tcW w:w="780" w:type="dxa"/>
            <w:vAlign w:val="bottom"/>
            <w:tcBorders>
              <w:top w:val="single" w:sz="8" w:color="7F7F7F"/>
            </w:tcBorders>
            <w:vMerge w:val="restart"/>
          </w:tcPr>
          <w:p>
            <w:pPr>
              <w:jc w:val="center"/>
              <w:ind w:right="28"/>
              <w:spacing w:after="0"/>
              <w:rPr>
                <w:sz w:val="20"/>
                <w:szCs w:val="20"/>
                <w:color w:val="auto"/>
              </w:rPr>
            </w:pPr>
            <w:r>
              <w:rPr>
                <w:rFonts w:ascii="Arial" w:cs="Arial" w:eastAsia="Arial" w:hAnsi="Arial"/>
                <w:sz w:val="14"/>
                <w:szCs w:val="14"/>
                <w:color w:val="auto"/>
              </w:rPr>
              <w:t>2019</w:t>
            </w:r>
          </w:p>
        </w:tc>
        <w:tc>
          <w:tcPr>
            <w:tcW w:w="1080" w:type="dxa"/>
            <w:vAlign w:val="bottom"/>
            <w:tcBorders>
              <w:top w:val="single" w:sz="8" w:color="7F7F7F"/>
            </w:tcBorders>
            <w:vMerge w:val="restart"/>
          </w:tcPr>
          <w:p>
            <w:pPr>
              <w:jc w:val="right"/>
              <w:ind w:right="328"/>
              <w:spacing w:after="0"/>
              <w:rPr>
                <w:sz w:val="20"/>
                <w:szCs w:val="20"/>
                <w:color w:val="auto"/>
              </w:rPr>
            </w:pPr>
            <w:r>
              <w:rPr>
                <w:rFonts w:ascii="Arial" w:cs="Arial" w:eastAsia="Arial" w:hAnsi="Arial"/>
                <w:sz w:val="14"/>
                <w:szCs w:val="14"/>
                <w:color w:val="auto"/>
              </w:rPr>
              <w:t>YES</w:t>
            </w:r>
          </w:p>
        </w:tc>
        <w:tc>
          <w:tcPr>
            <w:tcW w:w="24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vMerge w:val="restart"/>
            <w:shd w:val="clear" w:color="auto" w:fill="B2B2B2"/>
          </w:tcPr>
          <w:p>
            <w:pPr>
              <w:ind w:left="160"/>
              <w:spacing w:after="0"/>
              <w:rPr>
                <w:sz w:val="20"/>
                <w:szCs w:val="20"/>
                <w:color w:val="auto"/>
              </w:rPr>
            </w:pPr>
            <w:r>
              <w:rPr>
                <w:rFonts w:ascii="Arial" w:cs="Arial" w:eastAsia="Arial" w:hAnsi="Arial"/>
                <w:sz w:val="24"/>
                <w:szCs w:val="24"/>
                <w:color w:val="56C271"/>
                <w:w w:val="70"/>
              </w:rPr>
              <w:t>•</w:t>
            </w: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vMerge w:val="restart"/>
            <w:shd w:val="clear" w:color="auto" w:fill="B2B2B2"/>
          </w:tcPr>
          <w:p>
            <w:pPr>
              <w:ind w:left="160"/>
              <w:spacing w:after="0"/>
              <w:rPr>
                <w:sz w:val="20"/>
                <w:szCs w:val="20"/>
                <w:color w:val="auto"/>
              </w:rPr>
            </w:pPr>
            <w:r>
              <w:rPr>
                <w:rFonts w:ascii="Arial" w:cs="Arial" w:eastAsia="Arial" w:hAnsi="Arial"/>
                <w:sz w:val="24"/>
                <w:szCs w:val="24"/>
                <w:color w:val="56C271"/>
                <w:w w:val="70"/>
              </w:rPr>
              <w:t>•</w:t>
            </w: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60" w:type="dxa"/>
            <w:vAlign w:val="bottom"/>
            <w:tcBorders>
              <w:top w:val="single" w:sz="8" w:color="7F7F7F"/>
            </w:tcBorders>
            <w:shd w:val="clear" w:color="auto" w:fill="B2B2B2"/>
          </w:tcPr>
          <w:p>
            <w:pPr>
              <w:spacing w:after="0"/>
              <w:rPr>
                <w:sz w:val="18"/>
                <w:szCs w:val="18"/>
                <w:color w:val="auto"/>
              </w:rPr>
            </w:pPr>
          </w:p>
        </w:tc>
        <w:tc>
          <w:tcPr>
            <w:tcW w:w="20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right w:val="single" w:sz="8" w:color="FEFEFE"/>
            </w:tcBorders>
            <w:shd w:val="clear" w:color="auto" w:fill="B2B2B2"/>
          </w:tcPr>
          <w:p>
            <w:pPr>
              <w:spacing w:after="0"/>
              <w:rPr>
                <w:sz w:val="18"/>
                <w:szCs w:val="18"/>
                <w:color w:val="auto"/>
              </w:rPr>
            </w:pPr>
          </w:p>
        </w:tc>
        <w:tc>
          <w:tcPr>
            <w:tcW w:w="220" w:type="dxa"/>
            <w:vAlign w:val="bottom"/>
            <w:tcBorders>
              <w:top w:val="single" w:sz="8" w:color="7F7F7F"/>
            </w:tcBorders>
            <w:shd w:val="clear" w:color="auto" w:fill="B2B2B2"/>
          </w:tcPr>
          <w:p>
            <w:pPr>
              <w:spacing w:after="0"/>
              <w:rPr>
                <w:sz w:val="18"/>
                <w:szCs w:val="18"/>
                <w:color w:val="auto"/>
              </w:rPr>
            </w:pPr>
          </w:p>
        </w:tc>
        <w:tc>
          <w:tcPr>
            <w:tcW w:w="240" w:type="dxa"/>
            <w:vAlign w:val="bottom"/>
            <w:tcBorders>
              <w:top w:val="single" w:sz="8" w:color="7F7F7F"/>
            </w:tcBorders>
            <w:shd w:val="clear" w:color="auto" w:fill="B2B2B2"/>
          </w:tcPr>
          <w:p>
            <w:pPr>
              <w:spacing w:after="0"/>
              <w:rPr>
                <w:sz w:val="18"/>
                <w:szCs w:val="18"/>
                <w:color w:val="auto"/>
              </w:rPr>
            </w:pPr>
          </w:p>
        </w:tc>
        <w:tc>
          <w:tcPr>
            <w:tcW w:w="160" w:type="dxa"/>
            <w:vAlign w:val="bottom"/>
            <w:tcBorders>
              <w:top w:val="single" w:sz="8" w:color="7F7F7F"/>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President of S Group Advisory LLC</w:t>
            </w: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60" w:type="dxa"/>
            <w:vAlign w:val="bottom"/>
            <w:shd w:val="clear" w:color="auto" w:fill="B2B2B2"/>
          </w:tcPr>
          <w:p>
            <w:pPr>
              <w:spacing w:after="0"/>
              <w:rPr>
                <w:sz w:val="6"/>
                <w:szCs w:val="6"/>
                <w:color w:val="auto"/>
              </w:rPr>
            </w:pPr>
          </w:p>
        </w:tc>
        <w:tc>
          <w:tcPr>
            <w:tcW w:w="20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940" w:type="dxa"/>
            <w:vAlign w:val="bottom"/>
            <w:tcBorders>
              <w:bottom w:val="single" w:sz="8" w:color="7F7F7F"/>
            </w:tcBorders>
            <w:vMerge w:val="continue"/>
          </w:tcPr>
          <w:p>
            <w:pPr>
              <w:spacing w:after="0"/>
              <w:rPr>
                <w:sz w:val="9"/>
                <w:szCs w:val="9"/>
                <w:color w:val="auto"/>
              </w:rPr>
            </w:pPr>
          </w:p>
        </w:tc>
        <w:tc>
          <w:tcPr>
            <w:tcW w:w="520" w:type="dxa"/>
            <w:vAlign w:val="bottom"/>
            <w:tcBorders>
              <w:bottom w:val="single" w:sz="8" w:color="7F7F7F"/>
            </w:tcBorders>
          </w:tcPr>
          <w:p>
            <w:pPr>
              <w:spacing w:after="0"/>
              <w:rPr>
                <w:sz w:val="9"/>
                <w:szCs w:val="9"/>
                <w:color w:val="auto"/>
              </w:rPr>
            </w:pPr>
          </w:p>
        </w:tc>
        <w:tc>
          <w:tcPr>
            <w:tcW w:w="780" w:type="dxa"/>
            <w:vAlign w:val="bottom"/>
            <w:tcBorders>
              <w:bottom w:val="single" w:sz="8" w:color="7F7F7F"/>
            </w:tcBorders>
          </w:tcPr>
          <w:p>
            <w:pPr>
              <w:spacing w:after="0"/>
              <w:rPr>
                <w:sz w:val="9"/>
                <w:szCs w:val="9"/>
                <w:color w:val="auto"/>
              </w:rPr>
            </w:pPr>
          </w:p>
        </w:tc>
        <w:tc>
          <w:tcPr>
            <w:tcW w:w="1080" w:type="dxa"/>
            <w:vAlign w:val="bottom"/>
            <w:tcBorders>
              <w:bottom w:val="single" w:sz="8" w:color="7F7F7F"/>
            </w:tcBorders>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vMerge w:val="continue"/>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vMerge w:val="continue"/>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60" w:type="dxa"/>
            <w:vAlign w:val="bottom"/>
            <w:tcBorders>
              <w:bottom w:val="single" w:sz="8" w:color="7F7F7F"/>
            </w:tcBorders>
            <w:shd w:val="clear" w:color="auto" w:fill="B2B2B2"/>
          </w:tcPr>
          <w:p>
            <w:pPr>
              <w:spacing w:after="0"/>
              <w:rPr>
                <w:sz w:val="9"/>
                <w:szCs w:val="9"/>
                <w:color w:val="auto"/>
              </w:rPr>
            </w:pPr>
          </w:p>
        </w:tc>
        <w:tc>
          <w:tcPr>
            <w:tcW w:w="20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right w:val="single" w:sz="8" w:color="FEFEFE"/>
            </w:tcBorders>
            <w:shd w:val="clear" w:color="auto" w:fill="B2B2B2"/>
          </w:tcPr>
          <w:p>
            <w:pPr>
              <w:spacing w:after="0"/>
              <w:rPr>
                <w:sz w:val="9"/>
                <w:szCs w:val="9"/>
                <w:color w:val="auto"/>
              </w:rPr>
            </w:pPr>
          </w:p>
        </w:tc>
        <w:tc>
          <w:tcPr>
            <w:tcW w:w="220" w:type="dxa"/>
            <w:vAlign w:val="bottom"/>
            <w:tcBorders>
              <w:bottom w:val="single" w:sz="8" w:color="7F7F7F"/>
            </w:tcBorders>
            <w:shd w:val="clear" w:color="auto" w:fill="B2B2B2"/>
          </w:tcPr>
          <w:p>
            <w:pPr>
              <w:spacing w:after="0"/>
              <w:rPr>
                <w:sz w:val="9"/>
                <w:szCs w:val="9"/>
                <w:color w:val="auto"/>
              </w:rPr>
            </w:pPr>
          </w:p>
        </w:tc>
        <w:tc>
          <w:tcPr>
            <w:tcW w:w="240" w:type="dxa"/>
            <w:vAlign w:val="bottom"/>
            <w:tcBorders>
              <w:bottom w:val="single" w:sz="8" w:color="7F7F7F"/>
            </w:tcBorders>
            <w:shd w:val="clear" w:color="auto" w:fill="B2B2B2"/>
          </w:tcPr>
          <w:p>
            <w:pPr>
              <w:spacing w:after="0"/>
              <w:rPr>
                <w:sz w:val="9"/>
                <w:szCs w:val="9"/>
                <w:color w:val="auto"/>
              </w:rPr>
            </w:pPr>
          </w:p>
        </w:tc>
        <w:tc>
          <w:tcPr>
            <w:tcW w:w="160" w:type="dxa"/>
            <w:vAlign w:val="bottom"/>
            <w:tcBorders>
              <w:bottom w:val="single" w:sz="8" w:color="7F7F7F"/>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William H. Schumann, III</w:t>
            </w: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vMerge w:val="restart"/>
            <w:shd w:val="clear" w:color="auto" w:fill="B2B2B2"/>
          </w:tcPr>
          <w:p>
            <w:pPr>
              <w:ind w:left="140"/>
              <w:spacing w:after="0"/>
              <w:rPr>
                <w:sz w:val="20"/>
                <w:szCs w:val="20"/>
                <w:color w:val="auto"/>
              </w:rPr>
            </w:pPr>
            <w:r>
              <w:rPr>
                <w:rFonts w:ascii="Arial" w:cs="Arial" w:eastAsia="Arial" w:hAnsi="Arial"/>
                <w:sz w:val="25"/>
                <w:szCs w:val="25"/>
                <w:color w:val="56C271"/>
                <w:w w:val="90"/>
              </w:rPr>
              <w:t>•</w:t>
            </w: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shd w:val="clear" w:color="auto" w:fill="B2B2B2"/>
          </w:tcPr>
          <w:p>
            <w:pPr>
              <w:spacing w:after="0"/>
              <w:rPr>
                <w:sz w:val="19"/>
                <w:szCs w:val="19"/>
                <w:color w:val="auto"/>
              </w:rPr>
            </w:pPr>
          </w:p>
        </w:tc>
        <w:tc>
          <w:tcPr>
            <w:tcW w:w="240" w:type="dxa"/>
            <w:vAlign w:val="bottom"/>
            <w:tcBorders>
              <w:right w:val="single" w:sz="8" w:color="FEFEFE"/>
            </w:tcBorders>
            <w:shd w:val="clear" w:color="auto" w:fill="B2B2B2"/>
          </w:tcPr>
          <w:p>
            <w:pPr>
              <w:spacing w:after="0"/>
              <w:rPr>
                <w:sz w:val="19"/>
                <w:szCs w:val="19"/>
                <w:color w:val="auto"/>
              </w:rPr>
            </w:pPr>
          </w:p>
        </w:tc>
        <w:tc>
          <w:tcPr>
            <w:tcW w:w="260" w:type="dxa"/>
            <w:vAlign w:val="bottom"/>
            <w:shd w:val="clear" w:color="auto" w:fill="B2B2B2"/>
          </w:tcPr>
          <w:p>
            <w:pPr>
              <w:spacing w:after="0"/>
              <w:rPr>
                <w:sz w:val="19"/>
                <w:szCs w:val="19"/>
                <w:color w:val="auto"/>
              </w:rPr>
            </w:pP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240" w:type="dxa"/>
            <w:vAlign w:val="bottom"/>
            <w:tcBorders>
              <w:right w:val="single" w:sz="8" w:color="FEFEFE"/>
            </w:tcBorders>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24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6C271"/>
              </w:rPr>
              <w:t>•</w:t>
            </w:r>
          </w:p>
        </w:tc>
        <w:tc>
          <w:tcPr>
            <w:tcW w:w="160" w:type="dxa"/>
            <w:vAlign w:val="bottom"/>
            <w:shd w:val="clear" w:color="auto" w:fill="B2B2B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40"/>
              <w:spacing w:after="0"/>
              <w:rPr>
                <w:sz w:val="20"/>
                <w:szCs w:val="20"/>
                <w:color w:val="auto"/>
              </w:rPr>
            </w:pPr>
            <w:r>
              <w:rPr>
                <w:rFonts w:ascii="Arial" w:cs="Arial" w:eastAsia="Arial" w:hAnsi="Arial"/>
                <w:sz w:val="14"/>
                <w:szCs w:val="14"/>
                <w:color w:val="auto"/>
              </w:rPr>
              <w:t>Former Executive Vice President and</w:t>
            </w: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71</w:t>
            </w: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color w:val="auto"/>
              </w:rPr>
              <w:t>2010</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YES</w:t>
            </w:r>
          </w:p>
        </w:tc>
        <w:tc>
          <w:tcPr>
            <w:tcW w:w="240" w:type="dxa"/>
            <w:vAlign w:val="bottom"/>
            <w:shd w:val="clear" w:color="auto" w:fill="B2B2B2"/>
          </w:tcPr>
          <w:p>
            <w:pPr>
              <w:spacing w:after="0"/>
              <w:rPr>
                <w:sz w:val="14"/>
                <w:szCs w:val="14"/>
                <w:color w:val="auto"/>
              </w:rPr>
            </w:pPr>
          </w:p>
        </w:tc>
        <w:tc>
          <w:tcPr>
            <w:tcW w:w="240" w:type="dxa"/>
            <w:vAlign w:val="bottom"/>
            <w:vMerge w:val="continue"/>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60" w:type="dxa"/>
            <w:vAlign w:val="bottom"/>
            <w:shd w:val="clear" w:color="auto" w:fill="B2B2B2"/>
          </w:tcPr>
          <w:p>
            <w:pPr>
              <w:spacing w:after="0"/>
              <w:rPr>
                <w:sz w:val="14"/>
                <w:szCs w:val="14"/>
                <w:color w:val="auto"/>
              </w:rPr>
            </w:pPr>
          </w:p>
        </w:tc>
        <w:tc>
          <w:tcPr>
            <w:tcW w:w="200" w:type="dxa"/>
            <w:vAlign w:val="bottom"/>
            <w:vMerge w:val="continue"/>
            <w:shd w:val="clear" w:color="auto" w:fill="B2B2B2"/>
          </w:tcPr>
          <w:p>
            <w:pPr>
              <w:spacing w:after="0"/>
              <w:rPr>
                <w:sz w:val="14"/>
                <w:szCs w:val="14"/>
                <w:color w:val="auto"/>
              </w:rPr>
            </w:pPr>
          </w:p>
        </w:tc>
        <w:tc>
          <w:tcPr>
            <w:tcW w:w="240" w:type="dxa"/>
            <w:vAlign w:val="bottom"/>
            <w:tcBorders>
              <w:right w:val="single" w:sz="8" w:color="FEFEFE"/>
            </w:tcBorders>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240" w:type="dxa"/>
            <w:vAlign w:val="bottom"/>
            <w:vMerge w:val="continue"/>
            <w:shd w:val="clear" w:color="auto" w:fill="B2B2B2"/>
          </w:tcPr>
          <w:p>
            <w:pPr>
              <w:spacing w:after="0"/>
              <w:rPr>
                <w:sz w:val="14"/>
                <w:szCs w:val="14"/>
                <w:color w:val="auto"/>
              </w:rPr>
            </w:pPr>
          </w:p>
        </w:tc>
        <w:tc>
          <w:tcPr>
            <w:tcW w:w="160" w:type="dxa"/>
            <w:vAlign w:val="bottom"/>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Chief Financial Officer, FMC Technologies,</w:t>
            </w:r>
          </w:p>
        </w:tc>
        <w:tc>
          <w:tcPr>
            <w:tcW w:w="5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60" w:type="dxa"/>
            <w:vAlign w:val="bottom"/>
            <w:shd w:val="clear" w:color="auto" w:fill="B2B2B2"/>
          </w:tcPr>
          <w:p>
            <w:pPr>
              <w:spacing w:after="0"/>
              <w:rPr>
                <w:sz w:val="6"/>
                <w:szCs w:val="6"/>
                <w:color w:val="auto"/>
              </w:rPr>
            </w:pPr>
          </w:p>
        </w:tc>
        <w:tc>
          <w:tcPr>
            <w:tcW w:w="200" w:type="dxa"/>
            <w:vAlign w:val="bottom"/>
            <w:vMerge w:val="continue"/>
            <w:shd w:val="clear" w:color="auto" w:fill="B2B2B2"/>
          </w:tcPr>
          <w:p>
            <w:pPr>
              <w:spacing w:after="0"/>
              <w:rPr>
                <w:sz w:val="6"/>
                <w:szCs w:val="6"/>
                <w:color w:val="auto"/>
              </w:rPr>
            </w:pPr>
          </w:p>
        </w:tc>
        <w:tc>
          <w:tcPr>
            <w:tcW w:w="240" w:type="dxa"/>
            <w:vAlign w:val="bottom"/>
            <w:tcBorders>
              <w:right w:val="single" w:sz="8" w:color="FEFEFE"/>
            </w:tcBorders>
            <w:shd w:val="clear" w:color="auto" w:fill="B2B2B2"/>
          </w:tcPr>
          <w:p>
            <w:pPr>
              <w:spacing w:after="0"/>
              <w:rPr>
                <w:sz w:val="6"/>
                <w:szCs w:val="6"/>
                <w:color w:val="auto"/>
              </w:rPr>
            </w:pPr>
          </w:p>
        </w:tc>
        <w:tc>
          <w:tcPr>
            <w:tcW w:w="220" w:type="dxa"/>
            <w:vAlign w:val="bottom"/>
            <w:shd w:val="clear" w:color="auto" w:fill="B2B2B2"/>
          </w:tcPr>
          <w:p>
            <w:pPr>
              <w:spacing w:after="0"/>
              <w:rPr>
                <w:sz w:val="6"/>
                <w:szCs w:val="6"/>
                <w:color w:val="auto"/>
              </w:rPr>
            </w:pPr>
          </w:p>
        </w:tc>
        <w:tc>
          <w:tcPr>
            <w:tcW w:w="240" w:type="dxa"/>
            <w:vAlign w:val="bottom"/>
            <w:vMerge w:val="continue"/>
            <w:shd w:val="clear" w:color="auto" w:fill="B2B2B2"/>
          </w:tcPr>
          <w:p>
            <w:pPr>
              <w:spacing w:after="0"/>
              <w:rPr>
                <w:sz w:val="6"/>
                <w:szCs w:val="6"/>
                <w:color w:val="auto"/>
              </w:rPr>
            </w:pPr>
          </w:p>
        </w:tc>
        <w:tc>
          <w:tcPr>
            <w:tcW w:w="160" w:type="dxa"/>
            <w:vAlign w:val="bottom"/>
            <w:shd w:val="clear" w:color="auto" w:fill="B2B2B2"/>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9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240" w:type="dxa"/>
            <w:vAlign w:val="bottom"/>
            <w:vMerge w:val="continue"/>
            <w:shd w:val="clear" w:color="auto" w:fill="B2B2B2"/>
          </w:tcPr>
          <w:p>
            <w:pPr>
              <w:spacing w:after="0"/>
              <w:rPr>
                <w:sz w:val="7"/>
                <w:szCs w:val="7"/>
                <w:color w:val="auto"/>
              </w:rPr>
            </w:pPr>
          </w:p>
        </w:tc>
        <w:tc>
          <w:tcPr>
            <w:tcW w:w="240" w:type="dxa"/>
            <w:vAlign w:val="bottom"/>
            <w:tcBorders>
              <w:right w:val="single" w:sz="8" w:color="FEFEFE"/>
            </w:tcBorders>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240" w:type="dxa"/>
            <w:vAlign w:val="bottom"/>
            <w:tcBorders>
              <w:right w:val="single" w:sz="8" w:color="FEFEFE"/>
            </w:tcBorders>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240" w:type="dxa"/>
            <w:vAlign w:val="bottom"/>
            <w:shd w:val="clear" w:color="auto" w:fill="B2B2B2"/>
          </w:tcPr>
          <w:p>
            <w:pPr>
              <w:spacing w:after="0"/>
              <w:rPr>
                <w:sz w:val="7"/>
                <w:szCs w:val="7"/>
                <w:color w:val="auto"/>
              </w:rPr>
            </w:pPr>
          </w:p>
        </w:tc>
        <w:tc>
          <w:tcPr>
            <w:tcW w:w="240" w:type="dxa"/>
            <w:vAlign w:val="bottom"/>
            <w:tcBorders>
              <w:right w:val="single" w:sz="8" w:color="FEFEFE"/>
            </w:tcBorders>
            <w:shd w:val="clear" w:color="auto" w:fill="B2B2B2"/>
          </w:tcPr>
          <w:p>
            <w:pPr>
              <w:spacing w:after="0"/>
              <w:rPr>
                <w:sz w:val="7"/>
                <w:szCs w:val="7"/>
                <w:color w:val="auto"/>
              </w:rPr>
            </w:pPr>
          </w:p>
        </w:tc>
        <w:tc>
          <w:tcPr>
            <w:tcW w:w="260" w:type="dxa"/>
            <w:vAlign w:val="bottom"/>
            <w:shd w:val="clear" w:color="auto" w:fill="B2B2B2"/>
          </w:tcPr>
          <w:p>
            <w:pPr>
              <w:spacing w:after="0"/>
              <w:rPr>
                <w:sz w:val="7"/>
                <w:szCs w:val="7"/>
                <w:color w:val="auto"/>
              </w:rPr>
            </w:pPr>
          </w:p>
        </w:tc>
        <w:tc>
          <w:tcPr>
            <w:tcW w:w="200" w:type="dxa"/>
            <w:vAlign w:val="bottom"/>
            <w:vMerge w:val="continue"/>
            <w:shd w:val="clear" w:color="auto" w:fill="B2B2B2"/>
          </w:tcPr>
          <w:p>
            <w:pPr>
              <w:spacing w:after="0"/>
              <w:rPr>
                <w:sz w:val="7"/>
                <w:szCs w:val="7"/>
                <w:color w:val="auto"/>
              </w:rPr>
            </w:pPr>
          </w:p>
        </w:tc>
        <w:tc>
          <w:tcPr>
            <w:tcW w:w="240" w:type="dxa"/>
            <w:vAlign w:val="bottom"/>
            <w:tcBorders>
              <w:right w:val="single" w:sz="8" w:color="FEFEFE"/>
            </w:tcBorders>
            <w:shd w:val="clear" w:color="auto" w:fill="B2B2B2"/>
          </w:tcPr>
          <w:p>
            <w:pPr>
              <w:spacing w:after="0"/>
              <w:rPr>
                <w:sz w:val="7"/>
                <w:szCs w:val="7"/>
                <w:color w:val="auto"/>
              </w:rPr>
            </w:pPr>
          </w:p>
        </w:tc>
        <w:tc>
          <w:tcPr>
            <w:tcW w:w="220" w:type="dxa"/>
            <w:vAlign w:val="bottom"/>
            <w:shd w:val="clear" w:color="auto" w:fill="B2B2B2"/>
          </w:tcPr>
          <w:p>
            <w:pPr>
              <w:spacing w:after="0"/>
              <w:rPr>
                <w:sz w:val="7"/>
                <w:szCs w:val="7"/>
                <w:color w:val="auto"/>
              </w:rPr>
            </w:pPr>
          </w:p>
        </w:tc>
        <w:tc>
          <w:tcPr>
            <w:tcW w:w="240" w:type="dxa"/>
            <w:vAlign w:val="bottom"/>
            <w:vMerge w:val="continue"/>
            <w:shd w:val="clear" w:color="auto" w:fill="B2B2B2"/>
          </w:tcPr>
          <w:p>
            <w:pPr>
              <w:spacing w:after="0"/>
              <w:rPr>
                <w:sz w:val="7"/>
                <w:szCs w:val="7"/>
                <w:color w:val="auto"/>
              </w:rPr>
            </w:pPr>
          </w:p>
        </w:tc>
        <w:tc>
          <w:tcPr>
            <w:tcW w:w="160" w:type="dxa"/>
            <w:vAlign w:val="bottom"/>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940" w:type="dxa"/>
            <w:vAlign w:val="bottom"/>
            <w:tcBorders>
              <w:bottom w:val="single" w:sz="8" w:color="56C271"/>
            </w:tcBorders>
          </w:tcPr>
          <w:p>
            <w:pPr>
              <w:ind w:left="40"/>
              <w:spacing w:after="0"/>
              <w:rPr>
                <w:sz w:val="20"/>
                <w:szCs w:val="20"/>
                <w:color w:val="auto"/>
              </w:rPr>
            </w:pPr>
            <w:r>
              <w:rPr>
                <w:rFonts w:ascii="Arial" w:cs="Arial" w:eastAsia="Arial" w:hAnsi="Arial"/>
                <w:sz w:val="14"/>
                <w:szCs w:val="14"/>
                <w:color w:val="auto"/>
              </w:rPr>
              <w:t>Inc.</w:t>
            </w:r>
          </w:p>
        </w:tc>
        <w:tc>
          <w:tcPr>
            <w:tcW w:w="520" w:type="dxa"/>
            <w:vAlign w:val="bottom"/>
            <w:tcBorders>
              <w:bottom w:val="single" w:sz="8" w:color="56C271"/>
            </w:tcBorders>
          </w:tcPr>
          <w:p>
            <w:pPr>
              <w:spacing w:after="0"/>
              <w:rPr>
                <w:sz w:val="15"/>
                <w:szCs w:val="15"/>
                <w:color w:val="auto"/>
              </w:rPr>
            </w:pPr>
          </w:p>
        </w:tc>
        <w:tc>
          <w:tcPr>
            <w:tcW w:w="780" w:type="dxa"/>
            <w:vAlign w:val="bottom"/>
            <w:tcBorders>
              <w:bottom w:val="single" w:sz="8" w:color="56C271"/>
            </w:tcBorders>
          </w:tcPr>
          <w:p>
            <w:pPr>
              <w:spacing w:after="0"/>
              <w:rPr>
                <w:sz w:val="15"/>
                <w:szCs w:val="15"/>
                <w:color w:val="auto"/>
              </w:rPr>
            </w:pPr>
          </w:p>
        </w:tc>
        <w:tc>
          <w:tcPr>
            <w:tcW w:w="1080" w:type="dxa"/>
            <w:vAlign w:val="bottom"/>
            <w:tcBorders>
              <w:bottom w:val="single" w:sz="8" w:color="56C271"/>
            </w:tcBorders>
          </w:tcPr>
          <w:p>
            <w:pPr>
              <w:spacing w:after="0"/>
              <w:rPr>
                <w:sz w:val="15"/>
                <w:szCs w:val="15"/>
                <w:color w:val="auto"/>
              </w:rPr>
            </w:pPr>
          </w:p>
        </w:tc>
        <w:tc>
          <w:tcPr>
            <w:tcW w:w="240" w:type="dxa"/>
            <w:vAlign w:val="bottom"/>
            <w:tcBorders>
              <w:bottom w:val="single" w:sz="8" w:color="56C271"/>
            </w:tcBorders>
            <w:shd w:val="clear" w:color="auto" w:fill="B2B2B2"/>
          </w:tcPr>
          <w:p>
            <w:pPr>
              <w:spacing w:after="0"/>
              <w:rPr>
                <w:sz w:val="15"/>
                <w:szCs w:val="15"/>
                <w:color w:val="auto"/>
              </w:rPr>
            </w:pPr>
          </w:p>
        </w:tc>
        <w:tc>
          <w:tcPr>
            <w:tcW w:w="240" w:type="dxa"/>
            <w:vAlign w:val="bottom"/>
            <w:tcBorders>
              <w:bottom w:val="single" w:sz="8" w:color="56C271"/>
            </w:tcBorders>
            <w:shd w:val="clear" w:color="auto" w:fill="B2B2B2"/>
          </w:tcPr>
          <w:p>
            <w:pPr>
              <w:spacing w:after="0"/>
              <w:rPr>
                <w:sz w:val="15"/>
                <w:szCs w:val="15"/>
                <w:color w:val="auto"/>
              </w:rPr>
            </w:pPr>
          </w:p>
        </w:tc>
        <w:tc>
          <w:tcPr>
            <w:tcW w:w="240" w:type="dxa"/>
            <w:vAlign w:val="bottom"/>
            <w:tcBorders>
              <w:bottom w:val="single" w:sz="8" w:color="56C271"/>
              <w:right w:val="single" w:sz="8" w:color="FEFEFE"/>
            </w:tcBorders>
            <w:shd w:val="clear" w:color="auto" w:fill="B2B2B2"/>
          </w:tcPr>
          <w:p>
            <w:pPr>
              <w:spacing w:after="0"/>
              <w:rPr>
                <w:sz w:val="15"/>
                <w:szCs w:val="15"/>
                <w:color w:val="auto"/>
              </w:rPr>
            </w:pPr>
          </w:p>
        </w:tc>
        <w:tc>
          <w:tcPr>
            <w:tcW w:w="220" w:type="dxa"/>
            <w:vAlign w:val="bottom"/>
            <w:tcBorders>
              <w:bottom w:val="single" w:sz="8" w:color="56C271"/>
            </w:tcBorders>
            <w:shd w:val="clear" w:color="auto" w:fill="B2B2B2"/>
          </w:tcPr>
          <w:p>
            <w:pPr>
              <w:spacing w:after="0"/>
              <w:rPr>
                <w:sz w:val="15"/>
                <w:szCs w:val="15"/>
                <w:color w:val="auto"/>
              </w:rPr>
            </w:pPr>
          </w:p>
        </w:tc>
        <w:tc>
          <w:tcPr>
            <w:tcW w:w="240" w:type="dxa"/>
            <w:vAlign w:val="bottom"/>
            <w:tcBorders>
              <w:bottom w:val="single" w:sz="8" w:color="56C271"/>
            </w:tcBorders>
            <w:shd w:val="clear" w:color="auto" w:fill="B2B2B2"/>
          </w:tcPr>
          <w:p>
            <w:pPr>
              <w:spacing w:after="0"/>
              <w:rPr>
                <w:sz w:val="15"/>
                <w:szCs w:val="15"/>
                <w:color w:val="auto"/>
              </w:rPr>
            </w:pPr>
          </w:p>
        </w:tc>
        <w:tc>
          <w:tcPr>
            <w:tcW w:w="240" w:type="dxa"/>
            <w:vAlign w:val="bottom"/>
            <w:tcBorders>
              <w:bottom w:val="single" w:sz="8" w:color="56C271"/>
              <w:right w:val="single" w:sz="8" w:color="FEFEFE"/>
            </w:tcBorders>
            <w:shd w:val="clear" w:color="auto" w:fill="B2B2B2"/>
          </w:tcPr>
          <w:p>
            <w:pPr>
              <w:spacing w:after="0"/>
              <w:rPr>
                <w:sz w:val="15"/>
                <w:szCs w:val="15"/>
                <w:color w:val="auto"/>
              </w:rPr>
            </w:pPr>
          </w:p>
        </w:tc>
        <w:tc>
          <w:tcPr>
            <w:tcW w:w="220" w:type="dxa"/>
            <w:vAlign w:val="bottom"/>
            <w:tcBorders>
              <w:bottom w:val="single" w:sz="8" w:color="56C271"/>
            </w:tcBorders>
            <w:shd w:val="clear" w:color="auto" w:fill="B2B2B2"/>
          </w:tcPr>
          <w:p>
            <w:pPr>
              <w:spacing w:after="0"/>
              <w:rPr>
                <w:sz w:val="15"/>
                <w:szCs w:val="15"/>
                <w:color w:val="auto"/>
              </w:rPr>
            </w:pPr>
          </w:p>
        </w:tc>
        <w:tc>
          <w:tcPr>
            <w:tcW w:w="240" w:type="dxa"/>
            <w:vAlign w:val="bottom"/>
            <w:tcBorders>
              <w:bottom w:val="single" w:sz="8" w:color="56C271"/>
            </w:tcBorders>
            <w:shd w:val="clear" w:color="auto" w:fill="B2B2B2"/>
          </w:tcPr>
          <w:p>
            <w:pPr>
              <w:spacing w:after="0"/>
              <w:rPr>
                <w:sz w:val="15"/>
                <w:szCs w:val="15"/>
                <w:color w:val="auto"/>
              </w:rPr>
            </w:pPr>
          </w:p>
        </w:tc>
        <w:tc>
          <w:tcPr>
            <w:tcW w:w="240" w:type="dxa"/>
            <w:vAlign w:val="bottom"/>
            <w:tcBorders>
              <w:bottom w:val="single" w:sz="8" w:color="56C271"/>
              <w:right w:val="single" w:sz="8" w:color="FEFEFE"/>
            </w:tcBorders>
            <w:shd w:val="clear" w:color="auto" w:fill="B2B2B2"/>
          </w:tcPr>
          <w:p>
            <w:pPr>
              <w:spacing w:after="0"/>
              <w:rPr>
                <w:sz w:val="15"/>
                <w:szCs w:val="15"/>
                <w:color w:val="auto"/>
              </w:rPr>
            </w:pPr>
          </w:p>
        </w:tc>
        <w:tc>
          <w:tcPr>
            <w:tcW w:w="260" w:type="dxa"/>
            <w:vAlign w:val="bottom"/>
            <w:tcBorders>
              <w:bottom w:val="single" w:sz="8" w:color="56C271"/>
            </w:tcBorders>
            <w:shd w:val="clear" w:color="auto" w:fill="B2B2B2"/>
          </w:tcPr>
          <w:p>
            <w:pPr>
              <w:spacing w:after="0"/>
              <w:rPr>
                <w:sz w:val="15"/>
                <w:szCs w:val="15"/>
                <w:color w:val="auto"/>
              </w:rPr>
            </w:pPr>
          </w:p>
        </w:tc>
        <w:tc>
          <w:tcPr>
            <w:tcW w:w="200" w:type="dxa"/>
            <w:vAlign w:val="bottom"/>
            <w:tcBorders>
              <w:bottom w:val="single" w:sz="8" w:color="56C271"/>
            </w:tcBorders>
            <w:shd w:val="clear" w:color="auto" w:fill="B2B2B2"/>
          </w:tcPr>
          <w:p>
            <w:pPr>
              <w:spacing w:after="0"/>
              <w:rPr>
                <w:sz w:val="15"/>
                <w:szCs w:val="15"/>
                <w:color w:val="auto"/>
              </w:rPr>
            </w:pPr>
          </w:p>
        </w:tc>
        <w:tc>
          <w:tcPr>
            <w:tcW w:w="240" w:type="dxa"/>
            <w:vAlign w:val="bottom"/>
            <w:tcBorders>
              <w:bottom w:val="single" w:sz="8" w:color="56C271"/>
              <w:right w:val="single" w:sz="8" w:color="FEFEFE"/>
            </w:tcBorders>
            <w:shd w:val="clear" w:color="auto" w:fill="B2B2B2"/>
          </w:tcPr>
          <w:p>
            <w:pPr>
              <w:spacing w:after="0"/>
              <w:rPr>
                <w:sz w:val="15"/>
                <w:szCs w:val="15"/>
                <w:color w:val="auto"/>
              </w:rPr>
            </w:pPr>
          </w:p>
        </w:tc>
        <w:tc>
          <w:tcPr>
            <w:tcW w:w="220" w:type="dxa"/>
            <w:vAlign w:val="bottom"/>
            <w:tcBorders>
              <w:bottom w:val="single" w:sz="8" w:color="56C271"/>
            </w:tcBorders>
            <w:shd w:val="clear" w:color="auto" w:fill="B2B2B2"/>
          </w:tcPr>
          <w:p>
            <w:pPr>
              <w:spacing w:after="0"/>
              <w:rPr>
                <w:sz w:val="15"/>
                <w:szCs w:val="15"/>
                <w:color w:val="auto"/>
              </w:rPr>
            </w:pPr>
          </w:p>
        </w:tc>
        <w:tc>
          <w:tcPr>
            <w:tcW w:w="240" w:type="dxa"/>
            <w:vAlign w:val="bottom"/>
            <w:tcBorders>
              <w:bottom w:val="single" w:sz="8" w:color="56C271"/>
            </w:tcBorders>
            <w:shd w:val="clear" w:color="auto" w:fill="B2B2B2"/>
          </w:tcPr>
          <w:p>
            <w:pPr>
              <w:spacing w:after="0"/>
              <w:rPr>
                <w:sz w:val="15"/>
                <w:szCs w:val="15"/>
                <w:color w:val="auto"/>
              </w:rPr>
            </w:pPr>
          </w:p>
        </w:tc>
        <w:tc>
          <w:tcPr>
            <w:tcW w:w="160" w:type="dxa"/>
            <w:vAlign w:val="bottom"/>
            <w:tcBorders>
              <w:bottom w:val="single" w:sz="8" w:color="56C271"/>
            </w:tcBorders>
            <w:shd w:val="clear" w:color="auto" w:fill="B2B2B2"/>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 Chair</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Audit</w:t>
            </w:r>
          </w:p>
        </w:tc>
        <w:tc>
          <w:tcPr>
            <w:tcW w:w="240" w:type="dxa"/>
            <w:vAlign w:val="bottom"/>
          </w:tcPr>
          <w:p>
            <w:pPr>
              <w:spacing w:after="0"/>
              <w:rPr>
                <w:sz w:val="24"/>
                <w:szCs w:val="24"/>
                <w:color w:val="auto"/>
              </w:rPr>
            </w:pPr>
          </w:p>
        </w:tc>
        <w:tc>
          <w:tcPr>
            <w:tcW w:w="3200" w:type="dxa"/>
            <w:vAlign w:val="bottom"/>
            <w:gridSpan w:val="14"/>
          </w:tcPr>
          <w:p>
            <w:pPr>
              <w:ind w:left="120"/>
              <w:spacing w:after="0"/>
              <w:rPr>
                <w:sz w:val="20"/>
                <w:szCs w:val="20"/>
                <w:color w:val="auto"/>
              </w:rPr>
            </w:pPr>
            <w:r>
              <w:rPr>
                <w:rFonts w:ascii="Arial" w:cs="Arial" w:eastAsia="Arial" w:hAnsi="Arial"/>
                <w:sz w:val="14"/>
                <w:szCs w:val="14"/>
                <w:b w:val="1"/>
                <w:bCs w:val="1"/>
                <w:color w:val="auto"/>
              </w:rPr>
              <w:t xml:space="preserve">C: </w:t>
            </w:r>
            <w:r>
              <w:rPr>
                <w:rFonts w:ascii="Arial" w:cs="Arial" w:eastAsia="Arial" w:hAnsi="Arial"/>
                <w:sz w:val="14"/>
                <w:szCs w:val="14"/>
                <w:color w:val="auto"/>
              </w:rPr>
              <w:t>Compensation and Leadership Development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780" w:hanging="84"/>
        <w:spacing w:after="0"/>
        <w:tabs>
          <w:tab w:leader="none" w:pos="4780" w:val="left"/>
        </w:tabs>
        <w:numPr>
          <w:ilvl w:val="0"/>
          <w:numId w:val="9"/>
        </w:numPr>
        <w:rPr>
          <w:rFonts w:ascii="Arial" w:cs="Arial" w:eastAsia="Arial" w:hAnsi="Arial"/>
          <w:sz w:val="14"/>
          <w:szCs w:val="14"/>
          <w:color w:val="56C271"/>
        </w:rPr>
      </w:pPr>
      <w:r>
        <w:rPr>
          <w:rFonts w:ascii="Arial" w:cs="Arial" w:eastAsia="Arial" w:hAnsi="Arial"/>
          <w:sz w:val="14"/>
          <w:szCs w:val="14"/>
          <w:color w:val="auto"/>
        </w:rPr>
        <w:t>Member</w:t>
      </w:r>
      <w:r>
        <w:rPr>
          <w:rFonts w:ascii="Arial" w:cs="Arial" w:eastAsia="Arial" w:hAnsi="Arial"/>
          <w:sz w:val="14"/>
          <w:szCs w:val="14"/>
          <w:b w:val="1"/>
          <w:bCs w:val="1"/>
          <w:color w:val="auto"/>
        </w:rPr>
        <w:t xml:space="preserve">CG: </w:t>
      </w:r>
      <w:r>
        <w:rPr>
          <w:rFonts w:ascii="Arial" w:cs="Arial" w:eastAsia="Arial" w:hAnsi="Arial"/>
          <w:sz w:val="14"/>
          <w:szCs w:val="14"/>
          <w:color w:val="auto"/>
        </w:rPr>
        <w:t>Corporate Governance</w:t>
      </w:r>
    </w:p>
    <w:p>
      <w:pPr>
        <w:spacing w:after="0" w:line="55" w:lineRule="exact"/>
        <w:rPr>
          <w:sz w:val="20"/>
          <w:szCs w:val="20"/>
          <w:color w:val="auto"/>
        </w:rPr>
      </w:pPr>
    </w:p>
    <w:p>
      <w:pPr>
        <w:ind w:left="5620"/>
        <w:spacing w:after="0"/>
        <w:tabs>
          <w:tab w:leader="none" w:pos="6640" w:val="left"/>
        </w:tabs>
        <w:rPr>
          <w:sz w:val="20"/>
          <w:szCs w:val="20"/>
          <w:color w:val="auto"/>
        </w:rPr>
      </w:pPr>
      <w:r>
        <w:rPr>
          <w:rFonts w:ascii="Arial" w:cs="Arial" w:eastAsia="Arial" w:hAnsi="Arial"/>
          <w:sz w:val="14"/>
          <w:szCs w:val="14"/>
          <w:b w:val="1"/>
          <w:bCs w:val="1"/>
          <w:color w:val="auto"/>
        </w:rPr>
        <w:t xml:space="preserve">E: </w:t>
      </w:r>
      <w:r>
        <w:rPr>
          <w:rFonts w:ascii="Arial" w:cs="Arial" w:eastAsia="Arial" w:hAnsi="Arial"/>
          <w:sz w:val="14"/>
          <w:szCs w:val="14"/>
          <w:color w:val="auto"/>
        </w:rPr>
        <w:t>Executive</w:t>
      </w:r>
      <w:r>
        <w:rPr>
          <w:rFonts w:ascii="Arial" w:cs="Arial" w:eastAsia="Arial" w:hAnsi="Arial"/>
          <w:sz w:val="14"/>
          <w:szCs w:val="14"/>
          <w:b w:val="1"/>
          <w:bCs w:val="1"/>
          <w:color w:val="auto"/>
        </w:rPr>
        <w:tab/>
        <w:t xml:space="preserve">F: </w:t>
      </w:r>
      <w:r>
        <w:rPr>
          <w:rFonts w:ascii="Arial" w:cs="Arial" w:eastAsia="Arial" w:hAnsi="Arial"/>
          <w:sz w:val="14"/>
          <w:szCs w:val="14"/>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2349500</wp:posOffset>
            </wp:positionV>
            <wp:extent cx="1482725"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Proxy Summary</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306070</wp:posOffset>
            </wp:positionV>
            <wp:extent cx="5494655" cy="27863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9465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FINANCIAL HIGHLIGHTS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5212080" cy="2339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60"/>
        <w:spacing w:after="0"/>
        <w:rPr>
          <w:sz w:val="20"/>
          <w:szCs w:val="20"/>
          <w:color w:val="auto"/>
        </w:rPr>
      </w:pPr>
      <w:r>
        <w:rPr>
          <w:sz w:val="1"/>
          <w:szCs w:val="1"/>
          <w:color w:val="auto"/>
        </w:rPr>
        <w:drawing>
          <wp:inline distT="0" distB="0" distL="0" distR="0">
            <wp:extent cx="1482725" cy="29146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Proxy Summary</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91440</wp:posOffset>
            </wp:positionV>
            <wp:extent cx="5212080" cy="1945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COMPENSATION PROGRAM FOR FISCAL 2021</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Below are the primary components of the fiscal 2021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126365</wp:posOffset>
            </wp:positionV>
            <wp:extent cx="5391785" cy="2511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9178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720" w:right="519" w:hanging="730"/>
        <w:spacing w:after="0" w:line="261" w:lineRule="auto"/>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neither Mr. Chan, whose compensation was awarded prior to his promotion to the Avnet Leadership Team, nor former officers Messrs. Amelio and Bartolotta.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1351915</wp:posOffset>
            </wp:positionV>
            <wp:extent cx="1482725"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685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580" w:right="200"/>
        <w:spacing w:after="0" w:line="281" w:lineRule="auto"/>
        <w:rPr>
          <w:sz w:val="20"/>
          <w:szCs w:val="20"/>
          <w:color w:val="auto"/>
        </w:rPr>
      </w:pPr>
      <w:r>
        <w:rPr>
          <w:rFonts w:ascii="Arial" w:cs="Arial" w:eastAsia="Arial" w:hAnsi="Arial"/>
          <w:sz w:val="40"/>
          <w:szCs w:val="40"/>
          <w:b w:val="1"/>
          <w:bCs w:val="1"/>
          <w:color w:val="FEFEFE"/>
        </w:rPr>
        <w:t>PROXY STATEMENT FOR ANNUAL MEETING OF SHAREHOLDERS</w:t>
      </w:r>
    </w:p>
    <w:p>
      <w:pPr>
        <w:spacing w:after="0" w:line="283" w:lineRule="exact"/>
        <w:rPr>
          <w:sz w:val="20"/>
          <w:szCs w:val="20"/>
          <w:color w:val="auto"/>
        </w:rPr>
      </w:pPr>
    </w:p>
    <w:tbl>
      <w:tblPr>
        <w:tblLayout w:type="fixed"/>
        <w:tblInd w:w="980" w:type="dxa"/>
        <w:tblCellMar>
          <w:top w:w="0" w:type="dxa"/>
          <w:left w:w="0" w:type="dxa"/>
          <w:bottom w:w="0" w:type="dxa"/>
          <w:right w:w="0" w:type="dxa"/>
        </w:tblCellMar>
      </w:tblPr>
      <w:tr>
        <w:trPr>
          <w:trHeight w:val="1116"/>
        </w:trPr>
        <w:tc>
          <w:tcPr>
            <w:tcW w:w="2160" w:type="dxa"/>
            <w:vAlign w:val="bottom"/>
            <w:tcBorders>
              <w:top w:val="single" w:sz="8" w:color="56C271"/>
            </w:tcBorders>
            <w:shd w:val="clear" w:color="auto" w:fill="D8D8D8"/>
          </w:tcPr>
          <w:p>
            <w:pPr>
              <w:jc w:val="center"/>
              <w:ind w:left="19"/>
              <w:spacing w:after="0"/>
              <w:rPr>
                <w:sz w:val="20"/>
                <w:szCs w:val="20"/>
                <w:color w:val="auto"/>
              </w:rPr>
            </w:pPr>
            <w:r>
              <w:rPr>
                <w:rFonts w:ascii="Arial" w:cs="Arial" w:eastAsia="Arial" w:hAnsi="Arial"/>
                <w:sz w:val="16"/>
                <w:szCs w:val="16"/>
                <w:b w:val="1"/>
                <w:bCs w:val="1"/>
                <w:color w:val="56C271"/>
                <w:w w:val="96"/>
              </w:rPr>
              <w:t>DATE</w:t>
            </w:r>
          </w:p>
        </w:tc>
        <w:tc>
          <w:tcPr>
            <w:tcW w:w="2040" w:type="dxa"/>
            <w:vAlign w:val="bottom"/>
            <w:tcBorders>
              <w:top w:val="single" w:sz="8" w:color="56C271"/>
            </w:tcBorders>
            <w:shd w:val="clear" w:color="auto" w:fill="D8D8D8"/>
          </w:tcPr>
          <w:p>
            <w:pPr>
              <w:jc w:val="center"/>
              <w:spacing w:after="0"/>
              <w:rPr>
                <w:sz w:val="20"/>
                <w:szCs w:val="20"/>
                <w:color w:val="auto"/>
              </w:rPr>
            </w:pPr>
            <w:r>
              <w:rPr>
                <w:rFonts w:ascii="Arial" w:cs="Arial" w:eastAsia="Arial" w:hAnsi="Arial"/>
                <w:sz w:val="16"/>
                <w:szCs w:val="16"/>
                <w:b w:val="1"/>
                <w:bCs w:val="1"/>
                <w:color w:val="56C271"/>
                <w:w w:val="99"/>
              </w:rPr>
              <w:t>TIME</w:t>
            </w:r>
          </w:p>
        </w:tc>
        <w:tc>
          <w:tcPr>
            <w:tcW w:w="2380" w:type="dxa"/>
            <w:vAlign w:val="bottom"/>
            <w:tcBorders>
              <w:top w:val="single" w:sz="8" w:color="56C271"/>
            </w:tcBorders>
            <w:shd w:val="clear" w:color="auto" w:fill="D8D8D8"/>
          </w:tcPr>
          <w:p>
            <w:pPr>
              <w:jc w:val="center"/>
              <w:spacing w:after="0"/>
              <w:rPr>
                <w:sz w:val="20"/>
                <w:szCs w:val="20"/>
                <w:color w:val="auto"/>
              </w:rPr>
            </w:pPr>
            <w:r>
              <w:rPr>
                <w:rFonts w:ascii="Arial" w:cs="Arial" w:eastAsia="Arial" w:hAnsi="Arial"/>
                <w:sz w:val="16"/>
                <w:szCs w:val="16"/>
                <w:b w:val="1"/>
                <w:bCs w:val="1"/>
                <w:color w:val="56C271"/>
                <w:w w:val="99"/>
              </w:rPr>
              <w:t>PLACE</w:t>
            </w:r>
          </w:p>
        </w:tc>
        <w:tc>
          <w:tcPr>
            <w:tcW w:w="2180" w:type="dxa"/>
            <w:vAlign w:val="bottom"/>
            <w:tcBorders>
              <w:top w:val="single" w:sz="8" w:color="56C271"/>
            </w:tcBorders>
            <w:shd w:val="clear" w:color="auto" w:fill="D8D8D8"/>
          </w:tcPr>
          <w:p>
            <w:pPr>
              <w:jc w:val="center"/>
              <w:ind w:right="99"/>
              <w:spacing w:after="0"/>
              <w:rPr>
                <w:sz w:val="20"/>
                <w:szCs w:val="20"/>
                <w:color w:val="auto"/>
              </w:rPr>
            </w:pPr>
            <w:r>
              <w:rPr>
                <w:rFonts w:ascii="Arial" w:cs="Arial" w:eastAsia="Arial" w:hAnsi="Arial"/>
                <w:sz w:val="16"/>
                <w:szCs w:val="16"/>
                <w:b w:val="1"/>
                <w:bCs w:val="1"/>
                <w:color w:val="56C271"/>
                <w:w w:val="98"/>
              </w:rPr>
              <w:t>RECORD DATE</w:t>
            </w:r>
          </w:p>
        </w:tc>
      </w:tr>
      <w:tr>
        <w:trPr>
          <w:trHeight w:val="189"/>
        </w:trPr>
        <w:tc>
          <w:tcPr>
            <w:tcW w:w="2160" w:type="dxa"/>
            <w:vAlign w:val="bottom"/>
            <w:shd w:val="clear" w:color="auto" w:fill="D8D8D8"/>
          </w:tcPr>
          <w:p>
            <w:pPr>
              <w:jc w:val="center"/>
              <w:ind w:left="39"/>
              <w:spacing w:after="0"/>
              <w:rPr>
                <w:sz w:val="20"/>
                <w:szCs w:val="20"/>
                <w:color w:val="auto"/>
              </w:rPr>
            </w:pPr>
            <w:r>
              <w:rPr>
                <w:rFonts w:ascii="Arial" w:cs="Arial" w:eastAsia="Arial" w:hAnsi="Arial"/>
                <w:sz w:val="16"/>
                <w:szCs w:val="16"/>
                <w:b w:val="1"/>
                <w:bCs w:val="1"/>
                <w:color w:val="auto"/>
                <w:w w:val="99"/>
              </w:rPr>
              <w:t>November 18, 2021</w:t>
            </w:r>
          </w:p>
        </w:tc>
        <w:tc>
          <w:tcPr>
            <w:tcW w:w="2040" w:type="dxa"/>
            <w:vAlign w:val="bottom"/>
            <w:shd w:val="clear" w:color="auto" w:fill="D8D8D8"/>
          </w:tcPr>
          <w:p>
            <w:pPr>
              <w:jc w:val="center"/>
              <w:spacing w:after="0"/>
              <w:rPr>
                <w:sz w:val="20"/>
                <w:szCs w:val="20"/>
                <w:color w:val="auto"/>
              </w:rPr>
            </w:pPr>
            <w:r>
              <w:rPr>
                <w:rFonts w:ascii="Arial" w:cs="Arial" w:eastAsia="Arial" w:hAnsi="Arial"/>
                <w:sz w:val="16"/>
                <w:szCs w:val="16"/>
                <w:b w:val="1"/>
                <w:bCs w:val="1"/>
                <w:color w:val="auto"/>
                <w:w w:val="98"/>
              </w:rPr>
              <w:t>8:00 am local time</w:t>
            </w:r>
          </w:p>
        </w:tc>
        <w:tc>
          <w:tcPr>
            <w:tcW w:w="2380" w:type="dxa"/>
            <w:vAlign w:val="bottom"/>
            <w:shd w:val="clear" w:color="auto" w:fill="D8D8D8"/>
          </w:tcPr>
          <w:p>
            <w:pPr>
              <w:jc w:val="center"/>
              <w:spacing w:after="0"/>
              <w:rPr>
                <w:sz w:val="20"/>
                <w:szCs w:val="20"/>
                <w:color w:val="auto"/>
              </w:rPr>
            </w:pPr>
            <w:r>
              <w:rPr>
                <w:rFonts w:ascii="Arial" w:cs="Arial" w:eastAsia="Arial" w:hAnsi="Arial"/>
                <w:sz w:val="16"/>
                <w:szCs w:val="16"/>
                <w:b w:val="1"/>
                <w:bCs w:val="1"/>
                <w:color w:val="auto"/>
                <w:w w:val="99"/>
              </w:rPr>
              <w:t>Avnet’s Headquarters</w:t>
            </w:r>
          </w:p>
        </w:tc>
        <w:tc>
          <w:tcPr>
            <w:tcW w:w="2180" w:type="dxa"/>
            <w:vAlign w:val="bottom"/>
            <w:shd w:val="clear" w:color="auto" w:fill="D8D8D8"/>
          </w:tcPr>
          <w:p>
            <w:pPr>
              <w:jc w:val="center"/>
              <w:ind w:right="59"/>
              <w:spacing w:after="0"/>
              <w:rPr>
                <w:sz w:val="20"/>
                <w:szCs w:val="20"/>
                <w:color w:val="auto"/>
              </w:rPr>
            </w:pPr>
            <w:r>
              <w:rPr>
                <w:rFonts w:ascii="Arial" w:cs="Arial" w:eastAsia="Arial" w:hAnsi="Arial"/>
                <w:sz w:val="16"/>
                <w:szCs w:val="16"/>
                <w:b w:val="1"/>
                <w:bCs w:val="1"/>
                <w:color w:val="auto"/>
                <w:w w:val="99"/>
              </w:rPr>
              <w:t>September 20, 2021</w:t>
            </w:r>
          </w:p>
        </w:tc>
      </w:tr>
      <w:tr>
        <w:trPr>
          <w:trHeight w:val="189"/>
        </w:trPr>
        <w:tc>
          <w:tcPr>
            <w:tcW w:w="216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rPr>
                <w:sz w:val="16"/>
                <w:szCs w:val="16"/>
                <w:color w:val="auto"/>
              </w:rPr>
            </w:pPr>
          </w:p>
        </w:tc>
        <w:tc>
          <w:tcPr>
            <w:tcW w:w="2380" w:type="dxa"/>
            <w:vAlign w:val="bottom"/>
            <w:shd w:val="clear" w:color="auto" w:fill="D8D8D8"/>
          </w:tcPr>
          <w:p>
            <w:pPr>
              <w:jc w:val="center"/>
              <w:spacing w:after="0"/>
              <w:rPr>
                <w:sz w:val="20"/>
                <w:szCs w:val="20"/>
                <w:color w:val="auto"/>
              </w:rPr>
            </w:pPr>
            <w:r>
              <w:rPr>
                <w:rFonts w:ascii="Arial" w:cs="Arial" w:eastAsia="Arial" w:hAnsi="Arial"/>
                <w:sz w:val="16"/>
                <w:szCs w:val="16"/>
                <w:b w:val="1"/>
                <w:bCs w:val="1"/>
                <w:color w:val="auto"/>
                <w:w w:val="99"/>
              </w:rPr>
              <w:t>2211 South 47th Street</w:t>
            </w:r>
          </w:p>
        </w:tc>
        <w:tc>
          <w:tcPr>
            <w:tcW w:w="2180" w:type="dxa"/>
            <w:vAlign w:val="bottom"/>
            <w:shd w:val="clear" w:color="auto" w:fill="D8D8D8"/>
          </w:tcPr>
          <w:p>
            <w:pPr>
              <w:spacing w:after="0"/>
              <w:rPr>
                <w:sz w:val="16"/>
                <w:szCs w:val="16"/>
                <w:color w:val="auto"/>
              </w:rPr>
            </w:pPr>
          </w:p>
        </w:tc>
      </w:tr>
      <w:tr>
        <w:trPr>
          <w:trHeight w:val="189"/>
        </w:trPr>
        <w:tc>
          <w:tcPr>
            <w:tcW w:w="216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rPr>
                <w:sz w:val="16"/>
                <w:szCs w:val="16"/>
                <w:color w:val="auto"/>
              </w:rPr>
            </w:pPr>
          </w:p>
        </w:tc>
        <w:tc>
          <w:tcPr>
            <w:tcW w:w="2380" w:type="dxa"/>
            <w:vAlign w:val="bottom"/>
            <w:shd w:val="clear" w:color="auto" w:fill="D8D8D8"/>
          </w:tcPr>
          <w:p>
            <w:pPr>
              <w:jc w:val="center"/>
              <w:spacing w:after="0"/>
              <w:rPr>
                <w:sz w:val="20"/>
                <w:szCs w:val="20"/>
                <w:color w:val="auto"/>
              </w:rPr>
            </w:pPr>
            <w:r>
              <w:rPr>
                <w:rFonts w:ascii="Arial" w:cs="Arial" w:eastAsia="Arial" w:hAnsi="Arial"/>
                <w:sz w:val="16"/>
                <w:szCs w:val="16"/>
                <w:b w:val="1"/>
                <w:bCs w:val="1"/>
                <w:color w:val="auto"/>
                <w:w w:val="98"/>
              </w:rPr>
              <w:t>Phoenix, Arizona 85034</w:t>
            </w:r>
          </w:p>
        </w:tc>
        <w:tc>
          <w:tcPr>
            <w:tcW w:w="2180" w:type="dxa"/>
            <w:vAlign w:val="bottom"/>
            <w:shd w:val="clear" w:color="auto" w:fill="D8D8D8"/>
          </w:tcPr>
          <w:p>
            <w:pPr>
              <w:spacing w:after="0"/>
              <w:rPr>
                <w:sz w:val="16"/>
                <w:szCs w:val="16"/>
                <w:color w:val="auto"/>
              </w:rPr>
            </w:pPr>
          </w:p>
        </w:tc>
      </w:tr>
      <w:tr>
        <w:trPr>
          <w:trHeight w:val="189"/>
        </w:trPr>
        <w:tc>
          <w:tcPr>
            <w:tcW w:w="216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rPr>
                <w:sz w:val="16"/>
                <w:szCs w:val="16"/>
                <w:color w:val="auto"/>
              </w:rPr>
            </w:pPr>
          </w:p>
        </w:tc>
        <w:tc>
          <w:tcPr>
            <w:tcW w:w="2380" w:type="dxa"/>
            <w:vAlign w:val="bottom"/>
            <w:shd w:val="clear" w:color="auto" w:fill="D8D8D8"/>
          </w:tcPr>
          <w:p>
            <w:pPr>
              <w:jc w:val="center"/>
              <w:spacing w:after="0"/>
              <w:rPr>
                <w:sz w:val="20"/>
                <w:szCs w:val="20"/>
                <w:color w:val="auto"/>
              </w:rPr>
            </w:pPr>
            <w:r>
              <w:rPr>
                <w:rFonts w:ascii="Arial" w:cs="Arial" w:eastAsia="Arial" w:hAnsi="Arial"/>
                <w:sz w:val="16"/>
                <w:szCs w:val="16"/>
                <w:b w:val="1"/>
                <w:bCs w:val="1"/>
                <w:color w:val="auto"/>
              </w:rPr>
              <w:t>AND</w:t>
            </w:r>
          </w:p>
        </w:tc>
        <w:tc>
          <w:tcPr>
            <w:tcW w:w="2180" w:type="dxa"/>
            <w:vAlign w:val="bottom"/>
            <w:shd w:val="clear" w:color="auto" w:fill="D8D8D8"/>
          </w:tcPr>
          <w:p>
            <w:pPr>
              <w:spacing w:after="0"/>
              <w:rPr>
                <w:sz w:val="16"/>
                <w:szCs w:val="16"/>
                <w:color w:val="auto"/>
              </w:rPr>
            </w:pPr>
          </w:p>
        </w:tc>
      </w:tr>
      <w:tr>
        <w:trPr>
          <w:trHeight w:val="189"/>
        </w:trPr>
        <w:tc>
          <w:tcPr>
            <w:tcW w:w="216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rPr>
                <w:sz w:val="16"/>
                <w:szCs w:val="16"/>
                <w:color w:val="auto"/>
              </w:rPr>
            </w:pPr>
          </w:p>
        </w:tc>
        <w:tc>
          <w:tcPr>
            <w:tcW w:w="2380" w:type="dxa"/>
            <w:vAlign w:val="bottom"/>
            <w:shd w:val="clear" w:color="auto" w:fill="D8D8D8"/>
          </w:tcPr>
          <w:p>
            <w:pPr>
              <w:jc w:val="center"/>
              <w:spacing w:after="0"/>
              <w:rPr>
                <w:sz w:val="20"/>
                <w:szCs w:val="20"/>
                <w:color w:val="auto"/>
              </w:rPr>
            </w:pPr>
            <w:r>
              <w:rPr>
                <w:rFonts w:ascii="Arial" w:cs="Arial" w:eastAsia="Arial" w:hAnsi="Arial"/>
                <w:sz w:val="16"/>
                <w:szCs w:val="16"/>
                <w:b w:val="1"/>
                <w:bCs w:val="1"/>
                <w:color w:val="auto"/>
                <w:w w:val="99"/>
              </w:rPr>
              <w:t>Via Webcast at</w:t>
            </w:r>
          </w:p>
        </w:tc>
        <w:tc>
          <w:tcPr>
            <w:tcW w:w="2180" w:type="dxa"/>
            <w:vAlign w:val="bottom"/>
            <w:shd w:val="clear" w:color="auto" w:fill="D8D8D8"/>
          </w:tcPr>
          <w:p>
            <w:pPr>
              <w:spacing w:after="0"/>
              <w:rPr>
                <w:sz w:val="16"/>
                <w:szCs w:val="16"/>
                <w:color w:val="auto"/>
              </w:rPr>
            </w:pPr>
          </w:p>
        </w:tc>
      </w:tr>
      <w:tr>
        <w:trPr>
          <w:trHeight w:val="189"/>
        </w:trPr>
        <w:tc>
          <w:tcPr>
            <w:tcW w:w="216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rPr>
                <w:sz w:val="16"/>
                <w:szCs w:val="16"/>
                <w:color w:val="auto"/>
              </w:rPr>
            </w:pPr>
          </w:p>
        </w:tc>
        <w:tc>
          <w:tcPr>
            <w:tcW w:w="2380" w:type="dxa"/>
            <w:vAlign w:val="bottom"/>
            <w:shd w:val="clear" w:color="auto" w:fill="D8D8D8"/>
          </w:tcPr>
          <w:p>
            <w:pPr>
              <w:jc w:val="center"/>
              <w:spacing w:after="0"/>
              <w:rPr>
                <w:sz w:val="20"/>
                <w:szCs w:val="20"/>
                <w:color w:val="auto"/>
              </w:rPr>
            </w:pPr>
            <w:r>
              <w:rPr>
                <w:rFonts w:ascii="Arial" w:cs="Arial" w:eastAsia="Arial" w:hAnsi="Arial"/>
                <w:sz w:val="16"/>
                <w:szCs w:val="16"/>
                <w:b w:val="1"/>
                <w:bCs w:val="1"/>
                <w:color w:val="auto"/>
                <w:w w:val="99"/>
              </w:rPr>
              <w:t>www.virtualshareholder</w:t>
            </w:r>
          </w:p>
        </w:tc>
        <w:tc>
          <w:tcPr>
            <w:tcW w:w="2180" w:type="dxa"/>
            <w:vAlign w:val="bottom"/>
            <w:shd w:val="clear" w:color="auto" w:fill="D8D8D8"/>
          </w:tcPr>
          <w:p>
            <w:pPr>
              <w:spacing w:after="0"/>
              <w:rPr>
                <w:sz w:val="16"/>
                <w:szCs w:val="16"/>
                <w:color w:val="auto"/>
              </w:rPr>
            </w:pPr>
          </w:p>
        </w:tc>
      </w:tr>
      <w:tr>
        <w:trPr>
          <w:trHeight w:val="215"/>
        </w:trPr>
        <w:tc>
          <w:tcPr>
            <w:tcW w:w="2160" w:type="dxa"/>
            <w:vAlign w:val="bottom"/>
            <w:shd w:val="clear" w:color="auto" w:fill="D8D8D8"/>
          </w:tcPr>
          <w:p>
            <w:pPr>
              <w:spacing w:after="0"/>
              <w:rPr>
                <w:sz w:val="18"/>
                <w:szCs w:val="18"/>
                <w:color w:val="auto"/>
              </w:rPr>
            </w:pPr>
          </w:p>
        </w:tc>
        <w:tc>
          <w:tcPr>
            <w:tcW w:w="2040" w:type="dxa"/>
            <w:vAlign w:val="bottom"/>
            <w:shd w:val="clear" w:color="auto" w:fill="D8D8D8"/>
          </w:tcPr>
          <w:p>
            <w:pPr>
              <w:spacing w:after="0"/>
              <w:rPr>
                <w:sz w:val="18"/>
                <w:szCs w:val="18"/>
                <w:color w:val="auto"/>
              </w:rPr>
            </w:pPr>
          </w:p>
        </w:tc>
        <w:tc>
          <w:tcPr>
            <w:tcW w:w="2380" w:type="dxa"/>
            <w:vAlign w:val="bottom"/>
            <w:shd w:val="clear" w:color="auto" w:fill="D8D8D8"/>
          </w:tcPr>
          <w:p>
            <w:pPr>
              <w:jc w:val="center"/>
              <w:spacing w:after="0"/>
              <w:rPr>
                <w:sz w:val="20"/>
                <w:szCs w:val="20"/>
                <w:color w:val="auto"/>
              </w:rPr>
            </w:pPr>
            <w:r>
              <w:rPr>
                <w:rFonts w:ascii="Arial" w:cs="Arial" w:eastAsia="Arial" w:hAnsi="Arial"/>
                <w:sz w:val="16"/>
                <w:szCs w:val="16"/>
                <w:b w:val="1"/>
                <w:bCs w:val="1"/>
                <w:color w:val="auto"/>
                <w:w w:val="98"/>
              </w:rPr>
              <w:t>meeting.com/AVT2021</w:t>
            </w:r>
          </w:p>
        </w:tc>
        <w:tc>
          <w:tcPr>
            <w:tcW w:w="2180" w:type="dxa"/>
            <w:vAlign w:val="bottom"/>
            <w:shd w:val="clear" w:color="auto" w:fill="D8D8D8"/>
          </w:tcPr>
          <w:p>
            <w:pPr>
              <w:spacing w:after="0"/>
              <w:rPr>
                <w:sz w:val="18"/>
                <w:szCs w:val="18"/>
                <w:color w:val="auto"/>
              </w:rPr>
            </w:pPr>
          </w:p>
        </w:tc>
      </w:tr>
      <w:tr>
        <w:trPr>
          <w:trHeight w:val="208"/>
        </w:trPr>
        <w:tc>
          <w:tcPr>
            <w:tcW w:w="2160" w:type="dxa"/>
            <w:vAlign w:val="bottom"/>
            <w:tcBorders>
              <w:bottom w:val="single" w:sz="8" w:color="56C271"/>
            </w:tcBorders>
            <w:shd w:val="clear" w:color="auto" w:fill="D8D8D8"/>
          </w:tcPr>
          <w:p>
            <w:pPr>
              <w:spacing w:after="0"/>
              <w:rPr>
                <w:sz w:val="18"/>
                <w:szCs w:val="18"/>
                <w:color w:val="auto"/>
              </w:rPr>
            </w:pPr>
          </w:p>
        </w:tc>
        <w:tc>
          <w:tcPr>
            <w:tcW w:w="2040" w:type="dxa"/>
            <w:vAlign w:val="bottom"/>
            <w:tcBorders>
              <w:bottom w:val="single" w:sz="8" w:color="56C271"/>
            </w:tcBorders>
            <w:shd w:val="clear" w:color="auto" w:fill="D8D8D8"/>
          </w:tcPr>
          <w:p>
            <w:pPr>
              <w:spacing w:after="0"/>
              <w:rPr>
                <w:sz w:val="18"/>
                <w:szCs w:val="18"/>
                <w:color w:val="auto"/>
              </w:rPr>
            </w:pPr>
          </w:p>
        </w:tc>
        <w:tc>
          <w:tcPr>
            <w:tcW w:w="2380" w:type="dxa"/>
            <w:vAlign w:val="bottom"/>
            <w:tcBorders>
              <w:bottom w:val="single" w:sz="8" w:color="56C271"/>
            </w:tcBorders>
            <w:shd w:val="clear" w:color="auto" w:fill="D8D8D8"/>
          </w:tcPr>
          <w:p>
            <w:pPr>
              <w:spacing w:after="0"/>
              <w:rPr>
                <w:sz w:val="18"/>
                <w:szCs w:val="18"/>
                <w:color w:val="auto"/>
              </w:rPr>
            </w:pPr>
          </w:p>
        </w:tc>
        <w:tc>
          <w:tcPr>
            <w:tcW w:w="2180" w:type="dxa"/>
            <w:vAlign w:val="bottom"/>
            <w:tcBorders>
              <w:bottom w:val="single" w:sz="8" w:color="56C271"/>
            </w:tcBorders>
            <w:shd w:val="clear" w:color="auto" w:fill="D8D8D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-1550670</wp:posOffset>
            </wp:positionV>
            <wp:extent cx="428625" cy="436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8625" cy="43688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-1550670</wp:posOffset>
            </wp:positionV>
            <wp:extent cx="437515" cy="436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7515" cy="43688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-1550670</wp:posOffset>
            </wp:positionV>
            <wp:extent cx="325755" cy="436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755" cy="43688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-1550670</wp:posOffset>
            </wp:positionV>
            <wp:extent cx="428625" cy="436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8625" cy="436880"/>
                    </a:xfrm>
                    <a:prstGeom prst="rect">
                      <a:avLst/>
                    </a:prstGeom>
                    <a:noFill/>
                  </pic:spPr>
                </pic:pic>
              </a:graphicData>
            </a:graphic>
          </wp:anchor>
        </w:drawing>
      </w:r>
    </w:p>
    <w:p>
      <w:pPr>
        <w:spacing w:after="0" w:line="128" w:lineRule="exact"/>
        <w:rPr>
          <w:sz w:val="20"/>
          <w:szCs w:val="20"/>
          <w:color w:val="auto"/>
        </w:rPr>
      </w:pPr>
    </w:p>
    <w:p>
      <w:pPr>
        <w:ind w:left="1000" w:right="219"/>
        <w:spacing w:after="0" w:line="237" w:lineRule="auto"/>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 “Company”) to be voted at the annual meeting of shareholders to be held at the Company’s Corporate Headquarters, 2211 South 47th Street, Phoenix, Arizona 85034, on November 18, 2021, and at any and all postponements or adjournments thereof (the “Annual Meeting”), with respect to the matters referred to in the accompanying notice. For convenience, shareholders may attend the Annual Meeting either in person or through a webcast via the internet at www.virtualshareholdermeeting.com/AVT2021.</w:t>
      </w:r>
    </w:p>
    <w:p>
      <w:pPr>
        <w:spacing w:after="0" w:line="122" w:lineRule="exact"/>
        <w:rPr>
          <w:sz w:val="20"/>
          <w:szCs w:val="20"/>
          <w:color w:val="auto"/>
        </w:rPr>
      </w:pPr>
    </w:p>
    <w:p>
      <w:pPr>
        <w:ind w:left="1000" w:right="159"/>
        <w:spacing w:after="0" w:line="237" w:lineRule="auto"/>
        <w:rPr>
          <w:sz w:val="20"/>
          <w:szCs w:val="20"/>
          <w:color w:val="auto"/>
        </w:rPr>
      </w:pPr>
      <w:r>
        <w:rPr>
          <w:rFonts w:ascii="Arial" w:cs="Arial" w:eastAsia="Arial" w:hAnsi="Arial"/>
          <w:sz w:val="18"/>
          <w:szCs w:val="18"/>
          <w:color w:val="auto"/>
        </w:rPr>
        <w:t>The approximate date on which this Proxy Statement and the enclosed form of proxy are first being sent or given to shareholders is October 7, 2021. Only holders of record of outstanding shares of the Company’s common stock, par value $1.00 per share (the “Common Stock”), at the close of business on September 20, 2021, the record date, are entitled to notice of and to vote at the Annual Meeting. Each shareholder is entitled to one vote per share held on the record date. The aggregate number of shares of Common Stock outstanding (net of treasury shares) at September 20, 2021, was 99,480,085, comprising all of the Company’s capital stock outstanding as of that date.</w:t>
      </w:r>
    </w:p>
    <w:p>
      <w:pPr>
        <w:spacing w:after="0" w:line="135" w:lineRule="exact"/>
        <w:rPr>
          <w:sz w:val="20"/>
          <w:szCs w:val="20"/>
          <w:color w:val="auto"/>
        </w:rPr>
      </w:pPr>
    </w:p>
    <w:p>
      <w:pPr>
        <w:jc w:val="both"/>
        <w:ind w:left="1000" w:right="199"/>
        <w:spacing w:after="0" w:line="257" w:lineRule="auto"/>
        <w:rPr>
          <w:sz w:val="20"/>
          <w:szCs w:val="20"/>
          <w:color w:val="auto"/>
        </w:rPr>
      </w:pPr>
      <w:r>
        <w:rPr>
          <w:rFonts w:ascii="Arial" w:cs="Arial" w:eastAsia="Arial" w:hAnsi="Arial"/>
          <w:sz w:val="17"/>
          <w:szCs w:val="17"/>
          <w:color w:val="auto"/>
        </w:rPr>
        <w:t>At the Annual Meeting you will be asked to elect the eleven Director nominees named in the Proxy Statement, conduct an advisory vote on executive compensation, approve the Avnet, Inc. 2021 Stock Compensation and Incentive Plan, and ratify the appointment of KPMG LLP as the independent registered public accounting firm to audit the consolidated financial statements of the Company for the fiscal year ending July 2, 2022.</w:t>
      </w:r>
    </w:p>
    <w:p>
      <w:pPr>
        <w:spacing w:after="0" w:line="108" w:lineRule="exact"/>
        <w:rPr>
          <w:sz w:val="20"/>
          <w:szCs w:val="20"/>
          <w:color w:val="auto"/>
        </w:rPr>
      </w:pPr>
    </w:p>
    <w:p>
      <w:pPr>
        <w:ind w:left="1000" w:right="339"/>
        <w:spacing w:after="0" w:line="257" w:lineRule="auto"/>
        <w:rPr>
          <w:sz w:val="20"/>
          <w:szCs w:val="20"/>
          <w:color w:val="auto"/>
        </w:rPr>
      </w:pPr>
      <w:r>
        <w:rPr>
          <w:rFonts w:ascii="Arial" w:cs="Arial" w:eastAsia="Arial" w:hAnsi="Arial"/>
          <w:sz w:val="17"/>
          <w:szCs w:val="17"/>
          <w:color w:val="auto"/>
        </w:rPr>
        <w:t>The cost of soliciting proxies relating to the Annual Meeting will be borne by the Company. Directors, officers and employees of the Company may, without additional compensation, solicit proxies by mail, telephone, email or personal interview. The Company has not engaged an independent proxy solicitor in regards to the Annual Meeting. An independent inspector of election will be engaged to tabulate shareholder votes.</w:t>
      </w:r>
    </w:p>
    <w:p>
      <w:pPr>
        <w:spacing w:after="0" w:line="121" w:lineRule="exact"/>
        <w:rPr>
          <w:sz w:val="20"/>
          <w:szCs w:val="20"/>
          <w:color w:val="auto"/>
        </w:rPr>
      </w:pPr>
    </w:p>
    <w:p>
      <w:pPr>
        <w:ind w:left="1000" w:right="259"/>
        <w:spacing w:after="0" w:line="237" w:lineRule="auto"/>
        <w:rPr>
          <w:sz w:val="20"/>
          <w:szCs w:val="20"/>
          <w:color w:val="auto"/>
        </w:rPr>
      </w:pPr>
      <w:r>
        <w:rPr>
          <w:rFonts w:ascii="Arial" w:cs="Arial" w:eastAsia="Arial" w:hAnsi="Arial"/>
          <w:sz w:val="18"/>
          <w:szCs w:val="18"/>
          <w:color w:val="auto"/>
        </w:rPr>
        <w:t>The Company is furnishing proxy materials to its shareholders primarily via the Internet. On or about October 7, 2021, the Company mailed to its shareholders a Notice of Internet Availability of Proxy Materials containing instructions on how to access the Company’s proxy materials, including the 2021 Proxy Statement and the 2021 Annual Report, and how to vote through the Internet, by phone, by mail or in person. On or about October 7, 2021, certain shareholders, in accordance with their prior requests, were sent e-mail notifications of how to access the proxy materials and to vote or have been mailed paper copies of the Company’s proxy materials and a proxy card or voting form.</w:t>
      </w:r>
    </w:p>
    <w:p>
      <w:pPr>
        <w:spacing w:after="0" w:line="135" w:lineRule="exact"/>
        <w:rPr>
          <w:sz w:val="20"/>
          <w:szCs w:val="20"/>
          <w:color w:val="auto"/>
        </w:rPr>
      </w:pPr>
    </w:p>
    <w:p>
      <w:pPr>
        <w:ind w:left="1000" w:right="359"/>
        <w:spacing w:after="0"/>
        <w:rPr>
          <w:sz w:val="20"/>
          <w:szCs w:val="20"/>
          <w:color w:val="auto"/>
        </w:rPr>
      </w:pPr>
      <w:r>
        <w:rPr>
          <w:rFonts w:ascii="Arial" w:cs="Arial" w:eastAsia="Arial" w:hAnsi="Arial"/>
          <w:sz w:val="18"/>
          <w:szCs w:val="18"/>
          <w:color w:val="auto"/>
        </w:rPr>
        <w:t>Internet distribution of the Company’s proxy materials is designed to expedite receipt by shareholders, lower the cost of the Annual Meeting and conserve natural resources. However, if you would prefer to receive printed</w:t>
      </w:r>
    </w:p>
    <w:p>
      <w:pPr>
        <w:sectPr>
          <w:pgSz w:w="11900" w:h="16838" w:orient="portrait"/>
          <w:cols w:equalWidth="0" w:num="1">
            <w:col w:w="9879"/>
          </w:cols>
          <w:pgMar w:left="580" w:top="131" w:right="1440" w:bottom="1440" w:gutter="0" w:footer="0" w:header="0"/>
        </w:sectPr>
      </w:pPr>
    </w:p>
    <w:p>
      <w:pPr>
        <w:spacing w:after="0" w:line="148" w:lineRule="exact"/>
        <w:rPr>
          <w:sz w:val="20"/>
          <w:szCs w:val="20"/>
          <w:color w:val="auto"/>
        </w:rPr>
      </w:pPr>
    </w:p>
    <w:p>
      <w:pPr>
        <w:ind w:left="7260"/>
        <w:spacing w:after="0"/>
        <w:rPr>
          <w:sz w:val="20"/>
          <w:szCs w:val="20"/>
          <w:color w:val="auto"/>
        </w:rPr>
      </w:pPr>
      <w:r>
        <w:rPr>
          <w:sz w:val="1"/>
          <w:szCs w:val="1"/>
          <w:color w:val="auto"/>
        </w:rPr>
        <w:drawing>
          <wp:inline distT="0" distB="0" distL="0" distR="0">
            <wp:extent cx="1482725" cy="29146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7"/>
          <w:szCs w:val="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Proxy Statement</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339"/>
        <w:spacing w:after="0"/>
        <w:rPr>
          <w:sz w:val="20"/>
          <w:szCs w:val="20"/>
          <w:color w:val="auto"/>
        </w:rPr>
      </w:pPr>
      <w:r>
        <w:rPr>
          <w:rFonts w:ascii="Arial" w:cs="Arial" w:eastAsia="Arial" w:hAnsi="Arial"/>
          <w:sz w:val="18"/>
          <w:szCs w:val="18"/>
          <w:color w:val="auto"/>
        </w:rPr>
        <w:t>proxy materials, please follow the instructions included in the Notice of Internet Availability. If you have previously elected to receive the Company’s proxy materials electronically, you will continue to receive these materials via e-mail unless you elect otherwise.</w:t>
      </w:r>
    </w:p>
    <w:p>
      <w:pPr>
        <w:spacing w:after="0" w:line="122" w:lineRule="exact"/>
        <w:rPr>
          <w:sz w:val="20"/>
          <w:szCs w:val="20"/>
          <w:color w:val="auto"/>
        </w:rPr>
      </w:pPr>
    </w:p>
    <w:p>
      <w:pPr>
        <w:ind w:left="1000" w:right="419"/>
        <w:spacing w:after="0" w:line="238" w:lineRule="auto"/>
        <w:rPr>
          <w:sz w:val="20"/>
          <w:szCs w:val="20"/>
          <w:color w:val="auto"/>
        </w:rPr>
      </w:pPr>
      <w:r>
        <w:rPr>
          <w:rFonts w:ascii="Arial" w:cs="Arial" w:eastAsia="Arial" w:hAnsi="Arial"/>
          <w:sz w:val="18"/>
          <w:szCs w:val="18"/>
          <w:color w:val="auto"/>
        </w:rPr>
        <w:t>The Company will request banks, brokerage houses and other institutions, nominees and fiduciaries to forward the proxy materials to the beneficial owners of Common Stock and to obtain authorization for the execution of proxies. The Company will, upon request, reimburse banks, brokerage houses and other institutions, nominees and fiduciaries for their reasonable expenses in forwarding the proxy materials to the beneficial owners.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PROXY AND REVOCATION OF PROXY</w:t>
      </w:r>
    </w:p>
    <w:p>
      <w:pPr>
        <w:spacing w:after="0" w:line="170" w:lineRule="exact"/>
        <w:rPr>
          <w:sz w:val="20"/>
          <w:szCs w:val="20"/>
          <w:color w:val="auto"/>
        </w:rPr>
      </w:pPr>
    </w:p>
    <w:p>
      <w:pPr>
        <w:ind w:left="1000" w:right="159"/>
        <w:spacing w:after="0" w:line="236" w:lineRule="auto"/>
        <w:rPr>
          <w:sz w:val="20"/>
          <w:szCs w:val="20"/>
          <w:color w:val="auto"/>
        </w:rPr>
      </w:pPr>
      <w:r>
        <w:rPr>
          <w:rFonts w:ascii="Arial" w:cs="Arial" w:eastAsia="Arial" w:hAnsi="Arial"/>
          <w:sz w:val="18"/>
          <w:szCs w:val="18"/>
          <w:color w:val="auto"/>
        </w:rPr>
        <w:t>Proxies may be submitted by completing and mailing the proxy card or by submitting your proxy voting instructions by telephone or through the Internet. Shareholders who hold their shares through a broker, bank or other nominee should contact their nominee to determine whether they may submit their proxy by telephone or Internet. Common Stock represented by a proxy properly signed or submitted and received at or prior to the Annual Meeting will be voted in accordance with the shareholder’s instructions. If a proxy card is signed, dated and returned without indicating any voting instructions, the Common Stock represented by the proxy will be voted as the Board recommends. The Board of Directors is not currently aware of any business to be acted upon at the Annual Meeting other than as described in this Proxy Statement.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35" w:lineRule="exact"/>
        <w:rPr>
          <w:sz w:val="20"/>
          <w:szCs w:val="20"/>
          <w:color w:val="auto"/>
        </w:rPr>
      </w:pPr>
    </w:p>
    <w:p>
      <w:pPr>
        <w:ind w:left="1000" w:right="179"/>
        <w:spacing w:after="0" w:line="236" w:lineRule="auto"/>
        <w:rPr>
          <w:sz w:val="20"/>
          <w:szCs w:val="20"/>
          <w:color w:val="auto"/>
        </w:rPr>
      </w:pPr>
      <w:r>
        <w:rPr>
          <w:rFonts w:ascii="Arial" w:cs="Arial" w:eastAsia="Arial" w:hAnsi="Arial"/>
          <w:sz w:val="18"/>
          <w:szCs w:val="18"/>
          <w:color w:val="auto"/>
        </w:rPr>
        <w:t>Any shareholder who signs and returns the enclosed proxy, or properly votes by telephone or Internet, may revoke it by submitting a written notice of revocation or a later dated proxy that is received by the Company prior to the Annual Meeting or by voting in person at the Annual Meeting. However, a proxy will not be revoked by simply attending the Annual Meeting and not voting. All written notices of revocation and other communications with respect to revocation by shareholders should be addressed as follows: Corporate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BROKER VOTING</w:t>
      </w:r>
    </w:p>
    <w:p>
      <w:pPr>
        <w:spacing w:after="0" w:line="157" w:lineRule="exact"/>
        <w:rPr>
          <w:sz w:val="20"/>
          <w:szCs w:val="20"/>
          <w:color w:val="auto"/>
        </w:rPr>
      </w:pPr>
    </w:p>
    <w:p>
      <w:pPr>
        <w:ind w:left="1000" w:right="259"/>
        <w:spacing w:after="0" w:line="236" w:lineRule="auto"/>
        <w:rPr>
          <w:sz w:val="20"/>
          <w:szCs w:val="20"/>
          <w:color w:val="auto"/>
        </w:rPr>
      </w:pPr>
      <w:r>
        <w:rPr>
          <w:rFonts w:ascii="Arial" w:cs="Arial" w:eastAsia="Arial" w:hAnsi="Arial"/>
          <w:sz w:val="18"/>
          <w:szCs w:val="18"/>
          <w:color w:val="auto"/>
        </w:rPr>
        <w:t>Brokers holding shares of record for a shareholder have the discretionary authority to vote on certain limited matters if they do not receive timely instructions from the shareholder regarding how the shareholder wants the shares voted. There are also some matters (“non-routine matters”) with respect to which brokers do not have discretionary authority to vote if they do not receive timely instructions from the shareholder. When a broker does not have discretion to vote on a particular matter and the shareholder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w:t>
      </w:r>
    </w:p>
    <w:p>
      <w:pPr>
        <w:spacing w:after="0" w:line="140" w:lineRule="exact"/>
        <w:rPr>
          <w:sz w:val="20"/>
          <w:szCs w:val="20"/>
          <w:color w:val="auto"/>
        </w:rPr>
      </w:pPr>
    </w:p>
    <w:p>
      <w:pPr>
        <w:ind w:left="1000" w:right="399"/>
        <w:spacing w:after="0" w:line="246" w:lineRule="auto"/>
        <w:rPr>
          <w:sz w:val="20"/>
          <w:szCs w:val="20"/>
          <w:color w:val="auto"/>
        </w:rPr>
      </w:pPr>
      <w:r>
        <w:rPr>
          <w:rFonts w:ascii="Arial" w:cs="Arial" w:eastAsia="Arial" w:hAnsi="Arial"/>
          <w:sz w:val="18"/>
          <w:szCs w:val="18"/>
          <w:color w:val="auto"/>
        </w:rPr>
        <w:t>Therefore, a broker non-vote would not count as a vote in favor of or against such matters and, accordingly, would not affect the outcome of the vote.</w:t>
      </w:r>
    </w:p>
    <w:p>
      <w:pPr>
        <w:spacing w:after="0" w:line="129" w:lineRule="exact"/>
        <w:rPr>
          <w:sz w:val="20"/>
          <w:szCs w:val="20"/>
          <w:color w:val="auto"/>
        </w:rPr>
      </w:pPr>
    </w:p>
    <w:p>
      <w:pPr>
        <w:ind w:left="1000" w:right="139"/>
        <w:spacing w:after="0"/>
        <w:rPr>
          <w:sz w:val="20"/>
          <w:szCs w:val="20"/>
          <w:color w:val="auto"/>
        </w:rPr>
      </w:pPr>
      <w:r>
        <w:rPr>
          <w:rFonts w:ascii="Arial" w:cs="Arial" w:eastAsia="Arial" w:hAnsi="Arial"/>
          <w:sz w:val="18"/>
          <w:szCs w:val="18"/>
          <w:color w:val="auto"/>
        </w:rPr>
        <w:t>The election of Directors (Proposal 1), the advisory vote on executive compensation (Proposal 2) and approval of the Avnet, Inc. 2021 Stock Compensation and Incentive Plan (Proposal 3) are classified as non-routine matters. Accordingly, brokers, banks and other nominees will not be permitted to vote on any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103505</wp:posOffset>
            </wp:positionV>
            <wp:extent cx="1482725"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Proxy Statement</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199"/>
        <w:spacing w:after="0" w:line="254" w:lineRule="auto"/>
        <w:rPr>
          <w:sz w:val="20"/>
          <w:szCs w:val="20"/>
          <w:color w:val="auto"/>
        </w:rPr>
      </w:pPr>
      <w:r>
        <w:rPr>
          <w:rFonts w:ascii="Arial" w:cs="Arial" w:eastAsia="Arial" w:hAnsi="Arial"/>
          <w:sz w:val="18"/>
          <w:szCs w:val="18"/>
          <w:color w:val="auto"/>
        </w:rPr>
        <w:t xml:space="preserve">other than the ratification of the appointment of the independent registered public accounting firm (Proposal 4) without instructions from the beneficial owners. </w:t>
      </w:r>
      <w:r>
        <w:rPr>
          <w:rFonts w:ascii="Arial" w:cs="Arial" w:eastAsia="Arial" w:hAnsi="Arial"/>
          <w:sz w:val="18"/>
          <w:szCs w:val="18"/>
          <w:b w:val="1"/>
          <w:bCs w:val="1"/>
          <w:color w:val="auto"/>
        </w:rPr>
        <w:t>As a result, the Company encourages all beneficial owners</w:t>
      </w:r>
      <w:r>
        <w:rPr>
          <w:rFonts w:ascii="Arial" w:cs="Arial" w:eastAsia="Arial" w:hAnsi="Arial"/>
          <w:sz w:val="18"/>
          <w:szCs w:val="18"/>
          <w:color w:val="auto"/>
        </w:rPr>
        <w:t xml:space="preserve"> </w:t>
      </w:r>
      <w:r>
        <w:rPr>
          <w:rFonts w:ascii="Arial" w:cs="Arial" w:eastAsia="Arial" w:hAnsi="Arial"/>
          <w:sz w:val="18"/>
          <w:szCs w:val="18"/>
          <w:b w:val="1"/>
          <w:bCs w:val="1"/>
          <w:color w:val="auto"/>
        </w:rPr>
        <w:t>to provide voting instructions to your nominees to ensure that your shares are voted at the Annual Meeting.</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MEETING ATTENDANCE</w:t>
      </w:r>
    </w:p>
    <w:p>
      <w:pPr>
        <w:spacing w:after="0" w:line="157" w:lineRule="exact"/>
        <w:rPr>
          <w:sz w:val="20"/>
          <w:szCs w:val="20"/>
          <w:color w:val="auto"/>
        </w:rPr>
      </w:pPr>
    </w:p>
    <w:p>
      <w:pPr>
        <w:ind w:left="1000" w:right="159"/>
        <w:spacing w:after="0" w:line="251" w:lineRule="auto"/>
        <w:rPr>
          <w:sz w:val="20"/>
          <w:szCs w:val="20"/>
          <w:color w:val="auto"/>
        </w:rPr>
      </w:pPr>
      <w:r>
        <w:rPr>
          <w:rFonts w:ascii="Arial" w:cs="Arial" w:eastAsia="Arial" w:hAnsi="Arial"/>
          <w:sz w:val="18"/>
          <w:szCs w:val="18"/>
          <w:color w:val="auto"/>
        </w:rPr>
        <w:t>Admission to the Annual Meeting will be limited to shareholders. You are entitled to attend the Annual Meeting only if you are a shareholder of record as of the record date or hold a valid proxy for the meeting. In order to be admitted to the Annual Meeting, you must present proof of ownership of the Company’s Common Stock on the record date. This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43" w:lineRule="exact"/>
        <w:rPr>
          <w:sz w:val="20"/>
          <w:szCs w:val="20"/>
          <w:color w:val="auto"/>
        </w:rPr>
      </w:pPr>
    </w:p>
    <w:p>
      <w:pPr>
        <w:ind w:left="1000" w:right="419"/>
        <w:spacing w:after="0" w:line="253" w:lineRule="auto"/>
        <w:rPr>
          <w:sz w:val="20"/>
          <w:szCs w:val="20"/>
          <w:color w:val="auto"/>
        </w:rPr>
      </w:pPr>
      <w:r>
        <w:rPr>
          <w:rFonts w:ascii="Arial" w:cs="Arial" w:eastAsia="Arial" w:hAnsi="Arial"/>
          <w:sz w:val="18"/>
          <w:szCs w:val="18"/>
          <w:color w:val="auto"/>
        </w:rPr>
        <w:t>If you choose to attend the Annual Meeting through the webcast, you will need to enter your 16-digit control number included with the Notice of Internet Availability or proxy card. Instructions on how to attend and participate in the Annual Meeting via the webcast are posted on www.virtualshareholdermeeting.com/ AVT2021. You will be able to vote your Common Stock while attending the Annual Meeting by following the instructions on the website.</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QUORUM</w:t>
      </w:r>
    </w:p>
    <w:p>
      <w:pPr>
        <w:spacing w:after="0" w:line="170" w:lineRule="exact"/>
        <w:rPr>
          <w:sz w:val="20"/>
          <w:szCs w:val="20"/>
          <w:color w:val="auto"/>
        </w:rPr>
      </w:pPr>
    </w:p>
    <w:p>
      <w:pPr>
        <w:ind w:left="1000" w:right="159"/>
        <w:spacing w:after="0" w:line="273" w:lineRule="auto"/>
        <w:rPr>
          <w:sz w:val="20"/>
          <w:szCs w:val="20"/>
          <w:color w:val="auto"/>
        </w:rPr>
      </w:pPr>
      <w:r>
        <w:rPr>
          <w:rFonts w:ascii="Arial" w:cs="Arial" w:eastAsia="Arial" w:hAnsi="Arial"/>
          <w:sz w:val="17"/>
          <w:szCs w:val="17"/>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REQUIRED VOTE AND BOARD RECOMMENDATIONS</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56C271"/>
        </w:rPr>
        <w:t>Proposals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Voting</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56C271"/>
        </w:rPr>
        <w:t>Standard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color w:val="56C271"/>
        </w:rPr>
        <w:t>Board</w:t>
      </w:r>
      <w:r>
        <w:rPr>
          <w:sz w:val="20"/>
          <w:szCs w:val="20"/>
          <w:color w:val="auto"/>
        </w:rPr>
        <w:tab/>
      </w:r>
      <w:r>
        <w:rPr>
          <w:rFonts w:ascii="Arial" w:cs="Arial" w:eastAsia="Arial" w:hAnsi="Arial"/>
          <w:sz w:val="18"/>
          <w:szCs w:val="18"/>
          <w:b w:val="1"/>
          <w:bCs w:val="1"/>
          <w:color w:val="56C271"/>
        </w:rPr>
        <w:t>Page</w:t>
      </w:r>
    </w:p>
    <w:p>
      <w:pPr>
        <w:spacing w:after="0" w:line="18" w:lineRule="exact"/>
        <w:rPr>
          <w:sz w:val="20"/>
          <w:szCs w:val="20"/>
          <w:color w:val="auto"/>
        </w:rPr>
      </w:pPr>
    </w:p>
    <w:p>
      <w:pPr>
        <w:spacing w:after="0"/>
        <w:tabs>
          <w:tab w:leader="none" w:pos="1780" w:val="left"/>
        </w:tabs>
        <w:rPr>
          <w:sz w:val="20"/>
          <w:szCs w:val="20"/>
          <w:color w:val="auto"/>
        </w:rPr>
      </w:pPr>
      <w:r>
        <w:rPr>
          <w:rFonts w:ascii="Arial" w:cs="Arial" w:eastAsia="Arial" w:hAnsi="Arial"/>
          <w:sz w:val="17"/>
          <w:szCs w:val="17"/>
          <w:b w:val="1"/>
          <w:bCs w:val="1"/>
          <w:color w:val="56C271"/>
        </w:rPr>
        <w:t>Recommendation</w:t>
      </w:r>
      <w:r>
        <w:rPr>
          <w:sz w:val="20"/>
          <w:szCs w:val="20"/>
          <w:color w:val="auto"/>
        </w:rPr>
        <w:tab/>
      </w:r>
      <w:r>
        <w:rPr>
          <w:rFonts w:ascii="Arial" w:cs="Arial" w:eastAsia="Arial" w:hAnsi="Arial"/>
          <w:sz w:val="17"/>
          <w:szCs w:val="17"/>
          <w:b w:val="1"/>
          <w:bCs w:val="1"/>
          <w:color w:val="56C271"/>
        </w:rPr>
        <w:t>Reference</w:t>
      </w:r>
    </w:p>
    <w:p>
      <w:pPr>
        <w:spacing w:after="0" w:line="75" w:lineRule="exact"/>
        <w:rPr>
          <w:sz w:val="20"/>
          <w:szCs w:val="20"/>
          <w:color w:val="auto"/>
        </w:rPr>
      </w:pPr>
    </w:p>
    <w:p>
      <w:pPr>
        <w:sectPr>
          <w:pgSz w:w="11900" w:h="16838" w:orient="portrait"/>
          <w:cols w:equalWidth="0" w:num="3">
            <w:col w:w="5100" w:space="720"/>
            <w:col w:w="780" w:space="460"/>
            <w:col w:w="2819"/>
          </w:cols>
          <w:pgMar w:left="580" w:top="132" w:right="1440" w:bottom="1440" w:gutter="0" w:footer="0" w:header="0"/>
          <w:type w:val="continuous"/>
        </w:sectPr>
      </w:pPr>
    </w:p>
    <w:tbl>
      <w:tblPr>
        <w:tblLayout w:type="fixed"/>
        <w:tblInd w:w="980" w:type="dxa"/>
        <w:tblCellMar>
          <w:top w:w="0" w:type="dxa"/>
          <w:left w:w="0" w:type="dxa"/>
          <w:bottom w:w="0" w:type="dxa"/>
          <w:right w:w="0" w:type="dxa"/>
        </w:tblCellMar>
      </w:tblPr>
      <w:tr>
        <w:trPr>
          <w:trHeight w:val="355"/>
        </w:trPr>
        <w:tc>
          <w:tcPr>
            <w:tcW w:w="720" w:type="dxa"/>
            <w:vAlign w:val="bottom"/>
            <w:vMerge w:val="restart"/>
            <w:shd w:val="clear" w:color="auto" w:fill="56C271"/>
          </w:tcPr>
          <w:p>
            <w:pPr>
              <w:jc w:val="right"/>
              <w:ind w:right="98"/>
              <w:spacing w:after="0"/>
              <w:rPr>
                <w:sz w:val="20"/>
                <w:szCs w:val="20"/>
                <w:color w:val="auto"/>
              </w:rPr>
            </w:pPr>
            <w:r>
              <w:rPr>
                <w:rFonts w:ascii="Arial" w:cs="Arial" w:eastAsia="Arial" w:hAnsi="Arial"/>
                <w:sz w:val="32"/>
                <w:szCs w:val="32"/>
                <w:b w:val="1"/>
                <w:bCs w:val="1"/>
                <w:color w:val="FEFEFE"/>
              </w:rPr>
              <w:t>1</w:t>
            </w:r>
          </w:p>
        </w:tc>
        <w:tc>
          <w:tcPr>
            <w:tcW w:w="120" w:type="dxa"/>
            <w:vAlign w:val="bottom"/>
            <w:shd w:val="clear" w:color="auto" w:fill="56C271"/>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3560" w:type="dxa"/>
            <w:vAlign w:val="bottom"/>
            <w:gridSpan w:val="2"/>
            <w:vMerge w:val="restart"/>
            <w:shd w:val="clear" w:color="auto" w:fill="D8D8D8"/>
          </w:tcPr>
          <w:p>
            <w:pPr>
              <w:ind w:left="20"/>
              <w:spacing w:after="0"/>
              <w:rPr>
                <w:sz w:val="20"/>
                <w:szCs w:val="20"/>
                <w:color w:val="auto"/>
              </w:rPr>
            </w:pPr>
            <w:r>
              <w:rPr>
                <w:rFonts w:ascii="Arial" w:cs="Arial" w:eastAsia="Arial" w:hAnsi="Arial"/>
                <w:sz w:val="18"/>
                <w:szCs w:val="18"/>
                <w:b w:val="1"/>
                <w:bCs w:val="1"/>
                <w:color w:val="auto"/>
              </w:rPr>
              <w:t>Election of Directors</w:t>
            </w:r>
          </w:p>
        </w:tc>
        <w:tc>
          <w:tcPr>
            <w:tcW w:w="20" w:type="dxa"/>
            <w:vAlign w:val="bottom"/>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00" w:type="dxa"/>
            <w:vAlign w:val="bottom"/>
            <w:gridSpan w:val="2"/>
            <w:shd w:val="clear" w:color="auto" w:fill="D8D8D8"/>
          </w:tcPr>
          <w:p>
            <w:pPr>
              <w:ind w:left="20"/>
              <w:spacing w:after="0"/>
              <w:rPr>
                <w:sz w:val="20"/>
                <w:szCs w:val="20"/>
                <w:color w:val="auto"/>
              </w:rPr>
            </w:pPr>
            <w:r>
              <w:rPr>
                <w:rFonts w:ascii="Arial" w:cs="Arial" w:eastAsia="Arial" w:hAnsi="Arial"/>
                <w:sz w:val="20"/>
                <w:szCs w:val="20"/>
                <w:b w:val="1"/>
                <w:bCs w:val="1"/>
                <w:color w:val="auto"/>
              </w:rPr>
              <w:t>Majority of</w:t>
            </w:r>
          </w:p>
        </w:tc>
        <w:tc>
          <w:tcPr>
            <w:tcW w:w="140" w:type="dxa"/>
            <w:vAlign w:val="bottom"/>
            <w:shd w:val="clear" w:color="auto" w:fill="56C271"/>
          </w:tcPr>
          <w:p>
            <w:pPr>
              <w:spacing w:after="0"/>
              <w:rPr>
                <w:sz w:val="24"/>
                <w:szCs w:val="24"/>
                <w:color w:val="auto"/>
              </w:rPr>
            </w:pPr>
          </w:p>
        </w:tc>
        <w:tc>
          <w:tcPr>
            <w:tcW w:w="1680" w:type="dxa"/>
            <w:vAlign w:val="bottom"/>
            <w:gridSpan w:val="2"/>
            <w:vMerge w:val="restart"/>
            <w:shd w:val="clear" w:color="auto" w:fill="56C271"/>
          </w:tcPr>
          <w:p>
            <w:pPr>
              <w:ind w:left="480"/>
              <w:spacing w:after="0"/>
              <w:rPr>
                <w:sz w:val="20"/>
                <w:szCs w:val="20"/>
                <w:color w:val="auto"/>
              </w:rPr>
            </w:pPr>
            <w:r>
              <w:rPr>
                <w:rFonts w:ascii="Arial" w:cs="Arial" w:eastAsia="Arial" w:hAnsi="Arial"/>
                <w:sz w:val="29"/>
                <w:szCs w:val="29"/>
                <w:b w:val="1"/>
                <w:bCs w:val="1"/>
                <w:color w:val="FFFFFF"/>
              </w:rPr>
              <w:t>FOR</w:t>
            </w:r>
          </w:p>
        </w:tc>
        <w:tc>
          <w:tcPr>
            <w:tcW w:w="20" w:type="dxa"/>
            <w:vAlign w:val="bottom"/>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560" w:type="dxa"/>
            <w:vAlign w:val="bottom"/>
            <w:gridSpan w:val="4"/>
            <w:vMerge w:val="restart"/>
            <w:shd w:val="clear" w:color="auto" w:fill="D8D8D8"/>
          </w:tcPr>
          <w:p>
            <w:pPr>
              <w:jc w:val="center"/>
              <w:ind w:left="250"/>
              <w:spacing w:after="0"/>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8</w:t>
              </w:r>
            </w:hyperlink>
          </w:p>
        </w:tc>
        <w:tc>
          <w:tcPr>
            <w:tcW w:w="34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20" w:type="dxa"/>
            <w:vAlign w:val="bottom"/>
            <w:vMerge w:val="continue"/>
            <w:shd w:val="clear" w:color="auto" w:fill="56C271"/>
          </w:tcPr>
          <w:p>
            <w:pPr>
              <w:spacing w:after="0"/>
              <w:rPr>
                <w:sz w:val="7"/>
                <w:szCs w:val="7"/>
                <w:color w:val="auto"/>
              </w:rPr>
            </w:pPr>
          </w:p>
        </w:tc>
        <w:tc>
          <w:tcPr>
            <w:tcW w:w="120" w:type="dxa"/>
            <w:vAlign w:val="bottom"/>
            <w:shd w:val="clear" w:color="auto" w:fill="56C271"/>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D8D8D8"/>
          </w:tcPr>
          <w:p>
            <w:pPr>
              <w:spacing w:after="0"/>
              <w:rPr>
                <w:sz w:val="7"/>
                <w:szCs w:val="7"/>
                <w:color w:val="auto"/>
              </w:rPr>
            </w:pPr>
          </w:p>
        </w:tc>
        <w:tc>
          <w:tcPr>
            <w:tcW w:w="3560" w:type="dxa"/>
            <w:vAlign w:val="bottom"/>
            <w:gridSpan w:val="2"/>
            <w:vMerge w:val="continue"/>
            <w:shd w:val="clear" w:color="auto" w:fill="D8D8D8"/>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D8D8D8"/>
          </w:tcPr>
          <w:p>
            <w:pPr>
              <w:spacing w:after="0"/>
              <w:rPr>
                <w:sz w:val="7"/>
                <w:szCs w:val="7"/>
                <w:color w:val="auto"/>
              </w:rPr>
            </w:pPr>
          </w:p>
        </w:tc>
        <w:tc>
          <w:tcPr>
            <w:tcW w:w="1200" w:type="dxa"/>
            <w:vAlign w:val="bottom"/>
            <w:gridSpan w:val="2"/>
            <w:vMerge w:val="restart"/>
            <w:shd w:val="clear" w:color="auto" w:fill="D8D8D8"/>
          </w:tcPr>
          <w:p>
            <w:pPr>
              <w:ind w:left="60"/>
              <w:spacing w:after="0"/>
              <w:rPr>
                <w:sz w:val="20"/>
                <w:szCs w:val="20"/>
                <w:color w:val="auto"/>
              </w:rPr>
            </w:pPr>
            <w:r>
              <w:rPr>
                <w:rFonts w:ascii="Arial" w:cs="Arial" w:eastAsia="Arial" w:hAnsi="Arial"/>
                <w:sz w:val="20"/>
                <w:szCs w:val="20"/>
                <w:b w:val="1"/>
                <w:bCs w:val="1"/>
                <w:color w:val="auto"/>
              </w:rPr>
              <w:t>votes cast</w:t>
            </w:r>
          </w:p>
        </w:tc>
        <w:tc>
          <w:tcPr>
            <w:tcW w:w="140" w:type="dxa"/>
            <w:vAlign w:val="bottom"/>
            <w:shd w:val="clear" w:color="auto" w:fill="56C271"/>
          </w:tcPr>
          <w:p>
            <w:pPr>
              <w:spacing w:after="0"/>
              <w:rPr>
                <w:sz w:val="7"/>
                <w:szCs w:val="7"/>
                <w:color w:val="auto"/>
              </w:rPr>
            </w:pPr>
          </w:p>
        </w:tc>
        <w:tc>
          <w:tcPr>
            <w:tcW w:w="1680" w:type="dxa"/>
            <w:vAlign w:val="bottom"/>
            <w:gridSpan w:val="2"/>
            <w:vMerge w:val="continue"/>
            <w:shd w:val="clear" w:color="auto" w:fill="56C271"/>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D8D8D8"/>
          </w:tcPr>
          <w:p>
            <w:pPr>
              <w:spacing w:after="0"/>
              <w:rPr>
                <w:sz w:val="7"/>
                <w:szCs w:val="7"/>
                <w:color w:val="auto"/>
              </w:rPr>
            </w:pPr>
          </w:p>
        </w:tc>
        <w:tc>
          <w:tcPr>
            <w:tcW w:w="560" w:type="dxa"/>
            <w:vAlign w:val="bottom"/>
            <w:gridSpan w:val="4"/>
            <w:vMerge w:val="continue"/>
            <w:shd w:val="clear" w:color="auto" w:fill="D8D8D8"/>
          </w:tcPr>
          <w:p>
            <w:pPr>
              <w:spacing w:after="0"/>
              <w:rPr>
                <w:sz w:val="7"/>
                <w:szCs w:val="7"/>
                <w:color w:val="auto"/>
              </w:rPr>
            </w:pPr>
          </w:p>
        </w:tc>
        <w:tc>
          <w:tcPr>
            <w:tcW w:w="34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720" w:type="dxa"/>
            <w:vAlign w:val="bottom"/>
            <w:tcBorders>
              <w:top w:val="single" w:sz="8" w:color="56C271"/>
            </w:tcBorders>
            <w:shd w:val="clear" w:color="auto" w:fill="56C271"/>
          </w:tcPr>
          <w:p>
            <w:pPr>
              <w:spacing w:after="0"/>
              <w:rPr>
                <w:sz w:val="16"/>
                <w:szCs w:val="16"/>
                <w:color w:val="auto"/>
              </w:rPr>
            </w:pPr>
          </w:p>
        </w:tc>
        <w:tc>
          <w:tcPr>
            <w:tcW w:w="120" w:type="dxa"/>
            <w:vAlign w:val="bottom"/>
            <w:tcBorders>
              <w:top w:val="single" w:sz="8" w:color="56C271"/>
            </w:tcBorders>
            <w:shd w:val="clear" w:color="auto" w:fill="56C271"/>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D8D8D8"/>
            </w:tcBorders>
            <w:shd w:val="clear" w:color="auto" w:fill="D8D8D8"/>
          </w:tcPr>
          <w:p>
            <w:pPr>
              <w:spacing w:after="0"/>
              <w:rPr>
                <w:sz w:val="16"/>
                <w:szCs w:val="16"/>
                <w:color w:val="auto"/>
              </w:rPr>
            </w:pPr>
          </w:p>
        </w:tc>
        <w:tc>
          <w:tcPr>
            <w:tcW w:w="3440" w:type="dxa"/>
            <w:vAlign w:val="bottom"/>
            <w:tcBorders>
              <w:top w:val="single" w:sz="8" w:color="D8D8D8"/>
            </w:tcBorders>
            <w:shd w:val="clear" w:color="auto" w:fill="D8D8D8"/>
          </w:tcPr>
          <w:p>
            <w:pPr>
              <w:spacing w:after="0"/>
              <w:rPr>
                <w:sz w:val="16"/>
                <w:szCs w:val="16"/>
                <w:color w:val="auto"/>
              </w:rPr>
            </w:pPr>
          </w:p>
        </w:tc>
        <w:tc>
          <w:tcPr>
            <w:tcW w:w="120" w:type="dxa"/>
            <w:vAlign w:val="bottom"/>
            <w:tcBorders>
              <w:top w:val="single" w:sz="8" w:color="D8D8D8"/>
            </w:tcBorders>
            <w:shd w:val="clear" w:color="auto" w:fill="D8D8D8"/>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D8D8D8"/>
            </w:tcBorders>
            <w:shd w:val="clear" w:color="auto" w:fill="D8D8D8"/>
          </w:tcPr>
          <w:p>
            <w:pPr>
              <w:spacing w:after="0"/>
              <w:rPr>
                <w:sz w:val="16"/>
                <w:szCs w:val="16"/>
                <w:color w:val="auto"/>
              </w:rPr>
            </w:pPr>
          </w:p>
        </w:tc>
        <w:tc>
          <w:tcPr>
            <w:tcW w:w="1200" w:type="dxa"/>
            <w:vAlign w:val="bottom"/>
            <w:tcBorders>
              <w:top w:val="single" w:sz="8" w:color="D8D8D8"/>
            </w:tcBorders>
            <w:gridSpan w:val="2"/>
            <w:vMerge w:val="continue"/>
            <w:shd w:val="clear" w:color="auto" w:fill="D8D8D8"/>
          </w:tcPr>
          <w:p>
            <w:pPr>
              <w:spacing w:after="0"/>
              <w:rPr>
                <w:sz w:val="16"/>
                <w:szCs w:val="16"/>
                <w:color w:val="auto"/>
              </w:rPr>
            </w:pPr>
          </w:p>
        </w:tc>
        <w:tc>
          <w:tcPr>
            <w:tcW w:w="140" w:type="dxa"/>
            <w:vAlign w:val="bottom"/>
            <w:tcBorders>
              <w:top w:val="single" w:sz="8" w:color="56C271"/>
            </w:tcBorders>
            <w:shd w:val="clear" w:color="auto" w:fill="56C271"/>
          </w:tcPr>
          <w:p>
            <w:pPr>
              <w:spacing w:after="0"/>
              <w:rPr>
                <w:sz w:val="16"/>
                <w:szCs w:val="16"/>
                <w:color w:val="auto"/>
              </w:rPr>
            </w:pPr>
          </w:p>
        </w:tc>
        <w:tc>
          <w:tcPr>
            <w:tcW w:w="1540" w:type="dxa"/>
            <w:vAlign w:val="bottom"/>
            <w:tcBorders>
              <w:top w:val="single" w:sz="8" w:color="56C271"/>
            </w:tcBorders>
            <w:shd w:val="clear" w:color="auto" w:fill="56C271"/>
          </w:tcPr>
          <w:p>
            <w:pPr>
              <w:spacing w:after="0"/>
              <w:rPr>
                <w:sz w:val="16"/>
                <w:szCs w:val="16"/>
                <w:color w:val="auto"/>
              </w:rPr>
            </w:pPr>
          </w:p>
        </w:tc>
        <w:tc>
          <w:tcPr>
            <w:tcW w:w="140" w:type="dxa"/>
            <w:vAlign w:val="bottom"/>
            <w:tcBorders>
              <w:top w:val="single" w:sz="8" w:color="56C271"/>
            </w:tcBorders>
            <w:shd w:val="clear" w:color="auto" w:fill="56C271"/>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D8D8D8"/>
            </w:tcBorders>
            <w:shd w:val="clear" w:color="auto" w:fill="D8D8D8"/>
          </w:tcPr>
          <w:p>
            <w:pPr>
              <w:spacing w:after="0"/>
              <w:rPr>
                <w:sz w:val="16"/>
                <w:szCs w:val="16"/>
                <w:color w:val="auto"/>
              </w:rPr>
            </w:pPr>
          </w:p>
        </w:tc>
        <w:tc>
          <w:tcPr>
            <w:tcW w:w="360" w:type="dxa"/>
            <w:vAlign w:val="bottom"/>
            <w:tcBorders>
              <w:top w:val="single" w:sz="8" w:color="D8D8D8"/>
            </w:tcBorders>
            <w:shd w:val="clear" w:color="auto" w:fill="D8D8D8"/>
          </w:tcPr>
          <w:p>
            <w:pPr>
              <w:spacing w:after="0"/>
              <w:rPr>
                <w:sz w:val="16"/>
                <w:szCs w:val="16"/>
                <w:color w:val="auto"/>
              </w:rPr>
            </w:pPr>
          </w:p>
        </w:tc>
        <w:tc>
          <w:tcPr>
            <w:tcW w:w="40" w:type="dxa"/>
            <w:vAlign w:val="bottom"/>
            <w:tcBorders>
              <w:top w:val="single" w:sz="8" w:color="D8D8D8"/>
            </w:tcBorders>
            <w:shd w:val="clear" w:color="auto" w:fill="D8D8D8"/>
          </w:tcPr>
          <w:p>
            <w:pPr>
              <w:spacing w:after="0"/>
              <w:rPr>
                <w:sz w:val="16"/>
                <w:szCs w:val="16"/>
                <w:color w:val="auto"/>
              </w:rPr>
            </w:pPr>
          </w:p>
        </w:tc>
        <w:tc>
          <w:tcPr>
            <w:tcW w:w="100" w:type="dxa"/>
            <w:vAlign w:val="bottom"/>
            <w:tcBorders>
              <w:top w:val="single" w:sz="8" w:color="0000EE"/>
            </w:tcBorders>
            <w:shd w:val="clear" w:color="auto" w:fill="D8D8D8"/>
          </w:tcPr>
          <w:p>
            <w:pPr>
              <w:spacing w:after="0"/>
              <w:rPr>
                <w:sz w:val="16"/>
                <w:szCs w:val="16"/>
                <w:color w:val="auto"/>
              </w:rPr>
            </w:pPr>
          </w:p>
        </w:tc>
        <w:tc>
          <w:tcPr>
            <w:tcW w:w="60" w:type="dxa"/>
            <w:vAlign w:val="bottom"/>
            <w:tcBorders>
              <w:top w:val="single" w:sz="8" w:color="D8D8D8"/>
            </w:tcBorders>
            <w:shd w:val="clear" w:color="auto" w:fill="D8D8D8"/>
          </w:tcPr>
          <w:p>
            <w:pPr>
              <w:spacing w:after="0"/>
              <w:rPr>
                <w:sz w:val="16"/>
                <w:szCs w:val="16"/>
                <w:color w:val="auto"/>
              </w:rPr>
            </w:pPr>
          </w:p>
        </w:tc>
        <w:tc>
          <w:tcPr>
            <w:tcW w:w="340" w:type="dxa"/>
            <w:vAlign w:val="bottom"/>
            <w:tcBorders>
              <w:top w:val="single" w:sz="8" w:color="D8D8D8"/>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720" w:type="dxa"/>
            <w:vAlign w:val="bottom"/>
            <w:vMerge w:val="restart"/>
            <w:shd w:val="clear" w:color="auto" w:fill="56C271"/>
          </w:tcPr>
          <w:p>
            <w:pPr>
              <w:jc w:val="right"/>
              <w:ind w:right="98"/>
              <w:spacing w:after="0"/>
              <w:rPr>
                <w:sz w:val="20"/>
                <w:szCs w:val="20"/>
                <w:color w:val="auto"/>
              </w:rPr>
            </w:pPr>
            <w:r>
              <w:rPr>
                <w:rFonts w:ascii="Arial" w:cs="Arial" w:eastAsia="Arial" w:hAnsi="Arial"/>
                <w:sz w:val="32"/>
                <w:szCs w:val="32"/>
                <w:b w:val="1"/>
                <w:bCs w:val="1"/>
                <w:color w:val="FEFEFE"/>
              </w:rPr>
              <w:t>2</w:t>
            </w:r>
          </w:p>
        </w:tc>
        <w:tc>
          <w:tcPr>
            <w:tcW w:w="120" w:type="dxa"/>
            <w:vAlign w:val="bottom"/>
            <w:shd w:val="clear" w:color="auto" w:fill="56C271"/>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344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Advisory vote on executive</w:t>
            </w:r>
          </w:p>
        </w:tc>
        <w:tc>
          <w:tcPr>
            <w:tcW w:w="120" w:type="dxa"/>
            <w:vAlign w:val="bottom"/>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060" w:type="dxa"/>
            <w:vAlign w:val="bottom"/>
            <w:shd w:val="clear" w:color="auto" w:fill="D8D8D8"/>
          </w:tcPr>
          <w:p>
            <w:pPr>
              <w:jc w:val="center"/>
              <w:spacing w:after="0"/>
              <w:rPr>
                <w:sz w:val="20"/>
                <w:szCs w:val="20"/>
                <w:color w:val="auto"/>
              </w:rPr>
            </w:pPr>
            <w:r>
              <w:rPr>
                <w:rFonts w:ascii="Arial" w:cs="Arial" w:eastAsia="Arial" w:hAnsi="Arial"/>
                <w:sz w:val="18"/>
                <w:szCs w:val="18"/>
                <w:b w:val="1"/>
                <w:bCs w:val="1"/>
                <w:color w:val="auto"/>
                <w:w w:val="96"/>
              </w:rPr>
              <w:t>Majority of</w:t>
            </w:r>
          </w:p>
        </w:tc>
        <w:tc>
          <w:tcPr>
            <w:tcW w:w="140" w:type="dxa"/>
            <w:vAlign w:val="bottom"/>
            <w:shd w:val="clear" w:color="auto" w:fill="D8D8D8"/>
          </w:tcPr>
          <w:p>
            <w:pPr>
              <w:spacing w:after="0"/>
              <w:rPr>
                <w:sz w:val="24"/>
                <w:szCs w:val="24"/>
                <w:color w:val="auto"/>
              </w:rPr>
            </w:pPr>
          </w:p>
        </w:tc>
        <w:tc>
          <w:tcPr>
            <w:tcW w:w="140" w:type="dxa"/>
            <w:vAlign w:val="bottom"/>
            <w:shd w:val="clear" w:color="auto" w:fill="56C271"/>
          </w:tcPr>
          <w:p>
            <w:pPr>
              <w:spacing w:after="0"/>
              <w:rPr>
                <w:sz w:val="24"/>
                <w:szCs w:val="24"/>
                <w:color w:val="auto"/>
              </w:rPr>
            </w:pPr>
          </w:p>
        </w:tc>
        <w:tc>
          <w:tcPr>
            <w:tcW w:w="1540" w:type="dxa"/>
            <w:vAlign w:val="bottom"/>
            <w:vMerge w:val="restart"/>
            <w:shd w:val="clear" w:color="auto" w:fill="56C271"/>
          </w:tcPr>
          <w:p>
            <w:pPr>
              <w:ind w:left="480"/>
              <w:spacing w:after="0"/>
              <w:rPr>
                <w:sz w:val="20"/>
                <w:szCs w:val="20"/>
                <w:color w:val="auto"/>
              </w:rPr>
            </w:pPr>
            <w:r>
              <w:rPr>
                <w:rFonts w:ascii="Arial" w:cs="Arial" w:eastAsia="Arial" w:hAnsi="Arial"/>
                <w:sz w:val="29"/>
                <w:szCs w:val="29"/>
                <w:b w:val="1"/>
                <w:bCs w:val="1"/>
                <w:color w:val="FFFFFF"/>
              </w:rPr>
              <w:t>FOR</w:t>
            </w:r>
          </w:p>
        </w:tc>
        <w:tc>
          <w:tcPr>
            <w:tcW w:w="140" w:type="dxa"/>
            <w:vAlign w:val="bottom"/>
            <w:shd w:val="clear" w:color="auto" w:fill="56C271"/>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200" w:type="dxa"/>
            <w:vAlign w:val="bottom"/>
            <w:gridSpan w:val="3"/>
            <w:vMerge w:val="restart"/>
            <w:shd w:val="clear" w:color="auto" w:fill="D8D8D8"/>
          </w:tcPr>
          <w:p>
            <w:pPr>
              <w:jc w:val="center"/>
              <w:spacing w:after="0"/>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38</w:t>
              </w:r>
            </w:hyperlink>
          </w:p>
        </w:tc>
        <w:tc>
          <w:tcPr>
            <w:tcW w:w="34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20" w:type="dxa"/>
            <w:vAlign w:val="bottom"/>
            <w:tcBorders>
              <w:bottom w:val="single" w:sz="8" w:color="56C271"/>
            </w:tcBorders>
            <w:vMerge w:val="continue"/>
            <w:shd w:val="clear" w:color="auto" w:fill="56C271"/>
          </w:tcPr>
          <w:p>
            <w:pPr>
              <w:spacing w:after="0"/>
              <w:rPr>
                <w:sz w:val="7"/>
                <w:szCs w:val="7"/>
                <w:color w:val="auto"/>
              </w:rPr>
            </w:pPr>
          </w:p>
        </w:tc>
        <w:tc>
          <w:tcPr>
            <w:tcW w:w="120" w:type="dxa"/>
            <w:vAlign w:val="bottom"/>
            <w:tcBorders>
              <w:bottom w:val="single" w:sz="8" w:color="56C271"/>
            </w:tcBorders>
            <w:shd w:val="clear" w:color="auto" w:fill="56C271"/>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D8D8D8"/>
            </w:tcBorders>
            <w:shd w:val="clear" w:color="auto" w:fill="D8D8D8"/>
          </w:tcPr>
          <w:p>
            <w:pPr>
              <w:spacing w:after="0"/>
              <w:rPr>
                <w:sz w:val="7"/>
                <w:szCs w:val="7"/>
                <w:color w:val="auto"/>
              </w:rPr>
            </w:pPr>
          </w:p>
        </w:tc>
        <w:tc>
          <w:tcPr>
            <w:tcW w:w="3440" w:type="dxa"/>
            <w:vAlign w:val="bottom"/>
            <w:tcBorders>
              <w:bottom w:val="single" w:sz="8" w:color="D8D8D8"/>
            </w:tcBorders>
            <w:vMerge w:val="restart"/>
            <w:shd w:val="clear" w:color="auto" w:fill="D8D8D8"/>
          </w:tcPr>
          <w:p>
            <w:pPr>
              <w:ind w:left="20"/>
              <w:spacing w:after="0"/>
              <w:rPr>
                <w:sz w:val="20"/>
                <w:szCs w:val="20"/>
                <w:color w:val="auto"/>
              </w:rPr>
            </w:pPr>
            <w:r>
              <w:rPr>
                <w:rFonts w:ascii="Arial" w:cs="Arial" w:eastAsia="Arial" w:hAnsi="Arial"/>
                <w:sz w:val="18"/>
                <w:szCs w:val="18"/>
                <w:b w:val="1"/>
                <w:bCs w:val="1"/>
                <w:color w:val="auto"/>
              </w:rPr>
              <w:t>compensation</w:t>
            </w:r>
          </w:p>
        </w:tc>
        <w:tc>
          <w:tcPr>
            <w:tcW w:w="120" w:type="dxa"/>
            <w:vAlign w:val="bottom"/>
            <w:tcBorders>
              <w:bottom w:val="single" w:sz="8" w:color="D8D8D8"/>
            </w:tcBorders>
            <w:shd w:val="clear" w:color="auto" w:fill="D8D8D8"/>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D8D8D8"/>
            </w:tcBorders>
            <w:shd w:val="clear" w:color="auto" w:fill="D8D8D8"/>
          </w:tcPr>
          <w:p>
            <w:pPr>
              <w:spacing w:after="0"/>
              <w:rPr>
                <w:sz w:val="7"/>
                <w:szCs w:val="7"/>
                <w:color w:val="auto"/>
              </w:rPr>
            </w:pPr>
          </w:p>
        </w:tc>
        <w:tc>
          <w:tcPr>
            <w:tcW w:w="1060" w:type="dxa"/>
            <w:vAlign w:val="bottom"/>
            <w:tcBorders>
              <w:bottom w:val="single" w:sz="8" w:color="D8D8D8"/>
            </w:tcBorders>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7"/>
              </w:rPr>
              <w:t>votes cast</w:t>
            </w:r>
          </w:p>
        </w:tc>
        <w:tc>
          <w:tcPr>
            <w:tcW w:w="140" w:type="dxa"/>
            <w:vAlign w:val="bottom"/>
            <w:tcBorders>
              <w:bottom w:val="single" w:sz="8" w:color="D8D8D8"/>
            </w:tcBorders>
            <w:shd w:val="clear" w:color="auto" w:fill="D8D8D8"/>
          </w:tcPr>
          <w:p>
            <w:pPr>
              <w:spacing w:after="0"/>
              <w:rPr>
                <w:sz w:val="7"/>
                <w:szCs w:val="7"/>
                <w:color w:val="auto"/>
              </w:rPr>
            </w:pPr>
          </w:p>
        </w:tc>
        <w:tc>
          <w:tcPr>
            <w:tcW w:w="140" w:type="dxa"/>
            <w:vAlign w:val="bottom"/>
            <w:tcBorders>
              <w:bottom w:val="single" w:sz="8" w:color="56C271"/>
            </w:tcBorders>
            <w:shd w:val="clear" w:color="auto" w:fill="56C271"/>
          </w:tcPr>
          <w:p>
            <w:pPr>
              <w:spacing w:after="0"/>
              <w:rPr>
                <w:sz w:val="7"/>
                <w:szCs w:val="7"/>
                <w:color w:val="auto"/>
              </w:rPr>
            </w:pPr>
          </w:p>
        </w:tc>
        <w:tc>
          <w:tcPr>
            <w:tcW w:w="1540" w:type="dxa"/>
            <w:vAlign w:val="bottom"/>
            <w:tcBorders>
              <w:bottom w:val="single" w:sz="8" w:color="56C271"/>
            </w:tcBorders>
            <w:vMerge w:val="continue"/>
            <w:shd w:val="clear" w:color="auto" w:fill="56C271"/>
          </w:tcPr>
          <w:p>
            <w:pPr>
              <w:spacing w:after="0"/>
              <w:rPr>
                <w:sz w:val="7"/>
                <w:szCs w:val="7"/>
                <w:color w:val="auto"/>
              </w:rPr>
            </w:pPr>
          </w:p>
        </w:tc>
        <w:tc>
          <w:tcPr>
            <w:tcW w:w="140" w:type="dxa"/>
            <w:vAlign w:val="bottom"/>
            <w:tcBorders>
              <w:bottom w:val="single" w:sz="8" w:color="56C271"/>
            </w:tcBorders>
            <w:shd w:val="clear" w:color="auto" w:fill="56C271"/>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D8D8D8"/>
            </w:tcBorders>
            <w:shd w:val="clear" w:color="auto" w:fill="D8D8D8"/>
          </w:tcPr>
          <w:p>
            <w:pPr>
              <w:spacing w:after="0"/>
              <w:rPr>
                <w:sz w:val="7"/>
                <w:szCs w:val="7"/>
                <w:color w:val="auto"/>
              </w:rPr>
            </w:pPr>
          </w:p>
        </w:tc>
        <w:tc>
          <w:tcPr>
            <w:tcW w:w="360" w:type="dxa"/>
            <w:vAlign w:val="bottom"/>
            <w:tcBorders>
              <w:bottom w:val="single" w:sz="8" w:color="D8D8D8"/>
            </w:tcBorders>
            <w:vMerge w:val="restart"/>
            <w:shd w:val="clear" w:color="auto" w:fill="D8D8D8"/>
          </w:tcPr>
          <w:p>
            <w:pPr>
              <w:spacing w:after="0"/>
              <w:rPr>
                <w:sz w:val="7"/>
                <w:szCs w:val="7"/>
                <w:color w:val="auto"/>
              </w:rPr>
            </w:pPr>
          </w:p>
        </w:tc>
        <w:tc>
          <w:tcPr>
            <w:tcW w:w="200" w:type="dxa"/>
            <w:vAlign w:val="bottom"/>
            <w:tcBorders>
              <w:bottom w:val="single" w:sz="8" w:color="0000EE"/>
            </w:tcBorders>
            <w:gridSpan w:val="3"/>
            <w:vMerge w:val="continue"/>
            <w:shd w:val="clear" w:color="auto" w:fill="D8D8D8"/>
          </w:tcPr>
          <w:p>
            <w:pPr>
              <w:spacing w:after="0"/>
              <w:rPr>
                <w:sz w:val="7"/>
                <w:szCs w:val="7"/>
                <w:color w:val="auto"/>
              </w:rPr>
            </w:pPr>
          </w:p>
        </w:tc>
        <w:tc>
          <w:tcPr>
            <w:tcW w:w="340" w:type="dxa"/>
            <w:vAlign w:val="bottom"/>
            <w:tcBorders>
              <w:bottom w:val="single" w:sz="8" w:color="D8D8D8"/>
            </w:tcBorders>
            <w:vMerge w:val="restart"/>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720" w:type="dxa"/>
            <w:vAlign w:val="bottom"/>
            <w:vMerge w:val="continue"/>
            <w:shd w:val="clear" w:color="auto" w:fill="56C271"/>
          </w:tcPr>
          <w:p>
            <w:pPr>
              <w:spacing w:after="0"/>
              <w:rPr>
                <w:sz w:val="11"/>
                <w:szCs w:val="11"/>
                <w:color w:val="auto"/>
              </w:rPr>
            </w:pPr>
          </w:p>
        </w:tc>
        <w:tc>
          <w:tcPr>
            <w:tcW w:w="120" w:type="dxa"/>
            <w:vAlign w:val="bottom"/>
            <w:shd w:val="clear" w:color="auto" w:fill="56C271"/>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3440" w:type="dxa"/>
            <w:vAlign w:val="bottom"/>
            <w:vMerge w:val="continue"/>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1060" w:type="dxa"/>
            <w:vAlign w:val="bottom"/>
            <w:vMerge w:val="continue"/>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140" w:type="dxa"/>
            <w:vAlign w:val="bottom"/>
            <w:shd w:val="clear" w:color="auto" w:fill="56C271"/>
          </w:tcPr>
          <w:p>
            <w:pPr>
              <w:spacing w:after="0"/>
              <w:rPr>
                <w:sz w:val="11"/>
                <w:szCs w:val="11"/>
                <w:color w:val="auto"/>
              </w:rPr>
            </w:pPr>
          </w:p>
        </w:tc>
        <w:tc>
          <w:tcPr>
            <w:tcW w:w="1540" w:type="dxa"/>
            <w:vAlign w:val="bottom"/>
            <w:vMerge w:val="continue"/>
            <w:shd w:val="clear" w:color="auto" w:fill="56C271"/>
          </w:tcPr>
          <w:p>
            <w:pPr>
              <w:spacing w:after="0"/>
              <w:rPr>
                <w:sz w:val="11"/>
                <w:szCs w:val="11"/>
                <w:color w:val="auto"/>
              </w:rPr>
            </w:pPr>
          </w:p>
        </w:tc>
        <w:tc>
          <w:tcPr>
            <w:tcW w:w="140" w:type="dxa"/>
            <w:vAlign w:val="bottom"/>
            <w:shd w:val="clear" w:color="auto" w:fill="56C271"/>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360" w:type="dxa"/>
            <w:vAlign w:val="bottom"/>
            <w:vMerge w:val="continue"/>
            <w:shd w:val="clear" w:color="auto" w:fill="D8D8D8"/>
          </w:tcPr>
          <w:p>
            <w:pPr>
              <w:spacing w:after="0"/>
              <w:rPr>
                <w:sz w:val="11"/>
                <w:szCs w:val="11"/>
                <w:color w:val="auto"/>
              </w:rPr>
            </w:pPr>
          </w:p>
        </w:tc>
        <w:tc>
          <w:tcPr>
            <w:tcW w:w="200" w:type="dxa"/>
            <w:vAlign w:val="bottom"/>
            <w:gridSpan w:val="3"/>
            <w:shd w:val="clear" w:color="auto" w:fill="D8D8D8"/>
          </w:tcPr>
          <w:p>
            <w:pPr>
              <w:spacing w:after="0"/>
              <w:rPr>
                <w:sz w:val="11"/>
                <w:szCs w:val="11"/>
                <w:color w:val="auto"/>
              </w:rPr>
            </w:pPr>
          </w:p>
        </w:tc>
        <w:tc>
          <w:tcPr>
            <w:tcW w:w="34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20" w:type="dxa"/>
            <w:vAlign w:val="bottom"/>
            <w:shd w:val="clear" w:color="auto" w:fill="56C271"/>
          </w:tcPr>
          <w:p>
            <w:pPr>
              <w:spacing w:after="0"/>
              <w:rPr>
                <w:sz w:val="5"/>
                <w:szCs w:val="5"/>
                <w:color w:val="auto"/>
              </w:rPr>
            </w:pPr>
          </w:p>
        </w:tc>
        <w:tc>
          <w:tcPr>
            <w:tcW w:w="120" w:type="dxa"/>
            <w:vAlign w:val="bottom"/>
            <w:shd w:val="clear" w:color="auto" w:fill="56C271"/>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3440" w:type="dxa"/>
            <w:vAlign w:val="bottom"/>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shd w:val="clear" w:color="auto" w:fill="D8D8D8"/>
          </w:tcPr>
          <w:p>
            <w:pPr>
              <w:spacing w:after="0"/>
              <w:rPr>
                <w:sz w:val="5"/>
                <w:szCs w:val="5"/>
                <w:color w:val="auto"/>
              </w:rPr>
            </w:pPr>
          </w:p>
        </w:tc>
        <w:tc>
          <w:tcPr>
            <w:tcW w:w="1060" w:type="dxa"/>
            <w:vAlign w:val="bottom"/>
            <w:vMerge w:val="continue"/>
            <w:shd w:val="clear" w:color="auto" w:fill="D8D8D8"/>
          </w:tcPr>
          <w:p>
            <w:pPr>
              <w:spacing w:after="0"/>
              <w:rPr>
                <w:sz w:val="5"/>
                <w:szCs w:val="5"/>
                <w:color w:val="auto"/>
              </w:rPr>
            </w:pPr>
          </w:p>
        </w:tc>
        <w:tc>
          <w:tcPr>
            <w:tcW w:w="140" w:type="dxa"/>
            <w:vAlign w:val="bottom"/>
            <w:shd w:val="clear" w:color="auto" w:fill="D8D8D8"/>
          </w:tcPr>
          <w:p>
            <w:pPr>
              <w:spacing w:after="0"/>
              <w:rPr>
                <w:sz w:val="5"/>
                <w:szCs w:val="5"/>
                <w:color w:val="auto"/>
              </w:rPr>
            </w:pPr>
          </w:p>
        </w:tc>
        <w:tc>
          <w:tcPr>
            <w:tcW w:w="140" w:type="dxa"/>
            <w:vAlign w:val="bottom"/>
            <w:shd w:val="clear" w:color="auto" w:fill="56C271"/>
          </w:tcPr>
          <w:p>
            <w:pPr>
              <w:spacing w:after="0"/>
              <w:rPr>
                <w:sz w:val="5"/>
                <w:szCs w:val="5"/>
                <w:color w:val="auto"/>
              </w:rPr>
            </w:pPr>
          </w:p>
        </w:tc>
        <w:tc>
          <w:tcPr>
            <w:tcW w:w="1540" w:type="dxa"/>
            <w:vAlign w:val="bottom"/>
            <w:shd w:val="clear" w:color="auto" w:fill="56C271"/>
          </w:tcPr>
          <w:p>
            <w:pPr>
              <w:spacing w:after="0"/>
              <w:rPr>
                <w:sz w:val="5"/>
                <w:szCs w:val="5"/>
                <w:color w:val="auto"/>
              </w:rPr>
            </w:pPr>
          </w:p>
        </w:tc>
        <w:tc>
          <w:tcPr>
            <w:tcW w:w="140" w:type="dxa"/>
            <w:vAlign w:val="bottom"/>
            <w:shd w:val="clear" w:color="auto" w:fill="56C271"/>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360" w:type="dxa"/>
            <w:vAlign w:val="bottom"/>
            <w:shd w:val="clear" w:color="auto" w:fill="D8D8D8"/>
          </w:tcPr>
          <w:p>
            <w:pPr>
              <w:spacing w:after="0"/>
              <w:rPr>
                <w:sz w:val="5"/>
                <w:szCs w:val="5"/>
                <w:color w:val="auto"/>
              </w:rPr>
            </w:pPr>
          </w:p>
        </w:tc>
        <w:tc>
          <w:tcPr>
            <w:tcW w:w="40" w:type="dxa"/>
            <w:vAlign w:val="bottom"/>
            <w:shd w:val="clear" w:color="auto" w:fill="D8D8D8"/>
          </w:tcPr>
          <w:p>
            <w:pPr>
              <w:spacing w:after="0"/>
              <w:rPr>
                <w:sz w:val="5"/>
                <w:szCs w:val="5"/>
                <w:color w:val="auto"/>
              </w:rPr>
            </w:pPr>
          </w:p>
        </w:tc>
        <w:tc>
          <w:tcPr>
            <w:tcW w:w="100" w:type="dxa"/>
            <w:vAlign w:val="bottom"/>
            <w:shd w:val="clear" w:color="auto" w:fill="D8D8D8"/>
          </w:tcPr>
          <w:p>
            <w:pPr>
              <w:spacing w:after="0"/>
              <w:rPr>
                <w:sz w:val="5"/>
                <w:szCs w:val="5"/>
                <w:color w:val="auto"/>
              </w:rPr>
            </w:pPr>
          </w:p>
        </w:tc>
        <w:tc>
          <w:tcPr>
            <w:tcW w:w="60" w:type="dxa"/>
            <w:vAlign w:val="bottom"/>
            <w:shd w:val="clear" w:color="auto" w:fill="D8D8D8"/>
          </w:tcPr>
          <w:p>
            <w:pPr>
              <w:spacing w:after="0"/>
              <w:rPr>
                <w:sz w:val="5"/>
                <w:szCs w:val="5"/>
                <w:color w:val="auto"/>
              </w:rPr>
            </w:pPr>
          </w:p>
        </w:tc>
        <w:tc>
          <w:tcPr>
            <w:tcW w:w="34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720" w:type="dxa"/>
            <w:vAlign w:val="bottom"/>
            <w:vMerge w:val="restart"/>
            <w:shd w:val="clear" w:color="auto" w:fill="56C271"/>
          </w:tcPr>
          <w:p>
            <w:pPr>
              <w:jc w:val="right"/>
              <w:ind w:right="98"/>
              <w:spacing w:after="0"/>
              <w:rPr>
                <w:sz w:val="20"/>
                <w:szCs w:val="20"/>
                <w:color w:val="auto"/>
              </w:rPr>
            </w:pPr>
            <w:r>
              <w:rPr>
                <w:rFonts w:ascii="Arial" w:cs="Arial" w:eastAsia="Arial" w:hAnsi="Arial"/>
                <w:sz w:val="32"/>
                <w:szCs w:val="32"/>
                <w:b w:val="1"/>
                <w:bCs w:val="1"/>
                <w:color w:val="FEFEFE"/>
              </w:rPr>
              <w:t>3</w:t>
            </w:r>
          </w:p>
        </w:tc>
        <w:tc>
          <w:tcPr>
            <w:tcW w:w="120" w:type="dxa"/>
            <w:vAlign w:val="bottom"/>
            <w:shd w:val="clear" w:color="auto" w:fill="56C271"/>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344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Approval of the Avnet, Inc. 2021</w:t>
            </w:r>
          </w:p>
        </w:tc>
        <w:tc>
          <w:tcPr>
            <w:tcW w:w="120" w:type="dxa"/>
            <w:vAlign w:val="bottom"/>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060" w:type="dxa"/>
            <w:vAlign w:val="bottom"/>
            <w:shd w:val="clear" w:color="auto" w:fill="D8D8D8"/>
          </w:tcPr>
          <w:p>
            <w:pPr>
              <w:jc w:val="center"/>
              <w:spacing w:after="0"/>
              <w:rPr>
                <w:sz w:val="20"/>
                <w:szCs w:val="20"/>
                <w:color w:val="auto"/>
              </w:rPr>
            </w:pPr>
            <w:r>
              <w:rPr>
                <w:rFonts w:ascii="Arial" w:cs="Arial" w:eastAsia="Arial" w:hAnsi="Arial"/>
                <w:sz w:val="18"/>
                <w:szCs w:val="18"/>
                <w:b w:val="1"/>
                <w:bCs w:val="1"/>
                <w:color w:val="auto"/>
                <w:w w:val="96"/>
              </w:rPr>
              <w:t>Majority of</w:t>
            </w:r>
          </w:p>
        </w:tc>
        <w:tc>
          <w:tcPr>
            <w:tcW w:w="140" w:type="dxa"/>
            <w:vAlign w:val="bottom"/>
            <w:shd w:val="clear" w:color="auto" w:fill="D8D8D8"/>
          </w:tcPr>
          <w:p>
            <w:pPr>
              <w:spacing w:after="0"/>
              <w:rPr>
                <w:sz w:val="24"/>
                <w:szCs w:val="24"/>
                <w:color w:val="auto"/>
              </w:rPr>
            </w:pPr>
          </w:p>
        </w:tc>
        <w:tc>
          <w:tcPr>
            <w:tcW w:w="140" w:type="dxa"/>
            <w:vAlign w:val="bottom"/>
            <w:shd w:val="clear" w:color="auto" w:fill="56C271"/>
          </w:tcPr>
          <w:p>
            <w:pPr>
              <w:spacing w:after="0"/>
              <w:rPr>
                <w:sz w:val="24"/>
                <w:szCs w:val="24"/>
                <w:color w:val="auto"/>
              </w:rPr>
            </w:pPr>
          </w:p>
        </w:tc>
        <w:tc>
          <w:tcPr>
            <w:tcW w:w="1540" w:type="dxa"/>
            <w:vAlign w:val="bottom"/>
            <w:vMerge w:val="restart"/>
            <w:shd w:val="clear" w:color="auto" w:fill="56C271"/>
          </w:tcPr>
          <w:p>
            <w:pPr>
              <w:ind w:left="480"/>
              <w:spacing w:after="0"/>
              <w:rPr>
                <w:sz w:val="20"/>
                <w:szCs w:val="20"/>
                <w:color w:val="auto"/>
              </w:rPr>
            </w:pPr>
            <w:r>
              <w:rPr>
                <w:rFonts w:ascii="Arial" w:cs="Arial" w:eastAsia="Arial" w:hAnsi="Arial"/>
                <w:sz w:val="29"/>
                <w:szCs w:val="29"/>
                <w:b w:val="1"/>
                <w:bCs w:val="1"/>
                <w:color w:val="FFFFFF"/>
              </w:rPr>
              <w:t>FOR</w:t>
            </w:r>
          </w:p>
        </w:tc>
        <w:tc>
          <w:tcPr>
            <w:tcW w:w="140" w:type="dxa"/>
            <w:vAlign w:val="bottom"/>
            <w:shd w:val="clear" w:color="auto" w:fill="56C271"/>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200" w:type="dxa"/>
            <w:vAlign w:val="bottom"/>
            <w:gridSpan w:val="3"/>
            <w:vMerge w:val="restart"/>
            <w:shd w:val="clear" w:color="auto" w:fill="D8D8D8"/>
          </w:tcPr>
          <w:p>
            <w:pPr>
              <w:jc w:val="center"/>
              <w:spacing w:after="0"/>
              <w:rPr>
                <w:rFonts w:ascii="Arial" w:cs="Arial" w:eastAsia="Arial" w:hAnsi="Arial"/>
                <w:sz w:val="18"/>
                <w:szCs w:val="18"/>
                <w:b w:val="1"/>
                <w:bCs w:val="1"/>
                <w:color w:val="0000EE"/>
                <w:w w:val="99"/>
              </w:rPr>
            </w:pPr>
            <w:hyperlink w:anchor="page78">
              <w:r>
                <w:rPr>
                  <w:rFonts w:ascii="Arial" w:cs="Arial" w:eastAsia="Arial" w:hAnsi="Arial"/>
                  <w:sz w:val="18"/>
                  <w:szCs w:val="18"/>
                  <w:b w:val="1"/>
                  <w:bCs w:val="1"/>
                  <w:color w:val="0000EE"/>
                  <w:w w:val="99"/>
                </w:rPr>
                <w:t>74</w:t>
              </w:r>
            </w:hyperlink>
          </w:p>
        </w:tc>
        <w:tc>
          <w:tcPr>
            <w:tcW w:w="34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20" w:type="dxa"/>
            <w:vAlign w:val="bottom"/>
            <w:tcBorders>
              <w:bottom w:val="single" w:sz="8" w:color="56C271"/>
            </w:tcBorders>
            <w:vMerge w:val="continue"/>
            <w:shd w:val="clear" w:color="auto" w:fill="56C271"/>
          </w:tcPr>
          <w:p>
            <w:pPr>
              <w:spacing w:after="0"/>
              <w:rPr>
                <w:sz w:val="7"/>
                <w:szCs w:val="7"/>
                <w:color w:val="auto"/>
              </w:rPr>
            </w:pPr>
          </w:p>
        </w:tc>
        <w:tc>
          <w:tcPr>
            <w:tcW w:w="120" w:type="dxa"/>
            <w:vAlign w:val="bottom"/>
            <w:tcBorders>
              <w:bottom w:val="single" w:sz="8" w:color="56C271"/>
            </w:tcBorders>
            <w:shd w:val="clear" w:color="auto" w:fill="56C271"/>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D8D8D8"/>
            </w:tcBorders>
            <w:shd w:val="clear" w:color="auto" w:fill="D8D8D8"/>
          </w:tcPr>
          <w:p>
            <w:pPr>
              <w:spacing w:after="0"/>
              <w:rPr>
                <w:sz w:val="7"/>
                <w:szCs w:val="7"/>
                <w:color w:val="auto"/>
              </w:rPr>
            </w:pPr>
          </w:p>
        </w:tc>
        <w:tc>
          <w:tcPr>
            <w:tcW w:w="3440" w:type="dxa"/>
            <w:vAlign w:val="bottom"/>
            <w:tcBorders>
              <w:bottom w:val="single" w:sz="8" w:color="D8D8D8"/>
            </w:tcBorders>
            <w:vMerge w:val="restart"/>
            <w:shd w:val="clear" w:color="auto" w:fill="D8D8D8"/>
          </w:tcPr>
          <w:p>
            <w:pPr>
              <w:ind w:left="20"/>
              <w:spacing w:after="0"/>
              <w:rPr>
                <w:sz w:val="20"/>
                <w:szCs w:val="20"/>
                <w:color w:val="auto"/>
              </w:rPr>
            </w:pPr>
            <w:r>
              <w:rPr>
                <w:rFonts w:ascii="Arial" w:cs="Arial" w:eastAsia="Arial" w:hAnsi="Arial"/>
                <w:sz w:val="18"/>
                <w:szCs w:val="18"/>
                <w:b w:val="1"/>
                <w:bCs w:val="1"/>
                <w:color w:val="auto"/>
                <w:w w:val="99"/>
              </w:rPr>
              <w:t>Stock Compensation and Incentive Plan</w:t>
            </w:r>
          </w:p>
        </w:tc>
        <w:tc>
          <w:tcPr>
            <w:tcW w:w="120" w:type="dxa"/>
            <w:vAlign w:val="bottom"/>
            <w:tcBorders>
              <w:bottom w:val="single" w:sz="8" w:color="D8D8D8"/>
            </w:tcBorders>
            <w:shd w:val="clear" w:color="auto" w:fill="D8D8D8"/>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D8D8D8"/>
            </w:tcBorders>
            <w:shd w:val="clear" w:color="auto" w:fill="D8D8D8"/>
          </w:tcPr>
          <w:p>
            <w:pPr>
              <w:spacing w:after="0"/>
              <w:rPr>
                <w:sz w:val="7"/>
                <w:szCs w:val="7"/>
                <w:color w:val="auto"/>
              </w:rPr>
            </w:pPr>
          </w:p>
        </w:tc>
        <w:tc>
          <w:tcPr>
            <w:tcW w:w="1060" w:type="dxa"/>
            <w:vAlign w:val="bottom"/>
            <w:tcBorders>
              <w:bottom w:val="single" w:sz="8" w:color="D8D8D8"/>
            </w:tcBorders>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7"/>
              </w:rPr>
              <w:t>votes cast</w:t>
            </w:r>
          </w:p>
        </w:tc>
        <w:tc>
          <w:tcPr>
            <w:tcW w:w="140" w:type="dxa"/>
            <w:vAlign w:val="bottom"/>
            <w:tcBorders>
              <w:bottom w:val="single" w:sz="8" w:color="D8D8D8"/>
            </w:tcBorders>
            <w:shd w:val="clear" w:color="auto" w:fill="D8D8D8"/>
          </w:tcPr>
          <w:p>
            <w:pPr>
              <w:spacing w:after="0"/>
              <w:rPr>
                <w:sz w:val="7"/>
                <w:szCs w:val="7"/>
                <w:color w:val="auto"/>
              </w:rPr>
            </w:pPr>
          </w:p>
        </w:tc>
        <w:tc>
          <w:tcPr>
            <w:tcW w:w="140" w:type="dxa"/>
            <w:vAlign w:val="bottom"/>
            <w:tcBorders>
              <w:bottom w:val="single" w:sz="8" w:color="56C271"/>
            </w:tcBorders>
            <w:shd w:val="clear" w:color="auto" w:fill="56C271"/>
          </w:tcPr>
          <w:p>
            <w:pPr>
              <w:spacing w:after="0"/>
              <w:rPr>
                <w:sz w:val="7"/>
                <w:szCs w:val="7"/>
                <w:color w:val="auto"/>
              </w:rPr>
            </w:pPr>
          </w:p>
        </w:tc>
        <w:tc>
          <w:tcPr>
            <w:tcW w:w="1540" w:type="dxa"/>
            <w:vAlign w:val="bottom"/>
            <w:tcBorders>
              <w:bottom w:val="single" w:sz="8" w:color="56C271"/>
            </w:tcBorders>
            <w:vMerge w:val="continue"/>
            <w:shd w:val="clear" w:color="auto" w:fill="56C271"/>
          </w:tcPr>
          <w:p>
            <w:pPr>
              <w:spacing w:after="0"/>
              <w:rPr>
                <w:sz w:val="7"/>
                <w:szCs w:val="7"/>
                <w:color w:val="auto"/>
              </w:rPr>
            </w:pPr>
          </w:p>
        </w:tc>
        <w:tc>
          <w:tcPr>
            <w:tcW w:w="140" w:type="dxa"/>
            <w:vAlign w:val="bottom"/>
            <w:tcBorders>
              <w:bottom w:val="single" w:sz="8" w:color="56C271"/>
            </w:tcBorders>
            <w:shd w:val="clear" w:color="auto" w:fill="56C271"/>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D8D8D8"/>
            </w:tcBorders>
            <w:shd w:val="clear" w:color="auto" w:fill="D8D8D8"/>
          </w:tcPr>
          <w:p>
            <w:pPr>
              <w:spacing w:after="0"/>
              <w:rPr>
                <w:sz w:val="7"/>
                <w:szCs w:val="7"/>
                <w:color w:val="auto"/>
              </w:rPr>
            </w:pPr>
          </w:p>
        </w:tc>
        <w:tc>
          <w:tcPr>
            <w:tcW w:w="360" w:type="dxa"/>
            <w:vAlign w:val="bottom"/>
            <w:tcBorders>
              <w:bottom w:val="single" w:sz="8" w:color="D8D8D8"/>
            </w:tcBorders>
            <w:vMerge w:val="restart"/>
            <w:shd w:val="clear" w:color="auto" w:fill="D8D8D8"/>
          </w:tcPr>
          <w:p>
            <w:pPr>
              <w:spacing w:after="0"/>
              <w:rPr>
                <w:sz w:val="7"/>
                <w:szCs w:val="7"/>
                <w:color w:val="auto"/>
              </w:rPr>
            </w:pPr>
          </w:p>
        </w:tc>
        <w:tc>
          <w:tcPr>
            <w:tcW w:w="200" w:type="dxa"/>
            <w:vAlign w:val="bottom"/>
            <w:tcBorders>
              <w:bottom w:val="single" w:sz="8" w:color="0000EE"/>
            </w:tcBorders>
            <w:gridSpan w:val="3"/>
            <w:vMerge w:val="continue"/>
            <w:shd w:val="clear" w:color="auto" w:fill="D8D8D8"/>
          </w:tcPr>
          <w:p>
            <w:pPr>
              <w:spacing w:after="0"/>
              <w:rPr>
                <w:sz w:val="7"/>
                <w:szCs w:val="7"/>
                <w:color w:val="auto"/>
              </w:rPr>
            </w:pPr>
          </w:p>
        </w:tc>
        <w:tc>
          <w:tcPr>
            <w:tcW w:w="340" w:type="dxa"/>
            <w:vAlign w:val="bottom"/>
            <w:tcBorders>
              <w:bottom w:val="single" w:sz="8" w:color="D8D8D8"/>
            </w:tcBorders>
            <w:vMerge w:val="restart"/>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720" w:type="dxa"/>
            <w:vAlign w:val="bottom"/>
            <w:vMerge w:val="continue"/>
            <w:shd w:val="clear" w:color="auto" w:fill="56C271"/>
          </w:tcPr>
          <w:p>
            <w:pPr>
              <w:spacing w:after="0"/>
              <w:rPr>
                <w:sz w:val="11"/>
                <w:szCs w:val="11"/>
                <w:color w:val="auto"/>
              </w:rPr>
            </w:pPr>
          </w:p>
        </w:tc>
        <w:tc>
          <w:tcPr>
            <w:tcW w:w="120" w:type="dxa"/>
            <w:vAlign w:val="bottom"/>
            <w:shd w:val="clear" w:color="auto" w:fill="56C271"/>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3440" w:type="dxa"/>
            <w:vAlign w:val="bottom"/>
            <w:vMerge w:val="continue"/>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1060" w:type="dxa"/>
            <w:vAlign w:val="bottom"/>
            <w:vMerge w:val="continue"/>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140" w:type="dxa"/>
            <w:vAlign w:val="bottom"/>
            <w:shd w:val="clear" w:color="auto" w:fill="56C271"/>
          </w:tcPr>
          <w:p>
            <w:pPr>
              <w:spacing w:after="0"/>
              <w:rPr>
                <w:sz w:val="11"/>
                <w:szCs w:val="11"/>
                <w:color w:val="auto"/>
              </w:rPr>
            </w:pPr>
          </w:p>
        </w:tc>
        <w:tc>
          <w:tcPr>
            <w:tcW w:w="1540" w:type="dxa"/>
            <w:vAlign w:val="bottom"/>
            <w:vMerge w:val="continue"/>
            <w:shd w:val="clear" w:color="auto" w:fill="56C271"/>
          </w:tcPr>
          <w:p>
            <w:pPr>
              <w:spacing w:after="0"/>
              <w:rPr>
                <w:sz w:val="11"/>
                <w:szCs w:val="11"/>
                <w:color w:val="auto"/>
              </w:rPr>
            </w:pPr>
          </w:p>
        </w:tc>
        <w:tc>
          <w:tcPr>
            <w:tcW w:w="140" w:type="dxa"/>
            <w:vAlign w:val="bottom"/>
            <w:shd w:val="clear" w:color="auto" w:fill="56C271"/>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360" w:type="dxa"/>
            <w:vAlign w:val="bottom"/>
            <w:vMerge w:val="continue"/>
            <w:shd w:val="clear" w:color="auto" w:fill="D8D8D8"/>
          </w:tcPr>
          <w:p>
            <w:pPr>
              <w:spacing w:after="0"/>
              <w:rPr>
                <w:sz w:val="11"/>
                <w:szCs w:val="11"/>
                <w:color w:val="auto"/>
              </w:rPr>
            </w:pPr>
          </w:p>
        </w:tc>
        <w:tc>
          <w:tcPr>
            <w:tcW w:w="200" w:type="dxa"/>
            <w:vAlign w:val="bottom"/>
            <w:gridSpan w:val="3"/>
            <w:shd w:val="clear" w:color="auto" w:fill="D8D8D8"/>
          </w:tcPr>
          <w:p>
            <w:pPr>
              <w:spacing w:after="0"/>
              <w:rPr>
                <w:sz w:val="11"/>
                <w:szCs w:val="11"/>
                <w:color w:val="auto"/>
              </w:rPr>
            </w:pPr>
          </w:p>
        </w:tc>
        <w:tc>
          <w:tcPr>
            <w:tcW w:w="34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20" w:type="dxa"/>
            <w:vAlign w:val="bottom"/>
            <w:shd w:val="clear" w:color="auto" w:fill="56C271"/>
          </w:tcPr>
          <w:p>
            <w:pPr>
              <w:spacing w:after="0"/>
              <w:rPr>
                <w:sz w:val="5"/>
                <w:szCs w:val="5"/>
                <w:color w:val="auto"/>
              </w:rPr>
            </w:pPr>
          </w:p>
        </w:tc>
        <w:tc>
          <w:tcPr>
            <w:tcW w:w="120" w:type="dxa"/>
            <w:vAlign w:val="bottom"/>
            <w:shd w:val="clear" w:color="auto" w:fill="56C271"/>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3440" w:type="dxa"/>
            <w:vAlign w:val="bottom"/>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shd w:val="clear" w:color="auto" w:fill="D8D8D8"/>
          </w:tcPr>
          <w:p>
            <w:pPr>
              <w:spacing w:after="0"/>
              <w:rPr>
                <w:sz w:val="5"/>
                <w:szCs w:val="5"/>
                <w:color w:val="auto"/>
              </w:rPr>
            </w:pPr>
          </w:p>
        </w:tc>
        <w:tc>
          <w:tcPr>
            <w:tcW w:w="1060" w:type="dxa"/>
            <w:vAlign w:val="bottom"/>
            <w:vMerge w:val="continue"/>
            <w:shd w:val="clear" w:color="auto" w:fill="D8D8D8"/>
          </w:tcPr>
          <w:p>
            <w:pPr>
              <w:spacing w:after="0"/>
              <w:rPr>
                <w:sz w:val="5"/>
                <w:szCs w:val="5"/>
                <w:color w:val="auto"/>
              </w:rPr>
            </w:pPr>
          </w:p>
        </w:tc>
        <w:tc>
          <w:tcPr>
            <w:tcW w:w="140" w:type="dxa"/>
            <w:vAlign w:val="bottom"/>
            <w:shd w:val="clear" w:color="auto" w:fill="D8D8D8"/>
          </w:tcPr>
          <w:p>
            <w:pPr>
              <w:spacing w:after="0"/>
              <w:rPr>
                <w:sz w:val="5"/>
                <w:szCs w:val="5"/>
                <w:color w:val="auto"/>
              </w:rPr>
            </w:pPr>
          </w:p>
        </w:tc>
        <w:tc>
          <w:tcPr>
            <w:tcW w:w="140" w:type="dxa"/>
            <w:vAlign w:val="bottom"/>
            <w:shd w:val="clear" w:color="auto" w:fill="56C271"/>
          </w:tcPr>
          <w:p>
            <w:pPr>
              <w:spacing w:after="0"/>
              <w:rPr>
                <w:sz w:val="5"/>
                <w:szCs w:val="5"/>
                <w:color w:val="auto"/>
              </w:rPr>
            </w:pPr>
          </w:p>
        </w:tc>
        <w:tc>
          <w:tcPr>
            <w:tcW w:w="1540" w:type="dxa"/>
            <w:vAlign w:val="bottom"/>
            <w:shd w:val="clear" w:color="auto" w:fill="56C271"/>
          </w:tcPr>
          <w:p>
            <w:pPr>
              <w:spacing w:after="0"/>
              <w:rPr>
                <w:sz w:val="5"/>
                <w:szCs w:val="5"/>
                <w:color w:val="auto"/>
              </w:rPr>
            </w:pPr>
          </w:p>
        </w:tc>
        <w:tc>
          <w:tcPr>
            <w:tcW w:w="140" w:type="dxa"/>
            <w:vAlign w:val="bottom"/>
            <w:shd w:val="clear" w:color="auto" w:fill="56C271"/>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360" w:type="dxa"/>
            <w:vAlign w:val="bottom"/>
            <w:shd w:val="clear" w:color="auto" w:fill="D8D8D8"/>
          </w:tcPr>
          <w:p>
            <w:pPr>
              <w:spacing w:after="0"/>
              <w:rPr>
                <w:sz w:val="5"/>
                <w:szCs w:val="5"/>
                <w:color w:val="auto"/>
              </w:rPr>
            </w:pPr>
          </w:p>
        </w:tc>
        <w:tc>
          <w:tcPr>
            <w:tcW w:w="40" w:type="dxa"/>
            <w:vAlign w:val="bottom"/>
            <w:shd w:val="clear" w:color="auto" w:fill="D8D8D8"/>
          </w:tcPr>
          <w:p>
            <w:pPr>
              <w:spacing w:after="0"/>
              <w:rPr>
                <w:sz w:val="5"/>
                <w:szCs w:val="5"/>
                <w:color w:val="auto"/>
              </w:rPr>
            </w:pPr>
          </w:p>
        </w:tc>
        <w:tc>
          <w:tcPr>
            <w:tcW w:w="100" w:type="dxa"/>
            <w:vAlign w:val="bottom"/>
            <w:shd w:val="clear" w:color="auto" w:fill="D8D8D8"/>
          </w:tcPr>
          <w:p>
            <w:pPr>
              <w:spacing w:after="0"/>
              <w:rPr>
                <w:sz w:val="5"/>
                <w:szCs w:val="5"/>
                <w:color w:val="auto"/>
              </w:rPr>
            </w:pPr>
          </w:p>
        </w:tc>
        <w:tc>
          <w:tcPr>
            <w:tcW w:w="60" w:type="dxa"/>
            <w:vAlign w:val="bottom"/>
            <w:shd w:val="clear" w:color="auto" w:fill="D8D8D8"/>
          </w:tcPr>
          <w:p>
            <w:pPr>
              <w:spacing w:after="0"/>
              <w:rPr>
                <w:sz w:val="5"/>
                <w:szCs w:val="5"/>
                <w:color w:val="auto"/>
              </w:rPr>
            </w:pPr>
          </w:p>
        </w:tc>
        <w:tc>
          <w:tcPr>
            <w:tcW w:w="34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396"/>
        </w:trPr>
        <w:tc>
          <w:tcPr>
            <w:tcW w:w="720" w:type="dxa"/>
            <w:vAlign w:val="bottom"/>
            <w:vMerge w:val="restart"/>
            <w:shd w:val="clear" w:color="auto" w:fill="56C271"/>
          </w:tcPr>
          <w:p>
            <w:pPr>
              <w:jc w:val="right"/>
              <w:ind w:right="98"/>
              <w:spacing w:after="0"/>
              <w:rPr>
                <w:sz w:val="20"/>
                <w:szCs w:val="20"/>
                <w:color w:val="auto"/>
              </w:rPr>
            </w:pPr>
            <w:r>
              <w:rPr>
                <w:rFonts w:ascii="Arial" w:cs="Arial" w:eastAsia="Arial" w:hAnsi="Arial"/>
                <w:sz w:val="32"/>
                <w:szCs w:val="32"/>
                <w:b w:val="1"/>
                <w:bCs w:val="1"/>
                <w:color w:val="FEFEFE"/>
              </w:rPr>
              <w:t>4</w:t>
            </w:r>
          </w:p>
        </w:tc>
        <w:tc>
          <w:tcPr>
            <w:tcW w:w="120" w:type="dxa"/>
            <w:vAlign w:val="bottom"/>
            <w:shd w:val="clear" w:color="auto" w:fill="56C271"/>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344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Ratification of independent registered</w:t>
            </w:r>
          </w:p>
        </w:tc>
        <w:tc>
          <w:tcPr>
            <w:tcW w:w="120" w:type="dxa"/>
            <w:vAlign w:val="bottom"/>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060" w:type="dxa"/>
            <w:vAlign w:val="bottom"/>
            <w:shd w:val="clear" w:color="auto" w:fill="D8D8D8"/>
          </w:tcPr>
          <w:p>
            <w:pPr>
              <w:jc w:val="center"/>
              <w:spacing w:after="0"/>
              <w:rPr>
                <w:sz w:val="20"/>
                <w:szCs w:val="20"/>
                <w:color w:val="auto"/>
              </w:rPr>
            </w:pPr>
            <w:r>
              <w:rPr>
                <w:rFonts w:ascii="Arial" w:cs="Arial" w:eastAsia="Arial" w:hAnsi="Arial"/>
                <w:sz w:val="18"/>
                <w:szCs w:val="18"/>
                <w:b w:val="1"/>
                <w:bCs w:val="1"/>
                <w:color w:val="auto"/>
                <w:w w:val="96"/>
              </w:rPr>
              <w:t>Majority of</w:t>
            </w:r>
          </w:p>
        </w:tc>
        <w:tc>
          <w:tcPr>
            <w:tcW w:w="140" w:type="dxa"/>
            <w:vAlign w:val="bottom"/>
            <w:shd w:val="clear" w:color="auto" w:fill="D8D8D8"/>
          </w:tcPr>
          <w:p>
            <w:pPr>
              <w:spacing w:after="0"/>
              <w:rPr>
                <w:sz w:val="24"/>
                <w:szCs w:val="24"/>
                <w:color w:val="auto"/>
              </w:rPr>
            </w:pPr>
          </w:p>
        </w:tc>
        <w:tc>
          <w:tcPr>
            <w:tcW w:w="140" w:type="dxa"/>
            <w:vAlign w:val="bottom"/>
            <w:shd w:val="clear" w:color="auto" w:fill="56C271"/>
          </w:tcPr>
          <w:p>
            <w:pPr>
              <w:spacing w:after="0"/>
              <w:rPr>
                <w:sz w:val="24"/>
                <w:szCs w:val="24"/>
                <w:color w:val="auto"/>
              </w:rPr>
            </w:pPr>
          </w:p>
        </w:tc>
        <w:tc>
          <w:tcPr>
            <w:tcW w:w="1540" w:type="dxa"/>
            <w:vAlign w:val="bottom"/>
            <w:vMerge w:val="restart"/>
            <w:shd w:val="clear" w:color="auto" w:fill="56C271"/>
          </w:tcPr>
          <w:p>
            <w:pPr>
              <w:ind w:left="480"/>
              <w:spacing w:after="0"/>
              <w:rPr>
                <w:sz w:val="20"/>
                <w:szCs w:val="20"/>
                <w:color w:val="auto"/>
              </w:rPr>
            </w:pPr>
            <w:r>
              <w:rPr>
                <w:rFonts w:ascii="Arial" w:cs="Arial" w:eastAsia="Arial" w:hAnsi="Arial"/>
                <w:sz w:val="29"/>
                <w:szCs w:val="29"/>
                <w:b w:val="1"/>
                <w:bCs w:val="1"/>
                <w:color w:val="FFFFFF"/>
              </w:rPr>
              <w:t>FOR</w:t>
            </w:r>
          </w:p>
        </w:tc>
        <w:tc>
          <w:tcPr>
            <w:tcW w:w="140" w:type="dxa"/>
            <w:vAlign w:val="bottom"/>
            <w:shd w:val="clear" w:color="auto" w:fill="56C271"/>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900" w:type="dxa"/>
            <w:vAlign w:val="bottom"/>
            <w:gridSpan w:val="5"/>
            <w:vMerge w:val="restart"/>
            <w:shd w:val="clear" w:color="auto" w:fill="D8D8D8"/>
          </w:tcPr>
          <w:p>
            <w:pPr>
              <w:jc w:val="center"/>
              <w:spacing w:after="0"/>
              <w:rPr>
                <w:rFonts w:ascii="Arial" w:cs="Arial" w:eastAsia="Arial" w:hAnsi="Arial"/>
                <w:sz w:val="18"/>
                <w:szCs w:val="18"/>
                <w:b w:val="1"/>
                <w:bCs w:val="1"/>
                <w:color w:val="0000EE"/>
                <w:w w:val="99"/>
              </w:rPr>
            </w:pPr>
            <w:hyperlink w:anchor="page88">
              <w:r>
                <w:rPr>
                  <w:rFonts w:ascii="Arial" w:cs="Arial" w:eastAsia="Arial" w:hAnsi="Arial"/>
                  <w:sz w:val="18"/>
                  <w:szCs w:val="18"/>
                  <w:b w:val="1"/>
                  <w:bCs w:val="1"/>
                  <w:color w:val="0000EE"/>
                  <w:w w:val="99"/>
                </w:rPr>
                <w:t>84</w:t>
              </w:r>
            </w:hyperlink>
          </w:p>
        </w:tc>
        <w:tc>
          <w:tcPr>
            <w:tcW w:w="0" w:type="dxa"/>
            <w:vAlign w:val="bottom"/>
          </w:tcPr>
          <w:p>
            <w:pPr>
              <w:spacing w:after="0"/>
              <w:rPr>
                <w:sz w:val="1"/>
                <w:szCs w:val="1"/>
                <w:color w:val="auto"/>
              </w:rPr>
            </w:pPr>
          </w:p>
        </w:tc>
      </w:tr>
      <w:tr>
        <w:trPr>
          <w:trHeight w:val="90"/>
        </w:trPr>
        <w:tc>
          <w:tcPr>
            <w:tcW w:w="720" w:type="dxa"/>
            <w:vAlign w:val="bottom"/>
            <w:vMerge w:val="continue"/>
            <w:shd w:val="clear" w:color="auto" w:fill="56C271"/>
          </w:tcPr>
          <w:p>
            <w:pPr>
              <w:spacing w:after="0"/>
              <w:rPr>
                <w:sz w:val="7"/>
                <w:szCs w:val="7"/>
                <w:color w:val="auto"/>
              </w:rPr>
            </w:pPr>
          </w:p>
        </w:tc>
        <w:tc>
          <w:tcPr>
            <w:tcW w:w="120" w:type="dxa"/>
            <w:vAlign w:val="bottom"/>
            <w:shd w:val="clear" w:color="auto" w:fill="56C271"/>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D8D8D8"/>
          </w:tcPr>
          <w:p>
            <w:pPr>
              <w:spacing w:after="0"/>
              <w:rPr>
                <w:sz w:val="7"/>
                <w:szCs w:val="7"/>
                <w:color w:val="auto"/>
              </w:rPr>
            </w:pPr>
          </w:p>
        </w:tc>
        <w:tc>
          <w:tcPr>
            <w:tcW w:w="3440" w:type="dxa"/>
            <w:vAlign w:val="bottom"/>
            <w:vMerge w:val="restart"/>
            <w:shd w:val="clear" w:color="auto" w:fill="D8D8D8"/>
          </w:tcPr>
          <w:p>
            <w:pPr>
              <w:ind w:left="20"/>
              <w:spacing w:after="0"/>
              <w:rPr>
                <w:sz w:val="20"/>
                <w:szCs w:val="20"/>
                <w:color w:val="auto"/>
              </w:rPr>
            </w:pPr>
            <w:r>
              <w:rPr>
                <w:rFonts w:ascii="Arial" w:cs="Arial" w:eastAsia="Arial" w:hAnsi="Arial"/>
                <w:sz w:val="18"/>
                <w:szCs w:val="18"/>
                <w:b w:val="1"/>
                <w:bCs w:val="1"/>
                <w:color w:val="auto"/>
              </w:rPr>
              <w:t>public accounting firm</w:t>
            </w:r>
          </w:p>
        </w:tc>
        <w:tc>
          <w:tcPr>
            <w:tcW w:w="120" w:type="dxa"/>
            <w:vAlign w:val="bottom"/>
            <w:shd w:val="clear" w:color="auto" w:fill="D8D8D8"/>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D8D8D8"/>
          </w:tcPr>
          <w:p>
            <w:pPr>
              <w:spacing w:after="0"/>
              <w:rPr>
                <w:sz w:val="7"/>
                <w:szCs w:val="7"/>
                <w:color w:val="auto"/>
              </w:rPr>
            </w:pPr>
          </w:p>
        </w:tc>
        <w:tc>
          <w:tcPr>
            <w:tcW w:w="1060" w:type="dxa"/>
            <w:vAlign w:val="bottom"/>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7"/>
              </w:rPr>
              <w:t>votes cast</w:t>
            </w:r>
          </w:p>
        </w:tc>
        <w:tc>
          <w:tcPr>
            <w:tcW w:w="140" w:type="dxa"/>
            <w:vAlign w:val="bottom"/>
            <w:shd w:val="clear" w:color="auto" w:fill="D8D8D8"/>
          </w:tcPr>
          <w:p>
            <w:pPr>
              <w:spacing w:after="0"/>
              <w:rPr>
                <w:sz w:val="7"/>
                <w:szCs w:val="7"/>
                <w:color w:val="auto"/>
              </w:rPr>
            </w:pPr>
          </w:p>
        </w:tc>
        <w:tc>
          <w:tcPr>
            <w:tcW w:w="140" w:type="dxa"/>
            <w:vAlign w:val="bottom"/>
            <w:shd w:val="clear" w:color="auto" w:fill="56C271"/>
          </w:tcPr>
          <w:p>
            <w:pPr>
              <w:spacing w:after="0"/>
              <w:rPr>
                <w:sz w:val="7"/>
                <w:szCs w:val="7"/>
                <w:color w:val="auto"/>
              </w:rPr>
            </w:pPr>
          </w:p>
        </w:tc>
        <w:tc>
          <w:tcPr>
            <w:tcW w:w="1540" w:type="dxa"/>
            <w:vAlign w:val="bottom"/>
            <w:vMerge w:val="continue"/>
            <w:shd w:val="clear" w:color="auto" w:fill="56C271"/>
          </w:tcPr>
          <w:p>
            <w:pPr>
              <w:spacing w:after="0"/>
              <w:rPr>
                <w:sz w:val="7"/>
                <w:szCs w:val="7"/>
                <w:color w:val="auto"/>
              </w:rPr>
            </w:pPr>
          </w:p>
        </w:tc>
        <w:tc>
          <w:tcPr>
            <w:tcW w:w="140" w:type="dxa"/>
            <w:vAlign w:val="bottom"/>
            <w:shd w:val="clear" w:color="auto" w:fill="56C271"/>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D8D8D8"/>
          </w:tcPr>
          <w:p>
            <w:pPr>
              <w:spacing w:after="0"/>
              <w:rPr>
                <w:sz w:val="7"/>
                <w:szCs w:val="7"/>
                <w:color w:val="auto"/>
              </w:rPr>
            </w:pPr>
          </w:p>
        </w:tc>
        <w:tc>
          <w:tcPr>
            <w:tcW w:w="900" w:type="dxa"/>
            <w:vAlign w:val="bottom"/>
            <w:gridSpan w:val="5"/>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20" w:type="dxa"/>
            <w:vAlign w:val="bottom"/>
            <w:tcBorders>
              <w:top w:val="single" w:sz="8" w:color="56C271"/>
            </w:tcBorders>
            <w:vMerge w:val="continue"/>
            <w:shd w:val="clear" w:color="auto" w:fill="56C271"/>
          </w:tcPr>
          <w:p>
            <w:pPr>
              <w:spacing w:after="0"/>
              <w:rPr>
                <w:sz w:val="14"/>
                <w:szCs w:val="14"/>
                <w:color w:val="auto"/>
              </w:rPr>
            </w:pPr>
          </w:p>
        </w:tc>
        <w:tc>
          <w:tcPr>
            <w:tcW w:w="120" w:type="dxa"/>
            <w:vAlign w:val="bottom"/>
            <w:tcBorders>
              <w:top w:val="single" w:sz="8" w:color="56C271"/>
            </w:tcBorders>
            <w:shd w:val="clear" w:color="auto" w:fill="56C271"/>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D8D8D8"/>
            </w:tcBorders>
            <w:shd w:val="clear" w:color="auto" w:fill="D8D8D8"/>
          </w:tcPr>
          <w:p>
            <w:pPr>
              <w:spacing w:after="0"/>
              <w:rPr>
                <w:sz w:val="14"/>
                <w:szCs w:val="14"/>
                <w:color w:val="auto"/>
              </w:rPr>
            </w:pPr>
          </w:p>
        </w:tc>
        <w:tc>
          <w:tcPr>
            <w:tcW w:w="3440" w:type="dxa"/>
            <w:vAlign w:val="bottom"/>
            <w:tcBorders>
              <w:top w:val="single" w:sz="8" w:color="D8D8D8"/>
            </w:tcBorders>
            <w:vMerge w:val="continue"/>
            <w:shd w:val="clear" w:color="auto" w:fill="D8D8D8"/>
          </w:tcPr>
          <w:p>
            <w:pPr>
              <w:spacing w:after="0"/>
              <w:rPr>
                <w:sz w:val="14"/>
                <w:szCs w:val="14"/>
                <w:color w:val="auto"/>
              </w:rPr>
            </w:pPr>
          </w:p>
        </w:tc>
        <w:tc>
          <w:tcPr>
            <w:tcW w:w="120" w:type="dxa"/>
            <w:vAlign w:val="bottom"/>
            <w:tcBorders>
              <w:top w:val="single" w:sz="8" w:color="D8D8D8"/>
            </w:tcBorders>
            <w:shd w:val="clear" w:color="auto" w:fill="D8D8D8"/>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D8D8D8"/>
            </w:tcBorders>
            <w:shd w:val="clear" w:color="auto" w:fill="D8D8D8"/>
          </w:tcPr>
          <w:p>
            <w:pPr>
              <w:spacing w:after="0"/>
              <w:rPr>
                <w:sz w:val="14"/>
                <w:szCs w:val="14"/>
                <w:color w:val="auto"/>
              </w:rPr>
            </w:pPr>
          </w:p>
        </w:tc>
        <w:tc>
          <w:tcPr>
            <w:tcW w:w="1060" w:type="dxa"/>
            <w:vAlign w:val="bottom"/>
            <w:tcBorders>
              <w:top w:val="single" w:sz="8" w:color="D8D8D8"/>
            </w:tcBorders>
            <w:vMerge w:val="continue"/>
            <w:shd w:val="clear" w:color="auto" w:fill="D8D8D8"/>
          </w:tcPr>
          <w:p>
            <w:pPr>
              <w:spacing w:after="0"/>
              <w:rPr>
                <w:sz w:val="14"/>
                <w:szCs w:val="14"/>
                <w:color w:val="auto"/>
              </w:rPr>
            </w:pPr>
          </w:p>
        </w:tc>
        <w:tc>
          <w:tcPr>
            <w:tcW w:w="140" w:type="dxa"/>
            <w:vAlign w:val="bottom"/>
            <w:tcBorders>
              <w:top w:val="single" w:sz="8" w:color="D8D8D8"/>
            </w:tcBorders>
            <w:shd w:val="clear" w:color="auto" w:fill="D8D8D8"/>
          </w:tcPr>
          <w:p>
            <w:pPr>
              <w:spacing w:after="0"/>
              <w:rPr>
                <w:sz w:val="14"/>
                <w:szCs w:val="14"/>
                <w:color w:val="auto"/>
              </w:rPr>
            </w:pPr>
          </w:p>
        </w:tc>
        <w:tc>
          <w:tcPr>
            <w:tcW w:w="140" w:type="dxa"/>
            <w:vAlign w:val="bottom"/>
            <w:tcBorders>
              <w:top w:val="single" w:sz="8" w:color="56C271"/>
            </w:tcBorders>
            <w:shd w:val="clear" w:color="auto" w:fill="56C271"/>
          </w:tcPr>
          <w:p>
            <w:pPr>
              <w:spacing w:after="0"/>
              <w:rPr>
                <w:sz w:val="14"/>
                <w:szCs w:val="14"/>
                <w:color w:val="auto"/>
              </w:rPr>
            </w:pPr>
          </w:p>
        </w:tc>
        <w:tc>
          <w:tcPr>
            <w:tcW w:w="1540" w:type="dxa"/>
            <w:vAlign w:val="bottom"/>
            <w:tcBorders>
              <w:top w:val="single" w:sz="8" w:color="56C271"/>
            </w:tcBorders>
            <w:vMerge w:val="continue"/>
            <w:shd w:val="clear" w:color="auto" w:fill="56C271"/>
          </w:tcPr>
          <w:p>
            <w:pPr>
              <w:spacing w:after="0"/>
              <w:rPr>
                <w:sz w:val="14"/>
                <w:szCs w:val="14"/>
                <w:color w:val="auto"/>
              </w:rPr>
            </w:pPr>
          </w:p>
        </w:tc>
        <w:tc>
          <w:tcPr>
            <w:tcW w:w="140" w:type="dxa"/>
            <w:vAlign w:val="bottom"/>
            <w:tcBorders>
              <w:top w:val="single" w:sz="8" w:color="56C271"/>
            </w:tcBorders>
            <w:shd w:val="clear" w:color="auto" w:fill="56C271"/>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D8D8D8"/>
            </w:tcBorders>
            <w:shd w:val="clear" w:color="auto" w:fill="D8D8D8"/>
          </w:tcPr>
          <w:p>
            <w:pPr>
              <w:spacing w:after="0"/>
              <w:rPr>
                <w:sz w:val="14"/>
                <w:szCs w:val="14"/>
                <w:color w:val="auto"/>
              </w:rPr>
            </w:pPr>
          </w:p>
        </w:tc>
        <w:tc>
          <w:tcPr>
            <w:tcW w:w="360" w:type="dxa"/>
            <w:vAlign w:val="bottom"/>
            <w:tcBorders>
              <w:top w:val="single" w:sz="8" w:color="D8D8D8"/>
            </w:tcBorders>
            <w:shd w:val="clear" w:color="auto" w:fill="D8D8D8"/>
          </w:tcPr>
          <w:p>
            <w:pPr>
              <w:spacing w:after="0"/>
              <w:rPr>
                <w:sz w:val="14"/>
                <w:szCs w:val="14"/>
                <w:color w:val="auto"/>
              </w:rPr>
            </w:pPr>
          </w:p>
        </w:tc>
        <w:tc>
          <w:tcPr>
            <w:tcW w:w="40" w:type="dxa"/>
            <w:vAlign w:val="bottom"/>
            <w:tcBorders>
              <w:top w:val="single" w:sz="8" w:color="0000EE"/>
            </w:tcBorders>
            <w:shd w:val="clear" w:color="auto" w:fill="D8D8D8"/>
          </w:tcPr>
          <w:p>
            <w:pPr>
              <w:spacing w:after="0"/>
              <w:rPr>
                <w:sz w:val="14"/>
                <w:szCs w:val="14"/>
                <w:color w:val="auto"/>
              </w:rPr>
            </w:pPr>
          </w:p>
        </w:tc>
        <w:tc>
          <w:tcPr>
            <w:tcW w:w="100" w:type="dxa"/>
            <w:vAlign w:val="bottom"/>
            <w:tcBorders>
              <w:top w:val="single" w:sz="8" w:color="0000EE"/>
            </w:tcBorders>
            <w:shd w:val="clear" w:color="auto" w:fill="D8D8D8"/>
          </w:tcPr>
          <w:p>
            <w:pPr>
              <w:spacing w:after="0"/>
              <w:rPr>
                <w:sz w:val="14"/>
                <w:szCs w:val="14"/>
                <w:color w:val="auto"/>
              </w:rPr>
            </w:pPr>
          </w:p>
        </w:tc>
        <w:tc>
          <w:tcPr>
            <w:tcW w:w="60" w:type="dxa"/>
            <w:vAlign w:val="bottom"/>
            <w:tcBorders>
              <w:top w:val="single" w:sz="8" w:color="0000EE"/>
            </w:tcBorders>
            <w:shd w:val="clear" w:color="auto" w:fill="D8D8D8"/>
          </w:tcPr>
          <w:p>
            <w:pPr>
              <w:spacing w:after="0"/>
              <w:rPr>
                <w:sz w:val="14"/>
                <w:szCs w:val="14"/>
                <w:color w:val="auto"/>
              </w:rPr>
            </w:pPr>
          </w:p>
        </w:tc>
        <w:tc>
          <w:tcPr>
            <w:tcW w:w="340" w:type="dxa"/>
            <w:vAlign w:val="bottom"/>
            <w:tcBorders>
              <w:top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720" w:type="dxa"/>
            <w:vAlign w:val="bottom"/>
            <w:shd w:val="clear" w:color="auto" w:fill="56C271"/>
          </w:tcPr>
          <w:p>
            <w:pPr>
              <w:spacing w:after="0"/>
              <w:rPr>
                <w:sz w:val="9"/>
                <w:szCs w:val="9"/>
                <w:color w:val="auto"/>
              </w:rPr>
            </w:pPr>
          </w:p>
        </w:tc>
        <w:tc>
          <w:tcPr>
            <w:tcW w:w="120" w:type="dxa"/>
            <w:vAlign w:val="bottom"/>
            <w:shd w:val="clear" w:color="auto" w:fill="56C271"/>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D8D8D8"/>
          </w:tcPr>
          <w:p>
            <w:pPr>
              <w:spacing w:after="0"/>
              <w:rPr>
                <w:sz w:val="9"/>
                <w:szCs w:val="9"/>
                <w:color w:val="auto"/>
              </w:rPr>
            </w:pPr>
          </w:p>
        </w:tc>
        <w:tc>
          <w:tcPr>
            <w:tcW w:w="3440" w:type="dxa"/>
            <w:vAlign w:val="bottom"/>
            <w:shd w:val="clear" w:color="auto" w:fill="D8D8D8"/>
          </w:tcPr>
          <w:p>
            <w:pPr>
              <w:spacing w:after="0"/>
              <w:rPr>
                <w:sz w:val="9"/>
                <w:szCs w:val="9"/>
                <w:color w:val="auto"/>
              </w:rPr>
            </w:pPr>
          </w:p>
        </w:tc>
        <w:tc>
          <w:tcPr>
            <w:tcW w:w="120" w:type="dxa"/>
            <w:vAlign w:val="bottom"/>
            <w:shd w:val="clear" w:color="auto" w:fill="D8D8D8"/>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1060" w:type="dxa"/>
            <w:vAlign w:val="bottom"/>
            <w:shd w:val="clear" w:color="auto" w:fill="D8D8D8"/>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140" w:type="dxa"/>
            <w:vAlign w:val="bottom"/>
            <w:shd w:val="clear" w:color="auto" w:fill="56C271"/>
          </w:tcPr>
          <w:p>
            <w:pPr>
              <w:spacing w:after="0"/>
              <w:rPr>
                <w:sz w:val="9"/>
                <w:szCs w:val="9"/>
                <w:color w:val="auto"/>
              </w:rPr>
            </w:pPr>
          </w:p>
        </w:tc>
        <w:tc>
          <w:tcPr>
            <w:tcW w:w="1540" w:type="dxa"/>
            <w:vAlign w:val="bottom"/>
            <w:shd w:val="clear" w:color="auto" w:fill="56C271"/>
          </w:tcPr>
          <w:p>
            <w:pPr>
              <w:spacing w:after="0"/>
              <w:rPr>
                <w:sz w:val="9"/>
                <w:szCs w:val="9"/>
                <w:color w:val="auto"/>
              </w:rPr>
            </w:pPr>
          </w:p>
        </w:tc>
        <w:tc>
          <w:tcPr>
            <w:tcW w:w="140" w:type="dxa"/>
            <w:vAlign w:val="bottom"/>
            <w:shd w:val="clear" w:color="auto" w:fill="56C271"/>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D8D8D8"/>
          </w:tcPr>
          <w:p>
            <w:pPr>
              <w:spacing w:after="0"/>
              <w:rPr>
                <w:sz w:val="9"/>
                <w:szCs w:val="9"/>
                <w:color w:val="auto"/>
              </w:rPr>
            </w:pPr>
          </w:p>
        </w:tc>
        <w:tc>
          <w:tcPr>
            <w:tcW w:w="360" w:type="dxa"/>
            <w:vAlign w:val="bottom"/>
            <w:shd w:val="clear" w:color="auto" w:fill="D8D8D8"/>
          </w:tcPr>
          <w:p>
            <w:pPr>
              <w:spacing w:after="0"/>
              <w:rPr>
                <w:sz w:val="9"/>
                <w:szCs w:val="9"/>
                <w:color w:val="auto"/>
              </w:rPr>
            </w:pPr>
          </w:p>
        </w:tc>
        <w:tc>
          <w:tcPr>
            <w:tcW w:w="40" w:type="dxa"/>
            <w:vAlign w:val="bottom"/>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60" w:type="dxa"/>
            <w:vAlign w:val="bottom"/>
            <w:shd w:val="clear" w:color="auto" w:fill="D8D8D8"/>
          </w:tcPr>
          <w:p>
            <w:pPr>
              <w:spacing w:after="0"/>
              <w:rPr>
                <w:sz w:val="9"/>
                <w:szCs w:val="9"/>
                <w:color w:val="auto"/>
              </w:rPr>
            </w:pPr>
          </w:p>
        </w:tc>
        <w:tc>
          <w:tcPr>
            <w:tcW w:w="34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-8255</wp:posOffset>
            </wp:positionV>
            <wp:extent cx="55549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54980" cy="1714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-470535</wp:posOffset>
            </wp:positionV>
            <wp:extent cx="55549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54980" cy="1714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-899160</wp:posOffset>
            </wp:positionV>
            <wp:extent cx="55549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54980" cy="1714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-1327785</wp:posOffset>
            </wp:positionV>
            <wp:extent cx="55549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54980" cy="1714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497205</wp:posOffset>
            </wp:positionV>
            <wp:extent cx="1482725"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500"/>
        <w:spacing w:after="0"/>
        <w:rPr>
          <w:sz w:val="20"/>
          <w:szCs w:val="20"/>
          <w:color w:val="auto"/>
        </w:rPr>
      </w:pPr>
      <w:r>
        <w:rPr>
          <w:rFonts w:ascii="Arial" w:cs="Arial" w:eastAsia="Arial" w:hAnsi="Arial"/>
          <w:sz w:val="40"/>
          <w:szCs w:val="40"/>
          <w:b w:val="1"/>
          <w:bCs w:val="1"/>
          <w:color w:val="FEFEF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233045</wp:posOffset>
            </wp:positionV>
            <wp:extent cx="5554980" cy="771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EFEFE"/>
        </w:rPr>
        <w:t>RECOMMENDATION OF THE BOARD</w:t>
      </w:r>
    </w:p>
    <w:p>
      <w:pPr>
        <w:spacing w:after="0" w:line="200" w:lineRule="exact"/>
        <w:rPr>
          <w:sz w:val="20"/>
          <w:szCs w:val="20"/>
          <w:color w:val="auto"/>
        </w:rPr>
      </w:pPr>
    </w:p>
    <w:p>
      <w:pPr>
        <w:spacing w:after="0" w:line="21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6C271"/>
        </w:rPr>
        <w:t>FOR</w:t>
      </w:r>
      <w:r>
        <w:rPr>
          <w:rFonts w:ascii="Arial" w:cs="Arial" w:eastAsia="Arial" w:hAnsi="Arial"/>
          <w:sz w:val="18"/>
          <w:szCs w:val="18"/>
          <w:b w:val="1"/>
          <w:bCs w:val="1"/>
          <w:color w:val="auto"/>
        </w:rPr>
        <w:t xml:space="preserve"> all eleven nominees listed below.</w:t>
      </w:r>
    </w:p>
    <w:p>
      <w:pPr>
        <w:spacing w:after="0" w:line="200" w:lineRule="exact"/>
        <w:rPr>
          <w:sz w:val="20"/>
          <w:szCs w:val="20"/>
          <w:color w:val="auto"/>
        </w:rPr>
      </w:pPr>
    </w:p>
    <w:p>
      <w:pPr>
        <w:spacing w:after="0" w:line="29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Description of Proposal</w:t>
      </w:r>
    </w:p>
    <w:p>
      <w:pPr>
        <w:spacing w:after="0" w:line="170" w:lineRule="exact"/>
        <w:rPr>
          <w:sz w:val="20"/>
          <w:szCs w:val="20"/>
          <w:color w:val="auto"/>
        </w:rPr>
      </w:pPr>
    </w:p>
    <w:p>
      <w:pPr>
        <w:ind w:left="1000" w:right="179"/>
        <w:spacing w:after="0" w:line="252" w:lineRule="auto"/>
        <w:rPr>
          <w:sz w:val="20"/>
          <w:szCs w:val="20"/>
          <w:color w:val="auto"/>
        </w:rPr>
      </w:pPr>
      <w:r>
        <w:rPr>
          <w:rFonts w:ascii="Arial" w:cs="Arial" w:eastAsia="Arial" w:hAnsi="Arial"/>
          <w:sz w:val="18"/>
          <w:szCs w:val="18"/>
          <w:color w:val="auto"/>
        </w:rPr>
        <w:t>Rodney C. Adkins, Carlo Bozotti, Brenda L. Freeman, Philip R. Gallagher, Jo Ann Jenkins, Oleg Khaykin, James A. Lawrence, Ernest E. Maddock, Avid Modjtabai, Adalio T. Sanchez and William H. Schumann, III have been nominated for election as Directors at the Annual Meeting, to serve until the next annual meeting of shareholders and until their successors have been elected and qualified. After serving on the Company’s Board of Directors for 10 years, Michael A. Bradley reached the mandatory Board retirement age prior to the date of the Annual Meeting.</w:t>
      </w:r>
    </w:p>
    <w:p>
      <w:pPr>
        <w:spacing w:after="0" w:line="140" w:lineRule="exact"/>
        <w:rPr>
          <w:sz w:val="20"/>
          <w:szCs w:val="20"/>
          <w:color w:val="auto"/>
        </w:rPr>
      </w:pPr>
    </w:p>
    <w:p>
      <w:pPr>
        <w:ind w:left="1000" w:right="479"/>
        <w:spacing w:after="0" w:line="256" w:lineRule="auto"/>
        <w:rPr>
          <w:sz w:val="20"/>
          <w:szCs w:val="20"/>
          <w:color w:val="auto"/>
        </w:rPr>
      </w:pPr>
      <w:r>
        <w:rPr>
          <w:rFonts w:ascii="Arial" w:cs="Arial" w:eastAsia="Arial" w:hAnsi="Arial"/>
          <w:sz w:val="18"/>
          <w:szCs w:val="18"/>
          <w:color w:val="auto"/>
        </w:rPr>
        <w:t>All the nominees are presently serving as Directors of the Board. The Corporate Governance Committee recommended to the Board all the nominees for re-election. Each nominee has consented to being named herein and to serving if elected.</w:t>
      </w:r>
    </w:p>
    <w:p>
      <w:pPr>
        <w:spacing w:after="0" w:line="121" w:lineRule="exact"/>
        <w:rPr>
          <w:sz w:val="20"/>
          <w:szCs w:val="20"/>
          <w:color w:val="auto"/>
        </w:rPr>
      </w:pPr>
    </w:p>
    <w:p>
      <w:pPr>
        <w:ind w:left="1000" w:right="259"/>
        <w:spacing w:after="0" w:line="253" w:lineRule="auto"/>
        <w:rPr>
          <w:sz w:val="20"/>
          <w:szCs w:val="20"/>
          <w:color w:val="auto"/>
        </w:rPr>
      </w:pPr>
      <w:r>
        <w:rPr>
          <w:rFonts w:ascii="Arial" w:cs="Arial" w:eastAsia="Arial" w:hAnsi="Arial"/>
          <w:sz w:val="18"/>
          <w:szCs w:val="18"/>
          <w:color w:val="auto"/>
        </w:rPr>
        <w:t>In the unanticipated event that any nominee should become unavailable for election, either: (1) the persons named as proxies in the enclosed proxy card will have discretionary authority to vote for a substitute nominee or vote for the remaining nominees and leave a vacancy on the Board of Directors, whereby such vacancy may be filled by a majority vote of the Directors then in office or by the shareholders at a meeting, or (2) the Board may reduce the size of the Board and the number of nominees to eliminate the vacancy.</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Required Vote</w:t>
      </w:r>
    </w:p>
    <w:p>
      <w:pPr>
        <w:spacing w:after="0" w:line="170" w:lineRule="exact"/>
        <w:rPr>
          <w:sz w:val="20"/>
          <w:szCs w:val="20"/>
          <w:color w:val="auto"/>
        </w:rPr>
      </w:pPr>
    </w:p>
    <w:p>
      <w:pPr>
        <w:ind w:left="1000" w:right="199"/>
        <w:spacing w:after="0" w:line="273" w:lineRule="auto"/>
        <w:rPr>
          <w:sz w:val="20"/>
          <w:szCs w:val="20"/>
          <w:color w:val="auto"/>
        </w:rPr>
      </w:pPr>
      <w:r>
        <w:rPr>
          <w:rFonts w:ascii="Arial" w:cs="Arial" w:eastAsia="Arial" w:hAnsi="Arial"/>
          <w:sz w:val="17"/>
          <w:szCs w:val="17"/>
          <w:color w:val="auto"/>
        </w:rPr>
        <w:t>To be elected, provided a quorum is present, each nominee must receive the affirmative vote of a majority of the votes cast with respect to his or her election. A majority of the votes cast means that the number of shares voted “for” a Director nominee must exceed the number of shares voted “against” that Director nominee. Abstentions are not counted in determining the votes cast, and therefore will have no effect on the outcome.</w:t>
      </w:r>
    </w:p>
    <w:p>
      <w:pPr>
        <w:spacing w:after="0" w:line="123" w:lineRule="exact"/>
        <w:rPr>
          <w:sz w:val="20"/>
          <w:szCs w:val="20"/>
          <w:color w:val="auto"/>
        </w:rPr>
      </w:pPr>
    </w:p>
    <w:p>
      <w:pPr>
        <w:ind w:left="1000" w:right="539"/>
        <w:spacing w:after="0" w:line="261" w:lineRule="auto"/>
        <w:rPr>
          <w:sz w:val="20"/>
          <w:szCs w:val="20"/>
          <w:color w:val="auto"/>
        </w:rPr>
      </w:pPr>
      <w:r>
        <w:rPr>
          <w:rFonts w:ascii="Arial" w:cs="Arial" w:eastAsia="Arial" w:hAnsi="Arial"/>
          <w:sz w:val="18"/>
          <w:szCs w:val="18"/>
          <w:color w:val="auto"/>
        </w:rPr>
        <w:t>Brokers who hold shares of Common Stock as nominees will not have discretionary authority to vote such shares for a Director nominee.</w:t>
      </w:r>
    </w:p>
    <w:p>
      <w:pPr>
        <w:spacing w:after="0" w:line="117"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If an incumbent nominee is not elected by the requisite vote, he or she must tender his or her resignation, and the Board, excluding such individual, will, within 90 days of the election, decide whether to accept such resignation and will disclose and explain its decision.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Proxy</w:t>
      </w:r>
    </w:p>
    <w:p>
      <w:pPr>
        <w:spacing w:after="0" w:line="170" w:lineRule="exact"/>
        <w:rPr>
          <w:sz w:val="20"/>
          <w:szCs w:val="20"/>
          <w:color w:val="auto"/>
        </w:rPr>
      </w:pPr>
    </w:p>
    <w:p>
      <w:pPr>
        <w:ind w:left="1000" w:right="639"/>
        <w:spacing w:after="0" w:line="256" w:lineRule="auto"/>
        <w:rPr>
          <w:sz w:val="20"/>
          <w:szCs w:val="20"/>
          <w:color w:val="auto"/>
        </w:rPr>
      </w:pPr>
      <w:r>
        <w:rPr>
          <w:rFonts w:ascii="Arial" w:cs="Arial" w:eastAsia="Arial" w:hAnsi="Arial"/>
          <w:sz w:val="18"/>
          <w:szCs w:val="18"/>
          <w:color w:val="auto"/>
        </w:rPr>
        <w:t>Unless otherwise directed by the shareholder, it is the intention of the persons named as proxies in the enclosed proxy card to vote each properly signed and returned proxy card FOR the election of all eleven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857250</wp:posOffset>
            </wp:positionV>
            <wp:extent cx="1482725"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1: Election of Directors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Nominees</w:t>
      </w:r>
    </w:p>
    <w:p>
      <w:pPr>
        <w:spacing w:after="0" w:line="157" w:lineRule="exact"/>
        <w:rPr>
          <w:sz w:val="20"/>
          <w:szCs w:val="20"/>
          <w:color w:val="auto"/>
        </w:rPr>
      </w:pPr>
    </w:p>
    <w:p>
      <w:pPr>
        <w:ind w:left="1000" w:right="219"/>
        <w:spacing w:after="0" w:line="254" w:lineRule="auto"/>
        <w:rPr>
          <w:sz w:val="20"/>
          <w:szCs w:val="20"/>
          <w:color w:val="auto"/>
        </w:rPr>
      </w:pPr>
      <w:r>
        <w:rPr>
          <w:rFonts w:ascii="Arial" w:cs="Arial" w:eastAsia="Arial" w:hAnsi="Arial"/>
          <w:sz w:val="18"/>
          <w:szCs w:val="18"/>
          <w:color w:val="auto"/>
        </w:rPr>
        <w:t>The following table sets forth the names of and biographical information regarding each of the nominees as of September 20, 2021, including their age, principal occupation, the year they each first became a Director and the experience, qualifications, attributes and skills that have led the Board to conclude that these nominees should serve as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155575</wp:posOffset>
            </wp:positionV>
            <wp:extent cx="5554980" cy="40373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54980" cy="403733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2015</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Board Chair Since: </w:t>
      </w:r>
      <w:r>
        <w:rPr>
          <w:rFonts w:ascii="Arial" w:cs="Arial" w:eastAsia="Arial" w:hAnsi="Arial"/>
          <w:sz w:val="14"/>
          <w:szCs w:val="14"/>
          <w:color w:val="auto"/>
        </w:rPr>
        <w:t>2018</w:t>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24" w:lineRule="exact"/>
        <w:rPr>
          <w:sz w:val="20"/>
          <w:szCs w:val="20"/>
          <w:color w:val="auto"/>
        </w:rPr>
      </w:pPr>
    </w:p>
    <w:p>
      <w:pPr>
        <w:ind w:left="1340" w:hanging="269"/>
        <w:spacing w:after="0"/>
        <w:tabs>
          <w:tab w:leader="none" w:pos="1340" w:val="left"/>
        </w:tabs>
        <w:numPr>
          <w:ilvl w:val="0"/>
          <w:numId w:val="11"/>
        </w:numPr>
        <w:rPr>
          <w:rFonts w:ascii="Arial" w:cs="Arial" w:eastAsia="Arial" w:hAnsi="Arial"/>
          <w:sz w:val="18"/>
          <w:szCs w:val="18"/>
          <w:color w:val="56C271"/>
        </w:rPr>
      </w:pPr>
      <w:r>
        <w:rPr>
          <w:rFonts w:ascii="Arial" w:cs="Arial" w:eastAsia="Arial" w:hAnsi="Arial"/>
          <w:sz w:val="14"/>
          <w:szCs w:val="14"/>
          <w:color w:val="auto"/>
        </w:rPr>
        <w:t>Audit</w:t>
      </w:r>
    </w:p>
    <w:p>
      <w:pPr>
        <w:spacing w:after="0" w:line="25" w:lineRule="exact"/>
        <w:rPr>
          <w:rFonts w:ascii="Arial" w:cs="Arial" w:eastAsia="Arial" w:hAnsi="Arial"/>
          <w:sz w:val="18"/>
          <w:szCs w:val="18"/>
          <w:color w:val="56C271"/>
        </w:rPr>
      </w:pPr>
    </w:p>
    <w:p>
      <w:pPr>
        <w:ind w:left="1340" w:hanging="269"/>
        <w:spacing w:after="0" w:line="205" w:lineRule="auto"/>
        <w:tabs>
          <w:tab w:leader="none" w:pos="1340" w:val="left"/>
        </w:tabs>
        <w:numPr>
          <w:ilvl w:val="0"/>
          <w:numId w:val="11"/>
        </w:numPr>
        <w:rPr>
          <w:rFonts w:ascii="Arial" w:cs="Arial" w:eastAsia="Arial" w:hAnsi="Arial"/>
          <w:sz w:val="18"/>
          <w:szCs w:val="18"/>
          <w:color w:val="56C271"/>
        </w:rPr>
      </w:pPr>
      <w:r>
        <w:rPr>
          <w:rFonts w:ascii="Arial" w:cs="Arial" w:eastAsia="Arial" w:hAnsi="Arial"/>
          <w:sz w:val="14"/>
          <w:szCs w:val="14"/>
          <w:color w:val="auto"/>
        </w:rPr>
        <w:t>Corporate Governance</w:t>
      </w:r>
    </w:p>
    <w:p>
      <w:pPr>
        <w:spacing w:after="0" w:line="25" w:lineRule="exact"/>
        <w:rPr>
          <w:rFonts w:ascii="Arial" w:cs="Arial" w:eastAsia="Arial" w:hAnsi="Arial"/>
          <w:sz w:val="18"/>
          <w:szCs w:val="18"/>
          <w:color w:val="56C271"/>
        </w:rPr>
      </w:pPr>
    </w:p>
    <w:p>
      <w:pPr>
        <w:ind w:left="1340" w:hanging="269"/>
        <w:spacing w:after="0" w:line="205" w:lineRule="auto"/>
        <w:tabs>
          <w:tab w:leader="none" w:pos="1340" w:val="left"/>
        </w:tabs>
        <w:numPr>
          <w:ilvl w:val="0"/>
          <w:numId w:val="11"/>
        </w:numPr>
        <w:rPr>
          <w:rFonts w:ascii="Arial" w:cs="Arial" w:eastAsia="Arial" w:hAnsi="Arial"/>
          <w:sz w:val="18"/>
          <w:szCs w:val="18"/>
          <w:color w:val="56C271"/>
        </w:rPr>
      </w:pPr>
      <w:r>
        <w:rPr>
          <w:rFonts w:ascii="Arial" w:cs="Arial" w:eastAsia="Arial" w:hAnsi="Arial"/>
          <w:sz w:val="14"/>
          <w:szCs w:val="14"/>
          <w:color w:val="auto"/>
        </w:rPr>
        <w:t>Executive (Chair)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22"/>
          <w:szCs w:val="22"/>
          <w:b w:val="1"/>
          <w:bCs w:val="1"/>
          <w:color w:val="FEFEFE"/>
        </w:rPr>
        <w:t>RODNEY C. ADKINS</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Recent Business Experience:</w:t>
      </w:r>
    </w:p>
    <w:p>
      <w:pPr>
        <w:spacing w:after="0" w:line="139" w:lineRule="exact"/>
        <w:rPr>
          <w:sz w:val="20"/>
          <w:szCs w:val="20"/>
          <w:color w:val="auto"/>
        </w:rPr>
      </w:pPr>
    </w:p>
    <w:p>
      <w:pPr>
        <w:ind w:left="100" w:right="299"/>
        <w:spacing w:after="0" w:line="265" w:lineRule="auto"/>
        <w:rPr>
          <w:sz w:val="20"/>
          <w:szCs w:val="20"/>
          <w:color w:val="auto"/>
        </w:rPr>
      </w:pPr>
      <w:r>
        <w:rPr>
          <w:rFonts w:ascii="Arial" w:cs="Arial" w:eastAsia="Arial" w:hAnsi="Arial"/>
          <w:sz w:val="17"/>
          <w:szCs w:val="17"/>
          <w:color w:val="auto"/>
        </w:rPr>
        <w:t>Mr. Adkins has served as the Company’s Chair of the Board since November 2018. He serves as the President of 3RAM Group LLC, a privately held company specializing in capital investments, business consulting services and property management. Mr. Adkins formerly served as Senior Vice President of IBM from 2007 until 2014. In his 33-year career with IBM, Mr. Adkins held a number of development and management roles, including Senior Vice President of Corporate Strategy from 2013 to 2014 and Senior Vice President of Systems and Technology Group from 2009 to 2013.</w:t>
      </w:r>
    </w:p>
    <w:p>
      <w:pPr>
        <w:spacing w:after="0" w:line="1" w:lineRule="exact"/>
        <w:rPr>
          <w:sz w:val="20"/>
          <w:szCs w:val="20"/>
          <w:color w:val="auto"/>
        </w:rPr>
      </w:pPr>
    </w:p>
    <w:p>
      <w:pPr>
        <w:jc w:val="both"/>
        <w:ind w:left="100" w:right="239"/>
        <w:spacing w:after="0" w:line="253" w:lineRule="auto"/>
        <w:rPr>
          <w:sz w:val="20"/>
          <w:szCs w:val="20"/>
          <w:color w:val="auto"/>
        </w:rPr>
      </w:pPr>
      <w:r>
        <w:rPr>
          <w:rFonts w:ascii="Arial" w:cs="Arial" w:eastAsia="Arial" w:hAnsi="Arial"/>
          <w:sz w:val="18"/>
          <w:szCs w:val="18"/>
          <w:color w:val="auto"/>
        </w:rPr>
        <w:t>Mr. Adkins currently serves on the board of directors of United Parcel Service, Inc. (NYSE: UPS); W.W. Grainger, Inc. (NYSE: GWW) and PayPal Holdings, Inc. (Nasdaq: PYPL). From 2007 to 2013, he served on the board of directors of Pitney Bowes Inc. (NYSE: PBI) and from 2014 to 2019, he served on board of directors of PPL Corporation (NYSE: PPL).</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3380" w:type="dxa"/>
            <w:vAlign w:val="bottom"/>
            <w:gridSpan w:val="3"/>
          </w:tcPr>
          <w:p>
            <w:pPr>
              <w:spacing w:after="0"/>
              <w:rPr>
                <w:sz w:val="20"/>
                <w:szCs w:val="20"/>
                <w:color w:val="auto"/>
              </w:rPr>
            </w:pPr>
            <w:r>
              <w:rPr>
                <w:rFonts w:ascii="Arial" w:cs="Arial" w:eastAsia="Arial" w:hAnsi="Arial"/>
                <w:sz w:val="18"/>
                <w:szCs w:val="18"/>
                <w:b w:val="1"/>
                <w:bCs w:val="1"/>
                <w:color w:val="56C271"/>
              </w:rPr>
              <w:t>Primary Qualifications and Experience:</w:t>
            </w:r>
          </w:p>
        </w:tc>
        <w:tc>
          <w:tcPr>
            <w:tcW w:w="1880" w:type="dxa"/>
            <w:vAlign w:val="bottom"/>
          </w:tcPr>
          <w:p>
            <w:pPr>
              <w:spacing w:after="0"/>
              <w:rPr>
                <w:sz w:val="20"/>
                <w:szCs w:val="20"/>
                <w:color w:val="auto"/>
              </w:rPr>
            </w:pPr>
          </w:p>
        </w:tc>
      </w:tr>
      <w:tr>
        <w:trPr>
          <w:trHeight w:val="283"/>
        </w:trPr>
        <w:tc>
          <w:tcPr>
            <w:tcW w:w="180" w:type="dxa"/>
            <w:vAlign w:val="bottom"/>
          </w:tcPr>
          <w:p>
            <w:pPr>
              <w:spacing w:after="0"/>
              <w:rPr>
                <w:sz w:val="20"/>
                <w:szCs w:val="20"/>
                <w:color w:val="auto"/>
              </w:rPr>
            </w:pPr>
            <w:r>
              <w:rPr>
                <w:rFonts w:ascii="Arial" w:cs="Arial" w:eastAsia="Arial" w:hAnsi="Arial"/>
                <w:sz w:val="18"/>
                <w:szCs w:val="18"/>
                <w:color w:val="56C271"/>
              </w:rPr>
              <w:t>•</w:t>
            </w:r>
          </w:p>
        </w:tc>
        <w:tc>
          <w:tcPr>
            <w:tcW w:w="256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640" w:type="dxa"/>
            <w:vAlign w:val="bottom"/>
          </w:tcPr>
          <w:p>
            <w:pPr>
              <w:ind w:left="440"/>
              <w:spacing w:after="0"/>
              <w:rPr>
                <w:sz w:val="20"/>
                <w:szCs w:val="20"/>
                <w:color w:val="auto"/>
              </w:rPr>
            </w:pPr>
            <w:r>
              <w:rPr>
                <w:rFonts w:ascii="Arial" w:cs="Arial" w:eastAsia="Arial" w:hAnsi="Arial"/>
                <w:sz w:val="18"/>
                <w:szCs w:val="18"/>
                <w:color w:val="56C271"/>
              </w:rPr>
              <w:t>•</w:t>
            </w:r>
          </w:p>
        </w:tc>
        <w:tc>
          <w:tcPr>
            <w:tcW w:w="1880" w:type="dxa"/>
            <w:vAlign w:val="bottom"/>
          </w:tcPr>
          <w:p>
            <w:pPr>
              <w:ind w:left="120"/>
              <w:spacing w:after="0"/>
              <w:rPr>
                <w:sz w:val="20"/>
                <w:szCs w:val="20"/>
                <w:color w:val="auto"/>
              </w:rPr>
            </w:pPr>
            <w:r>
              <w:rPr>
                <w:rFonts w:ascii="Arial" w:cs="Arial" w:eastAsia="Arial" w:hAnsi="Arial"/>
                <w:sz w:val="18"/>
                <w:szCs w:val="18"/>
                <w:color w:val="auto"/>
                <w:w w:val="98"/>
              </w:rPr>
              <w:t>International Business</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56C271"/>
              </w:rPr>
              <w:t>•</w:t>
            </w:r>
          </w:p>
        </w:tc>
        <w:tc>
          <w:tcPr>
            <w:tcW w:w="2560" w:type="dxa"/>
            <w:vAlign w:val="bottom"/>
          </w:tcPr>
          <w:p>
            <w:pPr>
              <w:ind w:left="140"/>
              <w:spacing w:after="0"/>
              <w:rPr>
                <w:sz w:val="20"/>
                <w:szCs w:val="20"/>
                <w:color w:val="auto"/>
              </w:rPr>
            </w:pPr>
            <w:r>
              <w:rPr>
                <w:rFonts w:ascii="Arial" w:cs="Arial" w:eastAsia="Arial" w:hAnsi="Arial"/>
                <w:sz w:val="18"/>
                <w:szCs w:val="18"/>
                <w:color w:val="auto"/>
              </w:rPr>
              <w:t>Technology/Digital Media</w:t>
            </w:r>
          </w:p>
        </w:tc>
        <w:tc>
          <w:tcPr>
            <w:tcW w:w="640" w:type="dxa"/>
            <w:vAlign w:val="bottom"/>
          </w:tcPr>
          <w:p>
            <w:pPr>
              <w:ind w:left="440"/>
              <w:spacing w:after="0"/>
              <w:rPr>
                <w:sz w:val="20"/>
                <w:szCs w:val="20"/>
                <w:color w:val="auto"/>
              </w:rPr>
            </w:pPr>
            <w:r>
              <w:rPr>
                <w:rFonts w:ascii="Arial" w:cs="Arial" w:eastAsia="Arial" w:hAnsi="Arial"/>
                <w:sz w:val="18"/>
                <w:szCs w:val="18"/>
                <w:color w:val="56C271"/>
              </w:rPr>
              <w:t>•</w:t>
            </w:r>
          </w:p>
        </w:tc>
        <w:tc>
          <w:tcPr>
            <w:tcW w:w="1880" w:type="dxa"/>
            <w:vAlign w:val="bottom"/>
          </w:tcPr>
          <w:p>
            <w:pPr>
              <w:ind w:left="120"/>
              <w:spacing w:after="0"/>
              <w:rPr>
                <w:sz w:val="20"/>
                <w:szCs w:val="20"/>
                <w:color w:val="auto"/>
              </w:rPr>
            </w:pPr>
            <w:r>
              <w:rPr>
                <w:rFonts w:ascii="Arial" w:cs="Arial" w:eastAsia="Arial" w:hAnsi="Arial"/>
                <w:sz w:val="18"/>
                <w:szCs w:val="18"/>
                <w:color w:val="auto"/>
              </w:rPr>
              <w:t>Industry</w:t>
            </w:r>
          </w:p>
        </w:tc>
      </w:tr>
    </w:tbl>
    <w:p>
      <w:pPr>
        <w:spacing w:after="0" w:line="67" w:lineRule="exact"/>
        <w:rPr>
          <w:sz w:val="20"/>
          <w:szCs w:val="20"/>
          <w:color w:val="auto"/>
        </w:rPr>
      </w:pPr>
    </w:p>
    <w:p>
      <w:pPr>
        <w:ind w:left="420" w:hanging="326"/>
        <w:spacing w:after="0"/>
        <w:tabs>
          <w:tab w:leader="none" w:pos="420" w:val="left"/>
        </w:tabs>
        <w:numPr>
          <w:ilvl w:val="0"/>
          <w:numId w:val="12"/>
        </w:numPr>
        <w:rPr>
          <w:rFonts w:ascii="Arial" w:cs="Arial" w:eastAsia="Arial" w:hAnsi="Arial"/>
          <w:sz w:val="18"/>
          <w:szCs w:val="18"/>
          <w:color w:val="56C271"/>
        </w:rPr>
      </w:pPr>
      <w:r>
        <w:rPr>
          <w:rFonts w:ascii="Arial" w:cs="Arial" w:eastAsia="Arial" w:hAnsi="Arial"/>
          <w:sz w:val="18"/>
          <w:szCs w:val="18"/>
          <w:color w:val="auto"/>
        </w:rPr>
        <w:t>Risk Management</w:t>
      </w:r>
    </w:p>
    <w:p>
      <w:pPr>
        <w:spacing w:after="0" w:line="158" w:lineRule="exact"/>
        <w:rPr>
          <w:sz w:val="20"/>
          <w:szCs w:val="20"/>
          <w:color w:val="auto"/>
        </w:rPr>
      </w:pPr>
    </w:p>
    <w:p>
      <w:pPr>
        <w:ind w:left="100" w:right="299"/>
        <w:spacing w:after="0" w:line="253" w:lineRule="auto"/>
        <w:rPr>
          <w:sz w:val="20"/>
          <w:szCs w:val="20"/>
          <w:color w:val="auto"/>
        </w:rPr>
      </w:pPr>
      <w:r>
        <w:rPr>
          <w:rFonts w:ascii="Arial" w:cs="Arial" w:eastAsia="Arial" w:hAnsi="Arial"/>
          <w:sz w:val="18"/>
          <w:szCs w:val="18"/>
          <w:color w:val="auto"/>
        </w:rPr>
        <w:t>The Board benefits from Mr. Adkins’ global business experience in the technology industry, including emerging technologies and services, international and emerging markets, and supply chain management. In addition, the Board believes he provides additional experience in the areas of corporate governance, strategy development and senior leadership.</w:t>
      </w:r>
    </w:p>
    <w:p>
      <w:pPr>
        <w:spacing w:after="0" w:line="200" w:lineRule="exact"/>
        <w:rPr>
          <w:sz w:val="20"/>
          <w:szCs w:val="20"/>
          <w:color w:val="auto"/>
        </w:rPr>
      </w:pPr>
    </w:p>
    <w:p>
      <w:pPr>
        <w:sectPr>
          <w:pgSz w:w="11900" w:h="16838" w:orient="portrait"/>
          <w:cols w:equalWidth="0" w:num="2">
            <w:col w:w="2800" w:space="580"/>
            <w:col w:w="649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260"/>
        <w:spacing w:after="0"/>
        <w:rPr>
          <w:sz w:val="20"/>
          <w:szCs w:val="20"/>
          <w:color w:val="auto"/>
        </w:rPr>
      </w:pPr>
      <w:r>
        <w:rPr>
          <w:sz w:val="1"/>
          <w:szCs w:val="1"/>
          <w:color w:val="auto"/>
        </w:rPr>
        <w:drawing>
          <wp:inline distT="0" distB="0" distL="0" distR="0">
            <wp:extent cx="1482725" cy="29972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82725" cy="299720"/>
                    </a:xfrm>
                    <a:prstGeom prst="rect">
                      <a:avLst/>
                    </a:prstGeom>
                    <a:noFill/>
                    <a:ln>
                      <a:noFill/>
                    </a:ln>
                  </pic:spPr>
                </pic:pic>
              </a:graphicData>
            </a:graphic>
          </wp:inline>
        </w:drawing>
      </w:r>
      <w:r>
        <w:rPr>
          <w:rFonts w:ascii="Arial" w:cs="Arial" w:eastAsia="Arial" w:hAnsi="Arial"/>
          <w:sz w:val="7"/>
          <w:szCs w:val="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3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68</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42" w:lineRule="exact"/>
        <w:rPr>
          <w:sz w:val="20"/>
          <w:szCs w:val="20"/>
          <w:color w:val="auto"/>
        </w:rPr>
      </w:pPr>
    </w:p>
    <w:p>
      <w:pPr>
        <w:ind w:left="1340" w:hanging="269"/>
        <w:spacing w:after="0"/>
        <w:tabs>
          <w:tab w:leader="none" w:pos="1340" w:val="left"/>
        </w:tabs>
        <w:numPr>
          <w:ilvl w:val="0"/>
          <w:numId w:val="13"/>
        </w:numPr>
        <w:rPr>
          <w:rFonts w:ascii="Arial" w:cs="Arial" w:eastAsia="Arial" w:hAnsi="Arial"/>
          <w:sz w:val="14"/>
          <w:szCs w:val="14"/>
          <w:color w:val="56C271"/>
        </w:rPr>
      </w:pPr>
      <w:r>
        <w:rPr>
          <w:rFonts w:ascii="Arial" w:cs="Arial" w:eastAsia="Arial" w:hAnsi="Arial"/>
          <w:sz w:val="14"/>
          <w:szCs w:val="14"/>
          <w:color w:val="auto"/>
        </w:rPr>
        <w:t>Audit (Chair)</w:t>
      </w:r>
    </w:p>
    <w:p>
      <w:pPr>
        <w:spacing w:after="0" w:line="28" w:lineRule="exact"/>
        <w:rPr>
          <w:rFonts w:ascii="Arial" w:cs="Arial" w:eastAsia="Arial" w:hAnsi="Arial"/>
          <w:sz w:val="14"/>
          <w:szCs w:val="14"/>
          <w:color w:val="56C271"/>
        </w:rPr>
      </w:pPr>
    </w:p>
    <w:p>
      <w:pPr>
        <w:ind w:left="1340" w:hanging="269"/>
        <w:spacing w:after="0"/>
        <w:tabs>
          <w:tab w:leader="none" w:pos="1340" w:val="left"/>
        </w:tabs>
        <w:numPr>
          <w:ilvl w:val="0"/>
          <w:numId w:val="13"/>
        </w:numPr>
        <w:rPr>
          <w:rFonts w:ascii="Arial" w:cs="Arial" w:eastAsia="Arial" w:hAnsi="Arial"/>
          <w:sz w:val="14"/>
          <w:szCs w:val="14"/>
          <w:color w:val="56C271"/>
        </w:rPr>
      </w:pPr>
      <w:r>
        <w:rPr>
          <w:rFonts w:ascii="Arial" w:cs="Arial" w:eastAsia="Arial" w:hAnsi="Arial"/>
          <w:sz w:val="14"/>
          <w:szCs w:val="14"/>
          <w:color w:val="auto"/>
        </w:rPr>
        <w:t>Finance</w:t>
      </w:r>
    </w:p>
    <w:p>
      <w:pPr>
        <w:spacing w:after="0" w:line="28" w:lineRule="exact"/>
        <w:rPr>
          <w:rFonts w:ascii="Arial" w:cs="Arial" w:eastAsia="Arial" w:hAnsi="Arial"/>
          <w:sz w:val="14"/>
          <w:szCs w:val="14"/>
          <w:color w:val="56C271"/>
        </w:rPr>
      </w:pPr>
    </w:p>
    <w:p>
      <w:pPr>
        <w:ind w:left="1340" w:hanging="269"/>
        <w:spacing w:after="0"/>
        <w:tabs>
          <w:tab w:leader="none" w:pos="1340" w:val="left"/>
        </w:tabs>
        <w:numPr>
          <w:ilvl w:val="0"/>
          <w:numId w:val="13"/>
        </w:numPr>
        <w:rPr>
          <w:rFonts w:ascii="Arial" w:cs="Arial" w:eastAsia="Arial" w:hAnsi="Arial"/>
          <w:sz w:val="14"/>
          <w:szCs w:val="14"/>
          <w:color w:val="56C271"/>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4403725</wp:posOffset>
            </wp:positionV>
            <wp:extent cx="1482725"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right"/>
        <w:ind w:right="139"/>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374650</wp:posOffset>
            </wp:positionV>
            <wp:extent cx="5554980" cy="3951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54980" cy="395160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22"/>
          <w:szCs w:val="22"/>
          <w:b w:val="1"/>
          <w:bCs w:val="1"/>
          <w:color w:val="FEFEFE"/>
        </w:rPr>
        <w:t>CARLO BOZOTTI</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Recent Business Experience:</w:t>
      </w:r>
    </w:p>
    <w:p>
      <w:pPr>
        <w:spacing w:after="0" w:line="139" w:lineRule="exact"/>
        <w:rPr>
          <w:sz w:val="20"/>
          <w:szCs w:val="20"/>
          <w:color w:val="auto"/>
        </w:rPr>
      </w:pPr>
    </w:p>
    <w:p>
      <w:pPr>
        <w:ind w:left="100" w:right="279"/>
        <w:spacing w:after="0" w:line="251" w:lineRule="auto"/>
        <w:rPr>
          <w:sz w:val="20"/>
          <w:szCs w:val="20"/>
          <w:color w:val="auto"/>
        </w:rPr>
      </w:pPr>
      <w:r>
        <w:rPr>
          <w:rFonts w:ascii="Arial" w:cs="Arial" w:eastAsia="Arial" w:hAnsi="Arial"/>
          <w:sz w:val="18"/>
          <w:szCs w:val="18"/>
          <w:color w:val="auto"/>
        </w:rPr>
        <w:t>Mr. Bozotti has been an Industrial Partner of FSI since June 2018. FSI is an independent private equity firm based in Milan, Italy that is currently managing the fund FSI I, one of the largest European country-focused private equity funds. He served as the President and Chief Executive Officer and Sole Member of the Management Board of STMicroelectronics NV (ENXTPA: STM), a global semiconductor company, from 2005 until his retirement in May 2018. Prior to that, he had served in various roles with STMicroelectronics since 1977, including senior executive officer and global general management roles. From 2008 to 2010, Mr. Bozotti also served as Chairman of Numonyx, a memory products joint venture between Intel and STMicroelectronics. He had been a member of the European Round Table of Industrialists, an advocacy group in the European Union consisting of approximately 50 European industrial leaders, from 2005 to 2018. Currently, he serves as a member of the Supervisory Board of BE Semiconductor Industries NV, known as Besi (AMS: BESI), a leading supplier of assembly equipment for global semiconductor and electronics industries.</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Primary Qualifications and Experience:</w:t>
      </w:r>
    </w:p>
    <w:p>
      <w:pPr>
        <w:spacing w:after="0" w:line="99" w:lineRule="exact"/>
        <w:rPr>
          <w:sz w:val="20"/>
          <w:szCs w:val="20"/>
          <w:color w:val="auto"/>
        </w:rPr>
      </w:pPr>
    </w:p>
    <w:p>
      <w:pPr>
        <w:ind w:left="100"/>
        <w:spacing w:after="0"/>
        <w:tabs>
          <w:tab w:leader="none" w:pos="400" w:val="left"/>
          <w:tab w:leader="none" w:pos="3260" w:val="left"/>
          <w:tab w:leader="none" w:pos="3580" w:val="left"/>
        </w:tabs>
        <w:rPr>
          <w:sz w:val="20"/>
          <w:szCs w:val="20"/>
          <w:color w:val="auto"/>
        </w:rPr>
      </w:pPr>
      <w:r>
        <w:rPr>
          <w:rFonts w:ascii="Arial" w:cs="Arial" w:eastAsia="Arial" w:hAnsi="Arial"/>
          <w:sz w:val="18"/>
          <w:szCs w:val="18"/>
          <w:color w:val="56C271"/>
        </w:rPr>
        <w:t>•</w:t>
      </w:r>
      <w:r>
        <w:rPr>
          <w:rFonts w:ascii="Arial" w:cs="Arial" w:eastAsia="Arial" w:hAnsi="Arial"/>
          <w:sz w:val="18"/>
          <w:szCs w:val="18"/>
          <w:color w:val="auto"/>
        </w:rPr>
        <w:tab/>
        <w:t>Industry</w:t>
      </w:r>
      <w:r>
        <w:rPr>
          <w:sz w:val="20"/>
          <w:szCs w:val="20"/>
          <w:color w:val="auto"/>
        </w:rPr>
        <w:tab/>
      </w:r>
      <w:r>
        <w:rPr>
          <w:rFonts w:ascii="Arial" w:cs="Arial" w:eastAsia="Arial" w:hAnsi="Arial"/>
          <w:sz w:val="18"/>
          <w:szCs w:val="18"/>
          <w:color w:val="56C271"/>
        </w:rPr>
        <w:t>•</w:t>
      </w:r>
      <w:r>
        <w:rPr>
          <w:sz w:val="20"/>
          <w:szCs w:val="20"/>
          <w:color w:val="auto"/>
        </w:rPr>
        <w:tab/>
      </w:r>
      <w:r>
        <w:rPr>
          <w:rFonts w:ascii="Arial" w:cs="Arial" w:eastAsia="Arial" w:hAnsi="Arial"/>
          <w:sz w:val="17"/>
          <w:szCs w:val="17"/>
          <w:color w:val="auto"/>
        </w:rPr>
        <w:t>Finance</w:t>
      </w:r>
    </w:p>
    <w:p>
      <w:pPr>
        <w:spacing w:after="0" w:line="158" w:lineRule="exact"/>
        <w:rPr>
          <w:sz w:val="20"/>
          <w:szCs w:val="20"/>
          <w:color w:val="auto"/>
        </w:rPr>
      </w:pPr>
    </w:p>
    <w:p>
      <w:pPr>
        <w:ind w:left="100" w:right="359"/>
        <w:spacing w:after="0" w:line="254" w:lineRule="auto"/>
        <w:rPr>
          <w:sz w:val="20"/>
          <w:szCs w:val="20"/>
          <w:color w:val="auto"/>
        </w:rPr>
      </w:pPr>
      <w:r>
        <w:rPr>
          <w:rFonts w:ascii="Arial" w:cs="Arial" w:eastAsia="Arial" w:hAnsi="Arial"/>
          <w:sz w:val="18"/>
          <w:szCs w:val="18"/>
          <w:color w:val="auto"/>
        </w:rPr>
        <w:t>The Board benefits from Mr. Bozotti’s extensive experience in the semiconductor industry as well as his strong experience in technology and innovation, finance, global business, corporate leadership and management, sales and marketing, and risk oversight.</w:t>
      </w:r>
    </w:p>
    <w:p>
      <w:pPr>
        <w:spacing w:after="0" w:line="200" w:lineRule="exact"/>
        <w:rPr>
          <w:sz w:val="20"/>
          <w:szCs w:val="20"/>
          <w:color w:val="auto"/>
        </w:rPr>
      </w:pPr>
    </w:p>
    <w:p>
      <w:pPr>
        <w:sectPr>
          <w:pgSz w:w="11900" w:h="16838" w:orient="portrait"/>
          <w:cols w:equalWidth="0" w:num="2">
            <w:col w:w="2660" w:space="720"/>
            <w:col w:w="649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282575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3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91" w:lineRule="exact"/>
        <w:rPr>
          <w:sz w:val="20"/>
          <w:szCs w:val="20"/>
          <w:color w:val="auto"/>
        </w:rPr>
      </w:pPr>
    </w:p>
    <w:p>
      <w:pPr>
        <w:ind w:left="1340" w:hanging="269"/>
        <w:spacing w:after="0"/>
        <w:tabs>
          <w:tab w:leader="none" w:pos="1340" w:val="left"/>
        </w:tabs>
        <w:numPr>
          <w:ilvl w:val="0"/>
          <w:numId w:val="14"/>
        </w:numPr>
        <w:rPr>
          <w:rFonts w:ascii="Arial" w:cs="Arial" w:eastAsia="Arial" w:hAnsi="Arial"/>
          <w:sz w:val="18"/>
          <w:szCs w:val="18"/>
          <w:color w:val="56C271"/>
        </w:rPr>
      </w:pPr>
      <w:r>
        <w:rPr>
          <w:rFonts w:ascii="Arial" w:cs="Arial" w:eastAsia="Arial" w:hAnsi="Arial"/>
          <w:sz w:val="14"/>
          <w:szCs w:val="14"/>
          <w:color w:val="auto"/>
        </w:rPr>
        <w:t>Audit</w:t>
      </w:r>
    </w:p>
    <w:p>
      <w:pPr>
        <w:spacing w:after="0" w:line="25" w:lineRule="exact"/>
        <w:rPr>
          <w:rFonts w:ascii="Arial" w:cs="Arial" w:eastAsia="Arial" w:hAnsi="Arial"/>
          <w:sz w:val="18"/>
          <w:szCs w:val="18"/>
          <w:color w:val="56C271"/>
        </w:rPr>
      </w:pPr>
    </w:p>
    <w:p>
      <w:pPr>
        <w:ind w:left="1340" w:hanging="269"/>
        <w:spacing w:after="0" w:line="220" w:lineRule="auto"/>
        <w:tabs>
          <w:tab w:leader="none" w:pos="1340" w:val="left"/>
        </w:tabs>
        <w:numPr>
          <w:ilvl w:val="0"/>
          <w:numId w:val="14"/>
        </w:numPr>
        <w:rPr>
          <w:rFonts w:ascii="Arial" w:cs="Arial" w:eastAsia="Arial" w:hAnsi="Arial"/>
          <w:sz w:val="18"/>
          <w:szCs w:val="18"/>
          <w:color w:val="56C271"/>
        </w:rPr>
      </w:pPr>
      <w:r>
        <w:rPr>
          <w:rFonts w:ascii="Arial" w:cs="Arial" w:eastAsia="Arial" w:hAnsi="Arial"/>
          <w:sz w:val="14"/>
          <w:szCs w:val="14"/>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right"/>
        <w:ind w:right="139"/>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374650</wp:posOffset>
            </wp:positionV>
            <wp:extent cx="5554980" cy="4894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54980" cy="489458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22"/>
          <w:szCs w:val="22"/>
          <w:b w:val="1"/>
          <w:bCs w:val="1"/>
          <w:color w:val="FEFEFE"/>
        </w:rPr>
        <w:t>BRENDA L. FREEMAN</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Recent Business Experience:</w:t>
      </w:r>
    </w:p>
    <w:p>
      <w:pPr>
        <w:spacing w:after="0" w:line="139" w:lineRule="exact"/>
        <w:rPr>
          <w:sz w:val="20"/>
          <w:szCs w:val="20"/>
          <w:color w:val="auto"/>
        </w:rPr>
      </w:pPr>
    </w:p>
    <w:p>
      <w:pPr>
        <w:ind w:left="100" w:right="259"/>
        <w:spacing w:after="0" w:line="250" w:lineRule="auto"/>
        <w:rPr>
          <w:sz w:val="20"/>
          <w:szCs w:val="20"/>
          <w:color w:val="auto"/>
        </w:rPr>
      </w:pPr>
      <w:r>
        <w:rPr>
          <w:rFonts w:ascii="Arial" w:cs="Arial" w:eastAsia="Arial" w:hAnsi="Arial"/>
          <w:sz w:val="18"/>
          <w:szCs w:val="18"/>
          <w:color w:val="auto"/>
        </w:rPr>
        <w:t>Ms. Freeman has been a Venture Partner of Debut Capital since May 2021. She is also the founder of an advisory company, Joyeux Advisory Group, which was founded in 2018. Ms. Freeman formerly served as the Chief Executive Officer and a Director of Arteza, a direct-to-consumer arts and crafts supplies company, from February 2020 to April 2021. Previously she served as Chief Marketing Officer of Magic Leap, Inc., a private company focused on virtual retinal displays, from 2016 to 2019. Prior to that, she served as Chief Marketing Officer at the National Geographic Channel from 2015 to 2016; Vice President, Television Marketing at DreamWorks Animation SKG Inc. from 2014 to 2015; Chief Marketing Officer, Turner Animation, Young Adults and Kids Media at Turner Broadcasting Systems, Inc. from 2008 to 2014; and Senior Vice President, Integrated Marketing and Partnerships, Nickelodeon at MTV Networks Company from 2005 to 2008. She has also served in other leadership roles for MTV Networks Company, VH1, ABC Radio Networks, and PepsiCo, Inc. (Nasdaq: PEP). Ms. Freeman has served on the board of directors at WM Technology, Inc. (Nasdaq: MAPS) since June 2021, Blue Apron Holdings, Inc. (NYSE: APRN) since</w:t>
      </w:r>
    </w:p>
    <w:p>
      <w:pPr>
        <w:spacing w:after="0" w:line="7" w:lineRule="exact"/>
        <w:rPr>
          <w:sz w:val="20"/>
          <w:szCs w:val="20"/>
          <w:color w:val="auto"/>
        </w:rPr>
      </w:pPr>
    </w:p>
    <w:p>
      <w:pPr>
        <w:ind w:left="100" w:right="379"/>
        <w:spacing w:after="0" w:line="254" w:lineRule="auto"/>
        <w:rPr>
          <w:sz w:val="20"/>
          <w:szCs w:val="20"/>
          <w:color w:val="auto"/>
        </w:rPr>
      </w:pPr>
      <w:r>
        <w:rPr>
          <w:rFonts w:ascii="Arial" w:cs="Arial" w:eastAsia="Arial" w:hAnsi="Arial"/>
          <w:sz w:val="18"/>
          <w:szCs w:val="18"/>
          <w:color w:val="auto"/>
        </w:rPr>
        <w:t>October 2020 and Caleres, Inc. (NYSE: CAL) since April 2017. Previously, she had served on the board of directors of Herman Miller, Inc. (Nasdaq: MLHR) from 2016 to 2019 and Under Armour, Inc. (NYSE: UA) from 2012 to 2013.</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Primary Qualifications and Experience:</w:t>
      </w:r>
    </w:p>
    <w:p>
      <w:pPr>
        <w:spacing w:after="0" w:line="153" w:lineRule="exact"/>
        <w:rPr>
          <w:sz w:val="20"/>
          <w:szCs w:val="20"/>
          <w:color w:val="auto"/>
        </w:rPr>
      </w:pPr>
    </w:p>
    <w:p>
      <w:pPr>
        <w:ind w:left="100"/>
        <w:spacing w:after="0"/>
        <w:tabs>
          <w:tab w:leader="none" w:pos="400" w:val="left"/>
          <w:tab w:leader="none" w:pos="3260" w:val="left"/>
          <w:tab w:leader="none" w:pos="3580" w:val="left"/>
        </w:tabs>
        <w:rPr>
          <w:sz w:val="20"/>
          <w:szCs w:val="20"/>
          <w:color w:val="auto"/>
        </w:rPr>
      </w:pPr>
      <w:r>
        <w:rPr>
          <w:rFonts w:ascii="Arial" w:cs="Arial" w:eastAsia="Arial" w:hAnsi="Arial"/>
          <w:sz w:val="18"/>
          <w:szCs w:val="18"/>
          <w:color w:val="56C271"/>
        </w:rPr>
        <w:t>•</w:t>
      </w:r>
      <w:r>
        <w:rPr>
          <w:rFonts w:ascii="Arial" w:cs="Arial" w:eastAsia="Arial" w:hAnsi="Arial"/>
          <w:sz w:val="18"/>
          <w:szCs w:val="18"/>
          <w:color w:val="auto"/>
        </w:rPr>
        <w:tab/>
        <w:t>CEO</w:t>
      </w:r>
      <w:r>
        <w:rPr>
          <w:sz w:val="20"/>
          <w:szCs w:val="20"/>
          <w:color w:val="auto"/>
        </w:rPr>
        <w:tab/>
      </w:r>
      <w:r>
        <w:rPr>
          <w:rFonts w:ascii="Arial" w:cs="Arial" w:eastAsia="Arial" w:hAnsi="Arial"/>
          <w:sz w:val="18"/>
          <w:szCs w:val="18"/>
          <w:color w:val="56C271"/>
        </w:rPr>
        <w:t>•</w:t>
      </w:r>
      <w:r>
        <w:rPr>
          <w:sz w:val="20"/>
          <w:szCs w:val="20"/>
          <w:color w:val="auto"/>
        </w:rPr>
        <w:tab/>
      </w:r>
      <w:r>
        <w:rPr>
          <w:rFonts w:ascii="Arial" w:cs="Arial" w:eastAsia="Arial" w:hAnsi="Arial"/>
          <w:sz w:val="17"/>
          <w:szCs w:val="17"/>
          <w:color w:val="auto"/>
        </w:rPr>
        <w:t>Finance</w:t>
      </w:r>
    </w:p>
    <w:p>
      <w:pPr>
        <w:spacing w:after="0" w:line="77" w:lineRule="exact"/>
        <w:rPr>
          <w:sz w:val="20"/>
          <w:szCs w:val="20"/>
          <w:color w:val="auto"/>
        </w:rPr>
      </w:pPr>
    </w:p>
    <w:p>
      <w:pPr>
        <w:ind w:left="100"/>
        <w:spacing w:after="0"/>
        <w:tabs>
          <w:tab w:leader="none" w:pos="400" w:val="left"/>
          <w:tab w:leader="none" w:pos="3260" w:val="left"/>
          <w:tab w:leader="none" w:pos="3580" w:val="left"/>
        </w:tabs>
        <w:rPr>
          <w:sz w:val="20"/>
          <w:szCs w:val="20"/>
          <w:color w:val="auto"/>
        </w:rPr>
      </w:pPr>
      <w:r>
        <w:rPr>
          <w:rFonts w:ascii="Arial" w:cs="Arial" w:eastAsia="Arial" w:hAnsi="Arial"/>
          <w:sz w:val="18"/>
          <w:szCs w:val="18"/>
          <w:color w:val="56C271"/>
        </w:rPr>
        <w:t>•</w:t>
      </w:r>
      <w:r>
        <w:rPr>
          <w:rFonts w:ascii="Arial" w:cs="Arial" w:eastAsia="Arial" w:hAnsi="Arial"/>
          <w:sz w:val="18"/>
          <w:szCs w:val="18"/>
          <w:color w:val="auto"/>
        </w:rPr>
        <w:tab/>
        <w:t>Technology/ Digital Media</w:t>
      </w:r>
      <w:r>
        <w:rPr>
          <w:sz w:val="20"/>
          <w:szCs w:val="20"/>
          <w:color w:val="auto"/>
        </w:rPr>
        <w:tab/>
      </w:r>
      <w:r>
        <w:rPr>
          <w:rFonts w:ascii="Arial" w:cs="Arial" w:eastAsia="Arial" w:hAnsi="Arial"/>
          <w:sz w:val="18"/>
          <w:szCs w:val="18"/>
          <w:color w:val="56C271"/>
        </w:rPr>
        <w:t>•</w:t>
      </w:r>
      <w:r>
        <w:rPr>
          <w:rFonts w:ascii="Arial" w:cs="Arial" w:eastAsia="Arial" w:hAnsi="Arial"/>
          <w:sz w:val="18"/>
          <w:szCs w:val="18"/>
          <w:color w:val="auto"/>
        </w:rPr>
        <w:tab/>
        <w:t>Marketing</w:t>
      </w:r>
    </w:p>
    <w:p>
      <w:pPr>
        <w:spacing w:after="0" w:line="77" w:lineRule="exact"/>
        <w:rPr>
          <w:sz w:val="20"/>
          <w:szCs w:val="20"/>
          <w:color w:val="auto"/>
        </w:rPr>
      </w:pPr>
    </w:p>
    <w:p>
      <w:pPr>
        <w:ind w:left="420" w:hanging="326"/>
        <w:spacing w:after="0"/>
        <w:tabs>
          <w:tab w:leader="none" w:pos="420" w:val="left"/>
        </w:tabs>
        <w:numPr>
          <w:ilvl w:val="0"/>
          <w:numId w:val="15"/>
        </w:numPr>
        <w:rPr>
          <w:rFonts w:ascii="Arial" w:cs="Arial" w:eastAsia="Arial" w:hAnsi="Arial"/>
          <w:sz w:val="18"/>
          <w:szCs w:val="18"/>
          <w:color w:val="56C271"/>
        </w:rPr>
      </w:pPr>
      <w:r>
        <w:rPr>
          <w:rFonts w:ascii="Arial" w:cs="Arial" w:eastAsia="Arial" w:hAnsi="Arial"/>
          <w:sz w:val="18"/>
          <w:szCs w:val="18"/>
          <w:color w:val="auto"/>
        </w:rPr>
        <w:t>Operations</w:t>
      </w:r>
    </w:p>
    <w:p>
      <w:pPr>
        <w:spacing w:after="0" w:line="158" w:lineRule="exact"/>
        <w:rPr>
          <w:sz w:val="20"/>
          <w:szCs w:val="20"/>
          <w:color w:val="auto"/>
        </w:rPr>
      </w:pPr>
    </w:p>
    <w:p>
      <w:pPr>
        <w:ind w:left="100" w:right="319"/>
        <w:spacing w:after="0" w:line="256" w:lineRule="auto"/>
        <w:rPr>
          <w:sz w:val="20"/>
          <w:szCs w:val="20"/>
          <w:color w:val="auto"/>
        </w:rPr>
      </w:pPr>
      <w:r>
        <w:rPr>
          <w:rFonts w:ascii="Arial" w:cs="Arial" w:eastAsia="Arial" w:hAnsi="Arial"/>
          <w:sz w:val="18"/>
          <w:szCs w:val="18"/>
          <w:color w:val="auto"/>
        </w:rPr>
        <w:t>The Board benefits from Ms. Freeman’s experience in corporate leadership, serving on other boards and her strong background in marketing, technology, digital commerce and digital transformation.</w:t>
      </w:r>
    </w:p>
    <w:p>
      <w:pPr>
        <w:spacing w:after="0" w:line="200" w:lineRule="exact"/>
        <w:rPr>
          <w:sz w:val="20"/>
          <w:szCs w:val="20"/>
          <w:color w:val="auto"/>
        </w:rPr>
      </w:pPr>
    </w:p>
    <w:p>
      <w:pPr>
        <w:sectPr>
          <w:pgSz w:w="11900" w:h="16838" w:orient="portrait"/>
          <w:cols w:equalWidth="0" w:num="2">
            <w:col w:w="2660" w:space="720"/>
            <w:col w:w="649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30035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1: Election of Directors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306070</wp:posOffset>
            </wp:positionV>
            <wp:extent cx="5554980" cy="3669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54980" cy="366903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2020</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Not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22"/>
          <w:szCs w:val="22"/>
          <w:b w:val="1"/>
          <w:bCs w:val="1"/>
          <w:color w:val="FEFEFE"/>
        </w:rPr>
        <w:t>PHILIP R. GALLAGHER</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Recent Business Experience:</w:t>
      </w:r>
    </w:p>
    <w:p>
      <w:pPr>
        <w:spacing w:after="0" w:line="139" w:lineRule="exact"/>
        <w:rPr>
          <w:sz w:val="20"/>
          <w:szCs w:val="20"/>
          <w:color w:val="auto"/>
        </w:rPr>
      </w:pPr>
    </w:p>
    <w:p>
      <w:pPr>
        <w:ind w:left="100" w:right="299"/>
        <w:spacing w:after="0" w:line="235" w:lineRule="auto"/>
        <w:rPr>
          <w:sz w:val="20"/>
          <w:szCs w:val="20"/>
          <w:color w:val="auto"/>
        </w:rPr>
      </w:pPr>
      <w:r>
        <w:rPr>
          <w:rFonts w:ascii="Arial" w:cs="Arial" w:eastAsia="Arial" w:hAnsi="Arial"/>
          <w:sz w:val="18"/>
          <w:szCs w:val="18"/>
          <w:color w:val="auto"/>
        </w:rPr>
        <w:t>Mr. Gallagher has served as the Company’s Chief Executive Officer and a Director since November 2020, and as the President, Electronic Components since August 2018. He previously had served as the Interim Chief Executive Officer from July 2020 until November 2020 and as the Global President, Core Distribution Business from May 2017 to August 2018. He began his career with the Company in 1982 and held executive leadership positions in sales, marketing and operations during his 38 years at the Company, with his last role as Global President of Technology Solutions from 2009 to 2014. He left the Company in 2014, and served as President, Americas Sales and Marketing at TTI, a leading authorized distributor of interconnect, passive, electromechanical and discrete components, from 2016 to 2017. He rejoined the Company in May 2017. Mr. Gallagher currently serves on the advisory council for Women in Electronics and is also a member of Greater Phoenix Leadership (GPL), an organization of leading CEOs focused on creating action on priority issues.</w:t>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Primary Qualifications and Experience:</w:t>
      </w:r>
    </w:p>
    <w:p>
      <w:pPr>
        <w:spacing w:after="0" w:line="99" w:lineRule="exact"/>
        <w:rPr>
          <w:sz w:val="20"/>
          <w:szCs w:val="20"/>
          <w:color w:val="auto"/>
        </w:rPr>
      </w:pPr>
    </w:p>
    <w:p>
      <w:pPr>
        <w:ind w:left="100"/>
        <w:spacing w:after="0"/>
        <w:tabs>
          <w:tab w:leader="none" w:pos="400" w:val="left"/>
          <w:tab w:leader="none" w:pos="3260" w:val="left"/>
          <w:tab w:leader="none" w:pos="3580" w:val="left"/>
        </w:tabs>
        <w:rPr>
          <w:sz w:val="20"/>
          <w:szCs w:val="20"/>
          <w:color w:val="auto"/>
        </w:rPr>
      </w:pPr>
      <w:r>
        <w:rPr>
          <w:rFonts w:ascii="Arial" w:cs="Arial" w:eastAsia="Arial" w:hAnsi="Arial"/>
          <w:sz w:val="18"/>
          <w:szCs w:val="18"/>
          <w:color w:val="56C271"/>
        </w:rPr>
        <w:t>•</w:t>
      </w:r>
      <w:r>
        <w:rPr>
          <w:rFonts w:ascii="Arial" w:cs="Arial" w:eastAsia="Arial" w:hAnsi="Arial"/>
          <w:sz w:val="18"/>
          <w:szCs w:val="18"/>
          <w:color w:val="auto"/>
        </w:rPr>
        <w:tab/>
        <w:t>Industry</w:t>
      </w:r>
      <w:r>
        <w:rPr>
          <w:sz w:val="20"/>
          <w:szCs w:val="20"/>
          <w:color w:val="auto"/>
        </w:rPr>
        <w:tab/>
      </w:r>
      <w:r>
        <w:rPr>
          <w:rFonts w:ascii="Arial" w:cs="Arial" w:eastAsia="Arial" w:hAnsi="Arial"/>
          <w:sz w:val="18"/>
          <w:szCs w:val="18"/>
          <w:color w:val="56C271"/>
        </w:rPr>
        <w:t>•</w:t>
      </w:r>
      <w:r>
        <w:rPr>
          <w:sz w:val="20"/>
          <w:szCs w:val="20"/>
          <w:color w:val="auto"/>
        </w:rPr>
        <w:tab/>
      </w:r>
      <w:r>
        <w:rPr>
          <w:rFonts w:ascii="Arial" w:cs="Arial" w:eastAsia="Arial" w:hAnsi="Arial"/>
          <w:sz w:val="17"/>
          <w:szCs w:val="17"/>
          <w:color w:val="auto"/>
        </w:rPr>
        <w:t>International Business</w:t>
      </w:r>
    </w:p>
    <w:p>
      <w:pPr>
        <w:spacing w:after="0" w:line="77" w:lineRule="exact"/>
        <w:rPr>
          <w:sz w:val="20"/>
          <w:szCs w:val="20"/>
          <w:color w:val="auto"/>
        </w:rPr>
      </w:pPr>
    </w:p>
    <w:p>
      <w:pPr>
        <w:ind w:left="420" w:hanging="326"/>
        <w:spacing w:after="0"/>
        <w:tabs>
          <w:tab w:leader="none" w:pos="420" w:val="left"/>
        </w:tabs>
        <w:numPr>
          <w:ilvl w:val="0"/>
          <w:numId w:val="16"/>
        </w:numPr>
        <w:rPr>
          <w:rFonts w:ascii="Arial" w:cs="Arial" w:eastAsia="Arial" w:hAnsi="Arial"/>
          <w:sz w:val="18"/>
          <w:szCs w:val="18"/>
          <w:color w:val="56C271"/>
        </w:rPr>
      </w:pPr>
      <w:r>
        <w:rPr>
          <w:rFonts w:ascii="Arial" w:cs="Arial" w:eastAsia="Arial" w:hAnsi="Arial"/>
          <w:sz w:val="18"/>
          <w:szCs w:val="18"/>
          <w:color w:val="auto"/>
        </w:rPr>
        <w:t>Technology/Digital Media</w:t>
      </w:r>
    </w:p>
    <w:p>
      <w:pPr>
        <w:spacing w:after="0" w:line="104" w:lineRule="exact"/>
        <w:rPr>
          <w:sz w:val="20"/>
          <w:szCs w:val="20"/>
          <w:color w:val="auto"/>
        </w:rPr>
      </w:pPr>
    </w:p>
    <w:p>
      <w:pPr>
        <w:ind w:left="100" w:right="399"/>
        <w:spacing w:after="0"/>
        <w:rPr>
          <w:sz w:val="20"/>
          <w:szCs w:val="20"/>
          <w:color w:val="auto"/>
        </w:rPr>
      </w:pPr>
      <w:r>
        <w:rPr>
          <w:rFonts w:ascii="Arial" w:cs="Arial" w:eastAsia="Arial" w:hAnsi="Arial"/>
          <w:sz w:val="18"/>
          <w:szCs w:val="18"/>
          <w:color w:val="auto"/>
        </w:rPr>
        <w:t>The Board benefits from Mr. Gallagher’s extensive experience in business operations, corporate leadership and management. The Board also benefits from his broad knowledge of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231775</wp:posOffset>
            </wp:positionV>
            <wp:extent cx="5554980" cy="32829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54980" cy="3282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720"/>
            <w:col w:w="649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p>
      <w:pPr>
        <w:spacing w:after="0" w:line="12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85" w:lineRule="exact"/>
        <w:rPr>
          <w:sz w:val="20"/>
          <w:szCs w:val="20"/>
          <w:color w:val="auto"/>
        </w:rPr>
      </w:pPr>
    </w:p>
    <w:p>
      <w:pPr>
        <w:ind w:left="1340" w:hanging="269"/>
        <w:spacing w:after="0" w:line="183" w:lineRule="auto"/>
        <w:tabs>
          <w:tab w:leader="none" w:pos="1340" w:val="left"/>
        </w:tabs>
        <w:numPr>
          <w:ilvl w:val="0"/>
          <w:numId w:val="17"/>
        </w:numPr>
        <w:rPr>
          <w:rFonts w:ascii="Arial" w:cs="Arial" w:eastAsia="Arial" w:hAnsi="Arial"/>
          <w:sz w:val="28"/>
          <w:szCs w:val="28"/>
          <w:color w:val="56C271"/>
          <w:vertAlign w:val="subscript"/>
        </w:rPr>
      </w:pPr>
      <w:r>
        <w:rPr>
          <w:rFonts w:ascii="Arial" w:cs="Arial" w:eastAsia="Arial" w:hAnsi="Arial"/>
          <w:sz w:val="13"/>
          <w:szCs w:val="13"/>
          <w:color w:val="auto"/>
        </w:rPr>
        <w:t>Compensation and Leadership Development</w:t>
      </w:r>
    </w:p>
    <w:p>
      <w:pPr>
        <w:spacing w:after="0" w:line="78" w:lineRule="exact"/>
        <w:rPr>
          <w:rFonts w:ascii="Arial" w:cs="Arial" w:eastAsia="Arial" w:hAnsi="Arial"/>
          <w:sz w:val="28"/>
          <w:szCs w:val="28"/>
          <w:color w:val="56C271"/>
          <w:vertAlign w:val="subscript"/>
        </w:rPr>
      </w:pPr>
    </w:p>
    <w:p>
      <w:pPr>
        <w:ind w:left="1340" w:hanging="269"/>
        <w:spacing w:after="0"/>
        <w:tabs>
          <w:tab w:leader="none" w:pos="1340" w:val="left"/>
        </w:tabs>
        <w:numPr>
          <w:ilvl w:val="0"/>
          <w:numId w:val="17"/>
        </w:numPr>
        <w:rPr>
          <w:rFonts w:ascii="Arial" w:cs="Arial" w:eastAsia="Arial" w:hAnsi="Arial"/>
          <w:sz w:val="18"/>
          <w:szCs w:val="18"/>
          <w:color w:val="56C271"/>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556260</wp:posOffset>
            </wp:positionV>
            <wp:extent cx="1482725" cy="291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22"/>
          <w:szCs w:val="22"/>
          <w:b w:val="1"/>
          <w:bCs w:val="1"/>
          <w:color w:val="FEFEFE"/>
        </w:rPr>
        <w:t>JO ANN JENKINS</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56C271"/>
        </w:rPr>
        <w:t>Recent Business Experience:</w:t>
      </w:r>
    </w:p>
    <w:p>
      <w:pPr>
        <w:spacing w:after="0" w:line="139" w:lineRule="exact"/>
        <w:rPr>
          <w:sz w:val="20"/>
          <w:szCs w:val="20"/>
          <w:color w:val="auto"/>
        </w:rPr>
      </w:pPr>
    </w:p>
    <w:p>
      <w:pPr>
        <w:ind w:left="80" w:right="259"/>
        <w:spacing w:after="0" w:line="234" w:lineRule="auto"/>
        <w:rPr>
          <w:sz w:val="20"/>
          <w:szCs w:val="20"/>
          <w:color w:val="auto"/>
        </w:rPr>
      </w:pPr>
      <w:r>
        <w:rPr>
          <w:rFonts w:ascii="Arial" w:cs="Arial" w:eastAsia="Arial" w:hAnsi="Arial"/>
          <w:sz w:val="18"/>
          <w:szCs w:val="18"/>
          <w:color w:val="auto"/>
        </w:rPr>
        <w:t>Ms. Jenkins has served as the Chief Executive Officer of AARP, the nation’s largest nonprofit, nonpartisan organization dedicated to empowering people 50 and older to choose how they live and age, since 2014. Previously, she served as the Executive Vice President and Chief Operating Officer of AARP from 2013 to 2014 and President of the AARP Foundation from 2010 to 2013. Prior to that, Ms. Jenkins held various positions at the Library of Congress from 1994 to 2010, including Chief Operating Officer from 2007 to 2010. Ms. Jenkins has served on the board of directors of General Mills, Inc.</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(NYSE: GIS) since January 2020.</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56C271"/>
        </w:rPr>
        <w:t>Primary Qualifications and Experience:</w:t>
      </w:r>
    </w:p>
    <w:p>
      <w:pPr>
        <w:spacing w:after="0" w:line="99" w:lineRule="exact"/>
        <w:rPr>
          <w:sz w:val="20"/>
          <w:szCs w:val="20"/>
          <w:color w:val="auto"/>
        </w:rPr>
      </w:pPr>
    </w:p>
    <w:p>
      <w:pPr>
        <w:ind w:left="80"/>
        <w:spacing w:after="0"/>
        <w:tabs>
          <w:tab w:leader="none" w:pos="400" w:val="left"/>
          <w:tab w:leader="none" w:pos="3240" w:val="left"/>
          <w:tab w:leader="none" w:pos="3560" w:val="left"/>
        </w:tabs>
        <w:rPr>
          <w:sz w:val="20"/>
          <w:szCs w:val="20"/>
          <w:color w:val="auto"/>
        </w:rPr>
      </w:pPr>
      <w:r>
        <w:rPr>
          <w:rFonts w:ascii="Arial" w:cs="Arial" w:eastAsia="Arial" w:hAnsi="Arial"/>
          <w:sz w:val="18"/>
          <w:szCs w:val="18"/>
          <w:color w:val="56C271"/>
        </w:rPr>
        <w:t>•</w:t>
      </w:r>
      <w:r>
        <w:rPr>
          <w:rFonts w:ascii="Arial" w:cs="Arial" w:eastAsia="Arial" w:hAnsi="Arial"/>
          <w:sz w:val="18"/>
          <w:szCs w:val="18"/>
          <w:color w:val="auto"/>
        </w:rPr>
        <w:tab/>
        <w:t>CEO</w:t>
      </w:r>
      <w:r>
        <w:rPr>
          <w:sz w:val="20"/>
          <w:szCs w:val="20"/>
          <w:color w:val="auto"/>
        </w:rPr>
        <w:tab/>
      </w:r>
      <w:r>
        <w:rPr>
          <w:rFonts w:ascii="Arial" w:cs="Arial" w:eastAsia="Arial" w:hAnsi="Arial"/>
          <w:sz w:val="18"/>
          <w:szCs w:val="18"/>
          <w:color w:val="56C271"/>
        </w:rPr>
        <w:t>•</w:t>
      </w:r>
      <w:r>
        <w:rPr>
          <w:sz w:val="20"/>
          <w:szCs w:val="20"/>
          <w:color w:val="auto"/>
        </w:rPr>
        <w:tab/>
      </w:r>
      <w:r>
        <w:rPr>
          <w:rFonts w:ascii="Arial" w:cs="Arial" w:eastAsia="Arial" w:hAnsi="Arial"/>
          <w:sz w:val="17"/>
          <w:szCs w:val="17"/>
          <w:color w:val="auto"/>
        </w:rPr>
        <w:t>Operations</w:t>
      </w:r>
    </w:p>
    <w:p>
      <w:pPr>
        <w:spacing w:after="0" w:line="77" w:lineRule="exact"/>
        <w:rPr>
          <w:sz w:val="20"/>
          <w:szCs w:val="20"/>
          <w:color w:val="auto"/>
        </w:rPr>
      </w:pPr>
    </w:p>
    <w:p>
      <w:pPr>
        <w:ind w:left="420" w:hanging="332"/>
        <w:spacing w:after="0"/>
        <w:tabs>
          <w:tab w:leader="none" w:pos="420" w:val="left"/>
        </w:tabs>
        <w:numPr>
          <w:ilvl w:val="0"/>
          <w:numId w:val="18"/>
        </w:numPr>
        <w:rPr>
          <w:rFonts w:ascii="Arial" w:cs="Arial" w:eastAsia="Arial" w:hAnsi="Arial"/>
          <w:sz w:val="18"/>
          <w:szCs w:val="18"/>
          <w:color w:val="56C271"/>
        </w:rPr>
      </w:pPr>
      <w:r>
        <w:rPr>
          <w:rFonts w:ascii="Arial" w:cs="Arial" w:eastAsia="Arial" w:hAnsi="Arial"/>
          <w:sz w:val="18"/>
          <w:szCs w:val="18"/>
          <w:color w:val="auto"/>
        </w:rPr>
        <w:t>Marketing</w:t>
      </w:r>
    </w:p>
    <w:p>
      <w:pPr>
        <w:spacing w:after="0" w:line="104" w:lineRule="exact"/>
        <w:rPr>
          <w:sz w:val="20"/>
          <w:szCs w:val="20"/>
          <w:color w:val="auto"/>
        </w:rPr>
      </w:pPr>
    </w:p>
    <w:p>
      <w:pPr>
        <w:ind w:left="80" w:right="459"/>
        <w:spacing w:after="0" w:line="237" w:lineRule="auto"/>
        <w:rPr>
          <w:sz w:val="20"/>
          <w:szCs w:val="20"/>
          <w:color w:val="auto"/>
        </w:rPr>
      </w:pPr>
      <w:r>
        <w:rPr>
          <w:rFonts w:ascii="Arial" w:cs="Arial" w:eastAsia="Arial" w:hAnsi="Arial"/>
          <w:sz w:val="18"/>
          <w:szCs w:val="18"/>
          <w:color w:val="auto"/>
        </w:rPr>
        <w:t>The Board benefits from Ms. Jenkins’s deep understanding of strategic management and innovative marketing, which she developed through her CEO and operational roles. She contributes valuable insights regarding corporate leadership and management, government affairs and community relations, and innovation and strategic transformation, including developing and implementing diversity strategies.</w:t>
      </w:r>
    </w:p>
    <w:p>
      <w:pPr>
        <w:spacing w:after="0" w:line="200" w:lineRule="exact"/>
        <w:rPr>
          <w:sz w:val="20"/>
          <w:szCs w:val="20"/>
          <w:color w:val="auto"/>
        </w:rPr>
      </w:pPr>
    </w:p>
    <w:p>
      <w:pPr>
        <w:sectPr>
          <w:pgSz w:w="11900" w:h="16838" w:orient="portrait"/>
          <w:cols w:equalWidth="0" w:num="2">
            <w:col w:w="2940" w:space="460"/>
            <w:col w:w="6479"/>
          </w:cols>
          <w:pgMar w:left="580" w:top="132" w:right="1440"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290830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3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56</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105" w:lineRule="exact"/>
        <w:rPr>
          <w:sz w:val="20"/>
          <w:szCs w:val="20"/>
          <w:color w:val="auto"/>
        </w:rPr>
      </w:pPr>
    </w:p>
    <w:p>
      <w:pPr>
        <w:ind w:left="1340" w:hanging="269"/>
        <w:spacing w:after="0"/>
        <w:tabs>
          <w:tab w:leader="none" w:pos="1340" w:val="left"/>
        </w:tabs>
        <w:numPr>
          <w:ilvl w:val="0"/>
          <w:numId w:val="19"/>
        </w:numPr>
        <w:rPr>
          <w:rFonts w:ascii="Arial" w:cs="Arial" w:eastAsia="Arial" w:hAnsi="Arial"/>
          <w:sz w:val="18"/>
          <w:szCs w:val="18"/>
          <w:color w:val="56C271"/>
        </w:rPr>
      </w:pPr>
      <w:r>
        <w:rPr>
          <w:rFonts w:ascii="Arial" w:cs="Arial" w:eastAsia="Arial" w:hAnsi="Arial"/>
          <w:sz w:val="14"/>
          <w:szCs w:val="14"/>
          <w:color w:val="auto"/>
        </w:rPr>
        <w:t>Audit</w:t>
      </w:r>
    </w:p>
    <w:p>
      <w:pPr>
        <w:spacing w:after="0" w:line="25" w:lineRule="exact"/>
        <w:rPr>
          <w:rFonts w:ascii="Arial" w:cs="Arial" w:eastAsia="Arial" w:hAnsi="Arial"/>
          <w:sz w:val="18"/>
          <w:szCs w:val="18"/>
          <w:color w:val="56C271"/>
        </w:rPr>
      </w:pPr>
    </w:p>
    <w:p>
      <w:pPr>
        <w:ind w:left="1340" w:hanging="269"/>
        <w:spacing w:after="0" w:line="220" w:lineRule="auto"/>
        <w:tabs>
          <w:tab w:leader="none" w:pos="1340" w:val="left"/>
        </w:tabs>
        <w:numPr>
          <w:ilvl w:val="0"/>
          <w:numId w:val="19"/>
        </w:numPr>
        <w:rPr>
          <w:rFonts w:ascii="Arial" w:cs="Arial" w:eastAsia="Arial" w:hAnsi="Arial"/>
          <w:sz w:val="18"/>
          <w:szCs w:val="18"/>
          <w:color w:val="56C271"/>
        </w:rPr>
      </w:pPr>
      <w:r>
        <w:rPr>
          <w:rFonts w:ascii="Arial" w:cs="Arial" w:eastAsia="Arial" w:hAnsi="Arial"/>
          <w:sz w:val="14"/>
          <w:szCs w:val="14"/>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right"/>
        <w:ind w:right="139"/>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374650</wp:posOffset>
            </wp:positionV>
            <wp:extent cx="5554980" cy="4354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54980" cy="435483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22"/>
          <w:szCs w:val="22"/>
          <w:b w:val="1"/>
          <w:bCs w:val="1"/>
          <w:color w:val="FEFEFE"/>
        </w:rPr>
        <w:t>OLEG KHAYKIN</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Recent Business Experience:</w:t>
      </w:r>
    </w:p>
    <w:p>
      <w:pPr>
        <w:spacing w:after="0" w:line="139" w:lineRule="exact"/>
        <w:rPr>
          <w:sz w:val="20"/>
          <w:szCs w:val="20"/>
          <w:color w:val="auto"/>
        </w:rPr>
      </w:pPr>
    </w:p>
    <w:p>
      <w:pPr>
        <w:ind w:left="100" w:right="239"/>
        <w:spacing w:after="0" w:line="267" w:lineRule="auto"/>
        <w:rPr>
          <w:sz w:val="20"/>
          <w:szCs w:val="20"/>
          <w:color w:val="auto"/>
        </w:rPr>
      </w:pPr>
      <w:r>
        <w:rPr>
          <w:rFonts w:ascii="Arial" w:cs="Arial" w:eastAsia="Arial" w:hAnsi="Arial"/>
          <w:sz w:val="17"/>
          <w:szCs w:val="17"/>
          <w:color w:val="auto"/>
        </w:rPr>
        <w:t>Mr. Khaykin has served as the President and Chief Executive Officer and member of the board of directors of Viavi Solutions Inc. (Nasdaq: VIAV), a provider of network and service enablement solutions, since February 2016. From 2015 to 2016, he served as a Senior Advisor at Silver Lake Partners. Prior to that, Mr. Khaykin served as President and Chief Executive Officer and a member of the board of directors of International Rectifier, a maker of power semiconductors, from 2008 until its acquisition by Infineon AG in 2015. From 2003 to 2008, he served as Executive Vice President and Chief Operating Officer of Amkor Technology, Inc. (Nasdaq: AMKR), and from 1999 to 2003 as Vice President of Strategy &amp; Business Development at Conexant Systems, Inc. (Nasdaq: CNXT) and Mindspeed Technologies, Inc. (Nasdaq: MSPD). Mr. Khaykin had previously served on the boards of directors of Marvell Technology Group (Nasdaq: MRVL) from 2016 to July 2020 and Newport Corporation from 2010 until its acquisition by MKS Instruments in 2016.</w:t>
      </w: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3380" w:type="dxa"/>
            <w:vAlign w:val="bottom"/>
            <w:gridSpan w:val="3"/>
          </w:tcPr>
          <w:p>
            <w:pPr>
              <w:spacing w:after="0"/>
              <w:rPr>
                <w:sz w:val="20"/>
                <w:szCs w:val="20"/>
                <w:color w:val="auto"/>
              </w:rPr>
            </w:pPr>
            <w:r>
              <w:rPr>
                <w:rFonts w:ascii="Arial" w:cs="Arial" w:eastAsia="Arial" w:hAnsi="Arial"/>
                <w:sz w:val="18"/>
                <w:szCs w:val="18"/>
                <w:b w:val="1"/>
                <w:bCs w:val="1"/>
                <w:color w:val="56C271"/>
              </w:rPr>
              <w:t>Primary Qualifications and Experience:</w:t>
            </w:r>
          </w:p>
        </w:tc>
        <w:tc>
          <w:tcPr>
            <w:tcW w:w="2160" w:type="dxa"/>
            <w:vAlign w:val="bottom"/>
          </w:tcPr>
          <w:p>
            <w:pPr>
              <w:spacing w:after="0"/>
              <w:rPr>
                <w:sz w:val="20"/>
                <w:szCs w:val="20"/>
                <w:color w:val="auto"/>
              </w:rPr>
            </w:pPr>
          </w:p>
        </w:tc>
      </w:tr>
      <w:tr>
        <w:trPr>
          <w:trHeight w:val="283"/>
        </w:trPr>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440" w:type="dxa"/>
            <w:vAlign w:val="bottom"/>
          </w:tcPr>
          <w:p>
            <w:pPr>
              <w:ind w:left="120"/>
              <w:spacing w:after="0"/>
              <w:rPr>
                <w:sz w:val="20"/>
                <w:szCs w:val="20"/>
                <w:color w:val="auto"/>
              </w:rPr>
            </w:pPr>
            <w:r>
              <w:rPr>
                <w:rFonts w:ascii="Arial" w:cs="Arial" w:eastAsia="Arial" w:hAnsi="Arial"/>
                <w:sz w:val="18"/>
                <w:szCs w:val="18"/>
                <w:color w:val="auto"/>
              </w:rPr>
              <w:t>CEO</w:t>
            </w:r>
          </w:p>
        </w:tc>
        <w:tc>
          <w:tcPr>
            <w:tcW w:w="740" w:type="dxa"/>
            <w:vAlign w:val="bottom"/>
          </w:tcPr>
          <w:p>
            <w:pPr>
              <w:ind w:left="540"/>
              <w:spacing w:after="0"/>
              <w:rPr>
                <w:sz w:val="20"/>
                <w:szCs w:val="20"/>
                <w:color w:val="auto"/>
              </w:rPr>
            </w:pPr>
            <w:r>
              <w:rPr>
                <w:rFonts w:ascii="Arial" w:cs="Arial" w:eastAsia="Arial" w:hAnsi="Arial"/>
                <w:sz w:val="18"/>
                <w:szCs w:val="18"/>
                <w:color w:val="56C271"/>
              </w:rPr>
              <w:t>•</w:t>
            </w:r>
          </w:p>
        </w:tc>
        <w:tc>
          <w:tcPr>
            <w:tcW w:w="2160" w:type="dxa"/>
            <w:vAlign w:val="bottom"/>
          </w:tcPr>
          <w:p>
            <w:pPr>
              <w:ind w:left="120"/>
              <w:spacing w:after="0"/>
              <w:rPr>
                <w:sz w:val="20"/>
                <w:szCs w:val="20"/>
                <w:color w:val="auto"/>
              </w:rPr>
            </w:pPr>
            <w:r>
              <w:rPr>
                <w:rFonts w:ascii="Arial" w:cs="Arial" w:eastAsia="Arial" w:hAnsi="Arial"/>
                <w:sz w:val="18"/>
                <w:szCs w:val="18"/>
                <w:color w:val="auto"/>
                <w:w w:val="97"/>
              </w:rPr>
              <w:t>Technology/ Digital Media</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440" w:type="dxa"/>
            <w:vAlign w:val="bottom"/>
          </w:tcPr>
          <w:p>
            <w:pPr>
              <w:ind w:left="120"/>
              <w:spacing w:after="0"/>
              <w:rPr>
                <w:sz w:val="20"/>
                <w:szCs w:val="20"/>
                <w:color w:val="auto"/>
              </w:rPr>
            </w:pPr>
            <w:r>
              <w:rPr>
                <w:rFonts w:ascii="Arial" w:cs="Arial" w:eastAsia="Arial" w:hAnsi="Arial"/>
                <w:sz w:val="18"/>
                <w:szCs w:val="18"/>
                <w:color w:val="auto"/>
              </w:rPr>
              <w:t>International Business</w:t>
            </w:r>
          </w:p>
        </w:tc>
        <w:tc>
          <w:tcPr>
            <w:tcW w:w="740" w:type="dxa"/>
            <w:vAlign w:val="bottom"/>
          </w:tcPr>
          <w:p>
            <w:pPr>
              <w:ind w:left="540"/>
              <w:spacing w:after="0"/>
              <w:rPr>
                <w:sz w:val="20"/>
                <w:szCs w:val="20"/>
                <w:color w:val="auto"/>
              </w:rPr>
            </w:pPr>
            <w:r>
              <w:rPr>
                <w:rFonts w:ascii="Arial" w:cs="Arial" w:eastAsia="Arial" w:hAnsi="Arial"/>
                <w:sz w:val="18"/>
                <w:szCs w:val="18"/>
                <w:color w:val="56C271"/>
              </w:rPr>
              <w:t>•</w:t>
            </w:r>
          </w:p>
        </w:tc>
        <w:tc>
          <w:tcPr>
            <w:tcW w:w="2160" w:type="dxa"/>
            <w:vAlign w:val="bottom"/>
          </w:tcPr>
          <w:p>
            <w:pPr>
              <w:ind w:left="120"/>
              <w:spacing w:after="0"/>
              <w:rPr>
                <w:sz w:val="20"/>
                <w:szCs w:val="20"/>
                <w:color w:val="auto"/>
              </w:rPr>
            </w:pPr>
            <w:r>
              <w:rPr>
                <w:rFonts w:ascii="Arial" w:cs="Arial" w:eastAsia="Arial" w:hAnsi="Arial"/>
                <w:sz w:val="18"/>
                <w:szCs w:val="18"/>
                <w:color w:val="auto"/>
              </w:rPr>
              <w:t>Risk Management</w:t>
            </w:r>
          </w:p>
        </w:tc>
      </w:tr>
      <w:tr>
        <w:trPr>
          <w:trHeight w:val="283"/>
        </w:trPr>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440" w:type="dxa"/>
            <w:vAlign w:val="bottom"/>
          </w:tcPr>
          <w:p>
            <w:pPr>
              <w:ind w:left="120"/>
              <w:spacing w:after="0"/>
              <w:rPr>
                <w:sz w:val="20"/>
                <w:szCs w:val="20"/>
                <w:color w:val="auto"/>
              </w:rPr>
            </w:pPr>
            <w:r>
              <w:rPr>
                <w:rFonts w:ascii="Arial" w:cs="Arial" w:eastAsia="Arial" w:hAnsi="Arial"/>
                <w:sz w:val="18"/>
                <w:szCs w:val="18"/>
                <w:color w:val="auto"/>
              </w:rPr>
              <w:t>Finance</w:t>
            </w:r>
          </w:p>
        </w:tc>
        <w:tc>
          <w:tcPr>
            <w:tcW w:w="740" w:type="dxa"/>
            <w:vAlign w:val="bottom"/>
          </w:tcPr>
          <w:p>
            <w:pPr>
              <w:ind w:left="540"/>
              <w:spacing w:after="0"/>
              <w:rPr>
                <w:sz w:val="20"/>
                <w:szCs w:val="20"/>
                <w:color w:val="auto"/>
              </w:rPr>
            </w:pPr>
            <w:r>
              <w:rPr>
                <w:rFonts w:ascii="Arial" w:cs="Arial" w:eastAsia="Arial" w:hAnsi="Arial"/>
                <w:sz w:val="18"/>
                <w:szCs w:val="18"/>
                <w:color w:val="56C271"/>
              </w:rPr>
              <w:t>•</w:t>
            </w:r>
          </w:p>
        </w:tc>
        <w:tc>
          <w:tcPr>
            <w:tcW w:w="2160" w:type="dxa"/>
            <w:vAlign w:val="bottom"/>
          </w:tcPr>
          <w:p>
            <w:pPr>
              <w:ind w:left="120"/>
              <w:spacing w:after="0"/>
              <w:rPr>
                <w:sz w:val="20"/>
                <w:szCs w:val="20"/>
                <w:color w:val="auto"/>
              </w:rPr>
            </w:pPr>
            <w:r>
              <w:rPr>
                <w:rFonts w:ascii="Arial" w:cs="Arial" w:eastAsia="Arial" w:hAnsi="Arial"/>
                <w:sz w:val="18"/>
                <w:szCs w:val="18"/>
                <w:color w:val="auto"/>
              </w:rPr>
              <w:t>Marketing</w:t>
            </w:r>
          </w:p>
        </w:tc>
      </w:tr>
      <w:tr>
        <w:trPr>
          <w:trHeight w:val="283"/>
        </w:trPr>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440" w:type="dxa"/>
            <w:vAlign w:val="bottom"/>
          </w:tcPr>
          <w:p>
            <w:pPr>
              <w:ind w:left="120"/>
              <w:spacing w:after="0"/>
              <w:rPr>
                <w:sz w:val="20"/>
                <w:szCs w:val="20"/>
                <w:color w:val="auto"/>
              </w:rPr>
            </w:pPr>
            <w:r>
              <w:rPr>
                <w:rFonts w:ascii="Arial" w:cs="Arial" w:eastAsia="Arial" w:hAnsi="Arial"/>
                <w:sz w:val="18"/>
                <w:szCs w:val="18"/>
                <w:color w:val="auto"/>
              </w:rPr>
              <w:t>Operations</w:t>
            </w:r>
          </w:p>
        </w:tc>
        <w:tc>
          <w:tcPr>
            <w:tcW w:w="740" w:type="dxa"/>
            <w:vAlign w:val="bottom"/>
          </w:tcPr>
          <w:p>
            <w:pPr>
              <w:ind w:left="540"/>
              <w:spacing w:after="0"/>
              <w:rPr>
                <w:sz w:val="20"/>
                <w:szCs w:val="20"/>
                <w:color w:val="auto"/>
              </w:rPr>
            </w:pPr>
            <w:r>
              <w:rPr>
                <w:rFonts w:ascii="Arial" w:cs="Arial" w:eastAsia="Arial" w:hAnsi="Arial"/>
                <w:sz w:val="18"/>
                <w:szCs w:val="18"/>
                <w:color w:val="56C271"/>
              </w:rPr>
              <w:t>•</w:t>
            </w:r>
          </w:p>
        </w:tc>
        <w:tc>
          <w:tcPr>
            <w:tcW w:w="2160" w:type="dxa"/>
            <w:vAlign w:val="bottom"/>
          </w:tcPr>
          <w:p>
            <w:pPr>
              <w:ind w:left="120"/>
              <w:spacing w:after="0"/>
              <w:rPr>
                <w:sz w:val="20"/>
                <w:szCs w:val="20"/>
                <w:color w:val="auto"/>
              </w:rPr>
            </w:pPr>
            <w:r>
              <w:rPr>
                <w:rFonts w:ascii="Arial" w:cs="Arial" w:eastAsia="Arial" w:hAnsi="Arial"/>
                <w:sz w:val="18"/>
                <w:szCs w:val="18"/>
                <w:color w:val="auto"/>
              </w:rPr>
              <w:t>Industry</w:t>
            </w:r>
          </w:p>
        </w:tc>
      </w:tr>
    </w:tbl>
    <w:p>
      <w:pPr>
        <w:spacing w:after="0" w:line="148" w:lineRule="exact"/>
        <w:rPr>
          <w:sz w:val="20"/>
          <w:szCs w:val="20"/>
          <w:color w:val="auto"/>
        </w:rPr>
      </w:pPr>
    </w:p>
    <w:p>
      <w:pPr>
        <w:ind w:left="100" w:right="319"/>
        <w:spacing w:after="0" w:line="253" w:lineRule="auto"/>
        <w:rPr>
          <w:sz w:val="20"/>
          <w:szCs w:val="20"/>
          <w:color w:val="auto"/>
        </w:rPr>
      </w:pPr>
      <w:r>
        <w:rPr>
          <w:rFonts w:ascii="Arial" w:cs="Arial" w:eastAsia="Arial" w:hAnsi="Arial"/>
          <w:sz w:val="18"/>
          <w:szCs w:val="18"/>
          <w:color w:val="auto"/>
        </w:rPr>
        <w:t>The Board benefits from Mr. Khaykin’s significant corporate leadership and management experience and extensive experience in the semiconductor industry. His experience with technology companies, and as both a prior customer and supplier to the Company, brings valuable insights to the Board, including in regards to the Company’s transformation.</w:t>
      </w:r>
    </w:p>
    <w:p>
      <w:pPr>
        <w:spacing w:after="0" w:line="200" w:lineRule="exact"/>
        <w:rPr>
          <w:sz w:val="20"/>
          <w:szCs w:val="20"/>
          <w:color w:val="auto"/>
        </w:rPr>
      </w:pPr>
    </w:p>
    <w:p>
      <w:pPr>
        <w:sectPr>
          <w:pgSz w:w="11900" w:h="16838" w:orient="portrait"/>
          <w:cols w:equalWidth="0" w:num="2">
            <w:col w:w="2660" w:space="720"/>
            <w:col w:w="649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30035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1: Election of Directors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306070</wp:posOffset>
            </wp:positionV>
            <wp:extent cx="5554980" cy="4354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54980" cy="435483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2011</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68</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ind w:left="1300" w:hanging="229"/>
        <w:spacing w:after="0" w:line="185" w:lineRule="auto"/>
        <w:tabs>
          <w:tab w:leader="none" w:pos="1300" w:val="left"/>
        </w:tabs>
        <w:numPr>
          <w:ilvl w:val="0"/>
          <w:numId w:val="20"/>
        </w:numPr>
        <w:rPr>
          <w:rFonts w:ascii="Arial" w:cs="Arial" w:eastAsia="Arial" w:hAnsi="Arial"/>
          <w:sz w:val="32"/>
          <w:szCs w:val="32"/>
          <w:color w:val="56C271"/>
          <w:vertAlign w:val="subscript"/>
        </w:rPr>
      </w:pPr>
      <w:r>
        <w:rPr>
          <w:rFonts w:ascii="Arial" w:cs="Arial" w:eastAsia="Arial" w:hAnsi="Arial"/>
          <w:sz w:val="13"/>
          <w:szCs w:val="13"/>
          <w:color w:val="auto"/>
        </w:rPr>
        <w:t>Compensation and Leadership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Development (Chair)</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4"/>
          <w:szCs w:val="14"/>
          <w:color w:val="56C271"/>
        </w:rPr>
        <w:t>•</w:t>
      </w:r>
    </w:p>
    <w:p>
      <w:pPr>
        <w:ind w:left="1300"/>
        <w:spacing w:after="0" w:line="202" w:lineRule="auto"/>
        <w:rPr>
          <w:sz w:val="20"/>
          <w:szCs w:val="20"/>
          <w:color w:val="auto"/>
        </w:rPr>
      </w:pPr>
      <w:r>
        <w:rPr>
          <w:rFonts w:ascii="Arial" w:cs="Arial" w:eastAsia="Arial" w:hAnsi="Arial"/>
          <w:sz w:val="14"/>
          <w:szCs w:val="14"/>
          <w:color w:val="auto"/>
        </w:rPr>
        <w:t>Finance</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4"/>
          <w:szCs w:val="14"/>
          <w:color w:val="56C271"/>
        </w:rPr>
        <w:t>•</w:t>
      </w:r>
    </w:p>
    <w:p>
      <w:pPr>
        <w:spacing w:after="0" w:line="2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3795395</wp:posOffset>
            </wp:positionV>
            <wp:extent cx="1482725" cy="300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22"/>
          <w:szCs w:val="22"/>
          <w:b w:val="1"/>
          <w:bCs w:val="1"/>
          <w:color w:val="FEFEFE"/>
        </w:rPr>
        <w:t>JAMES A. LAWRENCE</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56C271"/>
        </w:rPr>
        <w:t>Recent Business Experience:</w:t>
      </w:r>
    </w:p>
    <w:p>
      <w:pPr>
        <w:spacing w:after="0" w:line="139" w:lineRule="exact"/>
        <w:rPr>
          <w:sz w:val="20"/>
          <w:szCs w:val="20"/>
          <w:color w:val="auto"/>
        </w:rPr>
      </w:pPr>
    </w:p>
    <w:p>
      <w:pPr>
        <w:ind w:left="80" w:right="299"/>
        <w:spacing w:after="0" w:line="265" w:lineRule="auto"/>
        <w:rPr>
          <w:sz w:val="20"/>
          <w:szCs w:val="20"/>
          <w:color w:val="auto"/>
        </w:rPr>
      </w:pPr>
      <w:r>
        <w:rPr>
          <w:rFonts w:ascii="Arial" w:cs="Arial" w:eastAsia="Arial" w:hAnsi="Arial"/>
          <w:sz w:val="17"/>
          <w:szCs w:val="17"/>
          <w:color w:val="auto"/>
        </w:rPr>
        <w:t>Mr. Lawrence serves as the Chairman of Lake Harriet Capital, LLC. He previously served as Chairman of Great North Star LLC from 2015 to 2017, Chairman of Rothschild North America from 2012 to 2015, and Chief Executive Officer of Rothschild North America and as co-head of global investment banking from 2010 to 2012. Prior to that, he served as Chief Financial Officer of Unilever PLC (LON: ULVR) from 2007 to 2009, Vice Chairman and Chief Financial Officer of General Mills, Inc. (NYSE: GIS) from 1998 to 2007, Executive Vice President and Chief Financial Officer of Northwest Airlines (Nasdaq: NWAC) from 1996 to 1998, and Chief Executive Officer of Pepsi-Cola Asia Middle East Africa Group from 1992 to 1996.</w:t>
      </w:r>
    </w:p>
    <w:p>
      <w:pPr>
        <w:spacing w:after="0" w:line="2" w:lineRule="exact"/>
        <w:rPr>
          <w:sz w:val="20"/>
          <w:szCs w:val="20"/>
          <w:color w:val="auto"/>
        </w:rPr>
      </w:pPr>
    </w:p>
    <w:p>
      <w:pPr>
        <w:ind w:left="80" w:right="239"/>
        <w:spacing w:after="0" w:line="254" w:lineRule="auto"/>
        <w:rPr>
          <w:sz w:val="20"/>
          <w:szCs w:val="20"/>
          <w:color w:val="auto"/>
        </w:rPr>
      </w:pPr>
      <w:r>
        <w:rPr>
          <w:rFonts w:ascii="Arial" w:cs="Arial" w:eastAsia="Arial" w:hAnsi="Arial"/>
          <w:sz w:val="18"/>
          <w:szCs w:val="18"/>
          <w:color w:val="auto"/>
        </w:rPr>
        <w:t>Mr. Lawrence has served on the board of directors of Smurfit Kappa, Dublin (LON: SKG) since 2015 and AerCap Holdings, N.V. (NYSE: AER) since 2017. Previously he had served on the board of directors of International Airlines Group (LON: IAG) from 2010 to 2018.</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400" w:type="dxa"/>
            <w:vAlign w:val="bottom"/>
            <w:gridSpan w:val="3"/>
          </w:tcPr>
          <w:p>
            <w:pPr>
              <w:spacing w:after="0"/>
              <w:rPr>
                <w:sz w:val="20"/>
                <w:szCs w:val="20"/>
                <w:color w:val="auto"/>
              </w:rPr>
            </w:pPr>
            <w:r>
              <w:rPr>
                <w:rFonts w:ascii="Arial" w:cs="Arial" w:eastAsia="Arial" w:hAnsi="Arial"/>
                <w:sz w:val="18"/>
                <w:szCs w:val="18"/>
                <w:b w:val="1"/>
                <w:bCs w:val="1"/>
                <w:color w:val="56C271"/>
              </w:rPr>
              <w:t>Primary Qualifications and Experience:</w:t>
            </w:r>
          </w:p>
        </w:tc>
        <w:tc>
          <w:tcPr>
            <w:tcW w:w="1560" w:type="dxa"/>
            <w:vAlign w:val="bottom"/>
          </w:tcPr>
          <w:p>
            <w:pPr>
              <w:spacing w:after="0"/>
              <w:rPr>
                <w:sz w:val="20"/>
                <w:szCs w:val="20"/>
                <w:color w:val="auto"/>
              </w:rPr>
            </w:pPr>
          </w:p>
        </w:tc>
      </w:tr>
      <w:tr>
        <w:trPr>
          <w:trHeight w:val="283"/>
        </w:trPr>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720" w:type="dxa"/>
            <w:vAlign w:val="bottom"/>
          </w:tcPr>
          <w:p>
            <w:pPr>
              <w:ind w:left="140"/>
              <w:spacing w:after="0"/>
              <w:rPr>
                <w:sz w:val="20"/>
                <w:szCs w:val="20"/>
                <w:color w:val="auto"/>
              </w:rPr>
            </w:pPr>
            <w:r>
              <w:rPr>
                <w:rFonts w:ascii="Arial" w:cs="Arial" w:eastAsia="Arial" w:hAnsi="Arial"/>
                <w:sz w:val="18"/>
                <w:szCs w:val="18"/>
                <w:color w:val="auto"/>
              </w:rPr>
              <w:t>CEO</w:t>
            </w:r>
          </w:p>
        </w:tc>
        <w:tc>
          <w:tcPr>
            <w:tcW w:w="480" w:type="dxa"/>
            <w:vAlign w:val="bottom"/>
          </w:tcPr>
          <w:p>
            <w:pPr>
              <w:ind w:left="260"/>
              <w:spacing w:after="0"/>
              <w:rPr>
                <w:sz w:val="20"/>
                <w:szCs w:val="20"/>
                <w:color w:val="auto"/>
              </w:rPr>
            </w:pPr>
            <w:r>
              <w:rPr>
                <w:rFonts w:ascii="Arial" w:cs="Arial" w:eastAsia="Arial" w:hAnsi="Arial"/>
                <w:sz w:val="18"/>
                <w:szCs w:val="18"/>
                <w:color w:val="56C271"/>
              </w:rPr>
              <w:t>•</w:t>
            </w:r>
          </w:p>
        </w:tc>
        <w:tc>
          <w:tcPr>
            <w:tcW w:w="1560" w:type="dxa"/>
            <w:vAlign w:val="bottom"/>
          </w:tcPr>
          <w:p>
            <w:pPr>
              <w:ind w:left="100"/>
              <w:spacing w:after="0"/>
              <w:rPr>
                <w:sz w:val="20"/>
                <w:szCs w:val="20"/>
                <w:color w:val="auto"/>
              </w:rPr>
            </w:pPr>
            <w:r>
              <w:rPr>
                <w:rFonts w:ascii="Arial" w:cs="Arial" w:eastAsia="Arial" w:hAnsi="Arial"/>
                <w:sz w:val="18"/>
                <w:szCs w:val="18"/>
                <w:color w:val="auto"/>
              </w:rPr>
              <w:t>Finance</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720" w:type="dxa"/>
            <w:vAlign w:val="bottom"/>
          </w:tcPr>
          <w:p>
            <w:pPr>
              <w:ind w:left="140"/>
              <w:spacing w:after="0"/>
              <w:rPr>
                <w:sz w:val="20"/>
                <w:szCs w:val="20"/>
                <w:color w:val="auto"/>
              </w:rPr>
            </w:pPr>
            <w:r>
              <w:rPr>
                <w:rFonts w:ascii="Arial" w:cs="Arial" w:eastAsia="Arial" w:hAnsi="Arial"/>
                <w:sz w:val="18"/>
                <w:szCs w:val="18"/>
                <w:color w:val="auto"/>
              </w:rPr>
              <w:t>International Business</w:t>
            </w:r>
          </w:p>
        </w:tc>
        <w:tc>
          <w:tcPr>
            <w:tcW w:w="480" w:type="dxa"/>
            <w:vAlign w:val="bottom"/>
          </w:tcPr>
          <w:p>
            <w:pPr>
              <w:ind w:left="260"/>
              <w:spacing w:after="0"/>
              <w:rPr>
                <w:sz w:val="20"/>
                <w:szCs w:val="20"/>
                <w:color w:val="auto"/>
              </w:rPr>
            </w:pPr>
            <w:r>
              <w:rPr>
                <w:rFonts w:ascii="Arial" w:cs="Arial" w:eastAsia="Arial" w:hAnsi="Arial"/>
                <w:sz w:val="18"/>
                <w:szCs w:val="18"/>
                <w:color w:val="56C271"/>
              </w:rPr>
              <w:t>•</w:t>
            </w:r>
          </w:p>
        </w:tc>
        <w:tc>
          <w:tcPr>
            <w:tcW w:w="1560" w:type="dxa"/>
            <w:vAlign w:val="bottom"/>
          </w:tcPr>
          <w:p>
            <w:pPr>
              <w:ind w:left="100"/>
              <w:spacing w:after="0"/>
              <w:rPr>
                <w:sz w:val="20"/>
                <w:szCs w:val="20"/>
                <w:color w:val="auto"/>
              </w:rPr>
            </w:pPr>
            <w:r>
              <w:rPr>
                <w:rFonts w:ascii="Arial" w:cs="Arial" w:eastAsia="Arial" w:hAnsi="Arial"/>
                <w:sz w:val="18"/>
                <w:szCs w:val="18"/>
                <w:color w:val="auto"/>
              </w:rPr>
              <w:t>Marketing</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56C271"/>
              </w:rPr>
              <w:t xml:space="preserve">•   </w:t>
            </w:r>
            <w:r>
              <w:rPr>
                <w:rFonts w:ascii="Arial" w:cs="Arial" w:eastAsia="Arial" w:hAnsi="Arial"/>
                <w:sz w:val="18"/>
                <w:szCs w:val="18"/>
                <w:color w:val="000000"/>
              </w:rPr>
              <w:t>Legal &amp; Regulatory Oversight</w:t>
            </w:r>
          </w:p>
        </w:tc>
        <w:tc>
          <w:tcPr>
            <w:tcW w:w="480" w:type="dxa"/>
            <w:vAlign w:val="bottom"/>
          </w:tcPr>
          <w:p>
            <w:pPr>
              <w:ind w:left="260"/>
              <w:spacing w:after="0"/>
              <w:rPr>
                <w:sz w:val="20"/>
                <w:szCs w:val="20"/>
                <w:color w:val="auto"/>
              </w:rPr>
            </w:pPr>
            <w:r>
              <w:rPr>
                <w:rFonts w:ascii="Arial" w:cs="Arial" w:eastAsia="Arial" w:hAnsi="Arial"/>
                <w:sz w:val="18"/>
                <w:szCs w:val="18"/>
                <w:color w:val="56C271"/>
              </w:rPr>
              <w:t>•</w:t>
            </w:r>
          </w:p>
        </w:tc>
        <w:tc>
          <w:tcPr>
            <w:tcW w:w="1560" w:type="dxa"/>
            <w:vAlign w:val="bottom"/>
          </w:tcPr>
          <w:p>
            <w:pPr>
              <w:ind w:left="100"/>
              <w:spacing w:after="0"/>
              <w:rPr>
                <w:sz w:val="20"/>
                <w:szCs w:val="20"/>
                <w:color w:val="auto"/>
              </w:rPr>
            </w:pPr>
            <w:r>
              <w:rPr>
                <w:rFonts w:ascii="Arial" w:cs="Arial" w:eastAsia="Arial" w:hAnsi="Arial"/>
                <w:sz w:val="18"/>
                <w:szCs w:val="18"/>
                <w:color w:val="auto"/>
                <w:w w:val="99"/>
              </w:rPr>
              <w:t>Risk Management</w:t>
            </w:r>
          </w:p>
        </w:tc>
      </w:tr>
    </w:tbl>
    <w:p>
      <w:pPr>
        <w:spacing w:after="0" w:line="67" w:lineRule="exact"/>
        <w:rPr>
          <w:sz w:val="20"/>
          <w:szCs w:val="20"/>
          <w:color w:val="auto"/>
        </w:rPr>
      </w:pPr>
    </w:p>
    <w:p>
      <w:pPr>
        <w:ind w:left="420" w:hanging="332"/>
        <w:spacing w:after="0"/>
        <w:tabs>
          <w:tab w:leader="none" w:pos="420" w:val="left"/>
        </w:tabs>
        <w:numPr>
          <w:ilvl w:val="0"/>
          <w:numId w:val="21"/>
        </w:numPr>
        <w:rPr>
          <w:rFonts w:ascii="Arial" w:cs="Arial" w:eastAsia="Arial" w:hAnsi="Arial"/>
          <w:sz w:val="18"/>
          <w:szCs w:val="18"/>
          <w:color w:val="56C271"/>
        </w:rPr>
      </w:pPr>
      <w:r>
        <w:rPr>
          <w:rFonts w:ascii="Arial" w:cs="Arial" w:eastAsia="Arial" w:hAnsi="Arial"/>
          <w:sz w:val="18"/>
          <w:szCs w:val="18"/>
          <w:color w:val="auto"/>
        </w:rPr>
        <w:t>Operations</w:t>
      </w:r>
    </w:p>
    <w:p>
      <w:pPr>
        <w:spacing w:after="0" w:line="158" w:lineRule="exact"/>
        <w:rPr>
          <w:sz w:val="20"/>
          <w:szCs w:val="20"/>
          <w:color w:val="auto"/>
        </w:rPr>
      </w:pPr>
    </w:p>
    <w:p>
      <w:pPr>
        <w:ind w:left="80" w:right="339"/>
        <w:spacing w:after="0" w:line="253" w:lineRule="auto"/>
        <w:rPr>
          <w:sz w:val="20"/>
          <w:szCs w:val="20"/>
          <w:color w:val="auto"/>
        </w:rPr>
      </w:pPr>
      <w:r>
        <w:rPr>
          <w:rFonts w:ascii="Arial" w:cs="Arial" w:eastAsia="Arial" w:hAnsi="Arial"/>
          <w:sz w:val="18"/>
          <w:szCs w:val="18"/>
          <w:color w:val="auto"/>
        </w:rPr>
        <w:t>The Board benefits from Mr. Lawrence’s breadth of global business experience, including strategy development and compliance. Additionally, as a former Chief Financial Officer for multiple public companies, Mr. Lawrence has extensive experience in finance and accounting, particularly as it applies to public companies such as the Company.</w:t>
      </w:r>
    </w:p>
    <w:p>
      <w:pPr>
        <w:spacing w:after="0" w:line="200" w:lineRule="exact"/>
        <w:rPr>
          <w:sz w:val="20"/>
          <w:szCs w:val="20"/>
          <w:color w:val="auto"/>
        </w:rPr>
      </w:pPr>
    </w:p>
    <w:p>
      <w:pPr>
        <w:sectPr>
          <w:pgSz w:w="11900" w:h="16838" w:orient="portrait"/>
          <w:cols w:equalWidth="0" w:num="2">
            <w:col w:w="3260" w:space="140"/>
            <w:col w:w="64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282575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ind w:left="7700"/>
        <w:spacing w:after="0" w:line="187" w:lineRule="auto"/>
        <w:rPr>
          <w:sz w:val="20"/>
          <w:szCs w:val="20"/>
          <w:color w:val="auto"/>
        </w:rPr>
      </w:pPr>
      <w:r>
        <w:rPr>
          <w:rFonts w:ascii="Arial" w:cs="Arial" w:eastAsia="Arial" w:hAnsi="Arial"/>
          <w:sz w:val="12"/>
          <w:szCs w:val="12"/>
          <w:color w:val="auto"/>
        </w:rPr>
        <w:t>Proposal 1: Election of Directors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2" w:lineRule="exact"/>
        <w:rPr>
          <w:sz w:val="20"/>
          <w:szCs w:val="20"/>
          <w:color w:val="auto"/>
        </w:rPr>
      </w:pPr>
    </w:p>
    <w:tbl>
      <w:tblPr>
        <w:tblLayout w:type="fixed"/>
        <w:tblInd w:w="990" w:type="dxa"/>
        <w:tblCellMar>
          <w:top w:w="0" w:type="dxa"/>
          <w:left w:w="0" w:type="dxa"/>
          <w:bottom w:w="0" w:type="dxa"/>
          <w:right w:w="0" w:type="dxa"/>
        </w:tblCellMar>
      </w:tblPr>
      <w:tr>
        <w:trPr>
          <w:trHeight w:val="375"/>
        </w:trPr>
        <w:tc>
          <w:tcPr>
            <w:tcW w:w="260" w:type="dxa"/>
            <w:vAlign w:val="bottom"/>
            <w:tcBorders>
              <w:top w:val="single" w:sz="8" w:color="56C271"/>
              <w:left w:val="single" w:sz="8" w:color="56C271"/>
            </w:tcBorders>
            <w:shd w:val="clear" w:color="auto" w:fill="CCEDD4"/>
          </w:tcPr>
          <w:p>
            <w:pPr>
              <w:spacing w:after="0"/>
              <w:rPr>
                <w:sz w:val="24"/>
                <w:szCs w:val="24"/>
                <w:color w:val="auto"/>
              </w:rPr>
            </w:pPr>
          </w:p>
        </w:tc>
        <w:tc>
          <w:tcPr>
            <w:tcW w:w="2140" w:type="dxa"/>
            <w:vAlign w:val="bottom"/>
            <w:tcBorders>
              <w:top w:val="single" w:sz="8" w:color="56C271"/>
              <w:right w:val="single" w:sz="8" w:color="56C271"/>
            </w:tcBorders>
            <w:shd w:val="clear" w:color="auto" w:fill="CCEDD4"/>
          </w:tcPr>
          <w:p>
            <w:pPr>
              <w:spacing w:after="0"/>
              <w:rPr>
                <w:sz w:val="24"/>
                <w:szCs w:val="24"/>
                <w:color w:val="auto"/>
              </w:rPr>
            </w:pPr>
          </w:p>
        </w:tc>
        <w:tc>
          <w:tcPr>
            <w:tcW w:w="100" w:type="dxa"/>
            <w:vAlign w:val="bottom"/>
            <w:tcBorders>
              <w:top w:val="single" w:sz="8" w:color="56C271"/>
            </w:tcBorders>
            <w:shd w:val="clear" w:color="auto" w:fill="56C271"/>
          </w:tcPr>
          <w:p>
            <w:pPr>
              <w:spacing w:after="0"/>
              <w:rPr>
                <w:sz w:val="24"/>
                <w:szCs w:val="24"/>
                <w:color w:val="auto"/>
              </w:rPr>
            </w:pPr>
          </w:p>
        </w:tc>
        <w:tc>
          <w:tcPr>
            <w:tcW w:w="2820" w:type="dxa"/>
            <w:vAlign w:val="bottom"/>
            <w:tcBorders>
              <w:top w:val="single" w:sz="8" w:color="56C271"/>
            </w:tcBorders>
            <w:gridSpan w:val="2"/>
            <w:shd w:val="clear" w:color="auto" w:fill="56C271"/>
          </w:tcPr>
          <w:p>
            <w:pPr>
              <w:spacing w:after="0"/>
              <w:rPr>
                <w:sz w:val="20"/>
                <w:szCs w:val="20"/>
                <w:color w:val="auto"/>
              </w:rPr>
            </w:pPr>
            <w:r>
              <w:rPr>
                <w:rFonts w:ascii="Arial" w:cs="Arial" w:eastAsia="Arial" w:hAnsi="Arial"/>
                <w:sz w:val="22"/>
                <w:szCs w:val="22"/>
                <w:b w:val="1"/>
                <w:bCs w:val="1"/>
                <w:color w:val="FEFEFE"/>
              </w:rPr>
              <w:t>ERNEST E. MADDOCK</w:t>
            </w:r>
          </w:p>
        </w:tc>
        <w:tc>
          <w:tcPr>
            <w:tcW w:w="560" w:type="dxa"/>
            <w:vAlign w:val="bottom"/>
            <w:tcBorders>
              <w:top w:val="single" w:sz="8" w:color="56C271"/>
            </w:tcBorders>
            <w:shd w:val="clear" w:color="auto" w:fill="56C271"/>
          </w:tcPr>
          <w:p>
            <w:pPr>
              <w:spacing w:after="0"/>
              <w:rPr>
                <w:sz w:val="24"/>
                <w:szCs w:val="24"/>
                <w:color w:val="auto"/>
              </w:rPr>
            </w:pPr>
          </w:p>
        </w:tc>
        <w:tc>
          <w:tcPr>
            <w:tcW w:w="2880" w:type="dxa"/>
            <w:vAlign w:val="bottom"/>
            <w:tcBorders>
              <w:top w:val="single" w:sz="8" w:color="56C271"/>
              <w:right w:val="single" w:sz="8" w:color="56C271"/>
            </w:tcBorders>
            <w:shd w:val="clear" w:color="auto" w:fill="56C271"/>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60" w:type="dxa"/>
            <w:vAlign w:val="bottom"/>
            <w:tcBorders>
              <w:left w:val="single" w:sz="8" w:color="56C271"/>
            </w:tcBorders>
            <w:shd w:val="clear" w:color="auto" w:fill="CCEDD4"/>
          </w:tcPr>
          <w:p>
            <w:pPr>
              <w:spacing w:after="0"/>
              <w:rPr>
                <w:sz w:val="7"/>
                <w:szCs w:val="7"/>
                <w:color w:val="auto"/>
              </w:rPr>
            </w:pPr>
          </w:p>
        </w:tc>
        <w:tc>
          <w:tcPr>
            <w:tcW w:w="2140" w:type="dxa"/>
            <w:vAlign w:val="bottom"/>
            <w:tcBorders>
              <w:right w:val="single" w:sz="8" w:color="56C271"/>
            </w:tcBorders>
            <w:shd w:val="clear" w:color="auto" w:fill="CCEDD4"/>
          </w:tcPr>
          <w:p>
            <w:pPr>
              <w:spacing w:after="0"/>
              <w:rPr>
                <w:sz w:val="7"/>
                <w:szCs w:val="7"/>
                <w:color w:val="auto"/>
              </w:rPr>
            </w:pPr>
          </w:p>
        </w:tc>
        <w:tc>
          <w:tcPr>
            <w:tcW w:w="100" w:type="dxa"/>
            <w:vAlign w:val="bottom"/>
            <w:shd w:val="clear" w:color="auto" w:fill="56C271"/>
          </w:tcPr>
          <w:p>
            <w:pPr>
              <w:spacing w:after="0"/>
              <w:rPr>
                <w:sz w:val="7"/>
                <w:szCs w:val="7"/>
                <w:color w:val="auto"/>
              </w:rPr>
            </w:pPr>
          </w:p>
        </w:tc>
        <w:tc>
          <w:tcPr>
            <w:tcW w:w="2820" w:type="dxa"/>
            <w:vAlign w:val="bottom"/>
            <w:gridSpan w:val="2"/>
            <w:shd w:val="clear" w:color="auto" w:fill="56C271"/>
          </w:tcPr>
          <w:p>
            <w:pPr>
              <w:spacing w:after="0"/>
              <w:rPr>
                <w:sz w:val="7"/>
                <w:szCs w:val="7"/>
                <w:color w:val="auto"/>
              </w:rPr>
            </w:pPr>
          </w:p>
        </w:tc>
        <w:tc>
          <w:tcPr>
            <w:tcW w:w="560" w:type="dxa"/>
            <w:vAlign w:val="bottom"/>
            <w:shd w:val="clear" w:color="auto" w:fill="56C271"/>
          </w:tcPr>
          <w:p>
            <w:pPr>
              <w:spacing w:after="0"/>
              <w:rPr>
                <w:sz w:val="7"/>
                <w:szCs w:val="7"/>
                <w:color w:val="auto"/>
              </w:rPr>
            </w:pPr>
          </w:p>
        </w:tc>
        <w:tc>
          <w:tcPr>
            <w:tcW w:w="2880" w:type="dxa"/>
            <w:vAlign w:val="bottom"/>
            <w:tcBorders>
              <w:right w:val="single" w:sz="8" w:color="56C271"/>
            </w:tcBorders>
            <w:shd w:val="clear" w:color="auto" w:fill="56C271"/>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0" w:type="dxa"/>
            <w:vAlign w:val="bottom"/>
            <w:tcBorders>
              <w:left w:val="single" w:sz="8" w:color="56C271"/>
            </w:tcBorders>
            <w:shd w:val="clear" w:color="auto" w:fill="CCEDD4"/>
          </w:tcPr>
          <w:p>
            <w:pPr>
              <w:spacing w:after="0"/>
              <w:rPr>
                <w:sz w:val="24"/>
                <w:szCs w:val="24"/>
                <w:color w:val="auto"/>
              </w:rPr>
            </w:pPr>
          </w:p>
        </w:tc>
        <w:tc>
          <w:tcPr>
            <w:tcW w:w="2140" w:type="dxa"/>
            <w:vAlign w:val="bottom"/>
            <w:tcBorders>
              <w:right w:val="single" w:sz="8" w:color="56C271"/>
            </w:tcBorders>
            <w:shd w:val="clear" w:color="auto" w:fill="CCEDD4"/>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b w:val="1"/>
                <w:bCs w:val="1"/>
                <w:color w:val="56C271"/>
              </w:rPr>
              <w:t>Recent Business Experience:</w:t>
            </w:r>
          </w:p>
        </w:tc>
        <w:tc>
          <w:tcPr>
            <w:tcW w:w="560" w:type="dxa"/>
            <w:vAlign w:val="bottom"/>
          </w:tcPr>
          <w:p>
            <w:pPr>
              <w:spacing w:after="0"/>
              <w:rPr>
                <w:sz w:val="24"/>
                <w:szCs w:val="24"/>
                <w:color w:val="auto"/>
              </w:rPr>
            </w:pPr>
          </w:p>
        </w:tc>
        <w:tc>
          <w:tcPr>
            <w:tcW w:w="2880" w:type="dxa"/>
            <w:vAlign w:val="bottom"/>
            <w:tcBorders>
              <w:right w:val="single" w:sz="8" w:color="56C271"/>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60" w:type="dxa"/>
            <w:vAlign w:val="bottom"/>
            <w:tcBorders>
              <w:left w:val="single" w:sz="8" w:color="56C271"/>
            </w:tcBorders>
            <w:shd w:val="clear" w:color="auto" w:fill="CCEDD4"/>
          </w:tcPr>
          <w:p>
            <w:pPr>
              <w:spacing w:after="0"/>
              <w:rPr>
                <w:sz w:val="24"/>
                <w:szCs w:val="24"/>
                <w:color w:val="auto"/>
              </w:rPr>
            </w:pPr>
          </w:p>
        </w:tc>
        <w:tc>
          <w:tcPr>
            <w:tcW w:w="2140" w:type="dxa"/>
            <w:vAlign w:val="bottom"/>
            <w:tcBorders>
              <w:right w:val="single" w:sz="8" w:color="56C271"/>
            </w:tcBorders>
            <w:shd w:val="clear" w:color="auto" w:fill="CCEDD4"/>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Mr. Maddock served as Chief Financial Officer and Senior Vice President of</w:t>
            </w:r>
          </w:p>
        </w:tc>
        <w:tc>
          <w:tcPr>
            <w:tcW w:w="0" w:type="dxa"/>
            <w:vAlign w:val="bottom"/>
          </w:tcPr>
          <w:p>
            <w:pPr>
              <w:spacing w:after="0"/>
              <w:rPr>
                <w:sz w:val="1"/>
                <w:szCs w:val="1"/>
                <w:color w:val="auto"/>
              </w:rPr>
            </w:pPr>
          </w:p>
        </w:tc>
      </w:tr>
      <w:tr>
        <w:trPr>
          <w:trHeight w:val="216"/>
        </w:trPr>
        <w:tc>
          <w:tcPr>
            <w:tcW w:w="260" w:type="dxa"/>
            <w:vAlign w:val="bottom"/>
            <w:tcBorders>
              <w:left w:val="single" w:sz="8" w:color="56C271"/>
            </w:tcBorders>
            <w:shd w:val="clear" w:color="auto" w:fill="CCEDD4"/>
          </w:tcPr>
          <w:p>
            <w:pPr>
              <w:spacing w:after="0"/>
              <w:rPr>
                <w:sz w:val="18"/>
                <w:szCs w:val="18"/>
                <w:color w:val="auto"/>
              </w:rPr>
            </w:pPr>
          </w:p>
        </w:tc>
        <w:tc>
          <w:tcPr>
            <w:tcW w:w="2140" w:type="dxa"/>
            <w:vAlign w:val="bottom"/>
            <w:tcBorders>
              <w:right w:val="single" w:sz="8" w:color="56C271"/>
            </w:tcBorders>
            <w:shd w:val="clear" w:color="auto" w:fill="CCEDD4"/>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Micron Technology, Inc. (Nasdaq: MU) from 2015 until his retirement in 2018.</w:t>
            </w:r>
          </w:p>
        </w:tc>
        <w:tc>
          <w:tcPr>
            <w:tcW w:w="0" w:type="dxa"/>
            <w:vAlign w:val="bottom"/>
          </w:tcPr>
          <w:p>
            <w:pPr>
              <w:spacing w:after="0"/>
              <w:rPr>
                <w:sz w:val="1"/>
                <w:szCs w:val="1"/>
                <w:color w:val="auto"/>
              </w:rPr>
            </w:pPr>
          </w:p>
        </w:tc>
      </w:tr>
      <w:tr>
        <w:trPr>
          <w:trHeight w:val="216"/>
        </w:trPr>
        <w:tc>
          <w:tcPr>
            <w:tcW w:w="260" w:type="dxa"/>
            <w:vAlign w:val="bottom"/>
            <w:tcBorders>
              <w:left w:val="single" w:sz="8" w:color="56C271"/>
            </w:tcBorders>
            <w:shd w:val="clear" w:color="auto" w:fill="CCEDD4"/>
          </w:tcPr>
          <w:p>
            <w:pPr>
              <w:spacing w:after="0"/>
              <w:rPr>
                <w:sz w:val="18"/>
                <w:szCs w:val="18"/>
                <w:color w:val="auto"/>
              </w:rPr>
            </w:pPr>
          </w:p>
        </w:tc>
        <w:tc>
          <w:tcPr>
            <w:tcW w:w="2140" w:type="dxa"/>
            <w:vAlign w:val="bottom"/>
            <w:tcBorders>
              <w:right w:val="single" w:sz="8" w:color="56C271"/>
            </w:tcBorders>
            <w:shd w:val="clear" w:color="auto" w:fill="CCEDD4"/>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w w:val="99"/>
              </w:rPr>
              <w:t>Prior to that, he served as Chief Financial Officer of Riverbed Technology, Inc.</w:t>
            </w:r>
          </w:p>
        </w:tc>
        <w:tc>
          <w:tcPr>
            <w:tcW w:w="0" w:type="dxa"/>
            <w:vAlign w:val="bottom"/>
          </w:tcPr>
          <w:p>
            <w:pPr>
              <w:spacing w:after="0"/>
              <w:rPr>
                <w:sz w:val="1"/>
                <w:szCs w:val="1"/>
                <w:color w:val="auto"/>
              </w:rPr>
            </w:pPr>
          </w:p>
        </w:tc>
      </w:tr>
      <w:tr>
        <w:trPr>
          <w:trHeight w:val="216"/>
        </w:trPr>
        <w:tc>
          <w:tcPr>
            <w:tcW w:w="260" w:type="dxa"/>
            <w:vAlign w:val="bottom"/>
            <w:tcBorders>
              <w:left w:val="single" w:sz="8" w:color="56C271"/>
            </w:tcBorders>
            <w:shd w:val="clear" w:color="auto" w:fill="CCEDD4"/>
          </w:tcPr>
          <w:p>
            <w:pPr>
              <w:spacing w:after="0"/>
              <w:rPr>
                <w:sz w:val="18"/>
                <w:szCs w:val="18"/>
                <w:color w:val="auto"/>
              </w:rPr>
            </w:pPr>
          </w:p>
        </w:tc>
        <w:tc>
          <w:tcPr>
            <w:tcW w:w="2140" w:type="dxa"/>
            <w:vAlign w:val="bottom"/>
            <w:tcBorders>
              <w:right w:val="single" w:sz="8" w:color="56C271"/>
            </w:tcBorders>
            <w:shd w:val="clear" w:color="auto" w:fill="CCEDD4"/>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from 2013 to 2015. From 1997 to 2013, Mr. Maddock served in various roles</w:t>
            </w:r>
          </w:p>
        </w:tc>
        <w:tc>
          <w:tcPr>
            <w:tcW w:w="0" w:type="dxa"/>
            <w:vAlign w:val="bottom"/>
          </w:tcPr>
          <w:p>
            <w:pPr>
              <w:spacing w:after="0"/>
              <w:rPr>
                <w:sz w:val="1"/>
                <w:szCs w:val="1"/>
                <w:color w:val="auto"/>
              </w:rPr>
            </w:pPr>
          </w:p>
        </w:tc>
      </w:tr>
      <w:tr>
        <w:trPr>
          <w:trHeight w:val="216"/>
        </w:trPr>
        <w:tc>
          <w:tcPr>
            <w:tcW w:w="260" w:type="dxa"/>
            <w:vAlign w:val="bottom"/>
            <w:tcBorders>
              <w:left w:val="single" w:sz="8" w:color="56C271"/>
            </w:tcBorders>
            <w:shd w:val="clear" w:color="auto" w:fill="CCEDD4"/>
          </w:tcPr>
          <w:p>
            <w:pPr>
              <w:spacing w:after="0"/>
              <w:rPr>
                <w:sz w:val="18"/>
                <w:szCs w:val="18"/>
                <w:color w:val="auto"/>
              </w:rPr>
            </w:pPr>
          </w:p>
        </w:tc>
        <w:tc>
          <w:tcPr>
            <w:tcW w:w="2140" w:type="dxa"/>
            <w:vAlign w:val="bottom"/>
            <w:tcBorders>
              <w:right w:val="single" w:sz="8" w:color="56C271"/>
            </w:tcBorders>
            <w:shd w:val="clear" w:color="auto" w:fill="CCEDD4"/>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at Lam Research Corporation (Nasdaq: LRCX), last as Chief Financial Officer</w:t>
            </w:r>
          </w:p>
        </w:tc>
        <w:tc>
          <w:tcPr>
            <w:tcW w:w="0" w:type="dxa"/>
            <w:vAlign w:val="bottom"/>
          </w:tcPr>
          <w:p>
            <w:pPr>
              <w:spacing w:after="0"/>
              <w:rPr>
                <w:sz w:val="1"/>
                <w:szCs w:val="1"/>
                <w:color w:val="auto"/>
              </w:rPr>
            </w:pPr>
          </w:p>
        </w:tc>
      </w:tr>
      <w:tr>
        <w:trPr>
          <w:trHeight w:val="216"/>
        </w:trPr>
        <w:tc>
          <w:tcPr>
            <w:tcW w:w="260" w:type="dxa"/>
            <w:vAlign w:val="bottom"/>
            <w:tcBorders>
              <w:left w:val="single" w:sz="8" w:color="56C271"/>
            </w:tcBorders>
            <w:shd w:val="clear" w:color="auto" w:fill="CCEDD4"/>
          </w:tcPr>
          <w:p>
            <w:pPr>
              <w:spacing w:after="0"/>
              <w:rPr>
                <w:sz w:val="18"/>
                <w:szCs w:val="18"/>
                <w:color w:val="auto"/>
              </w:rPr>
            </w:pPr>
          </w:p>
        </w:tc>
        <w:tc>
          <w:tcPr>
            <w:tcW w:w="2140" w:type="dxa"/>
            <w:vAlign w:val="bottom"/>
            <w:tcBorders>
              <w:right w:val="single" w:sz="8" w:color="56C271"/>
            </w:tcBorders>
            <w:shd w:val="clear" w:color="auto" w:fill="CCEDD4"/>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from 2008 to 2013. He has served on the board of directors of Ultra Clean</w:t>
            </w:r>
          </w:p>
        </w:tc>
        <w:tc>
          <w:tcPr>
            <w:tcW w:w="0" w:type="dxa"/>
            <w:vAlign w:val="bottom"/>
          </w:tcPr>
          <w:p>
            <w:pPr>
              <w:spacing w:after="0"/>
              <w:rPr>
                <w:sz w:val="1"/>
                <w:szCs w:val="1"/>
                <w:color w:val="auto"/>
              </w:rPr>
            </w:pPr>
          </w:p>
        </w:tc>
      </w:tr>
      <w:tr>
        <w:trPr>
          <w:trHeight w:val="216"/>
        </w:trPr>
        <w:tc>
          <w:tcPr>
            <w:tcW w:w="260" w:type="dxa"/>
            <w:vAlign w:val="bottom"/>
            <w:tcBorders>
              <w:left w:val="single" w:sz="8" w:color="56C271"/>
            </w:tcBorders>
            <w:shd w:val="clear" w:color="auto" w:fill="CCEDD4"/>
          </w:tcPr>
          <w:p>
            <w:pPr>
              <w:spacing w:after="0"/>
              <w:rPr>
                <w:sz w:val="18"/>
                <w:szCs w:val="18"/>
                <w:color w:val="auto"/>
              </w:rPr>
            </w:pPr>
          </w:p>
        </w:tc>
        <w:tc>
          <w:tcPr>
            <w:tcW w:w="2140" w:type="dxa"/>
            <w:vAlign w:val="bottom"/>
            <w:tcBorders>
              <w:right w:val="single" w:sz="8" w:color="56C271"/>
            </w:tcBorders>
            <w:shd w:val="clear" w:color="auto" w:fill="CCEDD4"/>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Holdings Inc. (Nasdaq: UCTT) since January 2020; and had previously</w:t>
            </w:r>
          </w:p>
        </w:tc>
        <w:tc>
          <w:tcPr>
            <w:tcW w:w="0" w:type="dxa"/>
            <w:vAlign w:val="bottom"/>
          </w:tcPr>
          <w:p>
            <w:pPr>
              <w:spacing w:after="0"/>
              <w:rPr>
                <w:sz w:val="1"/>
                <w:szCs w:val="1"/>
                <w:color w:val="auto"/>
              </w:rPr>
            </w:pPr>
          </w:p>
        </w:tc>
      </w:tr>
      <w:tr>
        <w:trPr>
          <w:trHeight w:val="217"/>
        </w:trPr>
        <w:tc>
          <w:tcPr>
            <w:tcW w:w="260" w:type="dxa"/>
            <w:vAlign w:val="bottom"/>
            <w:tcBorders>
              <w:left w:val="single" w:sz="8" w:color="56C271"/>
            </w:tcBorders>
            <w:shd w:val="clear" w:color="auto" w:fill="CCEDD4"/>
          </w:tcPr>
          <w:p>
            <w:pPr>
              <w:spacing w:after="0"/>
              <w:rPr>
                <w:sz w:val="18"/>
                <w:szCs w:val="18"/>
                <w:color w:val="auto"/>
              </w:rPr>
            </w:pPr>
          </w:p>
        </w:tc>
        <w:tc>
          <w:tcPr>
            <w:tcW w:w="2140" w:type="dxa"/>
            <w:vAlign w:val="bottom"/>
            <w:tcBorders>
              <w:right w:val="single" w:sz="8" w:color="56C271"/>
            </w:tcBorders>
            <w:shd w:val="clear" w:color="auto" w:fill="CCEDD4"/>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served on the board of Intersil Corporation (Nasdaq: ISIL) from 2015 to 2017.</w:t>
            </w:r>
          </w:p>
        </w:tc>
        <w:tc>
          <w:tcPr>
            <w:tcW w:w="0" w:type="dxa"/>
            <w:vAlign w:val="bottom"/>
          </w:tcPr>
          <w:p>
            <w:pPr>
              <w:spacing w:after="0"/>
              <w:rPr>
                <w:sz w:val="1"/>
                <w:szCs w:val="1"/>
                <w:color w:val="auto"/>
              </w:rPr>
            </w:pPr>
          </w:p>
        </w:tc>
      </w:tr>
      <w:tr>
        <w:trPr>
          <w:trHeight w:val="155"/>
        </w:trPr>
        <w:tc>
          <w:tcPr>
            <w:tcW w:w="2400" w:type="dxa"/>
            <w:vAlign w:val="bottom"/>
            <w:tcBorders>
              <w:left w:val="single" w:sz="8" w:color="56C271"/>
              <w:bottom w:val="single" w:sz="8" w:color="CCEDD4"/>
              <w:right w:val="single" w:sz="8" w:color="56C271"/>
            </w:tcBorders>
            <w:gridSpan w:val="2"/>
            <w:vMerge w:val="restart"/>
            <w:shd w:val="clear" w:color="auto" w:fill="CCEDD4"/>
          </w:tcPr>
          <w:p>
            <w:pPr>
              <w:ind w:left="1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August 25, 2021</w:t>
            </w:r>
          </w:p>
        </w:tc>
        <w:tc>
          <w:tcPr>
            <w:tcW w:w="100" w:type="dxa"/>
            <w:vAlign w:val="bottom"/>
            <w:tcBorders>
              <w:bottom w:val="single" w:sz="8" w:color="56C271"/>
            </w:tcBorders>
          </w:tcPr>
          <w:p>
            <w:pPr>
              <w:spacing w:after="0"/>
              <w:rPr>
                <w:sz w:val="13"/>
                <w:szCs w:val="13"/>
                <w:color w:val="auto"/>
              </w:rPr>
            </w:pPr>
          </w:p>
        </w:tc>
        <w:tc>
          <w:tcPr>
            <w:tcW w:w="3380" w:type="dxa"/>
            <w:vAlign w:val="bottom"/>
            <w:tcBorders>
              <w:bottom w:val="single" w:sz="8" w:color="56C271"/>
            </w:tcBorders>
            <w:gridSpan w:val="3"/>
          </w:tcPr>
          <w:p>
            <w:pPr>
              <w:spacing w:after="0"/>
              <w:rPr>
                <w:sz w:val="13"/>
                <w:szCs w:val="13"/>
                <w:color w:val="auto"/>
              </w:rPr>
            </w:pPr>
          </w:p>
        </w:tc>
        <w:tc>
          <w:tcPr>
            <w:tcW w:w="2880" w:type="dxa"/>
            <w:vAlign w:val="bottom"/>
            <w:tcBorders>
              <w:bottom w:val="single" w:sz="8" w:color="56C271"/>
              <w:right w:val="single" w:sz="8" w:color="56C271"/>
            </w:tcBorders>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400" w:type="dxa"/>
            <w:vAlign w:val="bottom"/>
            <w:tcBorders>
              <w:left w:val="single" w:sz="8" w:color="56C271"/>
              <w:right w:val="single" w:sz="8" w:color="56C271"/>
            </w:tcBorders>
            <w:gridSpan w:val="2"/>
            <w:vMerge w:val="continue"/>
            <w:shd w:val="clear" w:color="auto" w:fill="CCEDD4"/>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Arial" w:cs="Arial" w:eastAsia="Arial" w:hAnsi="Arial"/>
                <w:sz w:val="18"/>
                <w:szCs w:val="18"/>
                <w:b w:val="1"/>
                <w:bCs w:val="1"/>
                <w:color w:val="56C271"/>
              </w:rPr>
              <w:t>Primary Qualifications and Experience:</w:t>
            </w:r>
          </w:p>
        </w:tc>
        <w:tc>
          <w:tcPr>
            <w:tcW w:w="2880" w:type="dxa"/>
            <w:vAlign w:val="bottom"/>
            <w:tcBorders>
              <w:right w:val="single" w:sz="8" w:color="56C271"/>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0" w:type="dxa"/>
            <w:vAlign w:val="bottom"/>
            <w:tcBorders>
              <w:left w:val="single" w:sz="8" w:color="56C271"/>
              <w:right w:val="single" w:sz="8" w:color="56C271"/>
            </w:tcBorders>
            <w:gridSpan w:val="2"/>
            <w:shd w:val="clear" w:color="auto" w:fill="CCEDD4"/>
          </w:tcPr>
          <w:p>
            <w:pPr>
              <w:ind w:left="1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tc>
        <w:tc>
          <w:tcPr>
            <w:tcW w:w="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620" w:type="dxa"/>
            <w:vAlign w:val="bottom"/>
          </w:tcPr>
          <w:p>
            <w:pPr>
              <w:ind w:left="120"/>
              <w:spacing w:after="0"/>
              <w:rPr>
                <w:sz w:val="20"/>
                <w:szCs w:val="20"/>
                <w:color w:val="auto"/>
              </w:rPr>
            </w:pPr>
            <w:r>
              <w:rPr>
                <w:rFonts w:ascii="Arial" w:cs="Arial" w:eastAsia="Arial" w:hAnsi="Arial"/>
                <w:sz w:val="18"/>
                <w:szCs w:val="18"/>
                <w:color w:val="auto"/>
              </w:rPr>
              <w:t>International Business</w:t>
            </w:r>
          </w:p>
        </w:tc>
        <w:tc>
          <w:tcPr>
            <w:tcW w:w="560" w:type="dxa"/>
            <w:vAlign w:val="bottom"/>
          </w:tcPr>
          <w:p>
            <w:pPr>
              <w:ind w:left="360"/>
              <w:spacing w:after="0"/>
              <w:rPr>
                <w:sz w:val="20"/>
                <w:szCs w:val="20"/>
                <w:color w:val="auto"/>
              </w:rPr>
            </w:pPr>
            <w:r>
              <w:rPr>
                <w:rFonts w:ascii="Arial" w:cs="Arial" w:eastAsia="Arial" w:hAnsi="Arial"/>
                <w:sz w:val="18"/>
                <w:szCs w:val="18"/>
                <w:color w:val="56C271"/>
              </w:rPr>
              <w:t>•</w:t>
            </w:r>
          </w:p>
        </w:tc>
        <w:tc>
          <w:tcPr>
            <w:tcW w:w="2880" w:type="dxa"/>
            <w:vAlign w:val="bottom"/>
            <w:tcBorders>
              <w:right w:val="single" w:sz="8" w:color="56C271"/>
            </w:tcBorders>
          </w:tcPr>
          <w:p>
            <w:pPr>
              <w:ind w:left="120"/>
              <w:spacing w:after="0"/>
              <w:rPr>
                <w:sz w:val="20"/>
                <w:szCs w:val="20"/>
                <w:color w:val="auto"/>
              </w:rPr>
            </w:pPr>
            <w:r>
              <w:rPr>
                <w:rFonts w:ascii="Arial" w:cs="Arial" w:eastAsia="Arial" w:hAnsi="Arial"/>
                <w:sz w:val="18"/>
                <w:szCs w:val="18"/>
                <w:color w:val="auto"/>
              </w:rPr>
              <w:t>Risk Management</w:t>
            </w:r>
          </w:p>
        </w:tc>
        <w:tc>
          <w:tcPr>
            <w:tcW w:w="0" w:type="dxa"/>
            <w:vAlign w:val="bottom"/>
          </w:tcPr>
          <w:p>
            <w:pPr>
              <w:spacing w:after="0"/>
              <w:rPr>
                <w:sz w:val="1"/>
                <w:szCs w:val="1"/>
                <w:color w:val="auto"/>
              </w:rPr>
            </w:pPr>
          </w:p>
        </w:tc>
      </w:tr>
      <w:tr>
        <w:trPr>
          <w:trHeight w:val="284"/>
        </w:trPr>
        <w:tc>
          <w:tcPr>
            <w:tcW w:w="2400" w:type="dxa"/>
            <w:vAlign w:val="bottom"/>
            <w:tcBorders>
              <w:left w:val="single" w:sz="8" w:color="56C271"/>
              <w:right w:val="single" w:sz="8" w:color="56C271"/>
            </w:tcBorders>
            <w:gridSpan w:val="2"/>
            <w:shd w:val="clear" w:color="auto" w:fill="CCEDD4"/>
          </w:tcPr>
          <w:p>
            <w:pPr>
              <w:ind w:left="100"/>
              <w:spacing w:after="0"/>
              <w:rPr>
                <w:sz w:val="20"/>
                <w:szCs w:val="20"/>
                <w:color w:val="auto"/>
              </w:rPr>
            </w:pPr>
            <w:r>
              <w:rPr>
                <w:rFonts w:ascii="Arial" w:cs="Arial" w:eastAsia="Arial" w:hAnsi="Arial"/>
                <w:sz w:val="14"/>
                <w:szCs w:val="14"/>
                <w:b w:val="1"/>
                <w:bCs w:val="1"/>
                <w:color w:val="auto"/>
              </w:rPr>
              <w:t>Independent</w:t>
            </w:r>
          </w:p>
        </w:tc>
        <w:tc>
          <w:tcPr>
            <w:tcW w:w="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620" w:type="dxa"/>
            <w:vAlign w:val="bottom"/>
          </w:tcPr>
          <w:p>
            <w:pPr>
              <w:ind w:left="120"/>
              <w:spacing w:after="0"/>
              <w:rPr>
                <w:sz w:val="20"/>
                <w:szCs w:val="20"/>
                <w:color w:val="auto"/>
              </w:rPr>
            </w:pPr>
            <w:r>
              <w:rPr>
                <w:rFonts w:ascii="Arial" w:cs="Arial" w:eastAsia="Arial" w:hAnsi="Arial"/>
                <w:sz w:val="18"/>
                <w:szCs w:val="18"/>
                <w:color w:val="auto"/>
              </w:rPr>
              <w:t>Finance</w:t>
            </w:r>
          </w:p>
        </w:tc>
        <w:tc>
          <w:tcPr>
            <w:tcW w:w="560" w:type="dxa"/>
            <w:vAlign w:val="bottom"/>
          </w:tcPr>
          <w:p>
            <w:pPr>
              <w:ind w:left="360"/>
              <w:spacing w:after="0"/>
              <w:rPr>
                <w:sz w:val="20"/>
                <w:szCs w:val="20"/>
                <w:color w:val="auto"/>
              </w:rPr>
            </w:pPr>
            <w:r>
              <w:rPr>
                <w:rFonts w:ascii="Arial" w:cs="Arial" w:eastAsia="Arial" w:hAnsi="Arial"/>
                <w:sz w:val="18"/>
                <w:szCs w:val="18"/>
                <w:color w:val="56C271"/>
              </w:rPr>
              <w:t>•</w:t>
            </w:r>
          </w:p>
        </w:tc>
        <w:tc>
          <w:tcPr>
            <w:tcW w:w="2880" w:type="dxa"/>
            <w:vAlign w:val="bottom"/>
            <w:tcBorders>
              <w:right w:val="single" w:sz="8" w:color="56C271"/>
            </w:tcBorders>
          </w:tcPr>
          <w:p>
            <w:pPr>
              <w:ind w:left="1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03"/>
        </w:trPr>
        <w:tc>
          <w:tcPr>
            <w:tcW w:w="2400" w:type="dxa"/>
            <w:vAlign w:val="bottom"/>
            <w:tcBorders>
              <w:left w:val="single" w:sz="8" w:color="56C271"/>
              <w:right w:val="single" w:sz="8" w:color="56C271"/>
            </w:tcBorders>
            <w:gridSpan w:val="2"/>
            <w:shd w:val="clear" w:color="auto" w:fill="CCEDD4"/>
          </w:tcPr>
          <w:p>
            <w:pPr>
              <w:ind w:left="100"/>
              <w:spacing w:after="0"/>
              <w:rPr>
                <w:sz w:val="20"/>
                <w:szCs w:val="20"/>
                <w:color w:val="auto"/>
              </w:rPr>
            </w:pPr>
            <w:r>
              <w:rPr>
                <w:rFonts w:ascii="Arial" w:cs="Arial" w:eastAsia="Arial" w:hAnsi="Arial"/>
                <w:sz w:val="14"/>
                <w:szCs w:val="14"/>
                <w:b w:val="1"/>
                <w:bCs w:val="1"/>
                <w:color w:val="auto"/>
              </w:rPr>
              <w:t>Current Committee</w:t>
            </w:r>
          </w:p>
        </w:tc>
        <w:tc>
          <w:tcPr>
            <w:tcW w:w="100" w:type="dxa"/>
            <w:vAlign w:val="bottom"/>
          </w:tcPr>
          <w:p>
            <w:pPr>
              <w:spacing w:after="0"/>
              <w:rPr>
                <w:sz w:val="17"/>
                <w:szCs w:val="17"/>
                <w:color w:val="auto"/>
              </w:rPr>
            </w:pPr>
          </w:p>
        </w:tc>
        <w:tc>
          <w:tcPr>
            <w:tcW w:w="6260" w:type="dxa"/>
            <w:vAlign w:val="bottom"/>
            <w:tcBorders>
              <w:right w:val="single" w:sz="8" w:color="56C271"/>
            </w:tcBorders>
            <w:gridSpan w:val="4"/>
            <w:vMerge w:val="restart"/>
          </w:tcPr>
          <w:p>
            <w:pPr>
              <w:spacing w:after="0"/>
              <w:rPr>
                <w:sz w:val="20"/>
                <w:szCs w:val="20"/>
                <w:color w:val="auto"/>
              </w:rPr>
            </w:pPr>
            <w:r>
              <w:rPr>
                <w:rFonts w:ascii="Arial" w:cs="Arial" w:eastAsia="Arial" w:hAnsi="Arial"/>
                <w:sz w:val="18"/>
                <w:szCs w:val="18"/>
                <w:color w:val="auto"/>
              </w:rPr>
              <w:t>The Board benefits from Mr. Maddock’s breadth of global business</w:t>
            </w:r>
          </w:p>
        </w:tc>
        <w:tc>
          <w:tcPr>
            <w:tcW w:w="0" w:type="dxa"/>
            <w:vAlign w:val="bottom"/>
          </w:tcPr>
          <w:p>
            <w:pPr>
              <w:spacing w:after="0"/>
              <w:rPr>
                <w:sz w:val="1"/>
                <w:szCs w:val="1"/>
                <w:color w:val="auto"/>
              </w:rPr>
            </w:pPr>
          </w:p>
        </w:tc>
      </w:tr>
      <w:tr>
        <w:trPr>
          <w:trHeight w:val="161"/>
        </w:trPr>
        <w:tc>
          <w:tcPr>
            <w:tcW w:w="2400" w:type="dxa"/>
            <w:vAlign w:val="bottom"/>
            <w:tcBorders>
              <w:left w:val="single" w:sz="8" w:color="56C271"/>
              <w:right w:val="single" w:sz="8" w:color="56C271"/>
            </w:tcBorders>
            <w:gridSpan w:val="2"/>
            <w:shd w:val="clear" w:color="auto" w:fill="CCEDD4"/>
          </w:tcPr>
          <w:p>
            <w:pPr>
              <w:ind w:left="100"/>
              <w:spacing w:after="0"/>
              <w:rPr>
                <w:sz w:val="20"/>
                <w:szCs w:val="20"/>
                <w:color w:val="auto"/>
              </w:rPr>
            </w:pPr>
            <w:r>
              <w:rPr>
                <w:rFonts w:ascii="Arial" w:cs="Arial" w:eastAsia="Arial" w:hAnsi="Arial"/>
                <w:sz w:val="14"/>
                <w:szCs w:val="14"/>
                <w:b w:val="1"/>
                <w:bCs w:val="1"/>
                <w:color w:val="auto"/>
              </w:rPr>
              <w:t>Memberships:</w:t>
            </w:r>
          </w:p>
        </w:tc>
        <w:tc>
          <w:tcPr>
            <w:tcW w:w="100" w:type="dxa"/>
            <w:vAlign w:val="bottom"/>
          </w:tcPr>
          <w:p>
            <w:pPr>
              <w:spacing w:after="0"/>
              <w:rPr>
                <w:sz w:val="13"/>
                <w:szCs w:val="13"/>
                <w:color w:val="auto"/>
              </w:rPr>
            </w:pPr>
          </w:p>
        </w:tc>
        <w:tc>
          <w:tcPr>
            <w:tcW w:w="6260" w:type="dxa"/>
            <w:vAlign w:val="bottom"/>
            <w:tcBorders>
              <w:right w:val="single" w:sz="8" w:color="56C271"/>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56C271"/>
            </w:tcBorders>
            <w:vMerge w:val="restart"/>
            <w:shd w:val="clear" w:color="auto" w:fill="CCEDD4"/>
          </w:tcPr>
          <w:p>
            <w:pPr>
              <w:ind w:left="100"/>
              <w:spacing w:after="0"/>
              <w:rPr>
                <w:sz w:val="20"/>
                <w:szCs w:val="20"/>
                <w:color w:val="auto"/>
              </w:rPr>
            </w:pPr>
            <w:r>
              <w:rPr>
                <w:rFonts w:ascii="Arial" w:cs="Arial" w:eastAsia="Arial" w:hAnsi="Arial"/>
                <w:sz w:val="18"/>
                <w:szCs w:val="18"/>
                <w:color w:val="56C271"/>
              </w:rPr>
              <w:t>•</w:t>
            </w:r>
          </w:p>
        </w:tc>
        <w:tc>
          <w:tcPr>
            <w:tcW w:w="2140" w:type="dxa"/>
            <w:vAlign w:val="bottom"/>
            <w:tcBorders>
              <w:right w:val="single" w:sz="8" w:color="56C271"/>
            </w:tcBorders>
            <w:vMerge w:val="restart"/>
            <w:shd w:val="clear" w:color="auto" w:fill="CCEDD4"/>
          </w:tcPr>
          <w:p>
            <w:pPr>
              <w:ind w:left="100"/>
              <w:spacing w:after="0"/>
              <w:rPr>
                <w:sz w:val="20"/>
                <w:szCs w:val="20"/>
                <w:color w:val="auto"/>
              </w:rPr>
            </w:pPr>
            <w:r>
              <w:rPr>
                <w:rFonts w:ascii="Arial" w:cs="Arial" w:eastAsia="Arial" w:hAnsi="Arial"/>
                <w:sz w:val="14"/>
                <w:szCs w:val="14"/>
                <w:color w:val="auto"/>
              </w:rPr>
              <w:t>Audit</w:t>
            </w:r>
          </w:p>
        </w:tc>
        <w:tc>
          <w:tcPr>
            <w:tcW w:w="10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experience, including risk management and operations, and experience in the</w:t>
            </w:r>
          </w:p>
        </w:tc>
        <w:tc>
          <w:tcPr>
            <w:tcW w:w="0" w:type="dxa"/>
            <w:vAlign w:val="bottom"/>
          </w:tcPr>
          <w:p>
            <w:pPr>
              <w:spacing w:after="0"/>
              <w:rPr>
                <w:sz w:val="1"/>
                <w:szCs w:val="1"/>
                <w:color w:val="auto"/>
              </w:rPr>
            </w:pPr>
          </w:p>
        </w:tc>
      </w:tr>
      <w:tr>
        <w:trPr>
          <w:trHeight w:val="176"/>
        </w:trPr>
        <w:tc>
          <w:tcPr>
            <w:tcW w:w="260" w:type="dxa"/>
            <w:vAlign w:val="bottom"/>
            <w:tcBorders>
              <w:left w:val="single" w:sz="8" w:color="56C271"/>
            </w:tcBorders>
            <w:vMerge w:val="continue"/>
            <w:shd w:val="clear" w:color="auto" w:fill="CCEDD4"/>
          </w:tcPr>
          <w:p>
            <w:pPr>
              <w:spacing w:after="0"/>
              <w:rPr>
                <w:sz w:val="15"/>
                <w:szCs w:val="15"/>
                <w:color w:val="auto"/>
              </w:rPr>
            </w:pPr>
          </w:p>
        </w:tc>
        <w:tc>
          <w:tcPr>
            <w:tcW w:w="2140" w:type="dxa"/>
            <w:vAlign w:val="bottom"/>
            <w:tcBorders>
              <w:right w:val="single" w:sz="8" w:color="56C271"/>
            </w:tcBorders>
            <w:vMerge w:val="continue"/>
            <w:shd w:val="clear" w:color="auto" w:fill="CCEDD4"/>
          </w:tcPr>
          <w:p>
            <w:pPr>
              <w:spacing w:after="0"/>
              <w:rPr>
                <w:sz w:val="15"/>
                <w:szCs w:val="15"/>
                <w:color w:val="auto"/>
              </w:rPr>
            </w:pPr>
          </w:p>
        </w:tc>
        <w:tc>
          <w:tcPr>
            <w:tcW w:w="100" w:type="dxa"/>
            <w:vAlign w:val="bottom"/>
          </w:tcPr>
          <w:p>
            <w:pPr>
              <w:spacing w:after="0"/>
              <w:rPr>
                <w:sz w:val="15"/>
                <w:szCs w:val="15"/>
                <w:color w:val="auto"/>
              </w:rPr>
            </w:pPr>
          </w:p>
        </w:tc>
        <w:tc>
          <w:tcPr>
            <w:tcW w:w="6260" w:type="dxa"/>
            <w:vAlign w:val="bottom"/>
            <w:tcBorders>
              <w:right w:val="single" w:sz="8" w:color="56C271"/>
            </w:tcBorders>
            <w:gridSpan w:val="4"/>
          </w:tcPr>
          <w:p>
            <w:pPr>
              <w:spacing w:after="0" w:line="176" w:lineRule="exact"/>
              <w:rPr>
                <w:sz w:val="20"/>
                <w:szCs w:val="20"/>
                <w:color w:val="auto"/>
              </w:rPr>
            </w:pPr>
            <w:r>
              <w:rPr>
                <w:rFonts w:ascii="Arial" w:cs="Arial" w:eastAsia="Arial" w:hAnsi="Arial"/>
                <w:sz w:val="18"/>
                <w:szCs w:val="18"/>
                <w:color w:val="auto"/>
              </w:rPr>
              <w:t>semiconductor industry. Additionally, as a former Chief Financial Officer for</w:t>
            </w:r>
          </w:p>
        </w:tc>
        <w:tc>
          <w:tcPr>
            <w:tcW w:w="0" w:type="dxa"/>
            <w:vAlign w:val="bottom"/>
          </w:tcPr>
          <w:p>
            <w:pPr>
              <w:spacing w:after="0"/>
              <w:rPr>
                <w:sz w:val="1"/>
                <w:szCs w:val="1"/>
                <w:color w:val="auto"/>
              </w:rPr>
            </w:pPr>
          </w:p>
        </w:tc>
      </w:tr>
      <w:tr>
        <w:trPr>
          <w:trHeight w:val="256"/>
        </w:trPr>
        <w:tc>
          <w:tcPr>
            <w:tcW w:w="260" w:type="dxa"/>
            <w:vAlign w:val="bottom"/>
            <w:tcBorders>
              <w:left w:val="single" w:sz="8" w:color="56C271"/>
            </w:tcBorders>
            <w:shd w:val="clear" w:color="auto" w:fill="CCEDD4"/>
          </w:tcPr>
          <w:p>
            <w:pPr>
              <w:ind w:left="100"/>
              <w:spacing w:after="0"/>
              <w:rPr>
                <w:sz w:val="20"/>
                <w:szCs w:val="20"/>
                <w:color w:val="auto"/>
              </w:rPr>
            </w:pPr>
            <w:r>
              <w:rPr>
                <w:rFonts w:ascii="Arial" w:cs="Arial" w:eastAsia="Arial" w:hAnsi="Arial"/>
                <w:sz w:val="18"/>
                <w:szCs w:val="18"/>
                <w:color w:val="56C271"/>
              </w:rPr>
              <w:t>•</w:t>
            </w:r>
          </w:p>
        </w:tc>
        <w:tc>
          <w:tcPr>
            <w:tcW w:w="2140" w:type="dxa"/>
            <w:vAlign w:val="bottom"/>
            <w:tcBorders>
              <w:right w:val="single" w:sz="8" w:color="56C271"/>
            </w:tcBorders>
            <w:shd w:val="clear" w:color="auto" w:fill="CCEDD4"/>
          </w:tcPr>
          <w:p>
            <w:pPr>
              <w:ind w:left="100"/>
              <w:spacing w:after="0"/>
              <w:rPr>
                <w:sz w:val="20"/>
                <w:szCs w:val="20"/>
                <w:color w:val="auto"/>
              </w:rPr>
            </w:pPr>
            <w:r>
              <w:rPr>
                <w:rFonts w:ascii="Arial" w:cs="Arial" w:eastAsia="Arial" w:hAnsi="Arial"/>
                <w:sz w:val="14"/>
                <w:szCs w:val="14"/>
                <w:color w:val="auto"/>
              </w:rPr>
              <w:t>Finance</w:t>
            </w:r>
          </w:p>
        </w:tc>
        <w:tc>
          <w:tcPr>
            <w:tcW w:w="100" w:type="dxa"/>
            <w:vAlign w:val="bottom"/>
          </w:tcPr>
          <w:p>
            <w:pPr>
              <w:spacing w:after="0"/>
              <w:rPr>
                <w:sz w:val="22"/>
                <w:szCs w:val="22"/>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multiple public companies, Mr. Maddock has extensive experience in finance</w:t>
            </w:r>
          </w:p>
        </w:tc>
        <w:tc>
          <w:tcPr>
            <w:tcW w:w="0" w:type="dxa"/>
            <w:vAlign w:val="bottom"/>
          </w:tcPr>
          <w:p>
            <w:pPr>
              <w:spacing w:after="0"/>
              <w:rPr>
                <w:sz w:val="1"/>
                <w:szCs w:val="1"/>
                <w:color w:val="auto"/>
              </w:rPr>
            </w:pPr>
          </w:p>
        </w:tc>
      </w:tr>
      <w:tr>
        <w:trPr>
          <w:trHeight w:val="216"/>
        </w:trPr>
        <w:tc>
          <w:tcPr>
            <w:tcW w:w="260" w:type="dxa"/>
            <w:vAlign w:val="bottom"/>
            <w:tcBorders>
              <w:left w:val="single" w:sz="8" w:color="56C271"/>
            </w:tcBorders>
            <w:shd w:val="clear" w:color="auto" w:fill="CCEDD4"/>
          </w:tcPr>
          <w:p>
            <w:pPr>
              <w:spacing w:after="0"/>
              <w:rPr>
                <w:sz w:val="18"/>
                <w:szCs w:val="18"/>
                <w:color w:val="auto"/>
              </w:rPr>
            </w:pPr>
          </w:p>
        </w:tc>
        <w:tc>
          <w:tcPr>
            <w:tcW w:w="2140" w:type="dxa"/>
            <w:vAlign w:val="bottom"/>
            <w:tcBorders>
              <w:right w:val="single" w:sz="8" w:color="56C271"/>
            </w:tcBorders>
            <w:shd w:val="clear" w:color="auto" w:fill="CCEDD4"/>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and accounting, particularly as it applies to public companies such as the</w:t>
            </w:r>
          </w:p>
        </w:tc>
        <w:tc>
          <w:tcPr>
            <w:tcW w:w="0" w:type="dxa"/>
            <w:vAlign w:val="bottom"/>
          </w:tcPr>
          <w:p>
            <w:pPr>
              <w:spacing w:after="0"/>
              <w:rPr>
                <w:sz w:val="1"/>
                <w:szCs w:val="1"/>
                <w:color w:val="auto"/>
              </w:rPr>
            </w:pPr>
          </w:p>
        </w:tc>
      </w:tr>
      <w:tr>
        <w:trPr>
          <w:trHeight w:val="217"/>
        </w:trPr>
        <w:tc>
          <w:tcPr>
            <w:tcW w:w="260" w:type="dxa"/>
            <w:vAlign w:val="bottom"/>
            <w:tcBorders>
              <w:left w:val="single" w:sz="8" w:color="56C271"/>
            </w:tcBorders>
            <w:shd w:val="clear" w:color="auto" w:fill="CCEDD4"/>
          </w:tcPr>
          <w:p>
            <w:pPr>
              <w:spacing w:after="0"/>
              <w:rPr>
                <w:sz w:val="18"/>
                <w:szCs w:val="18"/>
                <w:color w:val="auto"/>
              </w:rPr>
            </w:pPr>
          </w:p>
        </w:tc>
        <w:tc>
          <w:tcPr>
            <w:tcW w:w="2140" w:type="dxa"/>
            <w:vAlign w:val="bottom"/>
            <w:tcBorders>
              <w:right w:val="single" w:sz="8" w:color="56C271"/>
            </w:tcBorders>
            <w:shd w:val="clear" w:color="auto" w:fill="CCEDD4"/>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18"/>
                <w:szCs w:val="18"/>
                <w:color w:val="auto"/>
              </w:rPr>
            </w:pPr>
          </w:p>
        </w:tc>
        <w:tc>
          <w:tcPr>
            <w:tcW w:w="2880" w:type="dxa"/>
            <w:vAlign w:val="bottom"/>
            <w:tcBorders>
              <w:right w:val="single" w:sz="8" w:color="56C271"/>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56C271"/>
              <w:bottom w:val="single" w:sz="8" w:color="56C271"/>
            </w:tcBorders>
            <w:shd w:val="clear" w:color="auto" w:fill="CCEDD4"/>
          </w:tcPr>
          <w:p>
            <w:pPr>
              <w:spacing w:after="0"/>
              <w:rPr>
                <w:sz w:val="12"/>
                <w:szCs w:val="12"/>
                <w:color w:val="auto"/>
              </w:rPr>
            </w:pPr>
          </w:p>
        </w:tc>
        <w:tc>
          <w:tcPr>
            <w:tcW w:w="2140" w:type="dxa"/>
            <w:vAlign w:val="bottom"/>
            <w:tcBorders>
              <w:bottom w:val="single" w:sz="8" w:color="56C271"/>
              <w:right w:val="single" w:sz="8" w:color="56C271"/>
            </w:tcBorders>
            <w:shd w:val="clear" w:color="auto" w:fill="CCEDD4"/>
          </w:tcPr>
          <w:p>
            <w:pPr>
              <w:spacing w:after="0"/>
              <w:rPr>
                <w:sz w:val="12"/>
                <w:szCs w:val="12"/>
                <w:color w:val="auto"/>
              </w:rPr>
            </w:pPr>
          </w:p>
        </w:tc>
        <w:tc>
          <w:tcPr>
            <w:tcW w:w="100" w:type="dxa"/>
            <w:vAlign w:val="bottom"/>
            <w:tcBorders>
              <w:bottom w:val="single" w:sz="8" w:color="56C271"/>
            </w:tcBorders>
          </w:tcPr>
          <w:p>
            <w:pPr>
              <w:spacing w:after="0"/>
              <w:rPr>
                <w:sz w:val="12"/>
                <w:szCs w:val="12"/>
                <w:color w:val="auto"/>
              </w:rPr>
            </w:pPr>
          </w:p>
        </w:tc>
        <w:tc>
          <w:tcPr>
            <w:tcW w:w="200" w:type="dxa"/>
            <w:vAlign w:val="bottom"/>
            <w:tcBorders>
              <w:bottom w:val="single" w:sz="8" w:color="56C271"/>
            </w:tcBorders>
          </w:tcPr>
          <w:p>
            <w:pPr>
              <w:spacing w:after="0"/>
              <w:rPr>
                <w:sz w:val="12"/>
                <w:szCs w:val="12"/>
                <w:color w:val="auto"/>
              </w:rPr>
            </w:pPr>
          </w:p>
        </w:tc>
        <w:tc>
          <w:tcPr>
            <w:tcW w:w="2620" w:type="dxa"/>
            <w:vAlign w:val="bottom"/>
            <w:tcBorders>
              <w:bottom w:val="single" w:sz="8" w:color="56C271"/>
            </w:tcBorders>
          </w:tcPr>
          <w:p>
            <w:pPr>
              <w:spacing w:after="0"/>
              <w:rPr>
                <w:sz w:val="12"/>
                <w:szCs w:val="12"/>
                <w:color w:val="auto"/>
              </w:rPr>
            </w:pPr>
          </w:p>
        </w:tc>
        <w:tc>
          <w:tcPr>
            <w:tcW w:w="560" w:type="dxa"/>
            <w:vAlign w:val="bottom"/>
            <w:tcBorders>
              <w:bottom w:val="single" w:sz="8" w:color="56C271"/>
            </w:tcBorders>
          </w:tcPr>
          <w:p>
            <w:pPr>
              <w:spacing w:after="0"/>
              <w:rPr>
                <w:sz w:val="12"/>
                <w:szCs w:val="12"/>
                <w:color w:val="auto"/>
              </w:rPr>
            </w:pPr>
          </w:p>
        </w:tc>
        <w:tc>
          <w:tcPr>
            <w:tcW w:w="2880" w:type="dxa"/>
            <w:vAlign w:val="bottom"/>
            <w:tcBorders>
              <w:bottom w:val="single" w:sz="8" w:color="56C271"/>
              <w:right w:val="single" w:sz="8" w:color="56C271"/>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-3094355</wp:posOffset>
            </wp:positionV>
            <wp:extent cx="1028700" cy="1440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388"/>
        </w:trPr>
        <w:tc>
          <w:tcPr>
            <w:tcW w:w="1020" w:type="dxa"/>
            <w:vAlign w:val="bottom"/>
            <w:tcBorders>
              <w:right w:val="single" w:sz="8" w:color="56C271"/>
            </w:tcBorders>
          </w:tcPr>
          <w:p>
            <w:pPr>
              <w:spacing w:after="0"/>
              <w:rPr>
                <w:sz w:val="24"/>
                <w:szCs w:val="24"/>
                <w:color w:val="auto"/>
              </w:rPr>
            </w:pPr>
          </w:p>
        </w:tc>
        <w:tc>
          <w:tcPr>
            <w:tcW w:w="220" w:type="dxa"/>
            <w:vAlign w:val="bottom"/>
            <w:tcBorders>
              <w:top w:val="single" w:sz="8" w:color="56C271"/>
            </w:tcBorders>
            <w:shd w:val="clear" w:color="auto" w:fill="CCEDD4"/>
          </w:tcPr>
          <w:p>
            <w:pPr>
              <w:spacing w:after="0"/>
              <w:rPr>
                <w:sz w:val="24"/>
                <w:szCs w:val="24"/>
                <w:color w:val="auto"/>
              </w:rPr>
            </w:pPr>
          </w:p>
        </w:tc>
        <w:tc>
          <w:tcPr>
            <w:tcW w:w="2160" w:type="dxa"/>
            <w:vAlign w:val="bottom"/>
            <w:tcBorders>
              <w:top w:val="single" w:sz="8" w:color="56C271"/>
              <w:right w:val="single" w:sz="8" w:color="56C271"/>
            </w:tcBorders>
            <w:shd w:val="clear" w:color="auto" w:fill="CCEDD4"/>
          </w:tcPr>
          <w:p>
            <w:pPr>
              <w:spacing w:after="0"/>
              <w:rPr>
                <w:sz w:val="24"/>
                <w:szCs w:val="24"/>
                <w:color w:val="auto"/>
              </w:rPr>
            </w:pPr>
          </w:p>
        </w:tc>
        <w:tc>
          <w:tcPr>
            <w:tcW w:w="80" w:type="dxa"/>
            <w:vAlign w:val="bottom"/>
            <w:tcBorders>
              <w:top w:val="single" w:sz="8" w:color="56C271"/>
            </w:tcBorders>
            <w:shd w:val="clear" w:color="auto" w:fill="56C271"/>
          </w:tcPr>
          <w:p>
            <w:pPr>
              <w:spacing w:after="0"/>
              <w:rPr>
                <w:sz w:val="24"/>
                <w:szCs w:val="24"/>
                <w:color w:val="auto"/>
              </w:rPr>
            </w:pPr>
          </w:p>
        </w:tc>
        <w:tc>
          <w:tcPr>
            <w:tcW w:w="2820" w:type="dxa"/>
            <w:vAlign w:val="bottom"/>
            <w:tcBorders>
              <w:top w:val="single" w:sz="8" w:color="56C271"/>
            </w:tcBorders>
            <w:gridSpan w:val="2"/>
            <w:shd w:val="clear" w:color="auto" w:fill="56C271"/>
          </w:tcPr>
          <w:p>
            <w:pPr>
              <w:spacing w:after="0"/>
              <w:rPr>
                <w:sz w:val="20"/>
                <w:szCs w:val="20"/>
                <w:color w:val="auto"/>
              </w:rPr>
            </w:pPr>
            <w:r>
              <w:rPr>
                <w:rFonts w:ascii="Arial" w:cs="Arial" w:eastAsia="Arial" w:hAnsi="Arial"/>
                <w:sz w:val="22"/>
                <w:szCs w:val="22"/>
                <w:b w:val="1"/>
                <w:bCs w:val="1"/>
                <w:color w:val="FEFEFE"/>
              </w:rPr>
              <w:t>AVID MODJTABAI</w:t>
            </w:r>
          </w:p>
        </w:tc>
        <w:tc>
          <w:tcPr>
            <w:tcW w:w="580" w:type="dxa"/>
            <w:vAlign w:val="bottom"/>
            <w:tcBorders>
              <w:top w:val="single" w:sz="8" w:color="56C271"/>
            </w:tcBorders>
            <w:shd w:val="clear" w:color="auto" w:fill="56C271"/>
          </w:tcPr>
          <w:p>
            <w:pPr>
              <w:spacing w:after="0"/>
              <w:rPr>
                <w:sz w:val="24"/>
                <w:szCs w:val="24"/>
                <w:color w:val="auto"/>
              </w:rPr>
            </w:pPr>
          </w:p>
        </w:tc>
        <w:tc>
          <w:tcPr>
            <w:tcW w:w="2860" w:type="dxa"/>
            <w:vAlign w:val="bottom"/>
            <w:tcBorders>
              <w:top w:val="single" w:sz="8" w:color="56C271"/>
              <w:right w:val="single" w:sz="8" w:color="56C271"/>
            </w:tcBorders>
            <w:shd w:val="clear" w:color="auto" w:fill="56C271"/>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20" w:type="dxa"/>
            <w:vAlign w:val="bottom"/>
            <w:tcBorders>
              <w:right w:val="single" w:sz="8" w:color="56C271"/>
            </w:tcBorders>
          </w:tcPr>
          <w:p>
            <w:pPr>
              <w:spacing w:after="0"/>
              <w:rPr>
                <w:sz w:val="9"/>
                <w:szCs w:val="9"/>
                <w:color w:val="auto"/>
              </w:rPr>
            </w:pPr>
          </w:p>
        </w:tc>
        <w:tc>
          <w:tcPr>
            <w:tcW w:w="220" w:type="dxa"/>
            <w:vAlign w:val="bottom"/>
            <w:shd w:val="clear" w:color="auto" w:fill="CCEDD4"/>
          </w:tcPr>
          <w:p>
            <w:pPr>
              <w:spacing w:after="0"/>
              <w:rPr>
                <w:sz w:val="9"/>
                <w:szCs w:val="9"/>
                <w:color w:val="auto"/>
              </w:rPr>
            </w:pPr>
          </w:p>
        </w:tc>
        <w:tc>
          <w:tcPr>
            <w:tcW w:w="2160" w:type="dxa"/>
            <w:vAlign w:val="bottom"/>
            <w:tcBorders>
              <w:right w:val="single" w:sz="8" w:color="56C271"/>
            </w:tcBorders>
            <w:shd w:val="clear" w:color="auto" w:fill="CCEDD4"/>
          </w:tcPr>
          <w:p>
            <w:pPr>
              <w:spacing w:after="0"/>
              <w:rPr>
                <w:sz w:val="9"/>
                <w:szCs w:val="9"/>
                <w:color w:val="auto"/>
              </w:rPr>
            </w:pPr>
          </w:p>
        </w:tc>
        <w:tc>
          <w:tcPr>
            <w:tcW w:w="80" w:type="dxa"/>
            <w:vAlign w:val="bottom"/>
            <w:shd w:val="clear" w:color="auto" w:fill="56C271"/>
          </w:tcPr>
          <w:p>
            <w:pPr>
              <w:spacing w:after="0"/>
              <w:rPr>
                <w:sz w:val="9"/>
                <w:szCs w:val="9"/>
                <w:color w:val="auto"/>
              </w:rPr>
            </w:pPr>
          </w:p>
        </w:tc>
        <w:tc>
          <w:tcPr>
            <w:tcW w:w="2820" w:type="dxa"/>
            <w:vAlign w:val="bottom"/>
            <w:gridSpan w:val="2"/>
            <w:shd w:val="clear" w:color="auto" w:fill="56C271"/>
          </w:tcPr>
          <w:p>
            <w:pPr>
              <w:spacing w:after="0"/>
              <w:rPr>
                <w:sz w:val="9"/>
                <w:szCs w:val="9"/>
                <w:color w:val="auto"/>
              </w:rPr>
            </w:pPr>
          </w:p>
        </w:tc>
        <w:tc>
          <w:tcPr>
            <w:tcW w:w="580" w:type="dxa"/>
            <w:vAlign w:val="bottom"/>
            <w:shd w:val="clear" w:color="auto" w:fill="56C271"/>
          </w:tcPr>
          <w:p>
            <w:pPr>
              <w:spacing w:after="0"/>
              <w:rPr>
                <w:sz w:val="9"/>
                <w:szCs w:val="9"/>
                <w:color w:val="auto"/>
              </w:rPr>
            </w:pPr>
          </w:p>
        </w:tc>
        <w:tc>
          <w:tcPr>
            <w:tcW w:w="2860" w:type="dxa"/>
            <w:vAlign w:val="bottom"/>
            <w:tcBorders>
              <w:right w:val="single" w:sz="8" w:color="56C271"/>
            </w:tcBorders>
            <w:shd w:val="clear" w:color="auto" w:fill="56C271"/>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1020" w:type="dxa"/>
            <w:vAlign w:val="bottom"/>
            <w:tcBorders>
              <w:right w:val="single" w:sz="8" w:color="56C271"/>
            </w:tcBorders>
          </w:tcPr>
          <w:p>
            <w:pPr>
              <w:spacing w:after="0"/>
              <w:rPr>
                <w:sz w:val="24"/>
                <w:szCs w:val="24"/>
                <w:color w:val="auto"/>
              </w:rPr>
            </w:pPr>
          </w:p>
        </w:tc>
        <w:tc>
          <w:tcPr>
            <w:tcW w:w="220" w:type="dxa"/>
            <w:vAlign w:val="bottom"/>
            <w:shd w:val="clear" w:color="auto" w:fill="CCEDD4"/>
          </w:tcPr>
          <w:p>
            <w:pPr>
              <w:spacing w:after="0"/>
              <w:rPr>
                <w:sz w:val="24"/>
                <w:szCs w:val="24"/>
                <w:color w:val="auto"/>
              </w:rPr>
            </w:pPr>
          </w:p>
        </w:tc>
        <w:tc>
          <w:tcPr>
            <w:tcW w:w="2160" w:type="dxa"/>
            <w:vAlign w:val="bottom"/>
            <w:tcBorders>
              <w:right w:val="single" w:sz="8" w:color="56C271"/>
            </w:tcBorders>
            <w:shd w:val="clear" w:color="auto" w:fill="CCEDD4"/>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b w:val="1"/>
                <w:bCs w:val="1"/>
                <w:color w:val="56C271"/>
              </w:rPr>
              <w:t>Recent Business Experience:</w:t>
            </w:r>
          </w:p>
        </w:tc>
        <w:tc>
          <w:tcPr>
            <w:tcW w:w="580" w:type="dxa"/>
            <w:vAlign w:val="bottom"/>
          </w:tcPr>
          <w:p>
            <w:pPr>
              <w:spacing w:after="0"/>
              <w:rPr>
                <w:sz w:val="24"/>
                <w:szCs w:val="24"/>
                <w:color w:val="auto"/>
              </w:rPr>
            </w:pPr>
          </w:p>
        </w:tc>
        <w:tc>
          <w:tcPr>
            <w:tcW w:w="2860" w:type="dxa"/>
            <w:vAlign w:val="bottom"/>
            <w:tcBorders>
              <w:right w:val="single" w:sz="8" w:color="56C271"/>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20" w:type="dxa"/>
            <w:vAlign w:val="bottom"/>
            <w:tcBorders>
              <w:right w:val="single" w:sz="8" w:color="56C271"/>
            </w:tcBorders>
          </w:tcPr>
          <w:p>
            <w:pPr>
              <w:spacing w:after="0"/>
              <w:rPr>
                <w:sz w:val="24"/>
                <w:szCs w:val="24"/>
                <w:color w:val="auto"/>
              </w:rPr>
            </w:pPr>
          </w:p>
        </w:tc>
        <w:tc>
          <w:tcPr>
            <w:tcW w:w="220" w:type="dxa"/>
            <w:vAlign w:val="bottom"/>
            <w:shd w:val="clear" w:color="auto" w:fill="CCEDD4"/>
          </w:tcPr>
          <w:p>
            <w:pPr>
              <w:spacing w:after="0"/>
              <w:rPr>
                <w:sz w:val="24"/>
                <w:szCs w:val="24"/>
                <w:color w:val="auto"/>
              </w:rPr>
            </w:pPr>
          </w:p>
        </w:tc>
        <w:tc>
          <w:tcPr>
            <w:tcW w:w="2160" w:type="dxa"/>
            <w:vAlign w:val="bottom"/>
            <w:tcBorders>
              <w:right w:val="single" w:sz="8" w:color="56C271"/>
            </w:tcBorders>
            <w:shd w:val="clear" w:color="auto" w:fill="CCEDD4"/>
          </w:tcPr>
          <w:p>
            <w:pPr>
              <w:spacing w:after="0"/>
              <w:rPr>
                <w:sz w:val="24"/>
                <w:szCs w:val="24"/>
                <w:color w:val="auto"/>
              </w:rPr>
            </w:pPr>
          </w:p>
        </w:tc>
        <w:tc>
          <w:tcPr>
            <w:tcW w:w="80" w:type="dxa"/>
            <w:vAlign w:val="bottom"/>
          </w:tcPr>
          <w:p>
            <w:pPr>
              <w:spacing w:after="0"/>
              <w:rPr>
                <w:sz w:val="24"/>
                <w:szCs w:val="24"/>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Ms. Modjtabai served as the Senior Executive Vice President and head of the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16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Payments, Virtual Solutions and Innovation Group at Wells Fargo (NYSE: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16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WFC) until March 2020, when she retired from Wells Fargo after 27 years.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16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Prior to that, she served in various leadership roles at Wells Fargo, including</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16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Group head for Wells Fargo Consumer Lending from 2011 to 2016, Chief</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16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Information Officer and head of Technology and Operations Group from 2008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16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to 2011, Chief Information Officer and head of technology from 2007 to 2008,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16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and Director of Human Resources from 2005 to 2007. Ms. Modjtabai has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380" w:type="dxa"/>
            <w:vAlign w:val="bottom"/>
            <w:tcBorders>
              <w:right w:val="single" w:sz="8" w:color="56C271"/>
            </w:tcBorders>
            <w:gridSpan w:val="2"/>
            <w:vMerge w:val="restart"/>
            <w:shd w:val="clear" w:color="auto" w:fill="CCEDD4"/>
          </w:tcPr>
          <w:p>
            <w:pPr>
              <w:ind w:left="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2014</w:t>
            </w:r>
          </w:p>
        </w:tc>
        <w:tc>
          <w:tcPr>
            <w:tcW w:w="8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served on the board of directors of Prologis, Inc. (NYSE: PLD) since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020" w:type="dxa"/>
            <w:vAlign w:val="bottom"/>
            <w:tcBorders>
              <w:right w:val="single" w:sz="8" w:color="56C271"/>
            </w:tcBorders>
          </w:tcPr>
          <w:p>
            <w:pPr>
              <w:spacing w:after="0"/>
              <w:rPr>
                <w:sz w:val="10"/>
                <w:szCs w:val="10"/>
                <w:color w:val="auto"/>
              </w:rPr>
            </w:pPr>
          </w:p>
        </w:tc>
        <w:tc>
          <w:tcPr>
            <w:tcW w:w="2380" w:type="dxa"/>
            <w:vAlign w:val="bottom"/>
            <w:tcBorders>
              <w:right w:val="single" w:sz="8" w:color="56C271"/>
            </w:tcBorders>
            <w:gridSpan w:val="2"/>
            <w:vMerge w:val="continue"/>
            <w:shd w:val="clear" w:color="auto" w:fill="CCEDD4"/>
          </w:tcPr>
          <w:p>
            <w:pPr>
              <w:spacing w:after="0"/>
              <w:rPr>
                <w:sz w:val="10"/>
                <w:szCs w:val="10"/>
                <w:color w:val="auto"/>
              </w:rPr>
            </w:pPr>
          </w:p>
        </w:tc>
        <w:tc>
          <w:tcPr>
            <w:tcW w:w="80" w:type="dxa"/>
            <w:vAlign w:val="bottom"/>
          </w:tcPr>
          <w:p>
            <w:pPr>
              <w:spacing w:after="0"/>
              <w:rPr>
                <w:sz w:val="10"/>
                <w:szCs w:val="10"/>
                <w:color w:val="auto"/>
              </w:rPr>
            </w:pPr>
          </w:p>
        </w:tc>
        <w:tc>
          <w:tcPr>
            <w:tcW w:w="2820" w:type="dxa"/>
            <w:vAlign w:val="bottom"/>
            <w:gridSpan w:val="2"/>
            <w:vMerge w:val="restart"/>
          </w:tcPr>
          <w:p>
            <w:pPr>
              <w:spacing w:after="0"/>
              <w:rPr>
                <w:sz w:val="20"/>
                <w:szCs w:val="20"/>
                <w:color w:val="auto"/>
              </w:rPr>
            </w:pPr>
            <w:r>
              <w:rPr>
                <w:rFonts w:ascii="Arial" w:cs="Arial" w:eastAsia="Arial" w:hAnsi="Arial"/>
                <w:sz w:val="18"/>
                <w:szCs w:val="18"/>
                <w:color w:val="auto"/>
              </w:rPr>
              <w:t>February 2020.</w:t>
            </w:r>
          </w:p>
        </w:tc>
        <w:tc>
          <w:tcPr>
            <w:tcW w:w="580" w:type="dxa"/>
            <w:vAlign w:val="bottom"/>
          </w:tcPr>
          <w:p>
            <w:pPr>
              <w:spacing w:after="0"/>
              <w:rPr>
                <w:sz w:val="10"/>
                <w:szCs w:val="10"/>
                <w:color w:val="auto"/>
              </w:rPr>
            </w:pPr>
          </w:p>
        </w:tc>
        <w:tc>
          <w:tcPr>
            <w:tcW w:w="2860" w:type="dxa"/>
            <w:vAlign w:val="bottom"/>
            <w:tcBorders>
              <w:right w:val="single" w:sz="8" w:color="56C271"/>
            </w:tcBorders>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020" w:type="dxa"/>
            <w:vAlign w:val="bottom"/>
            <w:tcBorders>
              <w:right w:val="single" w:sz="8" w:color="56C271"/>
            </w:tcBorders>
          </w:tcPr>
          <w:p>
            <w:pPr>
              <w:spacing w:after="0"/>
              <w:rPr>
                <w:sz w:val="8"/>
                <w:szCs w:val="8"/>
                <w:color w:val="auto"/>
              </w:rPr>
            </w:pPr>
          </w:p>
        </w:tc>
        <w:tc>
          <w:tcPr>
            <w:tcW w:w="220" w:type="dxa"/>
            <w:vAlign w:val="bottom"/>
            <w:shd w:val="clear" w:color="auto" w:fill="CCEDD4"/>
          </w:tcPr>
          <w:p>
            <w:pPr>
              <w:spacing w:after="0"/>
              <w:rPr>
                <w:sz w:val="8"/>
                <w:szCs w:val="8"/>
                <w:color w:val="auto"/>
              </w:rPr>
            </w:pPr>
          </w:p>
        </w:tc>
        <w:tc>
          <w:tcPr>
            <w:tcW w:w="2160" w:type="dxa"/>
            <w:vAlign w:val="bottom"/>
            <w:tcBorders>
              <w:right w:val="single" w:sz="8" w:color="56C271"/>
            </w:tcBorders>
            <w:shd w:val="clear" w:color="auto" w:fill="CCEDD4"/>
          </w:tcPr>
          <w:p>
            <w:pPr>
              <w:spacing w:after="0"/>
              <w:rPr>
                <w:sz w:val="8"/>
                <w:szCs w:val="8"/>
                <w:color w:val="auto"/>
              </w:rPr>
            </w:pPr>
          </w:p>
        </w:tc>
        <w:tc>
          <w:tcPr>
            <w:tcW w:w="80" w:type="dxa"/>
            <w:vAlign w:val="bottom"/>
          </w:tcPr>
          <w:p>
            <w:pPr>
              <w:spacing w:after="0"/>
              <w:rPr>
                <w:sz w:val="8"/>
                <w:szCs w:val="8"/>
                <w:color w:val="auto"/>
              </w:rPr>
            </w:pPr>
          </w:p>
        </w:tc>
        <w:tc>
          <w:tcPr>
            <w:tcW w:w="28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860" w:type="dxa"/>
            <w:vAlign w:val="bottom"/>
            <w:tcBorders>
              <w:right w:val="single" w:sz="8" w:color="56C271"/>
            </w:tcBorders>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020" w:type="dxa"/>
            <w:vAlign w:val="bottom"/>
            <w:tcBorders>
              <w:right w:val="single" w:sz="8" w:color="56C271"/>
            </w:tcBorders>
          </w:tcPr>
          <w:p>
            <w:pPr>
              <w:spacing w:after="0"/>
              <w:rPr>
                <w:sz w:val="17"/>
                <w:szCs w:val="17"/>
                <w:color w:val="auto"/>
              </w:rPr>
            </w:pPr>
          </w:p>
        </w:tc>
        <w:tc>
          <w:tcPr>
            <w:tcW w:w="2380" w:type="dxa"/>
            <w:vAlign w:val="bottom"/>
            <w:tcBorders>
              <w:bottom w:val="single" w:sz="8" w:color="CCEDD4"/>
              <w:right w:val="single" w:sz="8" w:color="56C271"/>
            </w:tcBorders>
            <w:gridSpan w:val="2"/>
            <w:shd w:val="clear" w:color="auto" w:fill="CCEDD4"/>
          </w:tcPr>
          <w:p>
            <w:pPr>
              <w:ind w:left="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59</w:t>
            </w:r>
          </w:p>
        </w:tc>
        <w:tc>
          <w:tcPr>
            <w:tcW w:w="80" w:type="dxa"/>
            <w:vAlign w:val="bottom"/>
            <w:tcBorders>
              <w:bottom w:val="single" w:sz="8" w:color="56C271"/>
            </w:tcBorders>
          </w:tcPr>
          <w:p>
            <w:pPr>
              <w:spacing w:after="0"/>
              <w:rPr>
                <w:sz w:val="17"/>
                <w:szCs w:val="17"/>
                <w:color w:val="auto"/>
              </w:rPr>
            </w:pPr>
          </w:p>
        </w:tc>
        <w:tc>
          <w:tcPr>
            <w:tcW w:w="200" w:type="dxa"/>
            <w:vAlign w:val="bottom"/>
            <w:tcBorders>
              <w:bottom w:val="single" w:sz="8" w:color="56C271"/>
            </w:tcBorders>
          </w:tcPr>
          <w:p>
            <w:pPr>
              <w:spacing w:after="0"/>
              <w:rPr>
                <w:sz w:val="17"/>
                <w:szCs w:val="17"/>
                <w:color w:val="auto"/>
              </w:rPr>
            </w:pPr>
          </w:p>
        </w:tc>
        <w:tc>
          <w:tcPr>
            <w:tcW w:w="2620" w:type="dxa"/>
            <w:vAlign w:val="bottom"/>
            <w:tcBorders>
              <w:bottom w:val="single" w:sz="8" w:color="56C271"/>
            </w:tcBorders>
          </w:tcPr>
          <w:p>
            <w:pPr>
              <w:spacing w:after="0"/>
              <w:rPr>
                <w:sz w:val="17"/>
                <w:szCs w:val="17"/>
                <w:color w:val="auto"/>
              </w:rPr>
            </w:pPr>
          </w:p>
        </w:tc>
        <w:tc>
          <w:tcPr>
            <w:tcW w:w="580" w:type="dxa"/>
            <w:vAlign w:val="bottom"/>
            <w:tcBorders>
              <w:bottom w:val="single" w:sz="8" w:color="56C271"/>
            </w:tcBorders>
          </w:tcPr>
          <w:p>
            <w:pPr>
              <w:spacing w:after="0"/>
              <w:rPr>
                <w:sz w:val="17"/>
                <w:szCs w:val="17"/>
                <w:color w:val="auto"/>
              </w:rPr>
            </w:pPr>
          </w:p>
        </w:tc>
        <w:tc>
          <w:tcPr>
            <w:tcW w:w="2860" w:type="dxa"/>
            <w:vAlign w:val="bottom"/>
            <w:tcBorders>
              <w:bottom w:val="single" w:sz="8" w:color="56C271"/>
              <w:right w:val="single" w:sz="8" w:color="56C271"/>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1020" w:type="dxa"/>
            <w:vAlign w:val="bottom"/>
            <w:tcBorders>
              <w:right w:val="single" w:sz="8" w:color="56C271"/>
            </w:tcBorders>
          </w:tcPr>
          <w:p>
            <w:pPr>
              <w:spacing w:after="0"/>
              <w:rPr>
                <w:sz w:val="24"/>
                <w:szCs w:val="24"/>
                <w:color w:val="auto"/>
              </w:rPr>
            </w:pPr>
          </w:p>
        </w:tc>
        <w:tc>
          <w:tcPr>
            <w:tcW w:w="2380" w:type="dxa"/>
            <w:vAlign w:val="bottom"/>
            <w:tcBorders>
              <w:right w:val="single" w:sz="8" w:color="56C271"/>
            </w:tcBorders>
            <w:gridSpan w:val="2"/>
            <w:shd w:val="clear" w:color="auto" w:fill="CCEDD4"/>
          </w:tcPr>
          <w:p>
            <w:pPr>
              <w:ind w:left="60"/>
              <w:spacing w:after="0"/>
              <w:rPr>
                <w:sz w:val="20"/>
                <w:szCs w:val="20"/>
                <w:color w:val="auto"/>
              </w:rPr>
            </w:pPr>
            <w:r>
              <w:rPr>
                <w:rFonts w:ascii="Arial" w:cs="Arial" w:eastAsia="Arial" w:hAnsi="Arial"/>
                <w:sz w:val="14"/>
                <w:szCs w:val="14"/>
                <w:b w:val="1"/>
                <w:bCs w:val="1"/>
                <w:color w:val="auto"/>
              </w:rPr>
              <w:t>Independent</w:t>
            </w:r>
          </w:p>
        </w:tc>
        <w:tc>
          <w:tcPr>
            <w:tcW w:w="80" w:type="dxa"/>
            <w:vAlign w:val="bottom"/>
          </w:tcPr>
          <w:p>
            <w:pPr>
              <w:spacing w:after="0"/>
              <w:rPr>
                <w:sz w:val="24"/>
                <w:szCs w:val="24"/>
                <w:color w:val="auto"/>
              </w:rPr>
            </w:pPr>
          </w:p>
        </w:tc>
        <w:tc>
          <w:tcPr>
            <w:tcW w:w="3400" w:type="dxa"/>
            <w:vAlign w:val="bottom"/>
            <w:gridSpan w:val="3"/>
          </w:tcPr>
          <w:p>
            <w:pPr>
              <w:spacing w:after="0"/>
              <w:rPr>
                <w:sz w:val="20"/>
                <w:szCs w:val="20"/>
                <w:color w:val="auto"/>
              </w:rPr>
            </w:pPr>
            <w:r>
              <w:rPr>
                <w:rFonts w:ascii="Arial" w:cs="Arial" w:eastAsia="Arial" w:hAnsi="Arial"/>
                <w:sz w:val="18"/>
                <w:szCs w:val="18"/>
                <w:b w:val="1"/>
                <w:bCs w:val="1"/>
                <w:color w:val="56C271"/>
              </w:rPr>
              <w:t>Primary Qualifications and Experience:</w:t>
            </w:r>
          </w:p>
        </w:tc>
        <w:tc>
          <w:tcPr>
            <w:tcW w:w="2860" w:type="dxa"/>
            <w:vAlign w:val="bottom"/>
            <w:tcBorders>
              <w:right w:val="single" w:sz="8" w:color="56C271"/>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020" w:type="dxa"/>
            <w:vAlign w:val="bottom"/>
            <w:tcBorders>
              <w:right w:val="single" w:sz="8" w:color="56C271"/>
            </w:tcBorders>
          </w:tcPr>
          <w:p>
            <w:pPr>
              <w:spacing w:after="0"/>
              <w:rPr>
                <w:sz w:val="23"/>
                <w:szCs w:val="23"/>
                <w:color w:val="auto"/>
              </w:rPr>
            </w:pPr>
          </w:p>
        </w:tc>
        <w:tc>
          <w:tcPr>
            <w:tcW w:w="2380" w:type="dxa"/>
            <w:vAlign w:val="bottom"/>
            <w:tcBorders>
              <w:right w:val="single" w:sz="8" w:color="56C271"/>
            </w:tcBorders>
            <w:gridSpan w:val="2"/>
            <w:shd w:val="clear" w:color="auto" w:fill="CCEDD4"/>
          </w:tcPr>
          <w:p>
            <w:pPr>
              <w:ind w:left="60"/>
              <w:spacing w:after="0"/>
              <w:rPr>
                <w:sz w:val="20"/>
                <w:szCs w:val="20"/>
                <w:color w:val="auto"/>
              </w:rPr>
            </w:pPr>
            <w:r>
              <w:rPr>
                <w:rFonts w:ascii="Arial" w:cs="Arial" w:eastAsia="Arial" w:hAnsi="Arial"/>
                <w:sz w:val="14"/>
                <w:szCs w:val="14"/>
                <w:b w:val="1"/>
                <w:bCs w:val="1"/>
                <w:color w:val="auto"/>
              </w:rPr>
              <w:t>Current Committee</w:t>
            </w:r>
          </w:p>
        </w:tc>
        <w:tc>
          <w:tcPr>
            <w:tcW w:w="8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Finance</w:t>
            </w:r>
          </w:p>
        </w:tc>
        <w:tc>
          <w:tcPr>
            <w:tcW w:w="580" w:type="dxa"/>
            <w:vAlign w:val="bottom"/>
          </w:tcPr>
          <w:p>
            <w:pPr>
              <w:ind w:left="360"/>
              <w:spacing w:after="0"/>
              <w:rPr>
                <w:sz w:val="20"/>
                <w:szCs w:val="20"/>
                <w:color w:val="auto"/>
              </w:rPr>
            </w:pPr>
            <w:r>
              <w:rPr>
                <w:rFonts w:ascii="Arial" w:cs="Arial" w:eastAsia="Arial" w:hAnsi="Arial"/>
                <w:sz w:val="18"/>
                <w:szCs w:val="18"/>
                <w:color w:val="56C271"/>
              </w:rPr>
              <w:t>•</w:t>
            </w:r>
          </w:p>
        </w:tc>
        <w:tc>
          <w:tcPr>
            <w:tcW w:w="2860" w:type="dxa"/>
            <w:vAlign w:val="bottom"/>
            <w:tcBorders>
              <w:right w:val="single" w:sz="8" w:color="56C271"/>
            </w:tcBorders>
          </w:tcPr>
          <w:p>
            <w:pPr>
              <w:ind w:left="100"/>
              <w:spacing w:after="0"/>
              <w:rPr>
                <w:sz w:val="20"/>
                <w:szCs w:val="20"/>
                <w:color w:val="auto"/>
              </w:rPr>
            </w:pPr>
            <w:r>
              <w:rPr>
                <w:rFonts w:ascii="Arial" w:cs="Arial" w:eastAsia="Arial" w:hAnsi="Arial"/>
                <w:sz w:val="18"/>
                <w:szCs w:val="18"/>
                <w:color w:val="auto"/>
              </w:rPr>
              <w:t>Technology/ Digital Media</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020" w:type="dxa"/>
            <w:vAlign w:val="bottom"/>
            <w:tcBorders>
              <w:right w:val="single" w:sz="8" w:color="56C271"/>
            </w:tcBorders>
          </w:tcPr>
          <w:p>
            <w:pPr>
              <w:spacing w:after="0"/>
              <w:rPr>
                <w:sz w:val="16"/>
                <w:szCs w:val="16"/>
                <w:color w:val="auto"/>
              </w:rPr>
            </w:pPr>
          </w:p>
        </w:tc>
        <w:tc>
          <w:tcPr>
            <w:tcW w:w="2380" w:type="dxa"/>
            <w:vAlign w:val="bottom"/>
            <w:tcBorders>
              <w:right w:val="single" w:sz="8" w:color="56C271"/>
            </w:tcBorders>
            <w:gridSpan w:val="2"/>
            <w:shd w:val="clear" w:color="auto" w:fill="CCEDD4"/>
          </w:tcPr>
          <w:p>
            <w:pPr>
              <w:ind w:left="60"/>
              <w:spacing w:after="0"/>
              <w:rPr>
                <w:sz w:val="20"/>
                <w:szCs w:val="20"/>
                <w:color w:val="auto"/>
              </w:rPr>
            </w:pPr>
            <w:r>
              <w:rPr>
                <w:rFonts w:ascii="Arial" w:cs="Arial" w:eastAsia="Arial" w:hAnsi="Arial"/>
                <w:sz w:val="14"/>
                <w:szCs w:val="14"/>
                <w:b w:val="1"/>
                <w:bCs w:val="1"/>
                <w:color w:val="auto"/>
              </w:rPr>
              <w:t>Memberships:</w:t>
            </w:r>
          </w:p>
        </w:tc>
        <w:tc>
          <w:tcPr>
            <w:tcW w:w="80" w:type="dxa"/>
            <w:vAlign w:val="bottom"/>
          </w:tcPr>
          <w:p>
            <w:pPr>
              <w:spacing w:after="0"/>
              <w:rPr>
                <w:sz w:val="16"/>
                <w:szCs w:val="16"/>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56C271"/>
              </w:rPr>
              <w:t>•</w:t>
            </w:r>
          </w:p>
        </w:tc>
        <w:tc>
          <w:tcPr>
            <w:tcW w:w="2620" w:type="dxa"/>
            <w:vAlign w:val="bottom"/>
            <w:vMerge w:val="restart"/>
          </w:tcPr>
          <w:p>
            <w:pPr>
              <w:ind w:left="140"/>
              <w:spacing w:after="0"/>
              <w:rPr>
                <w:sz w:val="20"/>
                <w:szCs w:val="20"/>
                <w:color w:val="auto"/>
              </w:rPr>
            </w:pPr>
            <w:r>
              <w:rPr>
                <w:rFonts w:ascii="Arial" w:cs="Arial" w:eastAsia="Arial" w:hAnsi="Arial"/>
                <w:sz w:val="18"/>
                <w:szCs w:val="18"/>
                <w:color w:val="auto"/>
              </w:rPr>
              <w:t>Marketing</w:t>
            </w:r>
          </w:p>
        </w:tc>
        <w:tc>
          <w:tcPr>
            <w:tcW w:w="580" w:type="dxa"/>
            <w:vAlign w:val="bottom"/>
            <w:vMerge w:val="restart"/>
          </w:tcPr>
          <w:p>
            <w:pPr>
              <w:ind w:left="360"/>
              <w:spacing w:after="0"/>
              <w:rPr>
                <w:sz w:val="20"/>
                <w:szCs w:val="20"/>
                <w:color w:val="auto"/>
              </w:rPr>
            </w:pPr>
            <w:r>
              <w:rPr>
                <w:rFonts w:ascii="Arial" w:cs="Arial" w:eastAsia="Arial" w:hAnsi="Arial"/>
                <w:sz w:val="18"/>
                <w:szCs w:val="18"/>
                <w:color w:val="56C271"/>
              </w:rPr>
              <w:t>•</w:t>
            </w:r>
          </w:p>
        </w:tc>
        <w:tc>
          <w:tcPr>
            <w:tcW w:w="2860" w:type="dxa"/>
            <w:vAlign w:val="bottom"/>
            <w:tcBorders>
              <w:right w:val="single" w:sz="8" w:color="56C271"/>
            </w:tcBorders>
            <w:vMerge w:val="restart"/>
          </w:tcPr>
          <w:p>
            <w:pPr>
              <w:ind w:left="100"/>
              <w:spacing w:after="0"/>
              <w:rPr>
                <w:sz w:val="20"/>
                <w:szCs w:val="20"/>
                <w:color w:val="auto"/>
              </w:rPr>
            </w:pPr>
            <w:r>
              <w:rPr>
                <w:rFonts w:ascii="Arial" w:cs="Arial" w:eastAsia="Arial" w:hAnsi="Arial"/>
                <w:sz w:val="18"/>
                <w:szCs w:val="18"/>
                <w:color w:val="auto"/>
              </w:rPr>
              <w:t>Operations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20" w:type="dxa"/>
            <w:vAlign w:val="bottom"/>
            <w:tcBorders>
              <w:right w:val="single" w:sz="8" w:color="56C271"/>
            </w:tcBorders>
          </w:tcPr>
          <w:p>
            <w:pPr>
              <w:spacing w:after="0"/>
              <w:rPr>
                <w:sz w:val="16"/>
                <w:szCs w:val="16"/>
                <w:color w:val="auto"/>
              </w:rPr>
            </w:pPr>
          </w:p>
        </w:tc>
        <w:tc>
          <w:tcPr>
            <w:tcW w:w="220" w:type="dxa"/>
            <w:vAlign w:val="bottom"/>
            <w:vMerge w:val="restart"/>
            <w:shd w:val="clear" w:color="auto" w:fill="CCEDD4"/>
          </w:tcPr>
          <w:p>
            <w:pPr>
              <w:ind w:left="60"/>
              <w:spacing w:after="0"/>
              <w:rPr>
                <w:sz w:val="20"/>
                <w:szCs w:val="20"/>
                <w:color w:val="auto"/>
              </w:rPr>
            </w:pPr>
            <w:r>
              <w:rPr>
                <w:rFonts w:ascii="Arial" w:cs="Arial" w:eastAsia="Arial" w:hAnsi="Arial"/>
                <w:sz w:val="18"/>
                <w:szCs w:val="18"/>
                <w:color w:val="56C271"/>
              </w:rPr>
              <w:t>•</w:t>
            </w:r>
          </w:p>
        </w:tc>
        <w:tc>
          <w:tcPr>
            <w:tcW w:w="2160" w:type="dxa"/>
            <w:vAlign w:val="bottom"/>
            <w:tcBorders>
              <w:right w:val="single" w:sz="8" w:color="56C271"/>
            </w:tcBorders>
            <w:vMerge w:val="restart"/>
            <w:shd w:val="clear" w:color="auto" w:fill="CCEDD4"/>
          </w:tcPr>
          <w:p>
            <w:pPr>
              <w:ind w:left="100"/>
              <w:spacing w:after="0"/>
              <w:rPr>
                <w:sz w:val="20"/>
                <w:szCs w:val="20"/>
                <w:color w:val="auto"/>
              </w:rPr>
            </w:pPr>
            <w:r>
              <w:rPr>
                <w:rFonts w:ascii="Arial" w:cs="Arial" w:eastAsia="Arial" w:hAnsi="Arial"/>
                <w:sz w:val="14"/>
                <w:szCs w:val="14"/>
                <w:color w:val="auto"/>
              </w:rPr>
              <w:t>Compensation and</w:t>
            </w: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860" w:type="dxa"/>
            <w:vAlign w:val="bottom"/>
            <w:tcBorders>
              <w:right w:val="single" w:sz="8" w:color="56C271"/>
            </w:tcBorders>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1020" w:type="dxa"/>
            <w:vAlign w:val="bottom"/>
            <w:tcBorders>
              <w:right w:val="single" w:sz="8" w:color="56C271"/>
            </w:tcBorders>
          </w:tcPr>
          <w:p>
            <w:pPr>
              <w:spacing w:after="0"/>
              <w:rPr>
                <w:sz w:val="5"/>
                <w:szCs w:val="5"/>
                <w:color w:val="auto"/>
              </w:rPr>
            </w:pPr>
          </w:p>
        </w:tc>
        <w:tc>
          <w:tcPr>
            <w:tcW w:w="220" w:type="dxa"/>
            <w:vAlign w:val="bottom"/>
            <w:vMerge w:val="continue"/>
            <w:shd w:val="clear" w:color="auto" w:fill="CCEDD4"/>
          </w:tcPr>
          <w:p>
            <w:pPr>
              <w:spacing w:after="0"/>
              <w:rPr>
                <w:sz w:val="5"/>
                <w:szCs w:val="5"/>
                <w:color w:val="auto"/>
              </w:rPr>
            </w:pPr>
          </w:p>
        </w:tc>
        <w:tc>
          <w:tcPr>
            <w:tcW w:w="2160" w:type="dxa"/>
            <w:vAlign w:val="bottom"/>
            <w:tcBorders>
              <w:right w:val="single" w:sz="8" w:color="56C271"/>
            </w:tcBorders>
            <w:vMerge w:val="continue"/>
            <w:shd w:val="clear" w:color="auto" w:fill="CCEDD4"/>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60" w:type="dxa"/>
            <w:vAlign w:val="bottom"/>
            <w:tcBorders>
              <w:right w:val="single" w:sz="8" w:color="56C271"/>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1020" w:type="dxa"/>
            <w:vAlign w:val="bottom"/>
            <w:tcBorders>
              <w:right w:val="single" w:sz="8" w:color="56C271"/>
            </w:tcBorders>
          </w:tcPr>
          <w:p>
            <w:pPr>
              <w:spacing w:after="0"/>
              <w:rPr>
                <w:sz w:val="14"/>
                <w:szCs w:val="14"/>
                <w:color w:val="auto"/>
              </w:rPr>
            </w:pPr>
          </w:p>
        </w:tc>
        <w:tc>
          <w:tcPr>
            <w:tcW w:w="220" w:type="dxa"/>
            <w:vAlign w:val="bottom"/>
            <w:shd w:val="clear" w:color="auto" w:fill="CCEDD4"/>
          </w:tcPr>
          <w:p>
            <w:pPr>
              <w:spacing w:after="0"/>
              <w:rPr>
                <w:sz w:val="14"/>
                <w:szCs w:val="14"/>
                <w:color w:val="auto"/>
              </w:rPr>
            </w:pPr>
          </w:p>
        </w:tc>
        <w:tc>
          <w:tcPr>
            <w:tcW w:w="2160" w:type="dxa"/>
            <w:vAlign w:val="bottom"/>
            <w:tcBorders>
              <w:right w:val="single" w:sz="8" w:color="56C271"/>
            </w:tcBorders>
            <w:shd w:val="clear" w:color="auto" w:fill="CCEDD4"/>
          </w:tcPr>
          <w:p>
            <w:pPr>
              <w:ind w:left="100"/>
              <w:spacing w:after="0"/>
              <w:rPr>
                <w:sz w:val="20"/>
                <w:szCs w:val="20"/>
                <w:color w:val="auto"/>
              </w:rPr>
            </w:pPr>
            <w:r>
              <w:rPr>
                <w:rFonts w:ascii="Arial" w:cs="Arial" w:eastAsia="Arial" w:hAnsi="Arial"/>
                <w:sz w:val="14"/>
                <w:szCs w:val="14"/>
                <w:color w:val="auto"/>
              </w:rPr>
              <w:t>Leadership Development</w:t>
            </w:r>
          </w:p>
        </w:tc>
        <w:tc>
          <w:tcPr>
            <w:tcW w:w="80" w:type="dxa"/>
            <w:vAlign w:val="bottom"/>
          </w:tcPr>
          <w:p>
            <w:pPr>
              <w:spacing w:after="0"/>
              <w:rPr>
                <w:sz w:val="14"/>
                <w:szCs w:val="14"/>
                <w:color w:val="auto"/>
              </w:rPr>
            </w:pPr>
          </w:p>
        </w:tc>
        <w:tc>
          <w:tcPr>
            <w:tcW w:w="6260" w:type="dxa"/>
            <w:vAlign w:val="bottom"/>
            <w:tcBorders>
              <w:right w:val="single" w:sz="8" w:color="56C271"/>
            </w:tcBorders>
            <w:gridSpan w:val="4"/>
            <w:vMerge w:val="restart"/>
          </w:tcPr>
          <w:p>
            <w:pPr>
              <w:spacing w:after="0"/>
              <w:rPr>
                <w:sz w:val="20"/>
                <w:szCs w:val="20"/>
                <w:color w:val="auto"/>
              </w:rPr>
            </w:pPr>
            <w:r>
              <w:rPr>
                <w:rFonts w:ascii="Arial" w:cs="Arial" w:eastAsia="Arial" w:hAnsi="Arial"/>
                <w:sz w:val="18"/>
                <w:szCs w:val="18"/>
                <w:color w:val="auto"/>
              </w:rPr>
              <w:t>The Board benefits from Ms. Modjtabai’s extensive experience in operations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20" w:type="dxa"/>
            <w:vAlign w:val="bottom"/>
            <w:tcBorders>
              <w:right w:val="single" w:sz="8" w:color="56C271"/>
            </w:tcBorders>
          </w:tcPr>
          <w:p>
            <w:pPr>
              <w:spacing w:after="0"/>
              <w:rPr>
                <w:sz w:val="15"/>
                <w:szCs w:val="15"/>
                <w:color w:val="auto"/>
              </w:rPr>
            </w:pPr>
          </w:p>
        </w:tc>
        <w:tc>
          <w:tcPr>
            <w:tcW w:w="220" w:type="dxa"/>
            <w:vAlign w:val="bottom"/>
            <w:vMerge w:val="restart"/>
            <w:shd w:val="clear" w:color="auto" w:fill="CCEDD4"/>
          </w:tcPr>
          <w:p>
            <w:pPr>
              <w:ind w:left="60"/>
              <w:spacing w:after="0"/>
              <w:rPr>
                <w:sz w:val="20"/>
                <w:szCs w:val="20"/>
                <w:color w:val="auto"/>
              </w:rPr>
            </w:pPr>
            <w:r>
              <w:rPr>
                <w:rFonts w:ascii="Arial" w:cs="Arial" w:eastAsia="Arial" w:hAnsi="Arial"/>
                <w:sz w:val="18"/>
                <w:szCs w:val="18"/>
                <w:color w:val="56C271"/>
              </w:rPr>
              <w:t>•</w:t>
            </w:r>
          </w:p>
        </w:tc>
        <w:tc>
          <w:tcPr>
            <w:tcW w:w="2160" w:type="dxa"/>
            <w:vAlign w:val="bottom"/>
            <w:tcBorders>
              <w:right w:val="single" w:sz="8" w:color="56C271"/>
            </w:tcBorders>
            <w:vMerge w:val="restart"/>
            <w:shd w:val="clear" w:color="auto" w:fill="CCEDD4"/>
          </w:tcPr>
          <w:p>
            <w:pPr>
              <w:ind w:left="100"/>
              <w:spacing w:after="0"/>
              <w:rPr>
                <w:sz w:val="20"/>
                <w:szCs w:val="20"/>
                <w:color w:val="auto"/>
              </w:rPr>
            </w:pPr>
            <w:r>
              <w:rPr>
                <w:rFonts w:ascii="Arial" w:cs="Arial" w:eastAsia="Arial" w:hAnsi="Arial"/>
                <w:sz w:val="14"/>
                <w:szCs w:val="14"/>
                <w:color w:val="auto"/>
              </w:rPr>
              <w:t>Corporate Governance</w:t>
            </w:r>
          </w:p>
        </w:tc>
        <w:tc>
          <w:tcPr>
            <w:tcW w:w="80" w:type="dxa"/>
            <w:vAlign w:val="bottom"/>
          </w:tcPr>
          <w:p>
            <w:pPr>
              <w:spacing w:after="0"/>
              <w:rPr>
                <w:sz w:val="15"/>
                <w:szCs w:val="15"/>
                <w:color w:val="auto"/>
              </w:rPr>
            </w:pPr>
          </w:p>
        </w:tc>
        <w:tc>
          <w:tcPr>
            <w:tcW w:w="6260" w:type="dxa"/>
            <w:vAlign w:val="bottom"/>
            <w:tcBorders>
              <w:right w:val="single" w:sz="8" w:color="56C271"/>
            </w:tcBorders>
            <w:gridSpan w:val="4"/>
            <w:vMerge w:val="continue"/>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020" w:type="dxa"/>
            <w:vAlign w:val="bottom"/>
            <w:tcBorders>
              <w:right w:val="single" w:sz="8" w:color="56C271"/>
            </w:tcBorders>
          </w:tcPr>
          <w:p>
            <w:pPr>
              <w:spacing w:after="0"/>
              <w:rPr>
                <w:sz w:val="5"/>
                <w:szCs w:val="5"/>
                <w:color w:val="auto"/>
              </w:rPr>
            </w:pPr>
          </w:p>
        </w:tc>
        <w:tc>
          <w:tcPr>
            <w:tcW w:w="220" w:type="dxa"/>
            <w:vAlign w:val="bottom"/>
            <w:vMerge w:val="continue"/>
            <w:shd w:val="clear" w:color="auto" w:fill="CCEDD4"/>
          </w:tcPr>
          <w:p>
            <w:pPr>
              <w:spacing w:after="0"/>
              <w:rPr>
                <w:sz w:val="5"/>
                <w:szCs w:val="5"/>
                <w:color w:val="auto"/>
              </w:rPr>
            </w:pPr>
          </w:p>
        </w:tc>
        <w:tc>
          <w:tcPr>
            <w:tcW w:w="2160" w:type="dxa"/>
            <w:vAlign w:val="bottom"/>
            <w:tcBorders>
              <w:right w:val="single" w:sz="8" w:color="56C271"/>
            </w:tcBorders>
            <w:vMerge w:val="continue"/>
            <w:shd w:val="clear" w:color="auto" w:fill="CCEDD4"/>
          </w:tcPr>
          <w:p>
            <w:pPr>
              <w:spacing w:after="0"/>
              <w:rPr>
                <w:sz w:val="5"/>
                <w:szCs w:val="5"/>
                <w:color w:val="auto"/>
              </w:rPr>
            </w:pPr>
          </w:p>
        </w:tc>
        <w:tc>
          <w:tcPr>
            <w:tcW w:w="80" w:type="dxa"/>
            <w:vAlign w:val="bottom"/>
          </w:tcPr>
          <w:p>
            <w:pPr>
              <w:spacing w:after="0"/>
              <w:rPr>
                <w:sz w:val="5"/>
                <w:szCs w:val="5"/>
                <w:color w:val="auto"/>
              </w:rPr>
            </w:pPr>
          </w:p>
        </w:tc>
        <w:tc>
          <w:tcPr>
            <w:tcW w:w="6260" w:type="dxa"/>
            <w:vAlign w:val="bottom"/>
            <w:tcBorders>
              <w:right w:val="single" w:sz="8" w:color="56C271"/>
            </w:tcBorders>
            <w:gridSpan w:val="4"/>
            <w:vMerge w:val="restart"/>
          </w:tcPr>
          <w:p>
            <w:pPr>
              <w:spacing w:after="0"/>
              <w:rPr>
                <w:sz w:val="20"/>
                <w:szCs w:val="20"/>
                <w:color w:val="auto"/>
              </w:rPr>
            </w:pPr>
            <w:r>
              <w:rPr>
                <w:rFonts w:ascii="Arial" w:cs="Arial" w:eastAsia="Arial" w:hAnsi="Arial"/>
                <w:sz w:val="18"/>
                <w:szCs w:val="18"/>
                <w:color w:val="auto"/>
              </w:rPr>
              <w:t>and strategy development. The Board also benefits from her experience in</w:t>
            </w: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020" w:type="dxa"/>
            <w:vAlign w:val="bottom"/>
            <w:tcBorders>
              <w:right w:val="single" w:sz="8" w:color="56C271"/>
            </w:tcBorders>
          </w:tcPr>
          <w:p>
            <w:pPr>
              <w:spacing w:after="0"/>
              <w:rPr>
                <w:sz w:val="13"/>
                <w:szCs w:val="13"/>
                <w:color w:val="auto"/>
              </w:rPr>
            </w:pPr>
          </w:p>
        </w:tc>
        <w:tc>
          <w:tcPr>
            <w:tcW w:w="220" w:type="dxa"/>
            <w:vAlign w:val="bottom"/>
            <w:shd w:val="clear" w:color="auto" w:fill="CCEDD4"/>
          </w:tcPr>
          <w:p>
            <w:pPr>
              <w:spacing w:after="0"/>
              <w:rPr>
                <w:sz w:val="13"/>
                <w:szCs w:val="13"/>
                <w:color w:val="auto"/>
              </w:rPr>
            </w:pPr>
          </w:p>
        </w:tc>
        <w:tc>
          <w:tcPr>
            <w:tcW w:w="2160" w:type="dxa"/>
            <w:vAlign w:val="bottom"/>
            <w:tcBorders>
              <w:right w:val="single" w:sz="8" w:color="56C271"/>
            </w:tcBorders>
            <w:shd w:val="clear" w:color="auto" w:fill="CCEDD4"/>
          </w:tcPr>
          <w:p>
            <w:pPr>
              <w:ind w:left="100"/>
              <w:spacing w:after="0" w:line="157" w:lineRule="exact"/>
              <w:rPr>
                <w:sz w:val="20"/>
                <w:szCs w:val="20"/>
                <w:color w:val="auto"/>
              </w:rPr>
            </w:pPr>
            <w:r>
              <w:rPr>
                <w:rFonts w:ascii="Arial" w:cs="Arial" w:eastAsia="Arial" w:hAnsi="Arial"/>
                <w:sz w:val="14"/>
                <w:szCs w:val="14"/>
                <w:color w:val="auto"/>
              </w:rPr>
              <w:t>(Chair)</w:t>
            </w:r>
          </w:p>
        </w:tc>
        <w:tc>
          <w:tcPr>
            <w:tcW w:w="80" w:type="dxa"/>
            <w:vAlign w:val="bottom"/>
          </w:tcPr>
          <w:p>
            <w:pPr>
              <w:spacing w:after="0"/>
              <w:rPr>
                <w:sz w:val="13"/>
                <w:szCs w:val="13"/>
                <w:color w:val="auto"/>
              </w:rPr>
            </w:pPr>
          </w:p>
        </w:tc>
        <w:tc>
          <w:tcPr>
            <w:tcW w:w="6260" w:type="dxa"/>
            <w:vAlign w:val="bottom"/>
            <w:tcBorders>
              <w:right w:val="single" w:sz="8" w:color="56C271"/>
            </w:tcBorders>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ind w:left="60"/>
              <w:spacing w:after="0"/>
              <w:rPr>
                <w:sz w:val="20"/>
                <w:szCs w:val="20"/>
                <w:color w:val="auto"/>
              </w:rPr>
            </w:pPr>
            <w:r>
              <w:rPr>
                <w:rFonts w:ascii="Arial" w:cs="Arial" w:eastAsia="Arial" w:hAnsi="Arial"/>
                <w:sz w:val="14"/>
                <w:szCs w:val="14"/>
                <w:color w:val="56C271"/>
              </w:rPr>
              <w:t>•</w:t>
            </w:r>
          </w:p>
        </w:tc>
        <w:tc>
          <w:tcPr>
            <w:tcW w:w="2160" w:type="dxa"/>
            <w:vAlign w:val="bottom"/>
            <w:tcBorders>
              <w:right w:val="single" w:sz="8" w:color="56C271"/>
            </w:tcBorders>
            <w:vMerge w:val="restart"/>
            <w:shd w:val="clear" w:color="auto" w:fill="CCEDD4"/>
          </w:tcPr>
          <w:p>
            <w:pPr>
              <w:ind w:left="100"/>
              <w:spacing w:after="0"/>
              <w:rPr>
                <w:sz w:val="20"/>
                <w:szCs w:val="20"/>
                <w:color w:val="auto"/>
              </w:rPr>
            </w:pPr>
            <w:r>
              <w:rPr>
                <w:rFonts w:ascii="Arial" w:cs="Arial" w:eastAsia="Arial" w:hAnsi="Arial"/>
                <w:sz w:val="14"/>
                <w:szCs w:val="14"/>
                <w:color w:val="auto"/>
              </w:rPr>
              <w:t>Executive</w:t>
            </w:r>
          </w:p>
        </w:tc>
        <w:tc>
          <w:tcPr>
            <w:tcW w:w="80" w:type="dxa"/>
            <w:vAlign w:val="bottom"/>
          </w:tcPr>
          <w:p>
            <w:pPr>
              <w:spacing w:after="0"/>
              <w:rPr>
                <w:sz w:val="18"/>
                <w:szCs w:val="18"/>
                <w:color w:val="auto"/>
              </w:rPr>
            </w:pPr>
          </w:p>
        </w:tc>
        <w:tc>
          <w:tcPr>
            <w:tcW w:w="6260" w:type="dxa"/>
            <w:vAlign w:val="bottom"/>
            <w:tcBorders>
              <w:right w:val="single" w:sz="8" w:color="56C271"/>
            </w:tcBorders>
            <w:gridSpan w:val="4"/>
          </w:tcPr>
          <w:p>
            <w:pPr>
              <w:spacing w:after="0"/>
              <w:rPr>
                <w:sz w:val="20"/>
                <w:szCs w:val="20"/>
                <w:color w:val="auto"/>
              </w:rPr>
            </w:pPr>
            <w:r>
              <w:rPr>
                <w:rFonts w:ascii="Arial" w:cs="Arial" w:eastAsia="Arial" w:hAnsi="Arial"/>
                <w:sz w:val="18"/>
                <w:szCs w:val="18"/>
                <w:color w:val="auto"/>
              </w:rPr>
              <w:t>the areas of financial services and change management.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020" w:type="dxa"/>
            <w:vAlign w:val="bottom"/>
            <w:tcBorders>
              <w:right w:val="single" w:sz="8" w:color="56C271"/>
            </w:tcBorders>
          </w:tcPr>
          <w:p>
            <w:pPr>
              <w:spacing w:after="0"/>
              <w:rPr>
                <w:sz w:val="12"/>
                <w:szCs w:val="12"/>
                <w:color w:val="auto"/>
              </w:rPr>
            </w:pPr>
          </w:p>
        </w:tc>
        <w:tc>
          <w:tcPr>
            <w:tcW w:w="220" w:type="dxa"/>
            <w:vAlign w:val="bottom"/>
            <w:tcBorders>
              <w:bottom w:val="single" w:sz="8" w:color="56C271"/>
            </w:tcBorders>
            <w:shd w:val="clear" w:color="auto" w:fill="CCEDD4"/>
          </w:tcPr>
          <w:p>
            <w:pPr>
              <w:spacing w:after="0"/>
              <w:rPr>
                <w:sz w:val="12"/>
                <w:szCs w:val="12"/>
                <w:color w:val="auto"/>
              </w:rPr>
            </w:pPr>
          </w:p>
        </w:tc>
        <w:tc>
          <w:tcPr>
            <w:tcW w:w="2160" w:type="dxa"/>
            <w:vAlign w:val="bottom"/>
            <w:tcBorders>
              <w:bottom w:val="single" w:sz="8" w:color="56C271"/>
              <w:right w:val="single" w:sz="8" w:color="56C271"/>
            </w:tcBorders>
            <w:vMerge w:val="continue"/>
            <w:shd w:val="clear" w:color="auto" w:fill="CCEDD4"/>
          </w:tcPr>
          <w:p>
            <w:pPr>
              <w:spacing w:after="0"/>
              <w:rPr>
                <w:sz w:val="12"/>
                <w:szCs w:val="12"/>
                <w:color w:val="auto"/>
              </w:rPr>
            </w:pPr>
          </w:p>
        </w:tc>
        <w:tc>
          <w:tcPr>
            <w:tcW w:w="80" w:type="dxa"/>
            <w:vAlign w:val="bottom"/>
            <w:tcBorders>
              <w:bottom w:val="single" w:sz="8" w:color="56C271"/>
            </w:tcBorders>
          </w:tcPr>
          <w:p>
            <w:pPr>
              <w:spacing w:after="0"/>
              <w:rPr>
                <w:sz w:val="12"/>
                <w:szCs w:val="12"/>
                <w:color w:val="auto"/>
              </w:rPr>
            </w:pPr>
          </w:p>
        </w:tc>
        <w:tc>
          <w:tcPr>
            <w:tcW w:w="200" w:type="dxa"/>
            <w:vAlign w:val="bottom"/>
            <w:tcBorders>
              <w:bottom w:val="single" w:sz="8" w:color="56C271"/>
            </w:tcBorders>
          </w:tcPr>
          <w:p>
            <w:pPr>
              <w:spacing w:after="0"/>
              <w:rPr>
                <w:sz w:val="12"/>
                <w:szCs w:val="12"/>
                <w:color w:val="auto"/>
              </w:rPr>
            </w:pPr>
          </w:p>
        </w:tc>
        <w:tc>
          <w:tcPr>
            <w:tcW w:w="2620" w:type="dxa"/>
            <w:vAlign w:val="bottom"/>
            <w:tcBorders>
              <w:bottom w:val="single" w:sz="8" w:color="56C271"/>
            </w:tcBorders>
          </w:tcPr>
          <w:p>
            <w:pPr>
              <w:spacing w:after="0"/>
              <w:rPr>
                <w:sz w:val="12"/>
                <w:szCs w:val="12"/>
                <w:color w:val="auto"/>
              </w:rPr>
            </w:pPr>
          </w:p>
        </w:tc>
        <w:tc>
          <w:tcPr>
            <w:tcW w:w="580" w:type="dxa"/>
            <w:vAlign w:val="bottom"/>
            <w:tcBorders>
              <w:bottom w:val="single" w:sz="8" w:color="56C271"/>
            </w:tcBorders>
          </w:tcPr>
          <w:p>
            <w:pPr>
              <w:spacing w:after="0"/>
              <w:rPr>
                <w:sz w:val="12"/>
                <w:szCs w:val="12"/>
                <w:color w:val="auto"/>
              </w:rPr>
            </w:pPr>
          </w:p>
        </w:tc>
        <w:tc>
          <w:tcPr>
            <w:tcW w:w="2860" w:type="dxa"/>
            <w:vAlign w:val="bottom"/>
            <w:tcBorders>
              <w:bottom w:val="single" w:sz="8" w:color="56C271"/>
              <w:right w:val="single" w:sz="8" w:color="56C271"/>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8"/>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-4131310</wp:posOffset>
            </wp:positionV>
            <wp:extent cx="1028700" cy="1440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-565150</wp:posOffset>
            </wp:positionV>
            <wp:extent cx="1482725" cy="300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1: Election of Directors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306070</wp:posOffset>
            </wp:positionV>
            <wp:extent cx="5554980" cy="46805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54980" cy="468058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166" w:lineRule="exact"/>
        <w:rPr>
          <w:sz w:val="20"/>
          <w:szCs w:val="20"/>
          <w:color w:val="auto"/>
        </w:rPr>
      </w:pPr>
    </w:p>
    <w:p>
      <w:pPr>
        <w:ind w:left="1340" w:hanging="269"/>
        <w:spacing w:after="0" w:line="183" w:lineRule="auto"/>
        <w:tabs>
          <w:tab w:leader="none" w:pos="1340" w:val="left"/>
        </w:tabs>
        <w:numPr>
          <w:ilvl w:val="0"/>
          <w:numId w:val="22"/>
        </w:numPr>
        <w:rPr>
          <w:rFonts w:ascii="Arial" w:cs="Arial" w:eastAsia="Arial" w:hAnsi="Arial"/>
          <w:sz w:val="28"/>
          <w:szCs w:val="28"/>
          <w:color w:val="56C271"/>
          <w:vertAlign w:val="subscript"/>
        </w:rPr>
      </w:pPr>
      <w:r>
        <w:rPr>
          <w:rFonts w:ascii="Arial" w:cs="Arial" w:eastAsia="Arial" w:hAnsi="Arial"/>
          <w:sz w:val="13"/>
          <w:szCs w:val="13"/>
          <w:color w:val="auto"/>
        </w:rPr>
        <w:t>Compensation and Leadership Development</w:t>
      </w:r>
    </w:p>
    <w:p>
      <w:pPr>
        <w:spacing w:after="0" w:line="64" w:lineRule="exact"/>
        <w:rPr>
          <w:rFonts w:ascii="Arial" w:cs="Arial" w:eastAsia="Arial" w:hAnsi="Arial"/>
          <w:sz w:val="28"/>
          <w:szCs w:val="28"/>
          <w:color w:val="56C271"/>
          <w:vertAlign w:val="subscript"/>
        </w:rPr>
      </w:pPr>
    </w:p>
    <w:p>
      <w:pPr>
        <w:ind w:left="1340" w:hanging="269"/>
        <w:spacing w:after="0"/>
        <w:tabs>
          <w:tab w:leader="none" w:pos="1340" w:val="left"/>
        </w:tabs>
        <w:numPr>
          <w:ilvl w:val="0"/>
          <w:numId w:val="22"/>
        </w:numPr>
        <w:rPr>
          <w:rFonts w:ascii="Arial" w:cs="Arial" w:eastAsia="Arial" w:hAnsi="Arial"/>
          <w:sz w:val="18"/>
          <w:szCs w:val="18"/>
          <w:color w:val="56C271"/>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4191000</wp:posOffset>
            </wp:positionV>
            <wp:extent cx="1482725" cy="291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22"/>
          <w:szCs w:val="22"/>
          <w:b w:val="1"/>
          <w:bCs w:val="1"/>
          <w:color w:val="FEFEFE"/>
        </w:rPr>
        <w:t>ADALIO T. SANCHEZ</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56C271"/>
        </w:rPr>
        <w:t>Recent Business Experience:</w:t>
      </w:r>
    </w:p>
    <w:p>
      <w:pPr>
        <w:spacing w:after="0" w:line="139" w:lineRule="exact"/>
        <w:rPr>
          <w:sz w:val="20"/>
          <w:szCs w:val="20"/>
          <w:color w:val="auto"/>
        </w:rPr>
      </w:pPr>
    </w:p>
    <w:p>
      <w:pPr>
        <w:ind w:left="80" w:right="259"/>
        <w:spacing w:after="0" w:line="251" w:lineRule="auto"/>
        <w:rPr>
          <w:sz w:val="20"/>
          <w:szCs w:val="20"/>
          <w:color w:val="auto"/>
        </w:rPr>
      </w:pPr>
      <w:r>
        <w:rPr>
          <w:rFonts w:ascii="Arial" w:cs="Arial" w:eastAsia="Arial" w:hAnsi="Arial"/>
          <w:sz w:val="18"/>
          <w:szCs w:val="18"/>
          <w:color w:val="auto"/>
        </w:rPr>
        <w:t>Mr. Sanchez is President of S Group Advisory LLC, a management consulting firm providing advisory services on business strategy, technology, and operational excellence. He also serves on the board of directors of ACI Worldwide Inc. (NASDAQ: ACIW), a software company serving the electronics payments market, since 2015; on the board of directors of Snap One Holdings Corp (Nasdaq: SNPO), a smart home technology solutions and distribution company, since 2021; and on the supervisory board of ASM International NV (OTCMKTS: ASMIY), a Netherlands-based semiconductor wafer fabrication equipment company, since September 2021. Mr. Sanchez also serves on the Board of Trustees of the MITRE Corporation, a not-for-profit firm that manages federally funded research and development centers supporting several U.S. government agencies, since 2018. Mr. Sanchez previously served on the board of Quantum Corporation (Nasdaq: QMCO), a computer storage solutions company, from May 2017 to April 2019, and served as interim CEO from November 2017 to January 2018. From 2014 to 2015, Mr. Sanchez served as Senior Vice President of the Lenovo Group Limited (HK: 0992), an international technology company. Prior to that, he spent 32 years at IBM Corporation (NYSE: IBM), a global technology and innovation company, from 1982 to 2014, where he served in various capacities including sixteen years in senior executive and global general management roles.</w:t>
      </w: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400" w:type="dxa"/>
            <w:vAlign w:val="bottom"/>
            <w:gridSpan w:val="3"/>
          </w:tcPr>
          <w:p>
            <w:pPr>
              <w:spacing w:after="0"/>
              <w:rPr>
                <w:sz w:val="20"/>
                <w:szCs w:val="20"/>
                <w:color w:val="auto"/>
              </w:rPr>
            </w:pPr>
            <w:r>
              <w:rPr>
                <w:rFonts w:ascii="Arial" w:cs="Arial" w:eastAsia="Arial" w:hAnsi="Arial"/>
                <w:sz w:val="18"/>
                <w:szCs w:val="18"/>
                <w:b w:val="1"/>
                <w:bCs w:val="1"/>
                <w:color w:val="56C271"/>
              </w:rPr>
              <w:t>Primary Qualifications and Experience:</w:t>
            </w:r>
          </w:p>
        </w:tc>
        <w:tc>
          <w:tcPr>
            <w:tcW w:w="2140" w:type="dxa"/>
            <w:vAlign w:val="bottom"/>
          </w:tcPr>
          <w:p>
            <w:pPr>
              <w:spacing w:after="0"/>
              <w:rPr>
                <w:sz w:val="20"/>
                <w:szCs w:val="20"/>
                <w:color w:val="auto"/>
              </w:rPr>
            </w:pP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000" w:type="dxa"/>
            <w:vAlign w:val="bottom"/>
          </w:tcPr>
          <w:p>
            <w:pPr>
              <w:ind w:left="140"/>
              <w:spacing w:after="0"/>
              <w:rPr>
                <w:sz w:val="20"/>
                <w:szCs w:val="20"/>
                <w:color w:val="auto"/>
              </w:rPr>
            </w:pPr>
            <w:r>
              <w:rPr>
                <w:rFonts w:ascii="Arial" w:cs="Arial" w:eastAsia="Arial" w:hAnsi="Arial"/>
                <w:sz w:val="18"/>
                <w:szCs w:val="18"/>
                <w:color w:val="auto"/>
              </w:rPr>
              <w:t>Industry</w:t>
            </w:r>
          </w:p>
        </w:tc>
        <w:tc>
          <w:tcPr>
            <w:tcW w:w="1200" w:type="dxa"/>
            <w:vAlign w:val="bottom"/>
          </w:tcPr>
          <w:p>
            <w:pPr>
              <w:ind w:left="980"/>
              <w:spacing w:after="0"/>
              <w:rPr>
                <w:sz w:val="20"/>
                <w:szCs w:val="20"/>
                <w:color w:val="auto"/>
              </w:rPr>
            </w:pPr>
            <w:r>
              <w:rPr>
                <w:rFonts w:ascii="Arial" w:cs="Arial" w:eastAsia="Arial" w:hAnsi="Arial"/>
                <w:sz w:val="18"/>
                <w:szCs w:val="18"/>
                <w:color w:val="56C271"/>
              </w:rPr>
              <w:t>•</w:t>
            </w:r>
          </w:p>
        </w:tc>
        <w:tc>
          <w:tcPr>
            <w:tcW w:w="2140" w:type="dxa"/>
            <w:vAlign w:val="bottom"/>
          </w:tcPr>
          <w:p>
            <w:pPr>
              <w:ind w:left="100"/>
              <w:spacing w:after="0"/>
              <w:rPr>
                <w:sz w:val="20"/>
                <w:szCs w:val="20"/>
                <w:color w:val="auto"/>
              </w:rPr>
            </w:pPr>
            <w:r>
              <w:rPr>
                <w:rFonts w:ascii="Arial" w:cs="Arial" w:eastAsia="Arial" w:hAnsi="Arial"/>
                <w:sz w:val="18"/>
                <w:szCs w:val="18"/>
                <w:color w:val="auto"/>
              </w:rPr>
              <w:t>International Business</w:t>
            </w:r>
          </w:p>
        </w:tc>
      </w:tr>
      <w:tr>
        <w:trPr>
          <w:trHeight w:val="283"/>
        </w:trPr>
        <w:tc>
          <w:tcPr>
            <w:tcW w:w="200" w:type="dxa"/>
            <w:vAlign w:val="bottom"/>
          </w:tcPr>
          <w:p>
            <w:pPr>
              <w:spacing w:after="0"/>
              <w:rPr>
                <w:sz w:val="20"/>
                <w:szCs w:val="20"/>
                <w:color w:val="auto"/>
              </w:rPr>
            </w:pPr>
            <w:r>
              <w:rPr>
                <w:rFonts w:ascii="Arial" w:cs="Arial" w:eastAsia="Arial" w:hAnsi="Arial"/>
                <w:sz w:val="18"/>
                <w:szCs w:val="18"/>
                <w:color w:val="56C271"/>
              </w:rPr>
              <w:t>•</w:t>
            </w:r>
          </w:p>
        </w:tc>
        <w:tc>
          <w:tcPr>
            <w:tcW w:w="200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1200" w:type="dxa"/>
            <w:vAlign w:val="bottom"/>
          </w:tcPr>
          <w:p>
            <w:pPr>
              <w:ind w:left="980"/>
              <w:spacing w:after="0"/>
              <w:rPr>
                <w:sz w:val="20"/>
                <w:szCs w:val="20"/>
                <w:color w:val="auto"/>
              </w:rPr>
            </w:pPr>
            <w:r>
              <w:rPr>
                <w:rFonts w:ascii="Arial" w:cs="Arial" w:eastAsia="Arial" w:hAnsi="Arial"/>
                <w:sz w:val="18"/>
                <w:szCs w:val="18"/>
                <w:color w:val="56C271"/>
              </w:rPr>
              <w:t>•</w:t>
            </w:r>
          </w:p>
        </w:tc>
        <w:tc>
          <w:tcPr>
            <w:tcW w:w="2140" w:type="dxa"/>
            <w:vAlign w:val="bottom"/>
          </w:tcPr>
          <w:p>
            <w:pPr>
              <w:ind w:left="100"/>
              <w:spacing w:after="0"/>
              <w:rPr>
                <w:sz w:val="20"/>
                <w:szCs w:val="20"/>
                <w:color w:val="auto"/>
              </w:rPr>
            </w:pPr>
            <w:r>
              <w:rPr>
                <w:rFonts w:ascii="Arial" w:cs="Arial" w:eastAsia="Arial" w:hAnsi="Arial"/>
                <w:sz w:val="18"/>
                <w:szCs w:val="18"/>
                <w:color w:val="auto"/>
                <w:w w:val="97"/>
              </w:rPr>
              <w:t>Technology/ Digital Media</w:t>
            </w:r>
          </w:p>
        </w:tc>
      </w:tr>
    </w:tbl>
    <w:p>
      <w:pPr>
        <w:spacing w:after="0" w:line="148" w:lineRule="exact"/>
        <w:rPr>
          <w:sz w:val="20"/>
          <w:szCs w:val="20"/>
          <w:color w:val="auto"/>
        </w:rPr>
      </w:pPr>
    </w:p>
    <w:p>
      <w:pPr>
        <w:ind w:left="80" w:right="259"/>
        <w:spacing w:after="0" w:line="256" w:lineRule="auto"/>
        <w:rPr>
          <w:sz w:val="20"/>
          <w:szCs w:val="20"/>
          <w:color w:val="auto"/>
        </w:rPr>
      </w:pPr>
      <w:r>
        <w:rPr>
          <w:rFonts w:ascii="Arial" w:cs="Arial" w:eastAsia="Arial" w:hAnsi="Arial"/>
          <w:sz w:val="18"/>
          <w:szCs w:val="18"/>
          <w:color w:val="auto"/>
        </w:rPr>
        <w:t>The Board benefits from Mr. Sanchez’s significant experience in corporate leadership and management, global business, technology and innovation and his extensive semiconductor expertise.</w:t>
      </w:r>
    </w:p>
    <w:p>
      <w:pPr>
        <w:spacing w:after="0" w:line="200" w:lineRule="exact"/>
        <w:rPr>
          <w:sz w:val="20"/>
          <w:szCs w:val="20"/>
          <w:color w:val="auto"/>
        </w:rPr>
      </w:pPr>
    </w:p>
    <w:p>
      <w:pPr>
        <w:sectPr>
          <w:pgSz w:w="11900" w:h="16838" w:orient="portrait"/>
          <w:cols w:equalWidth="0" w:num="2">
            <w:col w:w="2940" w:space="460"/>
            <w:col w:w="64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282575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3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2010</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71</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159" w:lineRule="exact"/>
        <w:rPr>
          <w:sz w:val="20"/>
          <w:szCs w:val="20"/>
          <w:color w:val="auto"/>
        </w:rPr>
      </w:pPr>
    </w:p>
    <w:p>
      <w:pPr>
        <w:ind w:left="1340" w:hanging="269"/>
        <w:spacing w:after="0"/>
        <w:tabs>
          <w:tab w:leader="none" w:pos="1340" w:val="left"/>
        </w:tabs>
        <w:numPr>
          <w:ilvl w:val="0"/>
          <w:numId w:val="23"/>
        </w:numPr>
        <w:rPr>
          <w:rFonts w:ascii="Arial" w:cs="Arial" w:eastAsia="Arial" w:hAnsi="Arial"/>
          <w:sz w:val="18"/>
          <w:szCs w:val="18"/>
          <w:color w:val="56C271"/>
        </w:rPr>
      </w:pPr>
      <w:r>
        <w:rPr>
          <w:rFonts w:ascii="Arial" w:cs="Arial" w:eastAsia="Arial" w:hAnsi="Arial"/>
          <w:sz w:val="14"/>
          <w:szCs w:val="14"/>
          <w:color w:val="auto"/>
        </w:rPr>
        <w:t>Audit</w:t>
      </w:r>
    </w:p>
    <w:p>
      <w:pPr>
        <w:spacing w:after="0" w:line="76" w:lineRule="exact"/>
        <w:rPr>
          <w:rFonts w:ascii="Arial" w:cs="Arial" w:eastAsia="Arial" w:hAnsi="Arial"/>
          <w:sz w:val="18"/>
          <w:szCs w:val="18"/>
          <w:color w:val="56C271"/>
        </w:rPr>
      </w:pPr>
    </w:p>
    <w:p>
      <w:pPr>
        <w:ind w:left="1340" w:hanging="269"/>
        <w:spacing w:after="0"/>
        <w:tabs>
          <w:tab w:leader="none" w:pos="1340" w:val="left"/>
        </w:tabs>
        <w:numPr>
          <w:ilvl w:val="0"/>
          <w:numId w:val="23"/>
        </w:numPr>
        <w:rPr>
          <w:rFonts w:ascii="Arial" w:cs="Arial" w:eastAsia="Arial" w:hAnsi="Arial"/>
          <w:sz w:val="18"/>
          <w:szCs w:val="18"/>
          <w:color w:val="56C271"/>
        </w:rPr>
      </w:pPr>
      <w:r>
        <w:rPr>
          <w:rFonts w:ascii="Arial" w:cs="Arial" w:eastAsia="Arial" w:hAnsi="Arial"/>
          <w:sz w:val="14"/>
          <w:szCs w:val="14"/>
          <w:color w:val="auto"/>
        </w:rPr>
        <w:t>Finance (Chair)</w:t>
      </w:r>
    </w:p>
    <w:p>
      <w:pPr>
        <w:spacing w:after="0" w:line="49" w:lineRule="exact"/>
        <w:rPr>
          <w:rFonts w:ascii="Arial" w:cs="Arial" w:eastAsia="Arial" w:hAnsi="Arial"/>
          <w:sz w:val="18"/>
          <w:szCs w:val="18"/>
          <w:color w:val="56C271"/>
        </w:rPr>
      </w:pPr>
    </w:p>
    <w:p>
      <w:pPr>
        <w:ind w:left="1340" w:hanging="269"/>
        <w:spacing w:after="0"/>
        <w:tabs>
          <w:tab w:leader="none" w:pos="1340" w:val="left"/>
        </w:tabs>
        <w:numPr>
          <w:ilvl w:val="0"/>
          <w:numId w:val="23"/>
        </w:numPr>
        <w:rPr>
          <w:rFonts w:ascii="Arial" w:cs="Arial" w:eastAsia="Arial" w:hAnsi="Arial"/>
          <w:sz w:val="18"/>
          <w:szCs w:val="18"/>
          <w:color w:val="56C271"/>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right"/>
        <w:ind w:right="139"/>
        <w:spacing w:after="0"/>
        <w:rPr>
          <w:sz w:val="20"/>
          <w:szCs w:val="20"/>
          <w:color w:val="auto"/>
        </w:rPr>
      </w:pPr>
      <w:r>
        <w:rPr>
          <w:rFonts w:ascii="Arial" w:cs="Arial" w:eastAsia="Arial" w:hAnsi="Arial"/>
          <w:sz w:val="14"/>
          <w:szCs w:val="14"/>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374650</wp:posOffset>
            </wp:positionV>
            <wp:extent cx="5554980" cy="3215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54980" cy="321500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sz w:val="1"/>
          <w:szCs w:val="1"/>
          <w:color w:val="auto"/>
        </w:rPr>
        <w:drawing>
          <wp:inline distT="0" distB="0" distL="0" distR="0">
            <wp:extent cx="60325" cy="30035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300355"/>
                    </a:xfrm>
                    <a:prstGeom prst="rect">
                      <a:avLst/>
                    </a:prstGeom>
                    <a:noFill/>
                    <a:ln>
                      <a:noFill/>
                    </a:ln>
                  </pic:spPr>
                </pic:pic>
              </a:graphicData>
            </a:graphic>
          </wp:inline>
        </w:drawing>
      </w:r>
      <w:r>
        <w:rPr>
          <w:rFonts w:ascii="Arial" w:cs="Arial" w:eastAsia="Arial" w:hAnsi="Arial"/>
          <w:sz w:val="22"/>
          <w:szCs w:val="22"/>
          <w:b w:val="1"/>
          <w:bCs w:val="1"/>
          <w:color w:val="FEFEFE"/>
        </w:rPr>
        <w:t>WILLIAM H. SCHUMANN, III</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Recent Business Experience:</w:t>
      </w:r>
    </w:p>
    <w:p>
      <w:pPr>
        <w:spacing w:after="0" w:line="139" w:lineRule="exact"/>
        <w:rPr>
          <w:sz w:val="20"/>
          <w:szCs w:val="20"/>
          <w:color w:val="auto"/>
        </w:rPr>
      </w:pPr>
    </w:p>
    <w:p>
      <w:pPr>
        <w:ind w:left="100" w:right="239"/>
        <w:spacing w:after="0" w:line="251" w:lineRule="auto"/>
        <w:rPr>
          <w:sz w:val="20"/>
          <w:szCs w:val="20"/>
          <w:color w:val="auto"/>
        </w:rPr>
      </w:pPr>
      <w:r>
        <w:rPr>
          <w:rFonts w:ascii="Arial" w:cs="Arial" w:eastAsia="Arial" w:hAnsi="Arial"/>
          <w:sz w:val="18"/>
          <w:szCs w:val="18"/>
          <w:color w:val="auto"/>
        </w:rPr>
        <w:t>Mr. Schumann has served on the Company’s Board since February 2010 and served as Chair of the Board from November 2012 to November 2018. He served as Executive Vice President of FMC Technologies from 2007 until he retired in 2012, and as Chief Financial Officer from 2001 to 2011. He previously served on the boards of McDermott International Inc. (NYSE: MDR) from 2012 to June 2020, Great Lakes Advisors, Inc. from 1993 to 2011, AMCOL International from 2012 to 2014, URS Corporation from 2014 through its acquisition by AECOM in 2014 and Andeavor Corporation (previously Tesoro) from 2016 through its acquisition by Marathon in 2018.</w:t>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6C271"/>
        </w:rPr>
        <w:t>Primary Qualifications and Experience:</w:t>
      </w:r>
    </w:p>
    <w:p>
      <w:pPr>
        <w:spacing w:after="0" w:line="112" w:lineRule="exact"/>
        <w:rPr>
          <w:sz w:val="20"/>
          <w:szCs w:val="20"/>
          <w:color w:val="auto"/>
        </w:rPr>
      </w:pPr>
    </w:p>
    <w:p>
      <w:pPr>
        <w:ind w:left="100"/>
        <w:spacing w:after="0"/>
        <w:tabs>
          <w:tab w:leader="none" w:pos="400" w:val="left"/>
          <w:tab w:leader="none" w:pos="3260" w:val="left"/>
          <w:tab w:leader="none" w:pos="3580" w:val="left"/>
        </w:tabs>
        <w:rPr>
          <w:sz w:val="20"/>
          <w:szCs w:val="20"/>
          <w:color w:val="auto"/>
        </w:rPr>
      </w:pPr>
      <w:r>
        <w:rPr>
          <w:rFonts w:ascii="Arial" w:cs="Arial" w:eastAsia="Arial" w:hAnsi="Arial"/>
          <w:sz w:val="18"/>
          <w:szCs w:val="18"/>
          <w:color w:val="56C271"/>
        </w:rPr>
        <w:t>•</w:t>
      </w:r>
      <w:r>
        <w:rPr>
          <w:rFonts w:ascii="Arial" w:cs="Arial" w:eastAsia="Arial" w:hAnsi="Arial"/>
          <w:sz w:val="18"/>
          <w:szCs w:val="18"/>
          <w:color w:val="auto"/>
        </w:rPr>
        <w:tab/>
        <w:t>Operations</w:t>
      </w:r>
      <w:r>
        <w:rPr>
          <w:sz w:val="20"/>
          <w:szCs w:val="20"/>
          <w:color w:val="auto"/>
        </w:rPr>
        <w:tab/>
      </w:r>
      <w:r>
        <w:rPr>
          <w:rFonts w:ascii="Arial" w:cs="Arial" w:eastAsia="Arial" w:hAnsi="Arial"/>
          <w:sz w:val="18"/>
          <w:szCs w:val="18"/>
          <w:color w:val="56C271"/>
        </w:rPr>
        <w:t>•</w:t>
      </w:r>
      <w:r>
        <w:rPr>
          <w:sz w:val="20"/>
          <w:szCs w:val="20"/>
          <w:color w:val="auto"/>
        </w:rPr>
        <w:tab/>
      </w:r>
      <w:r>
        <w:rPr>
          <w:rFonts w:ascii="Arial" w:cs="Arial" w:eastAsia="Arial" w:hAnsi="Arial"/>
          <w:sz w:val="17"/>
          <w:szCs w:val="17"/>
          <w:color w:val="auto"/>
        </w:rPr>
        <w:t>International Business</w:t>
      </w:r>
    </w:p>
    <w:p>
      <w:pPr>
        <w:spacing w:after="0" w:line="90" w:lineRule="exact"/>
        <w:rPr>
          <w:sz w:val="20"/>
          <w:szCs w:val="20"/>
          <w:color w:val="auto"/>
        </w:rPr>
      </w:pPr>
    </w:p>
    <w:p>
      <w:pPr>
        <w:ind w:left="420" w:hanging="326"/>
        <w:spacing w:after="0"/>
        <w:tabs>
          <w:tab w:leader="none" w:pos="420" w:val="left"/>
        </w:tabs>
        <w:numPr>
          <w:ilvl w:val="0"/>
          <w:numId w:val="24"/>
        </w:numPr>
        <w:rPr>
          <w:rFonts w:ascii="Arial" w:cs="Arial" w:eastAsia="Arial" w:hAnsi="Arial"/>
          <w:sz w:val="18"/>
          <w:szCs w:val="18"/>
          <w:color w:val="56C271"/>
        </w:rPr>
      </w:pPr>
      <w:r>
        <w:rPr>
          <w:rFonts w:ascii="Arial" w:cs="Arial" w:eastAsia="Arial" w:hAnsi="Arial"/>
          <w:sz w:val="18"/>
          <w:szCs w:val="18"/>
          <w:color w:val="auto"/>
        </w:rPr>
        <w:t>Finance</w:t>
      </w:r>
    </w:p>
    <w:p>
      <w:pPr>
        <w:spacing w:after="0" w:line="171" w:lineRule="exact"/>
        <w:rPr>
          <w:sz w:val="20"/>
          <w:szCs w:val="20"/>
          <w:color w:val="auto"/>
        </w:rPr>
      </w:pPr>
    </w:p>
    <w:p>
      <w:pPr>
        <w:ind w:left="100" w:right="299"/>
        <w:spacing w:after="0" w:line="254" w:lineRule="auto"/>
        <w:rPr>
          <w:sz w:val="20"/>
          <w:szCs w:val="20"/>
          <w:color w:val="auto"/>
        </w:rPr>
      </w:pPr>
      <w:r>
        <w:rPr>
          <w:rFonts w:ascii="Arial" w:cs="Arial" w:eastAsia="Arial" w:hAnsi="Arial"/>
          <w:sz w:val="18"/>
          <w:szCs w:val="18"/>
          <w:color w:val="auto"/>
        </w:rPr>
        <w:t>The Board benefits from Mr. Schumann’s experience on other boards and his financial and management expertise, including his extensive expertise in financial and strategic planning, financial reporting, compliance and risk management.</w:t>
      </w:r>
    </w:p>
    <w:p>
      <w:pPr>
        <w:spacing w:after="0" w:line="200" w:lineRule="exact"/>
        <w:rPr>
          <w:sz w:val="20"/>
          <w:szCs w:val="20"/>
          <w:color w:val="auto"/>
        </w:rPr>
      </w:pPr>
    </w:p>
    <w:p>
      <w:pPr>
        <w:sectPr>
          <w:pgSz w:w="11900" w:h="16838" w:orient="portrait"/>
          <w:cols w:equalWidth="0" w:num="2">
            <w:col w:w="2660" w:space="720"/>
            <w:col w:w="6499"/>
          </w:cols>
          <w:pgMar w:left="580" w:top="131" w:right="1440" w:bottom="1440" w:gutter="0" w:footer="0" w:header="0"/>
        </w:sectPr>
      </w:pPr>
    </w:p>
    <w:p>
      <w:pPr>
        <w:spacing w:after="0" w:line="22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September 20, 2021, the Company’s Director nominees had the following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126365</wp:posOffset>
            </wp:positionV>
            <wp:extent cx="5520690" cy="2117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2069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482725" cy="29146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80"/>
        <w:spacing w:after="0"/>
        <w:rPr>
          <w:sz w:val="20"/>
          <w:szCs w:val="20"/>
          <w:color w:val="auto"/>
        </w:rPr>
      </w:pPr>
      <w:r>
        <w:rPr>
          <w:rFonts w:ascii="Arial" w:cs="Arial" w:eastAsia="Arial" w:hAnsi="Arial"/>
          <w:sz w:val="40"/>
          <w:szCs w:val="40"/>
          <w:b w:val="1"/>
          <w:bCs w:val="1"/>
          <w:color w:val="FEFEFE"/>
        </w:rPr>
        <w:t>CORPORATE GOVERNANCE</w:t>
      </w:r>
    </w:p>
    <w:p>
      <w:pPr>
        <w:spacing w:after="0" w:line="366" w:lineRule="exact"/>
        <w:rPr>
          <w:sz w:val="20"/>
          <w:szCs w:val="20"/>
          <w:color w:val="auto"/>
        </w:rPr>
      </w:pPr>
    </w:p>
    <w:p>
      <w:pPr>
        <w:ind w:left="1000" w:right="279"/>
        <w:spacing w:after="0" w:line="256" w:lineRule="auto"/>
        <w:rPr>
          <w:sz w:val="20"/>
          <w:szCs w:val="20"/>
          <w:color w:val="auto"/>
        </w:rPr>
      </w:pPr>
      <w:r>
        <w:rPr>
          <w:rFonts w:ascii="Arial" w:cs="Arial" w:eastAsia="Arial" w:hAnsi="Arial"/>
          <w:sz w:val="18"/>
          <w:szCs w:val="18"/>
          <w:color w:val="auto"/>
        </w:rPr>
        <w:t>The Board of Directors believes that good corporate governance practices provide an important framework that promotes long-term value, strength and stability for shareholders. The Company’s governance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945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CORPORATE GOVERNANCE GUIDELINES</w:t>
      </w:r>
    </w:p>
    <w:p>
      <w:pPr>
        <w:spacing w:after="0" w:line="170" w:lineRule="exact"/>
        <w:rPr>
          <w:sz w:val="20"/>
          <w:szCs w:val="20"/>
          <w:color w:val="auto"/>
        </w:rPr>
      </w:pPr>
    </w:p>
    <w:p>
      <w:pPr>
        <w:ind w:left="1000" w:right="139"/>
        <w:spacing w:after="0" w:line="252" w:lineRule="auto"/>
        <w:rPr>
          <w:sz w:val="20"/>
          <w:szCs w:val="20"/>
          <w:color w:val="auto"/>
        </w:rPr>
      </w:pPr>
      <w:r>
        <w:rPr>
          <w:rFonts w:ascii="Arial" w:cs="Arial" w:eastAsia="Arial" w:hAnsi="Arial"/>
          <w:sz w:val="18"/>
          <w:szCs w:val="18"/>
          <w:color w:val="auto"/>
        </w:rPr>
        <w:t xml:space="preserve">The Corporate Governance Guidelines (the “Guidelines”) collect in one document many of the corporate governance practices and procedures that have evolved at the Company over the years.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126" w:lineRule="exact"/>
        <w:rPr>
          <w:sz w:val="20"/>
          <w:szCs w:val="20"/>
          <w:color w:val="auto"/>
        </w:rPr>
      </w:pPr>
    </w:p>
    <w:p>
      <w:pPr>
        <w:ind w:left="1000" w:right="159"/>
        <w:spacing w:after="0" w:line="265" w:lineRule="auto"/>
        <w:rPr>
          <w:sz w:val="20"/>
          <w:szCs w:val="20"/>
          <w:color w:val="auto"/>
        </w:rPr>
      </w:pPr>
      <w:r>
        <w:rPr>
          <w:rFonts w:ascii="Arial" w:cs="Arial" w:eastAsia="Arial" w:hAnsi="Arial"/>
          <w:sz w:val="17"/>
          <w:szCs w:val="17"/>
          <w:color w:val="auto"/>
        </w:rPr>
        <w:t>As a general policy, as set forth in the Guidelines, the Board recommends certain limits as to the service of Directors on other boards of public companies. These limits are as follows: (1) Directors who are actively employed on a full-time basis may serve on up to two additional public boards; (2) an independent Chair of the Board, if not actively employed on a full-time basis, may serve on up to three additional public boards; and</w:t>
      </w:r>
    </w:p>
    <w:p>
      <w:pPr>
        <w:spacing w:after="0" w:line="1" w:lineRule="exact"/>
        <w:rPr>
          <w:sz w:val="20"/>
          <w:szCs w:val="20"/>
          <w:color w:val="auto"/>
        </w:rPr>
      </w:pPr>
    </w:p>
    <w:p>
      <w:pPr>
        <w:ind w:left="1000" w:right="779" w:hanging="10"/>
        <w:spacing w:after="0" w:line="261" w:lineRule="auto"/>
        <w:tabs>
          <w:tab w:leader="none" w:pos="12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Directors who are retired from active full-time employment may serve on up to four additional public boards.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DIRECTOR INDEPENDENCE</w:t>
      </w:r>
    </w:p>
    <w:p>
      <w:pPr>
        <w:spacing w:after="0" w:line="170" w:lineRule="exact"/>
        <w:rPr>
          <w:sz w:val="20"/>
          <w:szCs w:val="20"/>
          <w:color w:val="auto"/>
        </w:rPr>
      </w:pPr>
    </w:p>
    <w:p>
      <w:pPr>
        <w:ind w:left="1000" w:right="439"/>
        <w:spacing w:after="0" w:line="270" w:lineRule="auto"/>
        <w:rPr>
          <w:sz w:val="20"/>
          <w:szCs w:val="20"/>
          <w:color w:val="auto"/>
        </w:rPr>
      </w:pPr>
      <w:r>
        <w:rPr>
          <w:rFonts w:ascii="Arial" w:cs="Arial" w:eastAsia="Arial" w:hAnsi="Arial"/>
          <w:sz w:val="17"/>
          <w:szCs w:val="17"/>
          <w:color w:val="auto"/>
        </w:rPr>
        <w:t>The Board of Directors believes that a substantial majority of its members should be independent directors. The Board has determined that eleven out of the twelve of the current Directors are independent under the independence standards adopted by the Board (provided in Appendix A to the Guidelines), and under the independence requirements of the Nasdaq listing standards: Rodney C. Adkins, Carlo Bozotti, Michael A. Bradley, Brenda L. Freeman, Jo Ann Jenkins, Oleg Khaykin, James A. Lawrence, Ernest E. Maddock, Avid Modjtabai, Adalio T. Sanchez and William H. Schumann, III (collectively,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705485</wp:posOffset>
            </wp:positionV>
            <wp:extent cx="1482725" cy="300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Corporate Governance</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BOARD LEADERSHIP STRUCTURE</w:t>
      </w:r>
    </w:p>
    <w:p>
      <w:pPr>
        <w:spacing w:after="0" w:line="157" w:lineRule="exact"/>
        <w:rPr>
          <w:sz w:val="20"/>
          <w:szCs w:val="20"/>
          <w:color w:val="auto"/>
        </w:rPr>
      </w:pPr>
    </w:p>
    <w:p>
      <w:pPr>
        <w:ind w:left="1000" w:right="299"/>
        <w:spacing w:after="0" w:line="268" w:lineRule="auto"/>
        <w:rPr>
          <w:sz w:val="20"/>
          <w:szCs w:val="20"/>
          <w:color w:val="auto"/>
        </w:rPr>
      </w:pPr>
      <w:r>
        <w:rPr>
          <w:rFonts w:ascii="Arial" w:cs="Arial" w:eastAsia="Arial" w:hAnsi="Arial"/>
          <w:sz w:val="17"/>
          <w:szCs w:val="17"/>
          <w:color w:val="auto"/>
        </w:rPr>
        <w:t>Pursuant to the Guidelines, the Board of Directors has the flexibility to decide whether it is best for the Company at a given point in time for the roles of the Chief Executive Officer (“CEO”) and Chair of the Board (the “Chair”) to be separate or combined and, if separate, whether the Chair should be selected from the Independent Directors or be an employee of the Company. The Board believes that the Company and its shareholders are best served by maintaining this flexibility rather than mandating a particular leadership structure. The Board also believes its programs for overseeing risk would be effective under a variety of leadership frameworks and therefore do not materially affect how it structures its leadership. In the event that the Chair is an employee of the Company, the Guidelines provide for an active lead independent director.</w:t>
      </w:r>
    </w:p>
    <w:p>
      <w:pPr>
        <w:spacing w:after="0" w:line="130" w:lineRule="exact"/>
        <w:rPr>
          <w:sz w:val="20"/>
          <w:szCs w:val="20"/>
          <w:color w:val="auto"/>
        </w:rPr>
      </w:pPr>
    </w:p>
    <w:p>
      <w:pPr>
        <w:ind w:left="1000" w:right="159"/>
        <w:spacing w:after="0" w:line="254" w:lineRule="auto"/>
        <w:rPr>
          <w:sz w:val="20"/>
          <w:szCs w:val="20"/>
          <w:color w:val="auto"/>
        </w:rPr>
      </w:pPr>
      <w:r>
        <w:rPr>
          <w:rFonts w:ascii="Arial" w:cs="Arial" w:eastAsia="Arial" w:hAnsi="Arial"/>
          <w:sz w:val="18"/>
          <w:szCs w:val="18"/>
          <w:color w:val="auto"/>
        </w:rPr>
        <w:t>Mr. Adkins, an Independent Director of the Company, currently serves as the Chair and Philip R. Gallagher currently serves as the Chief Executive Officer. The Board of Directors has concluded that the current leadership structure provides an appropriate framework for the Directors to provide independent, objective and effective oversight of management at this point in time.</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EXECUTIVE SESSIONS</w:t>
      </w:r>
    </w:p>
    <w:p>
      <w:pPr>
        <w:spacing w:after="0" w:line="170" w:lineRule="exact"/>
        <w:rPr>
          <w:sz w:val="20"/>
          <w:szCs w:val="20"/>
          <w:color w:val="auto"/>
        </w:rPr>
      </w:pPr>
    </w:p>
    <w:p>
      <w:pPr>
        <w:ind w:left="1000" w:right="199"/>
        <w:spacing w:after="0" w:line="261"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at regularly scheduled Board meetings with neither non-Independent Directors nor management present.</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DIRECTOR NOMINATIONS</w:t>
      </w:r>
    </w:p>
    <w:p>
      <w:pPr>
        <w:spacing w:after="0" w:line="157" w:lineRule="exact"/>
        <w:rPr>
          <w:sz w:val="20"/>
          <w:szCs w:val="20"/>
          <w:color w:val="auto"/>
        </w:rPr>
      </w:pPr>
    </w:p>
    <w:p>
      <w:pPr>
        <w:ind w:left="1000" w:right="159"/>
        <w:spacing w:after="0" w:line="251"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Pursuant to the Guidelines, the Committee reviews the business experience, education and skills of candidates; their character and judgment; and diversity in factors such as age, gender, race, nationality and culture. In addition, the charter of the Corporate Governance Committee provides that the committee will consider criteria including the possession of such knowledge, experience, skills, expertise and diversity so as to enhance the Board’s ability to manage and direct the affairs and business of the Company. Although the Corporate Governance Committee does not have a formal policy concerning diversity, the Company believes that valuing diversity makes good business sense. The Corporate Governance Committee includes women and minority candidates in the pool from which it seeks future Directors.</w:t>
      </w:r>
    </w:p>
    <w:p>
      <w:pPr>
        <w:spacing w:after="0" w:line="144" w:lineRule="exact"/>
        <w:rPr>
          <w:sz w:val="20"/>
          <w:szCs w:val="20"/>
          <w:color w:val="auto"/>
        </w:rPr>
      </w:pPr>
    </w:p>
    <w:p>
      <w:pPr>
        <w:ind w:left="1000" w:right="139"/>
        <w:spacing w:after="0" w:line="252" w:lineRule="auto"/>
        <w:rPr>
          <w:sz w:val="20"/>
          <w:szCs w:val="20"/>
          <w:color w:val="auto"/>
        </w:rPr>
      </w:pPr>
      <w:r>
        <w:rPr>
          <w:rFonts w:ascii="Arial" w:cs="Arial" w:eastAsia="Arial" w:hAnsi="Arial"/>
          <w:sz w:val="18"/>
          <w:szCs w:val="18"/>
          <w:color w:val="auto"/>
        </w:rPr>
        <w:t>These above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139" w:lineRule="exact"/>
        <w:rPr>
          <w:sz w:val="20"/>
          <w:szCs w:val="20"/>
          <w:color w:val="auto"/>
        </w:rPr>
      </w:pPr>
    </w:p>
    <w:p>
      <w:pPr>
        <w:ind w:left="1000" w:right="579"/>
        <w:spacing w:after="0" w:line="256" w:lineRule="auto"/>
        <w:rPr>
          <w:sz w:val="20"/>
          <w:szCs w:val="20"/>
          <w:color w:val="auto"/>
        </w:rPr>
      </w:pPr>
      <w:r>
        <w:rPr>
          <w:rFonts w:ascii="Arial" w:cs="Arial" w:eastAsia="Arial" w:hAnsi="Arial"/>
          <w:sz w:val="18"/>
          <w:szCs w:val="18"/>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121"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annual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w:t>
      </w:r>
    </w:p>
    <w:p>
      <w:pPr>
        <w:spacing w:after="0" w:line="139" w:lineRule="exact"/>
        <w:rPr>
          <w:sz w:val="20"/>
          <w:szCs w:val="20"/>
          <w:color w:val="auto"/>
        </w:rPr>
      </w:pPr>
    </w:p>
    <w:p>
      <w:pPr>
        <w:ind w:left="1000" w:right="219"/>
        <w:spacing w:after="0" w:line="261" w:lineRule="auto"/>
        <w:rPr>
          <w:sz w:val="20"/>
          <w:szCs w:val="20"/>
          <w:color w:val="auto"/>
        </w:rPr>
      </w:pPr>
      <w:r>
        <w:rPr>
          <w:rFonts w:ascii="Arial" w:cs="Arial" w:eastAsia="Arial" w:hAnsi="Arial"/>
          <w:sz w:val="18"/>
          <w:szCs w:val="18"/>
          <w:color w:val="auto"/>
        </w:rPr>
        <w:t>Recommendations for Director candidates are also received from Board members and management and may be solicited from professional associations as well.</w:t>
      </w:r>
    </w:p>
    <w:p>
      <w:pPr>
        <w:sectPr>
          <w:pgSz w:w="11900" w:h="16838" w:orient="portrait"/>
          <w:cols w:equalWidth="0" w:num="1">
            <w:col w:w="9879"/>
          </w:cols>
          <w:pgMar w:left="580" w:top="131" w:right="1440" w:bottom="1440" w:gutter="0" w:footer="0" w:header="0"/>
        </w:sectPr>
      </w:pPr>
    </w:p>
    <w:p>
      <w:pPr>
        <w:spacing w:after="0" w:line="133"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30035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Corporate Governance</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179"/>
        <w:spacing w:after="0" w:line="252" w:lineRule="auto"/>
        <w:rPr>
          <w:sz w:val="20"/>
          <w:szCs w:val="20"/>
          <w:color w:val="auto"/>
        </w:rPr>
      </w:pPr>
      <w:r>
        <w:rPr>
          <w:rFonts w:ascii="Arial" w:cs="Arial" w:eastAsia="Arial" w:hAnsi="Arial"/>
          <w:sz w:val="18"/>
          <w:szCs w:val="18"/>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Corporate Secretary, Avnet, Inc., 2211 South 47th Street, Phoenix, Arizona 85034. Shareholder recommendations must contain the following information:</w:t>
      </w:r>
    </w:p>
    <w:p>
      <w:pPr>
        <w:spacing w:after="0" w:line="99" w:lineRule="exact"/>
        <w:rPr>
          <w:sz w:val="20"/>
          <w:szCs w:val="20"/>
          <w:color w:val="auto"/>
        </w:rPr>
      </w:pPr>
    </w:p>
    <w:p>
      <w:pPr>
        <w:ind w:left="1620" w:right="439" w:hanging="270"/>
        <w:spacing w:after="0" w:line="291" w:lineRule="auto"/>
        <w:tabs>
          <w:tab w:leader="none" w:pos="1620" w:val="left"/>
        </w:tabs>
        <w:numPr>
          <w:ilvl w:val="0"/>
          <w:numId w:val="26"/>
        </w:numPr>
        <w:rPr>
          <w:rFonts w:ascii="Arial" w:cs="Arial" w:eastAsia="Arial" w:hAnsi="Arial"/>
          <w:sz w:val="17"/>
          <w:szCs w:val="17"/>
          <w:color w:val="56C271"/>
        </w:rPr>
      </w:pPr>
      <w:r>
        <w:rPr>
          <w:rFonts w:ascii="Arial" w:cs="Arial" w:eastAsia="Arial" w:hAnsi="Arial"/>
          <w:sz w:val="17"/>
          <w:szCs w:val="17"/>
          <w:color w:val="auto"/>
        </w:rPr>
        <w:t>The shareholder’s name, address, number of shares of the Company’s Common Stock beneficially owned and, if the shareholder is not a record shareholder, evidence of beneficial ownership;</w:t>
      </w:r>
    </w:p>
    <w:p>
      <w:pPr>
        <w:spacing w:after="0" w:line="79" w:lineRule="exact"/>
        <w:rPr>
          <w:rFonts w:ascii="Arial" w:cs="Arial" w:eastAsia="Arial" w:hAnsi="Arial"/>
          <w:sz w:val="17"/>
          <w:szCs w:val="17"/>
          <w:color w:val="56C271"/>
        </w:rPr>
      </w:pPr>
    </w:p>
    <w:p>
      <w:pPr>
        <w:ind w:left="1620" w:hanging="270"/>
        <w:spacing w:after="0"/>
        <w:tabs>
          <w:tab w:leader="none" w:pos="1620" w:val="left"/>
        </w:tabs>
        <w:numPr>
          <w:ilvl w:val="0"/>
          <w:numId w:val="26"/>
        </w:numPr>
        <w:rPr>
          <w:rFonts w:ascii="Arial" w:cs="Arial" w:eastAsia="Arial" w:hAnsi="Arial"/>
          <w:sz w:val="18"/>
          <w:szCs w:val="18"/>
          <w:color w:val="56C271"/>
        </w:rPr>
      </w:pPr>
      <w:r>
        <w:rPr>
          <w:rFonts w:ascii="Arial" w:cs="Arial" w:eastAsia="Arial" w:hAnsi="Arial"/>
          <w:sz w:val="18"/>
          <w:szCs w:val="18"/>
          <w:color w:val="auto"/>
        </w:rPr>
        <w:t>A statement in support of the candidate’s recommendation;</w:t>
      </w:r>
    </w:p>
    <w:p>
      <w:pPr>
        <w:spacing w:after="0" w:line="130" w:lineRule="exact"/>
        <w:rPr>
          <w:rFonts w:ascii="Arial" w:cs="Arial" w:eastAsia="Arial" w:hAnsi="Arial"/>
          <w:sz w:val="18"/>
          <w:szCs w:val="18"/>
          <w:color w:val="56C271"/>
        </w:rPr>
      </w:pPr>
    </w:p>
    <w:p>
      <w:pPr>
        <w:ind w:left="1620" w:right="339" w:hanging="270"/>
        <w:spacing w:after="0" w:line="291" w:lineRule="auto"/>
        <w:tabs>
          <w:tab w:leader="none" w:pos="1620" w:val="left"/>
        </w:tabs>
        <w:numPr>
          <w:ilvl w:val="0"/>
          <w:numId w:val="26"/>
        </w:numPr>
        <w:rPr>
          <w:rFonts w:ascii="Arial" w:cs="Arial" w:eastAsia="Arial" w:hAnsi="Arial"/>
          <w:sz w:val="17"/>
          <w:szCs w:val="17"/>
          <w:color w:val="56C271"/>
        </w:rPr>
      </w:pPr>
      <w:r>
        <w:rPr>
          <w:rFonts w:ascii="Arial" w:cs="Arial" w:eastAsia="Arial" w:hAnsi="Arial"/>
          <w:sz w:val="17"/>
          <w:szCs w:val="17"/>
          <w:color w:val="auto"/>
        </w:rPr>
        <w:t>The candidate’s detailed biographical information describing experience and qualifications, including current employment and a list of any other boards of directors on which the candidate serves;</w:t>
      </w:r>
    </w:p>
    <w:p>
      <w:pPr>
        <w:spacing w:after="0" w:line="92" w:lineRule="exact"/>
        <w:rPr>
          <w:rFonts w:ascii="Arial" w:cs="Arial" w:eastAsia="Arial" w:hAnsi="Arial"/>
          <w:sz w:val="17"/>
          <w:szCs w:val="17"/>
          <w:color w:val="56C271"/>
        </w:rPr>
      </w:pPr>
    </w:p>
    <w:p>
      <w:pPr>
        <w:ind w:left="1620" w:right="459" w:hanging="270"/>
        <w:spacing w:after="0" w:line="261" w:lineRule="auto"/>
        <w:tabs>
          <w:tab w:leader="none" w:pos="1620" w:val="left"/>
        </w:tabs>
        <w:numPr>
          <w:ilvl w:val="0"/>
          <w:numId w:val="26"/>
        </w:numPr>
        <w:rPr>
          <w:rFonts w:ascii="Arial" w:cs="Arial" w:eastAsia="Arial" w:hAnsi="Arial"/>
          <w:sz w:val="18"/>
          <w:szCs w:val="18"/>
          <w:color w:val="56C271"/>
        </w:rPr>
      </w:pPr>
      <w:r>
        <w:rPr>
          <w:rFonts w:ascii="Arial" w:cs="Arial" w:eastAsia="Arial" w:hAnsi="Arial"/>
          <w:sz w:val="18"/>
          <w:szCs w:val="18"/>
          <w:color w:val="auto"/>
        </w:rPr>
        <w:t>A description of all agreements, arrangements or understandings between the shareholder and the Director candidate;</w:t>
      </w:r>
    </w:p>
    <w:p>
      <w:pPr>
        <w:spacing w:after="0" w:line="103" w:lineRule="exact"/>
        <w:rPr>
          <w:rFonts w:ascii="Arial" w:cs="Arial" w:eastAsia="Arial" w:hAnsi="Arial"/>
          <w:sz w:val="18"/>
          <w:szCs w:val="18"/>
          <w:color w:val="56C271"/>
        </w:rPr>
      </w:pPr>
    </w:p>
    <w:p>
      <w:pPr>
        <w:ind w:left="1620" w:right="199" w:hanging="270"/>
        <w:spacing w:after="0" w:line="261" w:lineRule="auto"/>
        <w:tabs>
          <w:tab w:leader="none" w:pos="1620" w:val="left"/>
        </w:tabs>
        <w:numPr>
          <w:ilvl w:val="0"/>
          <w:numId w:val="26"/>
        </w:numPr>
        <w:rPr>
          <w:rFonts w:ascii="Arial" w:cs="Arial" w:eastAsia="Arial" w:hAnsi="Arial"/>
          <w:sz w:val="18"/>
          <w:szCs w:val="18"/>
          <w:color w:val="56C271"/>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103" w:lineRule="exact"/>
        <w:rPr>
          <w:rFonts w:ascii="Arial" w:cs="Arial" w:eastAsia="Arial" w:hAnsi="Arial"/>
          <w:sz w:val="18"/>
          <w:szCs w:val="18"/>
          <w:color w:val="56C271"/>
        </w:rPr>
      </w:pPr>
    </w:p>
    <w:p>
      <w:pPr>
        <w:ind w:left="1620" w:hanging="270"/>
        <w:spacing w:after="0"/>
        <w:tabs>
          <w:tab w:leader="none" w:pos="1620" w:val="left"/>
        </w:tabs>
        <w:numPr>
          <w:ilvl w:val="0"/>
          <w:numId w:val="26"/>
        </w:numPr>
        <w:rPr>
          <w:rFonts w:ascii="Arial" w:cs="Arial" w:eastAsia="Arial" w:hAnsi="Arial"/>
          <w:sz w:val="18"/>
          <w:szCs w:val="18"/>
          <w:color w:val="56C271"/>
        </w:rPr>
      </w:pPr>
      <w:r>
        <w:rPr>
          <w:rFonts w:ascii="Arial" w:cs="Arial" w:eastAsia="Arial" w:hAnsi="Arial"/>
          <w:sz w:val="18"/>
          <w:szCs w:val="18"/>
          <w:color w:val="auto"/>
        </w:rPr>
        <w:t>The candidate’s consent for a background check; and</w:t>
      </w:r>
    </w:p>
    <w:p>
      <w:pPr>
        <w:spacing w:after="0" w:line="130" w:lineRule="exact"/>
        <w:rPr>
          <w:rFonts w:ascii="Arial" w:cs="Arial" w:eastAsia="Arial" w:hAnsi="Arial"/>
          <w:sz w:val="18"/>
          <w:szCs w:val="18"/>
          <w:color w:val="56C271"/>
        </w:rPr>
      </w:pPr>
    </w:p>
    <w:p>
      <w:pPr>
        <w:ind w:left="1620" w:hanging="270"/>
        <w:spacing w:after="0"/>
        <w:tabs>
          <w:tab w:leader="none" w:pos="1620" w:val="left"/>
        </w:tabs>
        <w:numPr>
          <w:ilvl w:val="0"/>
          <w:numId w:val="26"/>
        </w:numPr>
        <w:rPr>
          <w:rFonts w:ascii="Arial" w:cs="Arial" w:eastAsia="Arial" w:hAnsi="Arial"/>
          <w:sz w:val="18"/>
          <w:szCs w:val="18"/>
          <w:color w:val="56C271"/>
        </w:rPr>
      </w:pPr>
      <w:r>
        <w:rPr>
          <w:rFonts w:ascii="Arial" w:cs="Arial" w:eastAsia="Arial" w:hAnsi="Arial"/>
          <w:sz w:val="18"/>
          <w:szCs w:val="18"/>
          <w:color w:val="auto"/>
        </w:rPr>
        <w:t>The candidate’s consent to serve as a Director, if nominated and elected.</w:t>
      </w:r>
    </w:p>
    <w:p>
      <w:pPr>
        <w:spacing w:after="0" w:line="158" w:lineRule="exact"/>
        <w:rPr>
          <w:sz w:val="20"/>
          <w:szCs w:val="20"/>
          <w:color w:val="auto"/>
        </w:rPr>
      </w:pPr>
    </w:p>
    <w:p>
      <w:pPr>
        <w:ind w:left="1000" w:right="179"/>
        <w:spacing w:after="0" w:line="256"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“Shareholder Proposals and Nominations.”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MANAGEMENT SUCCESSION</w:t>
      </w:r>
    </w:p>
    <w:p>
      <w:pPr>
        <w:spacing w:after="0" w:line="170" w:lineRule="exact"/>
        <w:rPr>
          <w:sz w:val="20"/>
          <w:szCs w:val="20"/>
          <w:color w:val="auto"/>
        </w:rPr>
      </w:pPr>
    </w:p>
    <w:p>
      <w:pPr>
        <w:ind w:left="1000" w:right="239"/>
        <w:spacing w:after="0" w:line="252" w:lineRule="auto"/>
        <w:rPr>
          <w:sz w:val="20"/>
          <w:szCs w:val="20"/>
          <w:color w:val="auto"/>
        </w:rPr>
      </w:pPr>
      <w:r>
        <w:rPr>
          <w:rFonts w:ascii="Arial" w:cs="Arial" w:eastAsia="Arial" w:hAnsi="Arial"/>
          <w:sz w:val="18"/>
          <w:szCs w:val="18"/>
          <w:color w:val="auto"/>
        </w:rPr>
        <w:t>The Board of Directors is actively engaged and involved in talent management, under the leadership of the Corporate Governance Committee. The Corporate Governance Committee regularly reviews and discusses a management succession plan designed to provide for continuity in and development of senior management, which includes emergency CEO succession, CEO succession in the ordinary course of business and succession for other members of senior management. The Board receives updates on the succession plan from the Company’s CEO and chief human resources officer at least semi-annually.</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THE BOARD’S ROLE IN RISK OVERSIGHT</w:t>
      </w:r>
    </w:p>
    <w:p>
      <w:pPr>
        <w:spacing w:after="0" w:line="157" w:lineRule="exact"/>
        <w:rPr>
          <w:sz w:val="20"/>
          <w:szCs w:val="20"/>
          <w:color w:val="auto"/>
        </w:rPr>
      </w:pPr>
    </w:p>
    <w:p>
      <w:pPr>
        <w:ind w:left="1000" w:right="179"/>
        <w:spacing w:after="0" w:line="251" w:lineRule="auto"/>
        <w:rPr>
          <w:sz w:val="20"/>
          <w:szCs w:val="20"/>
          <w:color w:val="auto"/>
        </w:rPr>
      </w:pPr>
      <w:r>
        <w:rPr>
          <w:rFonts w:ascii="Arial" w:cs="Arial" w:eastAsia="Arial" w:hAnsi="Arial"/>
          <w:sz w:val="18"/>
          <w:szCs w:val="18"/>
          <w:color w:val="auto"/>
        </w:rPr>
        <w:t>While the Company’s management is responsible for the day-to-day risk management process, the Board is responsible for the oversight of the Company’s risk management. With the oversight of the Board, the management of the Company has developed an enterprise risk management program, whereby management identifies the top individual risks they believe the Company faces with respect to its business, operations, strategy and other factors based on input from key business and functional leaders in the Company. Management evaluates those key risks and identifies ways to mitigate and manage such risks. At least annually, management reports on and discusses the identified risks and risk mitigation efforts with the Board. The Board allocates responsibility to a specific committee to examine a particular risk in detail if the committee is in the best position to review and assess the risk. For example, the Audit Committee reviews programs and practices related to accounting and financial reporting matters and the Compensation and Leadership Development Committee provides oversight of risks related to compensation programs.</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COMPENSATION COMMITTEE INTERLOCKS AND INSIDER PARTICIPATION</w:t>
      </w:r>
    </w:p>
    <w:p>
      <w:pPr>
        <w:spacing w:after="0" w:line="170" w:lineRule="exact"/>
        <w:rPr>
          <w:sz w:val="20"/>
          <w:szCs w:val="20"/>
          <w:color w:val="auto"/>
        </w:rPr>
      </w:pPr>
    </w:p>
    <w:p>
      <w:pPr>
        <w:ind w:left="1000" w:right="459"/>
        <w:spacing w:after="0" w:line="256" w:lineRule="auto"/>
        <w:rPr>
          <w:sz w:val="20"/>
          <w:szCs w:val="20"/>
          <w:color w:val="auto"/>
        </w:rPr>
      </w:pPr>
      <w:r>
        <w:rPr>
          <w:rFonts w:ascii="Arial" w:cs="Arial" w:eastAsia="Arial" w:hAnsi="Arial"/>
          <w:sz w:val="18"/>
          <w:szCs w:val="18"/>
          <w:color w:val="auto"/>
        </w:rPr>
        <w:t>No member of the Compensation and Leadership Development Committee is a present or former officer or employee of the Company. In addition, during fiscal year 2021, no executive officer of the Company had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102870</wp:posOffset>
            </wp:positionV>
            <wp:extent cx="1482725" cy="3003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3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Corporate Governance</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339"/>
        <w:spacing w:after="0"/>
        <w:rPr>
          <w:sz w:val="20"/>
          <w:szCs w:val="20"/>
          <w:color w:val="auto"/>
        </w:rPr>
      </w:pPr>
      <w:r>
        <w:rPr>
          <w:rFonts w:ascii="Arial" w:cs="Arial" w:eastAsia="Arial" w:hAnsi="Arial"/>
          <w:sz w:val="18"/>
          <w:szCs w:val="18"/>
          <w:color w:val="auto"/>
        </w:rPr>
        <w:t>on the compensation committee or any similar committee of any other entity or served as a director for any other entity whose executive officers served on the Company’s Compensation and Leadership Development Committee.</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CODE OF CONDUCT</w:t>
      </w:r>
    </w:p>
    <w:p>
      <w:pPr>
        <w:spacing w:after="0" w:line="157" w:lineRule="exact"/>
        <w:rPr>
          <w:sz w:val="20"/>
          <w:szCs w:val="20"/>
          <w:color w:val="auto"/>
        </w:rPr>
      </w:pPr>
    </w:p>
    <w:p>
      <w:pPr>
        <w:ind w:left="1000" w:right="479"/>
        <w:spacing w:after="0" w:line="238" w:lineRule="auto"/>
        <w:rPr>
          <w:sz w:val="20"/>
          <w:szCs w:val="20"/>
          <w:color w:val="auto"/>
        </w:rPr>
      </w:pPr>
      <w:r>
        <w:rPr>
          <w:rFonts w:ascii="Arial" w:cs="Arial" w:eastAsia="Arial" w:hAnsi="Arial"/>
          <w:sz w:val="18"/>
          <w:szCs w:val="18"/>
          <w:color w:val="auto"/>
        </w:rPr>
        <w:t xml:space="preserve">The Company has a Code of Conduct that applies to Directors, officers and employees, including the CEO and all financial and accounting personnel. A copy of the Code of Conduct can be reviewed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 Any future amendments to, or waivers for executive officers and Directors from certain provisions of, the Code of Conduct will be posted on the Company’s website.</w:t>
      </w:r>
    </w:p>
    <w:p>
      <w:pPr>
        <w:spacing w:after="0" w:line="173" w:lineRule="exact"/>
        <w:rPr>
          <w:sz w:val="20"/>
          <w:szCs w:val="20"/>
          <w:color w:val="auto"/>
        </w:rPr>
      </w:pPr>
    </w:p>
    <w:p>
      <w:pPr>
        <w:ind w:left="1000" w:right="759"/>
        <w:spacing w:after="0" w:line="261" w:lineRule="auto"/>
        <w:rPr>
          <w:sz w:val="20"/>
          <w:szCs w:val="20"/>
          <w:color w:val="auto"/>
        </w:rPr>
      </w:pPr>
      <w:r>
        <w:rPr>
          <w:rFonts w:ascii="Arial" w:cs="Arial" w:eastAsia="Arial" w:hAnsi="Arial"/>
          <w:sz w:val="22"/>
          <w:szCs w:val="22"/>
          <w:b w:val="1"/>
          <w:bCs w:val="1"/>
          <w:color w:val="56C271"/>
        </w:rPr>
        <w:t>POLICY AGAINST PLEDGING AND HEDGING ECONOMIC RISK OF OWNING THE COMPANY’S SECURITIES</w:t>
      </w:r>
    </w:p>
    <w:p>
      <w:pPr>
        <w:spacing w:after="0" w:line="116" w:lineRule="exact"/>
        <w:rPr>
          <w:sz w:val="20"/>
          <w:szCs w:val="20"/>
          <w:color w:val="auto"/>
        </w:rPr>
      </w:pPr>
    </w:p>
    <w:p>
      <w:pPr>
        <w:ind w:left="1000" w:right="159"/>
        <w:spacing w:after="0" w:line="236" w:lineRule="auto"/>
        <w:rPr>
          <w:sz w:val="20"/>
          <w:szCs w:val="20"/>
          <w:color w:val="auto"/>
        </w:rPr>
      </w:pPr>
      <w:r>
        <w:rPr>
          <w:rFonts w:ascii="Arial" w:cs="Arial" w:eastAsia="Arial" w:hAnsi="Arial"/>
          <w:sz w:val="18"/>
          <w:szCs w:val="18"/>
          <w:color w:val="auto"/>
        </w:rPr>
        <w:t>The Trading Procedures for Insiders, which is part of the Company’s Insider Trading Policy, expressly prohibits Directors, executive officers and other employees determined by the Company as “Insiders,” including their spouses, other persons living in their household and minor children and entities over which they exercise control, from entering into hedging or monetization transactions to hedge the economic risk of owning the Company’s securities (or any other financial transactions that are designed to hedge or offset any decrease in market value of the Company’s equity securities) without advance approval. The policy similarly prohibits such individuals from holding the Company’s securities in a margin account and pledging the Company’s securities as collateral for loans without advance approval. The policy applies to all of the Company’s securities held, including options and any other derivative securities, regardless if granted by the Company as compensation. There were no exceptions approved during the last fiscal year.</w:t>
      </w:r>
    </w:p>
    <w:p>
      <w:pPr>
        <w:spacing w:after="0" w:line="138" w:lineRule="exact"/>
        <w:rPr>
          <w:sz w:val="20"/>
          <w:szCs w:val="20"/>
          <w:color w:val="auto"/>
        </w:rPr>
      </w:pPr>
    </w:p>
    <w:p>
      <w:pPr>
        <w:ind w:left="1000" w:right="279"/>
        <w:spacing w:after="0" w:line="238" w:lineRule="auto"/>
        <w:rPr>
          <w:sz w:val="20"/>
          <w:szCs w:val="20"/>
          <w:color w:val="auto"/>
        </w:rPr>
      </w:pPr>
      <w:r>
        <w:rPr>
          <w:rFonts w:ascii="Arial" w:cs="Arial" w:eastAsia="Arial" w:hAnsi="Arial"/>
          <w:sz w:val="18"/>
          <w:szCs w:val="18"/>
          <w:color w:val="auto"/>
        </w:rPr>
        <w:t>The Company has focused its anti-hedging and anti-pledging policy primarily on Directors and executive officers because, as stewards and leaders of the Company, their interests should remain aligned with shareholder interests. The Company believes that Directors and executive officers should bear the same economic risks associated with holding the Company’s securities as do its shareholders and believes its anti-hedging policy will ensure this alignment.</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REPORTING OF ETHICAL CONCERNS</w:t>
      </w:r>
    </w:p>
    <w:p>
      <w:pPr>
        <w:spacing w:after="0" w:line="157" w:lineRule="exact"/>
        <w:rPr>
          <w:sz w:val="20"/>
          <w:szCs w:val="20"/>
          <w:color w:val="auto"/>
        </w:rPr>
      </w:pPr>
    </w:p>
    <w:p>
      <w:pPr>
        <w:ind w:left="1000" w:right="399"/>
        <w:spacing w:after="0" w:line="238"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37" w:lineRule="exact"/>
        <w:rPr>
          <w:sz w:val="20"/>
          <w:szCs w:val="20"/>
          <w:color w:val="auto"/>
        </w:rPr>
      </w:pPr>
    </w:p>
    <w:p>
      <w:pPr>
        <w:ind w:left="1360" w:right="139"/>
        <w:spacing w:after="0" w:line="246"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to discuss matters of concern.</w:t>
      </w:r>
    </w:p>
    <w:p>
      <w:pPr>
        <w:spacing w:after="0" w:line="1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All persons, including employees, may contact:</w:t>
      </w:r>
    </w:p>
    <w:p>
      <w:pPr>
        <w:spacing w:after="0" w:line="117" w:lineRule="exact"/>
        <w:rPr>
          <w:sz w:val="20"/>
          <w:szCs w:val="20"/>
          <w:color w:val="auto"/>
        </w:rPr>
      </w:pPr>
    </w:p>
    <w:p>
      <w:pPr>
        <w:ind w:left="1980" w:right="499" w:hanging="270"/>
        <w:spacing w:after="0" w:line="261" w:lineRule="auto"/>
        <w:tabs>
          <w:tab w:leader="none" w:pos="1980" w:val="left"/>
        </w:tabs>
        <w:numPr>
          <w:ilvl w:val="0"/>
          <w:numId w:val="27"/>
        </w:numPr>
        <w:rPr>
          <w:rFonts w:ascii="Arial" w:cs="Arial" w:eastAsia="Arial" w:hAnsi="Arial"/>
          <w:sz w:val="18"/>
          <w:szCs w:val="18"/>
          <w:color w:val="56C271"/>
        </w:rPr>
      </w:pPr>
      <w:r>
        <w:rPr>
          <w:rFonts w:ascii="Arial" w:cs="Arial" w:eastAsia="Arial" w:hAnsi="Arial"/>
          <w:sz w:val="18"/>
          <w:szCs w:val="18"/>
          <w:color w:val="auto"/>
        </w:rPr>
        <w:t>The Legal Department, by telephone at (480) 643-7267, or by mail at 2211 South 47th Street, Phoenix, Arizona 85034; or</w:t>
      </w:r>
    </w:p>
    <w:p>
      <w:pPr>
        <w:spacing w:after="0" w:line="76" w:lineRule="exact"/>
        <w:rPr>
          <w:rFonts w:ascii="Arial" w:cs="Arial" w:eastAsia="Arial" w:hAnsi="Arial"/>
          <w:sz w:val="18"/>
          <w:szCs w:val="18"/>
          <w:color w:val="56C271"/>
        </w:rPr>
      </w:pPr>
    </w:p>
    <w:p>
      <w:pPr>
        <w:ind w:left="1980" w:right="319" w:hanging="270"/>
        <w:spacing w:after="0" w:line="256" w:lineRule="auto"/>
        <w:tabs>
          <w:tab w:leader="none" w:pos="1980" w:val="left"/>
        </w:tabs>
        <w:numPr>
          <w:ilvl w:val="0"/>
          <w:numId w:val="27"/>
        </w:numPr>
        <w:rPr>
          <w:rFonts w:ascii="Arial" w:cs="Arial" w:eastAsia="Arial" w:hAnsi="Arial"/>
          <w:sz w:val="18"/>
          <w:szCs w:val="18"/>
          <w:color w:val="56C271"/>
        </w:rPr>
      </w:pPr>
      <w:r>
        <w:rPr>
          <w:rFonts w:ascii="Arial" w:cs="Arial" w:eastAsia="Arial" w:hAnsi="Arial"/>
          <w:sz w:val="18"/>
          <w:szCs w:val="18"/>
          <w:color w:val="auto"/>
        </w:rPr>
        <w:t xml:space="preserve">The Ethics Alertline at 1-800-861-2899 (within the United States and Canada) or via the Internet at </w:t>
      </w:r>
      <w:r>
        <w:rPr>
          <w:rFonts w:ascii="Arial" w:cs="Arial" w:eastAsia="Arial" w:hAnsi="Arial"/>
          <w:sz w:val="18"/>
          <w:szCs w:val="18"/>
          <w:u w:val="single" w:color="auto"/>
          <w:color w:val="auto"/>
        </w:rPr>
        <w:t>www.avnet.alertline.com</w:t>
      </w:r>
      <w:r>
        <w:rPr>
          <w:rFonts w:ascii="Arial" w:cs="Arial" w:eastAsia="Arial" w:hAnsi="Arial"/>
          <w:sz w:val="18"/>
          <w:szCs w:val="18"/>
          <w:color w:val="auto"/>
        </w:rPr>
        <w:t>. Reports via the Ethics Alertline will be treated with appropriate confidentially and may be made on an anonymous basis where permitted by law.</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STOCK OWNERSHIP GUIDELINES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Board has adopted stock ownership guidelines for both the Directors and executive officers.</w:t>
      </w:r>
    </w:p>
    <w:p>
      <w:pPr>
        <w:spacing w:after="0" w:line="158" w:lineRule="exact"/>
        <w:rPr>
          <w:sz w:val="20"/>
          <w:szCs w:val="20"/>
          <w:color w:val="auto"/>
        </w:rPr>
      </w:pPr>
    </w:p>
    <w:p>
      <w:pPr>
        <w:ind w:left="1000" w:right="359"/>
        <w:spacing w:after="0" w:line="238" w:lineRule="auto"/>
        <w:rPr>
          <w:sz w:val="20"/>
          <w:szCs w:val="20"/>
          <w:color w:val="auto"/>
        </w:rPr>
      </w:pPr>
      <w:r>
        <w:rPr>
          <w:rFonts w:ascii="Arial" w:cs="Arial" w:eastAsia="Arial" w:hAnsi="Arial"/>
          <w:sz w:val="18"/>
          <w:szCs w:val="18"/>
          <w:color w:val="auto"/>
        </w:rPr>
        <w:t>Under the guidelines for Directors, Directors should own, within five years of joining the Board, shares of the Company’s Common Stock worth at least five times the Director’s annual cash retainer. Shares that are awarded to Directors as part of director compensation, as well as phantom stock units acquired by Directors under a</w:t>
      </w:r>
    </w:p>
    <w:p>
      <w:pPr>
        <w:sectPr>
          <w:pgSz w:w="11900" w:h="16838" w:orient="portrait"/>
          <w:cols w:equalWidth="0" w:num="1">
            <w:col w:w="9879"/>
          </w:cols>
          <w:pgMar w:left="580" w:top="131" w:right="1440" w:bottom="1440" w:gutter="0" w:footer="0" w:header="0"/>
        </w:sectPr>
      </w:pPr>
    </w:p>
    <w:p>
      <w:pPr>
        <w:spacing w:after="0" w:line="140"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Corporate Governance</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259"/>
        <w:spacing w:after="0" w:line="238" w:lineRule="auto"/>
        <w:rPr>
          <w:sz w:val="20"/>
          <w:szCs w:val="20"/>
          <w:color w:val="auto"/>
        </w:rPr>
      </w:pPr>
      <w:r>
        <w:rPr>
          <w:rFonts w:ascii="Arial" w:cs="Arial" w:eastAsia="Arial" w:hAnsi="Arial"/>
          <w:sz w:val="18"/>
          <w:szCs w:val="18"/>
          <w:color w:val="auto"/>
        </w:rPr>
        <w:t>deferred compensation plan, count towards the guideline. The Board will evaluate whether exceptions should be made in the case of any Director who, due to his or her unique financial circumstances, would incur a hardship by complying with this requirement. As of July 1, 2021, each Director was in compliance with these guidelines.</w:t>
      </w:r>
    </w:p>
    <w:p>
      <w:pPr>
        <w:spacing w:after="0" w:line="124" w:lineRule="exact"/>
        <w:rPr>
          <w:sz w:val="20"/>
          <w:szCs w:val="20"/>
          <w:color w:val="auto"/>
        </w:rPr>
      </w:pPr>
    </w:p>
    <w:p>
      <w:pPr>
        <w:ind w:left="1000" w:right="259"/>
        <w:spacing w:after="0" w:line="246" w:lineRule="auto"/>
        <w:rPr>
          <w:sz w:val="20"/>
          <w:szCs w:val="20"/>
          <w:color w:val="auto"/>
        </w:rPr>
      </w:pPr>
      <w:r>
        <w:rPr>
          <w:rFonts w:ascii="Arial" w:cs="Arial" w:eastAsia="Arial" w:hAnsi="Arial"/>
          <w:sz w:val="18"/>
          <w:szCs w:val="18"/>
          <w:color w:val="auto"/>
        </w:rPr>
        <w:t>Under the guidelines for executive officers, officers should own shares of the Company’s Common Stock with a market value equal to a multiple of their base salary:</w:t>
      </w:r>
    </w:p>
    <w:p>
      <w:pPr>
        <w:spacing w:after="0" w:line="67" w:lineRule="exact"/>
        <w:rPr>
          <w:sz w:val="20"/>
          <w:szCs w:val="20"/>
          <w:color w:val="auto"/>
        </w:rPr>
      </w:pPr>
    </w:p>
    <w:p>
      <w:pPr>
        <w:ind w:left="1620" w:hanging="270"/>
        <w:spacing w:after="0"/>
        <w:tabs>
          <w:tab w:leader="none" w:pos="1620" w:val="left"/>
        </w:tabs>
        <w:numPr>
          <w:ilvl w:val="0"/>
          <w:numId w:val="28"/>
        </w:numPr>
        <w:rPr>
          <w:rFonts w:ascii="Arial" w:cs="Arial" w:eastAsia="Arial" w:hAnsi="Arial"/>
          <w:sz w:val="18"/>
          <w:szCs w:val="18"/>
          <w:color w:val="56C271"/>
        </w:rPr>
      </w:pPr>
      <w:r>
        <w:rPr>
          <w:rFonts w:ascii="Arial" w:cs="Arial" w:eastAsia="Arial" w:hAnsi="Arial"/>
          <w:sz w:val="18"/>
          <w:szCs w:val="18"/>
          <w:b w:val="1"/>
          <w:bCs w:val="1"/>
          <w:color w:val="56C271"/>
        </w:rPr>
        <w:t xml:space="preserve">5x </w:t>
      </w:r>
      <w:r>
        <w:rPr>
          <w:rFonts w:ascii="Arial" w:cs="Arial" w:eastAsia="Arial" w:hAnsi="Arial"/>
          <w:sz w:val="18"/>
          <w:szCs w:val="18"/>
          <w:color w:val="000000"/>
        </w:rPr>
        <w:t>for the Chief Executive Officer;</w:t>
      </w:r>
    </w:p>
    <w:p>
      <w:pPr>
        <w:spacing w:after="0" w:line="117" w:lineRule="exact"/>
        <w:rPr>
          <w:rFonts w:ascii="Arial" w:cs="Arial" w:eastAsia="Arial" w:hAnsi="Arial"/>
          <w:sz w:val="18"/>
          <w:szCs w:val="18"/>
          <w:color w:val="56C271"/>
        </w:rPr>
      </w:pPr>
    </w:p>
    <w:p>
      <w:pPr>
        <w:ind w:left="1620" w:hanging="270"/>
        <w:spacing w:after="0"/>
        <w:tabs>
          <w:tab w:leader="none" w:pos="1620" w:val="left"/>
        </w:tabs>
        <w:numPr>
          <w:ilvl w:val="0"/>
          <w:numId w:val="28"/>
        </w:numPr>
        <w:rPr>
          <w:rFonts w:ascii="Arial" w:cs="Arial" w:eastAsia="Arial" w:hAnsi="Arial"/>
          <w:sz w:val="18"/>
          <w:szCs w:val="18"/>
          <w:color w:val="56C271"/>
        </w:rPr>
      </w:pPr>
      <w:r>
        <w:rPr>
          <w:rFonts w:ascii="Arial" w:cs="Arial" w:eastAsia="Arial" w:hAnsi="Arial"/>
          <w:sz w:val="18"/>
          <w:szCs w:val="18"/>
          <w:b w:val="1"/>
          <w:bCs w:val="1"/>
          <w:color w:val="56C271"/>
        </w:rPr>
        <w:t xml:space="preserve">3x </w:t>
      </w:r>
      <w:r>
        <w:rPr>
          <w:rFonts w:ascii="Arial" w:cs="Arial" w:eastAsia="Arial" w:hAnsi="Arial"/>
          <w:sz w:val="18"/>
          <w:szCs w:val="18"/>
          <w:color w:val="000000"/>
        </w:rPr>
        <w:t>for the Chief Financial Officer and General Counsel; and</w:t>
      </w:r>
    </w:p>
    <w:p>
      <w:pPr>
        <w:spacing w:after="0" w:line="117" w:lineRule="exact"/>
        <w:rPr>
          <w:rFonts w:ascii="Arial" w:cs="Arial" w:eastAsia="Arial" w:hAnsi="Arial"/>
          <w:sz w:val="18"/>
          <w:szCs w:val="18"/>
          <w:color w:val="56C271"/>
        </w:rPr>
      </w:pPr>
    </w:p>
    <w:p>
      <w:pPr>
        <w:ind w:left="1620" w:hanging="270"/>
        <w:spacing w:after="0"/>
        <w:tabs>
          <w:tab w:leader="none" w:pos="1620" w:val="left"/>
        </w:tabs>
        <w:numPr>
          <w:ilvl w:val="0"/>
          <w:numId w:val="28"/>
        </w:numPr>
        <w:rPr>
          <w:rFonts w:ascii="Arial" w:cs="Arial" w:eastAsia="Arial" w:hAnsi="Arial"/>
          <w:sz w:val="18"/>
          <w:szCs w:val="18"/>
          <w:color w:val="56C271"/>
        </w:rPr>
      </w:pPr>
      <w:r>
        <w:rPr>
          <w:rFonts w:ascii="Arial" w:cs="Arial" w:eastAsia="Arial" w:hAnsi="Arial"/>
          <w:sz w:val="18"/>
          <w:szCs w:val="18"/>
          <w:b w:val="1"/>
          <w:bCs w:val="1"/>
          <w:color w:val="56C271"/>
        </w:rPr>
        <w:t xml:space="preserve">1x </w:t>
      </w:r>
      <w:r>
        <w:rPr>
          <w:rFonts w:ascii="Arial" w:cs="Arial" w:eastAsia="Arial" w:hAnsi="Arial"/>
          <w:sz w:val="18"/>
          <w:szCs w:val="18"/>
          <w:color w:val="000000"/>
        </w:rPr>
        <w:t>for other Executive Officers.</w:t>
      </w:r>
    </w:p>
    <w:p>
      <w:pPr>
        <w:spacing w:after="0" w:line="166" w:lineRule="exact"/>
        <w:rPr>
          <w:sz w:val="20"/>
          <w:szCs w:val="20"/>
          <w:color w:val="auto"/>
        </w:rPr>
      </w:pPr>
    </w:p>
    <w:p>
      <w:pPr>
        <w:ind w:left="1000" w:right="219"/>
        <w:spacing w:after="0" w:line="238" w:lineRule="auto"/>
        <w:rPr>
          <w:sz w:val="20"/>
          <w:szCs w:val="20"/>
          <w:color w:val="auto"/>
        </w:rPr>
      </w:pPr>
      <w:r>
        <w:rPr>
          <w:rFonts w:ascii="Arial" w:cs="Arial" w:eastAsia="Arial" w:hAnsi="Arial"/>
          <w:sz w:val="18"/>
          <w:szCs w:val="18"/>
          <w:color w:val="auto"/>
        </w:rPr>
        <w:t>Shares underlying restricted stock units, vested performance share units and shares acquired from the exercise of stock options count towards the guideline. Until the ownership level is met, executive officers must hold at least 50% of any net shares he or she receives upon the exercise of options or upon the delivery of any restricted stock units or performance share unit awards. As of July 1, 2021, executive officers subject to these guidelines satisfy these requirements.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THE COMPANY’S WEBSITE</w:t>
      </w:r>
    </w:p>
    <w:p>
      <w:pPr>
        <w:spacing w:after="0" w:line="170" w:lineRule="exact"/>
        <w:rPr>
          <w:sz w:val="20"/>
          <w:szCs w:val="20"/>
          <w:color w:val="auto"/>
        </w:rPr>
      </w:pPr>
    </w:p>
    <w:p>
      <w:pPr>
        <w:ind w:left="1000" w:right="179"/>
        <w:spacing w:after="0" w:line="236" w:lineRule="auto"/>
        <w:rPr>
          <w:sz w:val="20"/>
          <w:szCs w:val="20"/>
          <w:color w:val="auto"/>
        </w:rPr>
      </w:pPr>
      <w:r>
        <w:rPr>
          <w:rFonts w:ascii="Arial" w:cs="Arial" w:eastAsia="Arial" w:hAnsi="Arial"/>
          <w:sz w:val="18"/>
          <w:szCs w:val="18"/>
          <w:color w:val="auto"/>
        </w:rPr>
        <w:t xml:space="preserve">In addition to the information about the Company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including information about the Company’s management team, products and services, and its corporate governance practices. The corporate governance information on the Company’s website, located at </w:t>
      </w:r>
      <w:r>
        <w:rPr>
          <w:rFonts w:ascii="Arial" w:cs="Arial" w:eastAsia="Arial" w:hAnsi="Arial"/>
          <w:sz w:val="18"/>
          <w:szCs w:val="18"/>
          <w:u w:val="single" w:color="auto"/>
          <w:color w:val="auto"/>
        </w:rPr>
        <w:t>www.ir.avnet.com/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corporate-governance</w:t>
      </w:r>
      <w:r>
        <w:rPr>
          <w:rFonts w:ascii="Arial" w:cs="Arial" w:eastAsia="Arial" w:hAnsi="Arial"/>
          <w:sz w:val="18"/>
          <w:szCs w:val="18"/>
          <w:color w:val="auto"/>
        </w:rPr>
        <w:t>, includes the Guidelines, the Code of Conduct, the charters for each of the standing committees of the Board of Directors, and how a shareholder and other interested parties can communicate with the Board of Directors. In addition, amendments to the Code of Conduct and waivers granted to the Company’s Directors and executive officers under the Code of Conduct, if any, will be posted in this area of the website. Printed versions of the Guidelines, the Code of Conduct and the charters for the Board committees can be obtained, free of charge, by writing to the Company, Attention: Corporate Secretary, Avnet, Inc., 2211 South 47th Street, Phoenix, AZ 85034.</w:t>
      </w:r>
    </w:p>
    <w:p>
      <w:pPr>
        <w:spacing w:after="0" w:line="137" w:lineRule="exact"/>
        <w:rPr>
          <w:sz w:val="20"/>
          <w:szCs w:val="20"/>
          <w:color w:val="auto"/>
        </w:rPr>
      </w:pPr>
    </w:p>
    <w:p>
      <w:pPr>
        <w:ind w:left="1000" w:right="159"/>
        <w:spacing w:after="0" w:line="237" w:lineRule="auto"/>
        <w:rPr>
          <w:sz w:val="20"/>
          <w:szCs w:val="20"/>
          <w:color w:val="auto"/>
        </w:rPr>
      </w:pPr>
      <w:r>
        <w:rPr>
          <w:rFonts w:ascii="Arial" w:cs="Arial" w:eastAsia="Arial" w:hAnsi="Arial"/>
          <w:sz w:val="18"/>
          <w:szCs w:val="18"/>
          <w:color w:val="auto"/>
        </w:rPr>
        <w:t xml:space="preserve">In addition, the Company’s Annual Reports on Form 10-K, Quarterly Reports on Form 10-Q, Current Reports on Form 8-K, Proxy Statements and other filings, including registration statements and Section 16 filings made by any of the Company’s executive officers and Directors with respect to the Company’s securities, with the U.S. Securities and Exchange Commission (the “SEC”) under the Securities Exchange Act of 1934, as amended (the “Exchange Act”), or the Securities Act of 1933, as amended, are available on the Company’s website located at </w:t>
      </w:r>
      <w:r>
        <w:rPr>
          <w:rFonts w:ascii="Arial" w:cs="Arial" w:eastAsia="Arial" w:hAnsi="Arial"/>
          <w:sz w:val="18"/>
          <w:szCs w:val="18"/>
          <w:u w:val="single" w:color="auto"/>
          <w:color w:val="auto"/>
        </w:rPr>
        <w:t>www.ir.avnet.com/financial-information/sec-filings</w:t>
      </w:r>
      <w:r>
        <w:rPr>
          <w:rFonts w:ascii="Arial" w:cs="Arial" w:eastAsia="Arial" w:hAnsi="Arial"/>
          <w:sz w:val="18"/>
          <w:szCs w:val="18"/>
          <w:color w:val="auto"/>
        </w:rPr>
        <w:t xml:space="preserve"> as soon as reasonably practicable after the report or form is electronically filed with, or furnished to, the SEC.</w:t>
      </w:r>
    </w:p>
    <w:p>
      <w:pPr>
        <w:spacing w:after="0" w:line="122" w:lineRule="exact"/>
        <w:rPr>
          <w:sz w:val="20"/>
          <w:szCs w:val="20"/>
          <w:color w:val="auto"/>
        </w:rPr>
      </w:pPr>
    </w:p>
    <w:p>
      <w:pPr>
        <w:ind w:left="1000" w:right="219"/>
        <w:spacing w:after="0" w:line="261" w:lineRule="auto"/>
        <w:rPr>
          <w:sz w:val="20"/>
          <w:szCs w:val="20"/>
          <w:color w:val="auto"/>
        </w:rPr>
      </w:pPr>
      <w:r>
        <w:rPr>
          <w:rFonts w:ascii="Arial" w:cs="Arial" w:eastAsia="Arial" w:hAnsi="Arial"/>
          <w:sz w:val="17"/>
          <w:szCs w:val="17"/>
          <w:color w:val="auto"/>
        </w:rPr>
        <w:t>This information about the Company’s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DIRECTOR COMMUNICATIONS</w:t>
      </w:r>
    </w:p>
    <w:p>
      <w:pPr>
        <w:spacing w:after="0" w:line="170" w:lineRule="exact"/>
        <w:rPr>
          <w:sz w:val="20"/>
          <w:szCs w:val="20"/>
          <w:color w:val="auto"/>
        </w:rPr>
      </w:pPr>
    </w:p>
    <w:p>
      <w:pPr>
        <w:ind w:left="1000" w:right="279"/>
        <w:spacing w:after="0" w:line="238" w:lineRule="auto"/>
        <w:rPr>
          <w:sz w:val="20"/>
          <w:szCs w:val="20"/>
          <w:color w:val="auto"/>
        </w:rPr>
      </w:pPr>
      <w:r>
        <w:rPr>
          <w:rFonts w:ascii="Arial" w:cs="Arial" w:eastAsia="Arial" w:hAnsi="Arial"/>
          <w:sz w:val="18"/>
          <w:szCs w:val="18"/>
          <w:color w:val="auto"/>
        </w:rPr>
        <w:t xml:space="preserve">Shareholders and other interested parties may contact the Company’s Board of Directors by writing to the Board of Directors, Attention: Corporate Secretary, Avnet, Inc., 2211 South 47th Street, Phoenix, Arizona 85034. They may also submit an email to the Board by filling out the email form on the Company’s website at </w:t>
      </w:r>
      <w:r>
        <w:rPr>
          <w:rFonts w:ascii="Arial" w:cs="Arial" w:eastAsia="Arial" w:hAnsi="Arial"/>
          <w:sz w:val="18"/>
          <w:szCs w:val="18"/>
          <w:u w:val="single" w:color="auto"/>
          <w:color w:val="auto"/>
        </w:rPr>
        <w:t>www.ir.avnet.com/corporate-governance/contact-the-board</w:t>
      </w:r>
      <w:r>
        <w:rPr>
          <w:rFonts w:ascii="Arial" w:cs="Arial" w:eastAsia="Arial" w:hAnsi="Arial"/>
          <w:sz w:val="18"/>
          <w:szCs w:val="18"/>
          <w:color w:val="auto"/>
        </w:rPr>
        <w:t>.</w:t>
      </w:r>
    </w:p>
    <w:p>
      <w:pPr>
        <w:spacing w:after="0" w:line="137" w:lineRule="exact"/>
        <w:rPr>
          <w:sz w:val="20"/>
          <w:szCs w:val="20"/>
          <w:color w:val="auto"/>
        </w:rPr>
      </w:pPr>
    </w:p>
    <w:p>
      <w:pPr>
        <w:ind w:left="1000" w:right="179"/>
        <w:spacing w:after="0" w:line="255" w:lineRule="auto"/>
        <w:rPr>
          <w:sz w:val="20"/>
          <w:szCs w:val="20"/>
          <w:color w:val="auto"/>
        </w:rPr>
      </w:pPr>
      <w:r>
        <w:rPr>
          <w:rFonts w:ascii="Arial" w:cs="Arial" w:eastAsia="Arial" w:hAnsi="Arial"/>
          <w:sz w:val="17"/>
          <w:szCs w:val="17"/>
          <w:color w:val="auto"/>
        </w:rPr>
        <w:t>Communications received are distributed to the Board, or to any individual Director or group of Directors as appropriate, depending on the facts and circumstances outlined in the communication. The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95250</wp:posOffset>
            </wp:positionV>
            <wp:extent cx="1482725"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ind w:left="8280"/>
        <w:spacing w:after="0" w:line="187" w:lineRule="auto"/>
        <w:rPr>
          <w:sz w:val="20"/>
          <w:szCs w:val="20"/>
          <w:color w:val="auto"/>
        </w:rPr>
      </w:pPr>
      <w:r>
        <w:rPr>
          <w:rFonts w:ascii="Arial" w:cs="Arial" w:eastAsia="Arial" w:hAnsi="Arial"/>
          <w:sz w:val="12"/>
          <w:szCs w:val="12"/>
          <w:color w:val="auto"/>
        </w:rPr>
        <w:t>Corporate Governance</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679"/>
        <w:spacing w:after="0"/>
        <w:rPr>
          <w:sz w:val="20"/>
          <w:szCs w:val="20"/>
          <w:color w:val="auto"/>
        </w:rPr>
      </w:pPr>
      <w:r>
        <w:rPr>
          <w:rFonts w:ascii="Arial" w:cs="Arial" w:eastAsia="Arial" w:hAnsi="Arial"/>
          <w:sz w:val="18"/>
          <w:szCs w:val="18"/>
          <w:color w:val="auto"/>
        </w:rPr>
        <w:t>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ENVIRONMENTAL, SOCIAL AND GOVERNANCE</w:t>
      </w:r>
    </w:p>
    <w:p>
      <w:pPr>
        <w:spacing w:after="0" w:line="157" w:lineRule="exact"/>
        <w:rPr>
          <w:sz w:val="20"/>
          <w:szCs w:val="20"/>
          <w:color w:val="auto"/>
        </w:rPr>
      </w:pPr>
    </w:p>
    <w:p>
      <w:pPr>
        <w:ind w:left="1000" w:right="179"/>
        <w:spacing w:after="0" w:line="237" w:lineRule="auto"/>
        <w:rPr>
          <w:sz w:val="20"/>
          <w:szCs w:val="20"/>
          <w:color w:val="auto"/>
        </w:rPr>
      </w:pPr>
      <w:r>
        <w:rPr>
          <w:rFonts w:ascii="Arial" w:cs="Arial" w:eastAsia="Arial" w:hAnsi="Arial"/>
          <w:sz w:val="18"/>
          <w:szCs w:val="18"/>
          <w:color w:val="auto"/>
        </w:rPr>
        <w:t>The Company is committed to guiding a better tomorrow through its Environmental, Social and Governance (“ESG”)) initiatives, including operating with integrity, promoting diversity and inclusion in the workforce, creating corporate goals to reduce environmental impact, contributing to local and global communities and nurturing the capabilities of our employees, customers and communities. The Company’s sustainability reports are available on its website, and annual updates are planned going forward. The Company has created an ESG Governance Charter and Governance Council. In tandem with the Council is a ESG Working Team comprised of various senior leaders across multiple disciplines across the business.</w:t>
      </w:r>
    </w:p>
    <w:p>
      <w:pPr>
        <w:spacing w:after="0" w:line="135" w:lineRule="exact"/>
        <w:rPr>
          <w:sz w:val="20"/>
          <w:szCs w:val="20"/>
          <w:color w:val="auto"/>
        </w:rPr>
      </w:pPr>
    </w:p>
    <w:p>
      <w:pPr>
        <w:ind w:left="1000" w:right="679"/>
        <w:spacing w:after="0" w:line="261" w:lineRule="auto"/>
        <w:rPr>
          <w:sz w:val="20"/>
          <w:szCs w:val="20"/>
          <w:color w:val="auto"/>
        </w:rPr>
      </w:pPr>
      <w:r>
        <w:rPr>
          <w:rFonts w:ascii="Arial" w:cs="Arial" w:eastAsia="Arial" w:hAnsi="Arial"/>
          <w:sz w:val="17"/>
          <w:szCs w:val="17"/>
          <w:color w:val="auto"/>
        </w:rPr>
        <w:t>The Company leverages the Sustainability Accounting Standards Board (SASB) standards, the Global Reporting Initiative (GRI) standards and the United Nation’s Sustainable Development Goals to assist in forming the basis for its ESG program. Core topics included in the annual sustainability report include:</w:t>
      </w:r>
    </w:p>
    <w:p>
      <w:pPr>
        <w:spacing w:after="0" w:line="78" w:lineRule="exact"/>
        <w:rPr>
          <w:sz w:val="20"/>
          <w:szCs w:val="20"/>
          <w:color w:val="auto"/>
        </w:rPr>
      </w:pPr>
    </w:p>
    <w:p>
      <w:pPr>
        <w:ind w:left="1620" w:hanging="270"/>
        <w:spacing w:after="0"/>
        <w:tabs>
          <w:tab w:leader="none" w:pos="1620" w:val="left"/>
        </w:tabs>
        <w:numPr>
          <w:ilvl w:val="0"/>
          <w:numId w:val="29"/>
        </w:numPr>
        <w:rPr>
          <w:rFonts w:ascii="Arial" w:cs="Arial" w:eastAsia="Arial" w:hAnsi="Arial"/>
          <w:sz w:val="18"/>
          <w:szCs w:val="18"/>
          <w:color w:val="56C271"/>
        </w:rPr>
      </w:pPr>
      <w:r>
        <w:rPr>
          <w:rFonts w:ascii="Arial" w:cs="Arial" w:eastAsia="Arial" w:hAnsi="Arial"/>
          <w:sz w:val="18"/>
          <w:szCs w:val="18"/>
          <w:color w:val="auto"/>
        </w:rPr>
        <w:t>Ethics and Compliance</w:t>
      </w:r>
    </w:p>
    <w:p>
      <w:pPr>
        <w:spacing w:after="0" w:line="117" w:lineRule="exact"/>
        <w:rPr>
          <w:rFonts w:ascii="Arial" w:cs="Arial" w:eastAsia="Arial" w:hAnsi="Arial"/>
          <w:sz w:val="18"/>
          <w:szCs w:val="18"/>
          <w:color w:val="56C271"/>
        </w:rPr>
      </w:pPr>
    </w:p>
    <w:p>
      <w:pPr>
        <w:ind w:left="1620" w:hanging="270"/>
        <w:spacing w:after="0"/>
        <w:tabs>
          <w:tab w:leader="none" w:pos="1620" w:val="left"/>
        </w:tabs>
        <w:numPr>
          <w:ilvl w:val="0"/>
          <w:numId w:val="29"/>
        </w:numPr>
        <w:rPr>
          <w:rFonts w:ascii="Arial" w:cs="Arial" w:eastAsia="Arial" w:hAnsi="Arial"/>
          <w:sz w:val="18"/>
          <w:szCs w:val="18"/>
          <w:color w:val="56C271"/>
        </w:rPr>
      </w:pPr>
      <w:r>
        <w:rPr>
          <w:rFonts w:ascii="Arial" w:cs="Arial" w:eastAsia="Arial" w:hAnsi="Arial"/>
          <w:sz w:val="18"/>
          <w:szCs w:val="18"/>
          <w:color w:val="auto"/>
        </w:rPr>
        <w:t>Data Security</w:t>
      </w:r>
    </w:p>
    <w:p>
      <w:pPr>
        <w:spacing w:after="0" w:line="103" w:lineRule="exact"/>
        <w:rPr>
          <w:rFonts w:ascii="Arial" w:cs="Arial" w:eastAsia="Arial" w:hAnsi="Arial"/>
          <w:sz w:val="18"/>
          <w:szCs w:val="18"/>
          <w:color w:val="56C271"/>
        </w:rPr>
      </w:pPr>
    </w:p>
    <w:p>
      <w:pPr>
        <w:ind w:left="1620" w:hanging="270"/>
        <w:spacing w:after="0"/>
        <w:tabs>
          <w:tab w:leader="none" w:pos="1620" w:val="left"/>
        </w:tabs>
        <w:numPr>
          <w:ilvl w:val="0"/>
          <w:numId w:val="29"/>
        </w:numPr>
        <w:rPr>
          <w:rFonts w:ascii="Arial" w:cs="Arial" w:eastAsia="Arial" w:hAnsi="Arial"/>
          <w:sz w:val="18"/>
          <w:szCs w:val="18"/>
          <w:color w:val="56C271"/>
        </w:rPr>
      </w:pPr>
      <w:r>
        <w:rPr>
          <w:rFonts w:ascii="Arial" w:cs="Arial" w:eastAsia="Arial" w:hAnsi="Arial"/>
          <w:sz w:val="18"/>
          <w:szCs w:val="18"/>
          <w:color w:val="auto"/>
        </w:rPr>
        <w:t>Workforce Diversity and Inclusion</w:t>
      </w:r>
    </w:p>
    <w:p>
      <w:pPr>
        <w:spacing w:after="0" w:line="117" w:lineRule="exact"/>
        <w:rPr>
          <w:rFonts w:ascii="Arial" w:cs="Arial" w:eastAsia="Arial" w:hAnsi="Arial"/>
          <w:sz w:val="18"/>
          <w:szCs w:val="18"/>
          <w:color w:val="56C271"/>
        </w:rPr>
      </w:pPr>
    </w:p>
    <w:p>
      <w:pPr>
        <w:ind w:left="1620" w:hanging="270"/>
        <w:spacing w:after="0"/>
        <w:tabs>
          <w:tab w:leader="none" w:pos="1620" w:val="left"/>
        </w:tabs>
        <w:numPr>
          <w:ilvl w:val="0"/>
          <w:numId w:val="29"/>
        </w:numPr>
        <w:rPr>
          <w:rFonts w:ascii="Arial" w:cs="Arial" w:eastAsia="Arial" w:hAnsi="Arial"/>
          <w:sz w:val="18"/>
          <w:szCs w:val="18"/>
          <w:color w:val="56C271"/>
        </w:rPr>
      </w:pPr>
      <w:r>
        <w:rPr>
          <w:rFonts w:ascii="Arial" w:cs="Arial" w:eastAsia="Arial" w:hAnsi="Arial"/>
          <w:sz w:val="18"/>
          <w:szCs w:val="18"/>
          <w:color w:val="auto"/>
        </w:rPr>
        <w:t>Labor Practices</w:t>
      </w:r>
    </w:p>
    <w:p>
      <w:pPr>
        <w:spacing w:after="0" w:line="117" w:lineRule="exact"/>
        <w:rPr>
          <w:rFonts w:ascii="Arial" w:cs="Arial" w:eastAsia="Arial" w:hAnsi="Arial"/>
          <w:sz w:val="18"/>
          <w:szCs w:val="18"/>
          <w:color w:val="56C271"/>
        </w:rPr>
      </w:pPr>
    </w:p>
    <w:p>
      <w:pPr>
        <w:ind w:left="1620" w:hanging="270"/>
        <w:spacing w:after="0"/>
        <w:tabs>
          <w:tab w:leader="none" w:pos="1620" w:val="left"/>
        </w:tabs>
        <w:numPr>
          <w:ilvl w:val="0"/>
          <w:numId w:val="29"/>
        </w:numPr>
        <w:rPr>
          <w:rFonts w:ascii="Arial" w:cs="Arial" w:eastAsia="Arial" w:hAnsi="Arial"/>
          <w:sz w:val="18"/>
          <w:szCs w:val="18"/>
          <w:color w:val="56C271"/>
        </w:rPr>
      </w:pPr>
      <w:r>
        <w:rPr>
          <w:rFonts w:ascii="Arial" w:cs="Arial" w:eastAsia="Arial" w:hAnsi="Arial"/>
          <w:sz w:val="18"/>
          <w:szCs w:val="18"/>
          <w:color w:val="auto"/>
        </w:rPr>
        <w:t>Environmental Topics</w:t>
      </w:r>
    </w:p>
    <w:p>
      <w:pPr>
        <w:spacing w:after="0" w:line="117" w:lineRule="exact"/>
        <w:rPr>
          <w:rFonts w:ascii="Arial" w:cs="Arial" w:eastAsia="Arial" w:hAnsi="Arial"/>
          <w:sz w:val="18"/>
          <w:szCs w:val="18"/>
          <w:color w:val="56C271"/>
        </w:rPr>
      </w:pPr>
    </w:p>
    <w:p>
      <w:pPr>
        <w:ind w:left="1620" w:hanging="270"/>
        <w:spacing w:after="0"/>
        <w:tabs>
          <w:tab w:leader="none" w:pos="1620" w:val="left"/>
        </w:tabs>
        <w:numPr>
          <w:ilvl w:val="0"/>
          <w:numId w:val="29"/>
        </w:numPr>
        <w:rPr>
          <w:rFonts w:ascii="Arial" w:cs="Arial" w:eastAsia="Arial" w:hAnsi="Arial"/>
          <w:sz w:val="18"/>
          <w:szCs w:val="18"/>
          <w:color w:val="56C271"/>
        </w:rPr>
      </w:pPr>
      <w:r>
        <w:rPr>
          <w:rFonts w:ascii="Arial" w:cs="Arial" w:eastAsia="Arial" w:hAnsi="Arial"/>
          <w:sz w:val="18"/>
          <w:szCs w:val="18"/>
          <w:color w:val="auto"/>
        </w:rPr>
        <w:t>Product Sourcing, Packaging and Marketing</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43"/>
        </w:trPr>
        <w:tc>
          <w:tcPr>
            <w:tcW w:w="2160" w:type="dxa"/>
            <w:vAlign w:val="bottom"/>
            <w:shd w:val="clear" w:color="auto" w:fill="56C271"/>
          </w:tcPr>
          <w:p>
            <w:pPr>
              <w:spacing w:after="0"/>
              <w:rPr>
                <w:sz w:val="21"/>
                <w:szCs w:val="21"/>
                <w:color w:val="auto"/>
              </w:rPr>
            </w:pPr>
          </w:p>
        </w:tc>
        <w:tc>
          <w:tcPr>
            <w:tcW w:w="6600" w:type="dxa"/>
            <w:vAlign w:val="bottom"/>
            <w:shd w:val="clear" w:color="auto" w:fill="56C271"/>
          </w:tcPr>
          <w:p>
            <w:pPr>
              <w:ind w:left="1700"/>
              <w:spacing w:after="0"/>
              <w:rPr>
                <w:sz w:val="20"/>
                <w:szCs w:val="20"/>
                <w:color w:val="auto"/>
              </w:rPr>
            </w:pPr>
            <w:r>
              <w:rPr>
                <w:rFonts w:ascii="Arial" w:cs="Arial" w:eastAsia="Arial" w:hAnsi="Arial"/>
                <w:sz w:val="14"/>
                <w:szCs w:val="14"/>
                <w:b w:val="1"/>
                <w:bCs w:val="1"/>
                <w:color w:val="FFFFFF"/>
              </w:rPr>
              <w:t>ESG Highlights</w:t>
            </w:r>
          </w:p>
        </w:tc>
      </w:tr>
      <w:tr>
        <w:trPr>
          <w:trHeight w:val="203"/>
        </w:trPr>
        <w:tc>
          <w:tcPr>
            <w:tcW w:w="2160" w:type="dxa"/>
            <w:vAlign w:val="bottom"/>
            <w:shd w:val="clear" w:color="auto" w:fill="9ADAAA"/>
          </w:tcPr>
          <w:p>
            <w:pPr>
              <w:ind w:left="120"/>
              <w:spacing w:after="0"/>
              <w:rPr>
                <w:sz w:val="20"/>
                <w:szCs w:val="20"/>
                <w:color w:val="auto"/>
              </w:rPr>
            </w:pPr>
            <w:r>
              <w:rPr>
                <w:rFonts w:ascii="Arial" w:cs="Arial" w:eastAsia="Arial" w:hAnsi="Arial"/>
                <w:sz w:val="17"/>
                <w:szCs w:val="17"/>
                <w:b w:val="1"/>
                <w:bCs w:val="1"/>
                <w:color w:val="auto"/>
              </w:rPr>
              <w:t>Business Conduct and</w:t>
            </w: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Maintains a Global Code of Conduct, Global Anti-Corruption Policy and Global</w:t>
            </w:r>
          </w:p>
        </w:tc>
      </w:tr>
      <w:tr>
        <w:trPr>
          <w:trHeight w:val="223"/>
        </w:trPr>
        <w:tc>
          <w:tcPr>
            <w:tcW w:w="2160" w:type="dxa"/>
            <w:vAlign w:val="bottom"/>
            <w:shd w:val="clear" w:color="auto" w:fill="9ADAAA"/>
          </w:tcPr>
          <w:p>
            <w:pPr>
              <w:ind w:left="120"/>
              <w:spacing w:after="0"/>
              <w:rPr>
                <w:sz w:val="20"/>
                <w:szCs w:val="20"/>
                <w:color w:val="auto"/>
              </w:rPr>
            </w:pPr>
            <w:r>
              <w:rPr>
                <w:rFonts w:ascii="Arial" w:cs="Arial" w:eastAsia="Arial" w:hAnsi="Arial"/>
                <w:sz w:val="17"/>
                <w:szCs w:val="17"/>
                <w:b w:val="1"/>
                <w:bCs w:val="1"/>
                <w:color w:val="auto"/>
              </w:rPr>
              <w:t>Ethics</w:t>
            </w: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Conflict of Interest Policy to guide employee and Director conduct to foster</w:t>
            </w:r>
          </w:p>
        </w:tc>
      </w:tr>
      <w:tr>
        <w:trPr>
          <w:trHeight w:val="205"/>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integrity and compliance with various laws and regulations.</w:t>
            </w:r>
          </w:p>
        </w:tc>
      </w:tr>
      <w:tr>
        <w:trPr>
          <w:trHeight w:val="283"/>
        </w:trPr>
        <w:tc>
          <w:tcPr>
            <w:tcW w:w="2160" w:type="dxa"/>
            <w:vAlign w:val="bottom"/>
            <w:shd w:val="clear" w:color="auto" w:fill="9ADAAA"/>
          </w:tcPr>
          <w:p>
            <w:pPr>
              <w:spacing w:after="0"/>
              <w:rPr>
                <w:sz w:val="24"/>
                <w:szCs w:val="24"/>
                <w:color w:val="auto"/>
              </w:rPr>
            </w:pP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Provides annual ethics and compliance training for employees across all levels.</w:t>
            </w:r>
          </w:p>
        </w:tc>
      </w:tr>
      <w:tr>
        <w:trPr>
          <w:trHeight w:val="261"/>
        </w:trPr>
        <w:tc>
          <w:tcPr>
            <w:tcW w:w="2160" w:type="dxa"/>
            <w:vAlign w:val="bottom"/>
            <w:tcBorders>
              <w:bottom w:val="single" w:sz="8" w:color="9ADAAA"/>
            </w:tcBorders>
            <w:shd w:val="clear" w:color="auto" w:fill="9ADAAA"/>
          </w:tcPr>
          <w:p>
            <w:pPr>
              <w:spacing w:after="0"/>
              <w:rPr>
                <w:sz w:val="22"/>
                <w:szCs w:val="22"/>
                <w:color w:val="auto"/>
              </w:rPr>
            </w:pPr>
          </w:p>
        </w:tc>
        <w:tc>
          <w:tcPr>
            <w:tcW w:w="6600" w:type="dxa"/>
            <w:vAlign w:val="bottom"/>
            <w:tcBorders>
              <w:bottom w:val="single" w:sz="8" w:color="9ADAAA"/>
            </w:tcBorders>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Maintains Ethics Alertline for confidential reporting of suspected violations.</w:t>
            </w:r>
          </w:p>
        </w:tc>
      </w:tr>
      <w:tr>
        <w:trPr>
          <w:trHeight w:val="210"/>
        </w:trPr>
        <w:tc>
          <w:tcPr>
            <w:tcW w:w="2160" w:type="dxa"/>
            <w:vAlign w:val="bottom"/>
            <w:shd w:val="clear" w:color="auto" w:fill="CCEDD4"/>
          </w:tcPr>
          <w:p>
            <w:pPr>
              <w:ind w:left="120"/>
              <w:spacing w:after="0"/>
              <w:rPr>
                <w:sz w:val="20"/>
                <w:szCs w:val="20"/>
                <w:color w:val="auto"/>
              </w:rPr>
            </w:pPr>
            <w:r>
              <w:rPr>
                <w:rFonts w:ascii="Arial" w:cs="Arial" w:eastAsia="Arial" w:hAnsi="Arial"/>
                <w:sz w:val="17"/>
                <w:szCs w:val="17"/>
                <w:b w:val="1"/>
                <w:bCs w:val="1"/>
                <w:color w:val="auto"/>
              </w:rPr>
              <w:t>Privacy and Data</w:t>
            </w:r>
          </w:p>
        </w:tc>
        <w:tc>
          <w:tcPr>
            <w:tcW w:w="6600" w:type="dxa"/>
            <w:vAlign w:val="bottom"/>
            <w:shd w:val="clear" w:color="auto" w:fill="CCEDD4"/>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Maintains a Global Data Privacy Policy and Global Information Security Policy as</w:t>
            </w:r>
          </w:p>
        </w:tc>
      </w:tr>
      <w:tr>
        <w:trPr>
          <w:trHeight w:val="223"/>
        </w:trPr>
        <w:tc>
          <w:tcPr>
            <w:tcW w:w="2160" w:type="dxa"/>
            <w:vAlign w:val="bottom"/>
            <w:shd w:val="clear" w:color="auto" w:fill="CCEDD4"/>
          </w:tcPr>
          <w:p>
            <w:pPr>
              <w:ind w:left="120"/>
              <w:spacing w:after="0"/>
              <w:rPr>
                <w:sz w:val="20"/>
                <w:szCs w:val="20"/>
                <w:color w:val="auto"/>
              </w:rPr>
            </w:pPr>
            <w:r>
              <w:rPr>
                <w:rFonts w:ascii="Arial" w:cs="Arial" w:eastAsia="Arial" w:hAnsi="Arial"/>
                <w:sz w:val="17"/>
                <w:szCs w:val="17"/>
                <w:b w:val="1"/>
                <w:bCs w:val="1"/>
                <w:color w:val="auto"/>
              </w:rPr>
              <w:t>Security</w:t>
            </w: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part of its information security strategy, which contains best practices, policies</w:t>
            </w:r>
          </w:p>
        </w:tc>
      </w:tr>
      <w:tr>
        <w:trPr>
          <w:trHeight w:val="203"/>
        </w:trPr>
        <w:tc>
          <w:tcPr>
            <w:tcW w:w="2160" w:type="dxa"/>
            <w:vAlign w:val="bottom"/>
            <w:shd w:val="clear" w:color="auto" w:fill="CCEDD4"/>
          </w:tcPr>
          <w:p>
            <w:pPr>
              <w:spacing w:after="0"/>
              <w:rPr>
                <w:sz w:val="17"/>
                <w:szCs w:val="17"/>
                <w:color w:val="auto"/>
              </w:rPr>
            </w:pP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and procedures designed to keep confidential company, employee and customer</w:t>
            </w:r>
          </w:p>
        </w:tc>
      </w:tr>
      <w:tr>
        <w:trPr>
          <w:trHeight w:val="205"/>
        </w:trPr>
        <w:tc>
          <w:tcPr>
            <w:tcW w:w="2160" w:type="dxa"/>
            <w:vAlign w:val="bottom"/>
            <w:shd w:val="clear" w:color="auto" w:fill="CCEDD4"/>
          </w:tcPr>
          <w:p>
            <w:pPr>
              <w:spacing w:after="0"/>
              <w:rPr>
                <w:sz w:val="17"/>
                <w:szCs w:val="17"/>
                <w:color w:val="auto"/>
              </w:rPr>
            </w:pP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information secure in all its business activities.</w:t>
            </w:r>
          </w:p>
        </w:tc>
      </w:tr>
      <w:tr>
        <w:trPr>
          <w:trHeight w:val="295"/>
        </w:trPr>
        <w:tc>
          <w:tcPr>
            <w:tcW w:w="2160" w:type="dxa"/>
            <w:vAlign w:val="bottom"/>
            <w:tcBorders>
              <w:bottom w:val="single" w:sz="8" w:color="FEFEFE"/>
            </w:tcBorders>
            <w:shd w:val="clear" w:color="auto" w:fill="CCEDD4"/>
          </w:tcPr>
          <w:p>
            <w:pPr>
              <w:spacing w:after="0"/>
              <w:rPr>
                <w:sz w:val="24"/>
                <w:szCs w:val="24"/>
                <w:color w:val="auto"/>
              </w:rPr>
            </w:pPr>
          </w:p>
        </w:tc>
        <w:tc>
          <w:tcPr>
            <w:tcW w:w="6600" w:type="dxa"/>
            <w:vAlign w:val="bottom"/>
            <w:tcBorders>
              <w:bottom w:val="single" w:sz="8" w:color="FEFEFE"/>
            </w:tcBorders>
            <w:shd w:val="clear" w:color="auto" w:fill="CCEDD4"/>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Provides annual compliance training for employees across all levels.</w:t>
            </w:r>
          </w:p>
        </w:tc>
      </w:tr>
      <w:tr>
        <w:trPr>
          <w:trHeight w:val="203"/>
        </w:trPr>
        <w:tc>
          <w:tcPr>
            <w:tcW w:w="2160" w:type="dxa"/>
            <w:vAlign w:val="bottom"/>
            <w:shd w:val="clear" w:color="auto" w:fill="9ADAAA"/>
          </w:tcPr>
          <w:p>
            <w:pPr>
              <w:ind w:left="120"/>
              <w:spacing w:after="0"/>
              <w:rPr>
                <w:sz w:val="20"/>
                <w:szCs w:val="20"/>
                <w:color w:val="auto"/>
              </w:rPr>
            </w:pPr>
            <w:r>
              <w:rPr>
                <w:rFonts w:ascii="Arial" w:cs="Arial" w:eastAsia="Arial" w:hAnsi="Arial"/>
                <w:sz w:val="17"/>
                <w:szCs w:val="17"/>
                <w:b w:val="1"/>
                <w:bCs w:val="1"/>
                <w:color w:val="auto"/>
              </w:rPr>
              <w:t>Workforce Diversity and</w:t>
            </w: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Employs equal employment opportunity hiring practices, policies and</w:t>
            </w:r>
          </w:p>
        </w:tc>
      </w:tr>
      <w:tr>
        <w:trPr>
          <w:trHeight w:val="223"/>
        </w:trPr>
        <w:tc>
          <w:tcPr>
            <w:tcW w:w="2160" w:type="dxa"/>
            <w:vAlign w:val="bottom"/>
            <w:shd w:val="clear" w:color="auto" w:fill="9ADAAA"/>
          </w:tcPr>
          <w:p>
            <w:pPr>
              <w:ind w:left="120"/>
              <w:spacing w:after="0"/>
              <w:rPr>
                <w:sz w:val="20"/>
                <w:szCs w:val="20"/>
                <w:color w:val="auto"/>
              </w:rPr>
            </w:pPr>
            <w:r>
              <w:rPr>
                <w:rFonts w:ascii="Arial" w:cs="Arial" w:eastAsia="Arial" w:hAnsi="Arial"/>
                <w:sz w:val="17"/>
                <w:szCs w:val="17"/>
                <w:b w:val="1"/>
                <w:bCs w:val="1"/>
                <w:color w:val="auto"/>
              </w:rPr>
              <w:t>Labor Practices</w:t>
            </w: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management of employees. Regularly monitors hiring processes to ensure that</w:t>
            </w:r>
          </w:p>
        </w:tc>
      </w:tr>
      <w:tr>
        <w:trPr>
          <w:trHeight w:val="205"/>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candidates and employees are treated with fairness and equality.</w:t>
            </w:r>
          </w:p>
        </w:tc>
      </w:tr>
      <w:tr>
        <w:trPr>
          <w:trHeight w:val="295"/>
        </w:trPr>
        <w:tc>
          <w:tcPr>
            <w:tcW w:w="2160" w:type="dxa"/>
            <w:vAlign w:val="bottom"/>
            <w:shd w:val="clear" w:color="auto" w:fill="9ADAAA"/>
          </w:tcPr>
          <w:p>
            <w:pPr>
              <w:spacing w:after="0"/>
              <w:rPr>
                <w:sz w:val="24"/>
                <w:szCs w:val="24"/>
                <w:color w:val="auto"/>
              </w:rPr>
            </w:pP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Committed to create a diverse workforce that provides equal opportunity</w:t>
            </w: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regardless of race, gender, religion, national origin, sexual orientation or disability</w:t>
            </w: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among other categories, and fosters respect, appreciation and acceptance of all</w:t>
            </w:r>
          </w:p>
        </w:tc>
      </w:tr>
      <w:tr>
        <w:trPr>
          <w:trHeight w:val="205"/>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people.</w:t>
            </w:r>
          </w:p>
        </w:tc>
      </w:tr>
      <w:tr>
        <w:trPr>
          <w:trHeight w:val="281"/>
        </w:trPr>
        <w:tc>
          <w:tcPr>
            <w:tcW w:w="2160" w:type="dxa"/>
            <w:vAlign w:val="bottom"/>
            <w:shd w:val="clear" w:color="auto" w:fill="9ADAAA"/>
          </w:tcPr>
          <w:p>
            <w:pPr>
              <w:spacing w:after="0"/>
              <w:rPr>
                <w:sz w:val="24"/>
                <w:szCs w:val="24"/>
                <w:color w:val="auto"/>
              </w:rPr>
            </w:pP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Expanded diversity initiatives to ensure women and minorities are considered for</w:t>
            </w:r>
          </w:p>
        </w:tc>
      </w:tr>
      <w:tr>
        <w:trPr>
          <w:trHeight w:val="205"/>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new or replacement leadership roles.</w:t>
            </w:r>
          </w:p>
        </w:tc>
      </w:tr>
      <w:tr>
        <w:trPr>
          <w:trHeight w:val="295"/>
        </w:trPr>
        <w:tc>
          <w:tcPr>
            <w:tcW w:w="2160" w:type="dxa"/>
            <w:vAlign w:val="bottom"/>
            <w:shd w:val="clear" w:color="auto" w:fill="9ADAAA"/>
          </w:tcPr>
          <w:p>
            <w:pPr>
              <w:spacing w:after="0"/>
              <w:rPr>
                <w:sz w:val="24"/>
                <w:szCs w:val="24"/>
                <w:color w:val="auto"/>
              </w:rPr>
            </w:pP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Maintains anti-harassment policy that prohibits hostility or aversion towards</w:t>
            </w:r>
          </w:p>
        </w:tc>
      </w:tr>
      <w:tr>
        <w:trPr>
          <w:trHeight w:val="205"/>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individuals in protected categories, and prohibits sexual harassment in any form.</w:t>
            </w:r>
          </w:p>
        </w:tc>
      </w:tr>
      <w:tr>
        <w:trPr>
          <w:trHeight w:val="281"/>
        </w:trPr>
        <w:tc>
          <w:tcPr>
            <w:tcW w:w="2160" w:type="dxa"/>
            <w:vAlign w:val="bottom"/>
            <w:shd w:val="clear" w:color="auto" w:fill="9ADAAA"/>
          </w:tcPr>
          <w:p>
            <w:pPr>
              <w:spacing w:after="0"/>
              <w:rPr>
                <w:sz w:val="24"/>
                <w:szCs w:val="24"/>
                <w:color w:val="auto"/>
              </w:rPr>
            </w:pP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Participant of the United Nations Global Compact, and committed through</w:t>
            </w: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policies and practices that avert human trafficking, eliminate modern slavery and</w:t>
            </w:r>
          </w:p>
        </w:tc>
      </w:tr>
      <w:tr>
        <w:trPr>
          <w:trHeight w:val="205"/>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other human rights violations and promote responsible minerals acquisitions.</w:t>
            </w:r>
          </w:p>
        </w:tc>
      </w:tr>
      <w:tr>
        <w:trPr>
          <w:trHeight w:val="125"/>
        </w:trPr>
        <w:tc>
          <w:tcPr>
            <w:tcW w:w="2160" w:type="dxa"/>
            <w:vAlign w:val="bottom"/>
            <w:shd w:val="clear" w:color="auto" w:fill="9ADAAA"/>
          </w:tcPr>
          <w:p>
            <w:pPr>
              <w:spacing w:after="0"/>
              <w:rPr>
                <w:sz w:val="10"/>
                <w:szCs w:val="10"/>
                <w:color w:val="auto"/>
              </w:rPr>
            </w:pPr>
          </w:p>
        </w:tc>
        <w:tc>
          <w:tcPr>
            <w:tcW w:w="6600" w:type="dxa"/>
            <w:vAlign w:val="bottom"/>
            <w:shd w:val="clear" w:color="auto" w:fill="9ADAAA"/>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31"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2160" w:type="dxa"/>
            <w:vAlign w:val="bottom"/>
          </w:tcPr>
          <w:p>
            <w:pPr>
              <w:ind w:left="20"/>
              <w:spacing w:after="0"/>
              <w:rPr>
                <w:sz w:val="20"/>
                <w:szCs w:val="20"/>
                <w:color w:val="auto"/>
              </w:rPr>
            </w:pPr>
            <w:r>
              <w:rPr>
                <w:rFonts w:ascii="Arial" w:cs="Arial" w:eastAsia="Arial" w:hAnsi="Arial"/>
                <w:sz w:val="14"/>
                <w:szCs w:val="14"/>
                <w:b w:val="1"/>
                <w:bCs w:val="1"/>
                <w:color w:val="56C271"/>
              </w:rPr>
              <w:t>2021 ANNUAL</w:t>
            </w:r>
          </w:p>
        </w:tc>
        <w:tc>
          <w:tcPr>
            <w:tcW w:w="6600" w:type="dxa"/>
            <w:vAlign w:val="bottom"/>
            <w:vMerge w:val="restart"/>
          </w:tcPr>
          <w:p>
            <w:pPr>
              <w:ind w:left="514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108"/>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6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vMerge w:val="continue"/>
          </w:tcPr>
          <w:p>
            <w:pPr>
              <w:spacing w:after="0"/>
              <w:rPr>
                <w:sz w:val="9"/>
                <w:szCs w:val="9"/>
                <w:color w:val="auto"/>
              </w:rPr>
            </w:pPr>
          </w:p>
        </w:tc>
        <w:tc>
          <w:tcPr>
            <w:tcW w:w="6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1"/>
        </w:trPr>
        <w:tc>
          <w:tcPr>
            <w:tcW w:w="21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160" w:type="dxa"/>
            <w:vAlign w:val="bottom"/>
            <w:shd w:val="clear" w:color="auto" w:fill="56C271"/>
          </w:tcPr>
          <w:p>
            <w:pPr>
              <w:spacing w:after="0"/>
              <w:rPr>
                <w:sz w:val="19"/>
                <w:szCs w:val="19"/>
                <w:color w:val="auto"/>
              </w:rPr>
            </w:pPr>
          </w:p>
        </w:tc>
        <w:tc>
          <w:tcPr>
            <w:tcW w:w="6600" w:type="dxa"/>
            <w:vAlign w:val="bottom"/>
            <w:shd w:val="clear" w:color="auto" w:fill="56C271"/>
          </w:tcPr>
          <w:p>
            <w:pPr>
              <w:ind w:left="1700"/>
              <w:spacing w:after="0"/>
              <w:rPr>
                <w:sz w:val="20"/>
                <w:szCs w:val="20"/>
                <w:color w:val="auto"/>
              </w:rPr>
            </w:pPr>
            <w:r>
              <w:rPr>
                <w:rFonts w:ascii="Arial" w:cs="Arial" w:eastAsia="Arial" w:hAnsi="Arial"/>
                <w:sz w:val="14"/>
                <w:szCs w:val="14"/>
                <w:b w:val="1"/>
                <w:bCs w:val="1"/>
                <w:color w:val="FFFFFF"/>
              </w:rPr>
              <w:t>ESG Highlights</w:t>
            </w:r>
          </w:p>
        </w:tc>
        <w:tc>
          <w:tcPr>
            <w:tcW w:w="0" w:type="dxa"/>
            <w:vAlign w:val="bottom"/>
          </w:tcPr>
          <w:p>
            <w:pPr>
              <w:spacing w:after="0"/>
              <w:rPr>
                <w:sz w:val="1"/>
                <w:szCs w:val="1"/>
                <w:color w:val="auto"/>
              </w:rPr>
            </w:pPr>
          </w:p>
        </w:tc>
      </w:tr>
      <w:tr>
        <w:trPr>
          <w:trHeight w:val="223"/>
        </w:trPr>
        <w:tc>
          <w:tcPr>
            <w:tcW w:w="2160" w:type="dxa"/>
            <w:vAlign w:val="bottom"/>
            <w:shd w:val="clear" w:color="auto" w:fill="9ADAAA"/>
          </w:tcPr>
          <w:p>
            <w:pPr>
              <w:spacing w:after="0"/>
              <w:rPr>
                <w:sz w:val="19"/>
                <w:szCs w:val="19"/>
                <w:color w:val="auto"/>
              </w:rPr>
            </w:pP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Upholds the Responsible Business Alliance Code of Conduct and participates in</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the Social Responsibility Alliance’s Slavery and Trafficking Risk Template</w:t>
            </w:r>
          </w:p>
        </w:tc>
        <w:tc>
          <w:tcPr>
            <w:tcW w:w="0" w:type="dxa"/>
            <w:vAlign w:val="bottom"/>
          </w:tcPr>
          <w:p>
            <w:pPr>
              <w:spacing w:after="0"/>
              <w:rPr>
                <w:sz w:val="1"/>
                <w:szCs w:val="1"/>
                <w:color w:val="auto"/>
              </w:rPr>
            </w:pPr>
          </w:p>
        </w:tc>
      </w:tr>
      <w:tr>
        <w:trPr>
          <w:trHeight w:val="205"/>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(STRT).</w:t>
            </w:r>
          </w:p>
        </w:tc>
        <w:tc>
          <w:tcPr>
            <w:tcW w:w="0" w:type="dxa"/>
            <w:vAlign w:val="bottom"/>
          </w:tcPr>
          <w:p>
            <w:pPr>
              <w:spacing w:after="0"/>
              <w:rPr>
                <w:sz w:val="1"/>
                <w:szCs w:val="1"/>
                <w:color w:val="auto"/>
              </w:rPr>
            </w:pPr>
          </w:p>
        </w:tc>
      </w:tr>
      <w:tr>
        <w:trPr>
          <w:trHeight w:val="281"/>
        </w:trPr>
        <w:tc>
          <w:tcPr>
            <w:tcW w:w="2160" w:type="dxa"/>
            <w:vAlign w:val="bottom"/>
            <w:shd w:val="clear" w:color="auto" w:fill="9ADAAA"/>
          </w:tcPr>
          <w:p>
            <w:pPr>
              <w:spacing w:after="0"/>
              <w:rPr>
                <w:sz w:val="24"/>
                <w:szCs w:val="24"/>
                <w:color w:val="auto"/>
              </w:rPr>
            </w:pP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Maintains Conflict Minerals Policy Statement, whereby the Company will not</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directly purchase any conflict minerals and endeavors not to purchase products</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that contain conflict minerals sourced from mines in the Democratic Republic of</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the Congo (DRC) or adjoining countries that finance or benefit armed groups in</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the DRC or adjoining countries. The Company further encourages its suppliers to</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only source minerals from responsible sources and fosters transparency in the</w:t>
            </w:r>
          </w:p>
        </w:tc>
        <w:tc>
          <w:tcPr>
            <w:tcW w:w="0" w:type="dxa"/>
            <w:vAlign w:val="bottom"/>
          </w:tcPr>
          <w:p>
            <w:pPr>
              <w:spacing w:after="0"/>
              <w:rPr>
                <w:sz w:val="1"/>
                <w:szCs w:val="1"/>
                <w:color w:val="auto"/>
              </w:rPr>
            </w:pPr>
          </w:p>
        </w:tc>
      </w:tr>
      <w:tr>
        <w:trPr>
          <w:trHeight w:val="205"/>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supply chain.</w:t>
            </w:r>
          </w:p>
        </w:tc>
        <w:tc>
          <w:tcPr>
            <w:tcW w:w="0" w:type="dxa"/>
            <w:vAlign w:val="bottom"/>
          </w:tcPr>
          <w:p>
            <w:pPr>
              <w:spacing w:after="0"/>
              <w:rPr>
                <w:sz w:val="1"/>
                <w:szCs w:val="1"/>
                <w:color w:val="auto"/>
              </w:rPr>
            </w:pPr>
          </w:p>
        </w:tc>
      </w:tr>
      <w:tr>
        <w:trPr>
          <w:trHeight w:val="281"/>
        </w:trPr>
        <w:tc>
          <w:tcPr>
            <w:tcW w:w="2160" w:type="dxa"/>
            <w:vAlign w:val="bottom"/>
            <w:shd w:val="clear" w:color="auto" w:fill="9ADAAA"/>
          </w:tcPr>
          <w:p>
            <w:pPr>
              <w:spacing w:after="0"/>
              <w:rPr>
                <w:sz w:val="24"/>
                <w:szCs w:val="24"/>
                <w:color w:val="auto"/>
              </w:rPr>
            </w:pP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Provides training for employees across all levels.</w:t>
            </w:r>
          </w:p>
        </w:tc>
        <w:tc>
          <w:tcPr>
            <w:tcW w:w="0" w:type="dxa"/>
            <w:vAlign w:val="bottom"/>
          </w:tcPr>
          <w:p>
            <w:pPr>
              <w:spacing w:after="0"/>
              <w:rPr>
                <w:sz w:val="1"/>
                <w:szCs w:val="1"/>
                <w:color w:val="auto"/>
              </w:rPr>
            </w:pPr>
          </w:p>
        </w:tc>
      </w:tr>
      <w:tr>
        <w:trPr>
          <w:trHeight w:val="210"/>
        </w:trPr>
        <w:tc>
          <w:tcPr>
            <w:tcW w:w="2160" w:type="dxa"/>
            <w:vAlign w:val="bottom"/>
            <w:shd w:val="clear" w:color="auto" w:fill="CCEDD4"/>
          </w:tcPr>
          <w:p>
            <w:pPr>
              <w:ind w:left="120"/>
              <w:spacing w:after="0"/>
              <w:rPr>
                <w:sz w:val="20"/>
                <w:szCs w:val="20"/>
                <w:color w:val="auto"/>
              </w:rPr>
            </w:pPr>
            <w:r>
              <w:rPr>
                <w:rFonts w:ascii="Arial" w:cs="Arial" w:eastAsia="Arial" w:hAnsi="Arial"/>
                <w:sz w:val="17"/>
                <w:szCs w:val="17"/>
                <w:b w:val="1"/>
                <w:bCs w:val="1"/>
                <w:color w:val="auto"/>
              </w:rPr>
              <w:t>Environmental</w:t>
            </w:r>
          </w:p>
        </w:tc>
        <w:tc>
          <w:tcPr>
            <w:tcW w:w="6600" w:type="dxa"/>
            <w:vAlign w:val="bottom"/>
            <w:shd w:val="clear" w:color="auto" w:fill="CCEDD4"/>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Maintains Global Environmental Policy, whereby the Company sets internal</w:t>
            </w:r>
          </w:p>
        </w:tc>
        <w:tc>
          <w:tcPr>
            <w:tcW w:w="0" w:type="dxa"/>
            <w:vAlign w:val="bottom"/>
          </w:tcPr>
          <w:p>
            <w:pPr>
              <w:spacing w:after="0"/>
              <w:rPr>
                <w:sz w:val="1"/>
                <w:szCs w:val="1"/>
                <w:color w:val="auto"/>
              </w:rPr>
            </w:pPr>
          </w:p>
        </w:tc>
      </w:tr>
      <w:tr>
        <w:trPr>
          <w:trHeight w:val="223"/>
        </w:trPr>
        <w:tc>
          <w:tcPr>
            <w:tcW w:w="2160" w:type="dxa"/>
            <w:vAlign w:val="bottom"/>
            <w:shd w:val="clear" w:color="auto" w:fill="CCEDD4"/>
          </w:tcPr>
          <w:p>
            <w:pPr>
              <w:ind w:left="120"/>
              <w:spacing w:after="0"/>
              <w:rPr>
                <w:sz w:val="20"/>
                <w:szCs w:val="20"/>
                <w:color w:val="auto"/>
              </w:rPr>
            </w:pPr>
            <w:r>
              <w:rPr>
                <w:rFonts w:ascii="Arial" w:cs="Arial" w:eastAsia="Arial" w:hAnsi="Arial"/>
                <w:sz w:val="17"/>
                <w:szCs w:val="17"/>
                <w:b w:val="1"/>
                <w:bCs w:val="1"/>
                <w:color w:val="auto"/>
              </w:rPr>
              <w:t>Governance</w:t>
            </w: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sustainability targets to prevent pollution and improve the Company’s</w:t>
            </w:r>
          </w:p>
        </w:tc>
        <w:tc>
          <w:tcPr>
            <w:tcW w:w="0" w:type="dxa"/>
            <w:vAlign w:val="bottom"/>
          </w:tcPr>
          <w:p>
            <w:pPr>
              <w:spacing w:after="0"/>
              <w:rPr>
                <w:sz w:val="1"/>
                <w:szCs w:val="1"/>
                <w:color w:val="auto"/>
              </w:rPr>
            </w:pPr>
          </w:p>
        </w:tc>
      </w:tr>
      <w:tr>
        <w:trPr>
          <w:trHeight w:val="205"/>
        </w:trPr>
        <w:tc>
          <w:tcPr>
            <w:tcW w:w="2160" w:type="dxa"/>
            <w:vAlign w:val="bottom"/>
            <w:shd w:val="clear" w:color="auto" w:fill="CCEDD4"/>
          </w:tcPr>
          <w:p>
            <w:pPr>
              <w:spacing w:after="0"/>
              <w:rPr>
                <w:sz w:val="17"/>
                <w:szCs w:val="17"/>
                <w:color w:val="auto"/>
              </w:rPr>
            </w:pP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environmental performance.</w:t>
            </w:r>
          </w:p>
        </w:tc>
        <w:tc>
          <w:tcPr>
            <w:tcW w:w="0" w:type="dxa"/>
            <w:vAlign w:val="bottom"/>
          </w:tcPr>
          <w:p>
            <w:pPr>
              <w:spacing w:after="0"/>
              <w:rPr>
                <w:sz w:val="1"/>
                <w:szCs w:val="1"/>
                <w:color w:val="auto"/>
              </w:rPr>
            </w:pPr>
          </w:p>
        </w:tc>
      </w:tr>
      <w:tr>
        <w:trPr>
          <w:trHeight w:val="281"/>
        </w:trPr>
        <w:tc>
          <w:tcPr>
            <w:tcW w:w="2160" w:type="dxa"/>
            <w:vAlign w:val="bottom"/>
            <w:shd w:val="clear" w:color="auto" w:fill="CCEDD4"/>
          </w:tcPr>
          <w:p>
            <w:pPr>
              <w:spacing w:after="0"/>
              <w:rPr>
                <w:sz w:val="24"/>
                <w:szCs w:val="24"/>
                <w:color w:val="auto"/>
              </w:rPr>
            </w:pPr>
          </w:p>
        </w:tc>
        <w:tc>
          <w:tcPr>
            <w:tcW w:w="6600" w:type="dxa"/>
            <w:vAlign w:val="bottom"/>
            <w:shd w:val="clear" w:color="auto" w:fill="CCEDD4"/>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Participates in the Carbon Disclosure Project and has posted Carbon Footprint</w:t>
            </w:r>
          </w:p>
        </w:tc>
        <w:tc>
          <w:tcPr>
            <w:tcW w:w="0" w:type="dxa"/>
            <w:vAlign w:val="bottom"/>
          </w:tcPr>
          <w:p>
            <w:pPr>
              <w:spacing w:after="0"/>
              <w:rPr>
                <w:sz w:val="1"/>
                <w:szCs w:val="1"/>
                <w:color w:val="auto"/>
              </w:rPr>
            </w:pPr>
          </w:p>
        </w:tc>
      </w:tr>
      <w:tr>
        <w:trPr>
          <w:trHeight w:val="205"/>
        </w:trPr>
        <w:tc>
          <w:tcPr>
            <w:tcW w:w="2160" w:type="dxa"/>
            <w:vAlign w:val="bottom"/>
            <w:shd w:val="clear" w:color="auto" w:fill="CCEDD4"/>
          </w:tcPr>
          <w:p>
            <w:pPr>
              <w:spacing w:after="0"/>
              <w:rPr>
                <w:sz w:val="17"/>
                <w:szCs w:val="17"/>
                <w:color w:val="auto"/>
              </w:rPr>
            </w:pP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Reports on the Company’s website since 2009.</w:t>
            </w:r>
          </w:p>
        </w:tc>
        <w:tc>
          <w:tcPr>
            <w:tcW w:w="0" w:type="dxa"/>
            <w:vAlign w:val="bottom"/>
          </w:tcPr>
          <w:p>
            <w:pPr>
              <w:spacing w:after="0"/>
              <w:rPr>
                <w:sz w:val="1"/>
                <w:szCs w:val="1"/>
                <w:color w:val="auto"/>
              </w:rPr>
            </w:pPr>
          </w:p>
        </w:tc>
      </w:tr>
      <w:tr>
        <w:trPr>
          <w:trHeight w:val="295"/>
        </w:trPr>
        <w:tc>
          <w:tcPr>
            <w:tcW w:w="2160" w:type="dxa"/>
            <w:vAlign w:val="bottom"/>
            <w:shd w:val="clear" w:color="auto" w:fill="CCEDD4"/>
          </w:tcPr>
          <w:p>
            <w:pPr>
              <w:spacing w:after="0"/>
              <w:rPr>
                <w:sz w:val="24"/>
                <w:szCs w:val="24"/>
                <w:color w:val="auto"/>
              </w:rPr>
            </w:pPr>
          </w:p>
        </w:tc>
        <w:tc>
          <w:tcPr>
            <w:tcW w:w="6600" w:type="dxa"/>
            <w:vAlign w:val="bottom"/>
            <w:shd w:val="clear" w:color="auto" w:fill="CCEDD4"/>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Many of the Company’s global facilities are ISO 45001, 9001 and 14001 certified,</w:t>
            </w:r>
          </w:p>
        </w:tc>
        <w:tc>
          <w:tcPr>
            <w:tcW w:w="0" w:type="dxa"/>
            <w:vAlign w:val="bottom"/>
          </w:tcPr>
          <w:p>
            <w:pPr>
              <w:spacing w:after="0"/>
              <w:rPr>
                <w:sz w:val="1"/>
                <w:szCs w:val="1"/>
                <w:color w:val="auto"/>
              </w:rPr>
            </w:pPr>
          </w:p>
        </w:tc>
      </w:tr>
      <w:tr>
        <w:trPr>
          <w:trHeight w:val="205"/>
        </w:trPr>
        <w:tc>
          <w:tcPr>
            <w:tcW w:w="2160" w:type="dxa"/>
            <w:vAlign w:val="bottom"/>
            <w:shd w:val="clear" w:color="auto" w:fill="CCEDD4"/>
          </w:tcPr>
          <w:p>
            <w:pPr>
              <w:spacing w:after="0"/>
              <w:rPr>
                <w:sz w:val="17"/>
                <w:szCs w:val="17"/>
                <w:color w:val="auto"/>
              </w:rPr>
            </w:pP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among other certifications.</w:t>
            </w:r>
          </w:p>
        </w:tc>
        <w:tc>
          <w:tcPr>
            <w:tcW w:w="0" w:type="dxa"/>
            <w:vAlign w:val="bottom"/>
          </w:tcPr>
          <w:p>
            <w:pPr>
              <w:spacing w:after="0"/>
              <w:rPr>
                <w:sz w:val="1"/>
                <w:szCs w:val="1"/>
                <w:color w:val="auto"/>
              </w:rPr>
            </w:pPr>
          </w:p>
        </w:tc>
      </w:tr>
      <w:tr>
        <w:trPr>
          <w:trHeight w:val="281"/>
        </w:trPr>
        <w:tc>
          <w:tcPr>
            <w:tcW w:w="2160" w:type="dxa"/>
            <w:vAlign w:val="bottom"/>
            <w:shd w:val="clear" w:color="auto" w:fill="CCEDD4"/>
          </w:tcPr>
          <w:p>
            <w:pPr>
              <w:spacing w:after="0"/>
              <w:rPr>
                <w:sz w:val="24"/>
                <w:szCs w:val="24"/>
                <w:color w:val="auto"/>
              </w:rPr>
            </w:pPr>
          </w:p>
        </w:tc>
        <w:tc>
          <w:tcPr>
            <w:tcW w:w="6600" w:type="dxa"/>
            <w:vAlign w:val="bottom"/>
            <w:shd w:val="clear" w:color="auto" w:fill="CCEDD4"/>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Compliance with the EU’s Battery Directive, which protects the environment by</w:t>
            </w:r>
          </w:p>
        </w:tc>
        <w:tc>
          <w:tcPr>
            <w:tcW w:w="0" w:type="dxa"/>
            <w:vAlign w:val="bottom"/>
          </w:tcPr>
          <w:p>
            <w:pPr>
              <w:spacing w:after="0"/>
              <w:rPr>
                <w:sz w:val="1"/>
                <w:szCs w:val="1"/>
                <w:color w:val="auto"/>
              </w:rPr>
            </w:pPr>
          </w:p>
        </w:tc>
      </w:tr>
      <w:tr>
        <w:trPr>
          <w:trHeight w:val="205"/>
        </w:trPr>
        <w:tc>
          <w:tcPr>
            <w:tcW w:w="2160" w:type="dxa"/>
            <w:vAlign w:val="bottom"/>
            <w:shd w:val="clear" w:color="auto" w:fill="CCEDD4"/>
          </w:tcPr>
          <w:p>
            <w:pPr>
              <w:spacing w:after="0"/>
              <w:rPr>
                <w:sz w:val="17"/>
                <w:szCs w:val="17"/>
                <w:color w:val="auto"/>
              </w:rPr>
            </w:pP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minimizing the negative impact of batteries and accumulators.</w:t>
            </w:r>
          </w:p>
        </w:tc>
        <w:tc>
          <w:tcPr>
            <w:tcW w:w="0" w:type="dxa"/>
            <w:vAlign w:val="bottom"/>
          </w:tcPr>
          <w:p>
            <w:pPr>
              <w:spacing w:after="0"/>
              <w:rPr>
                <w:sz w:val="1"/>
                <w:szCs w:val="1"/>
                <w:color w:val="auto"/>
              </w:rPr>
            </w:pPr>
          </w:p>
        </w:tc>
      </w:tr>
      <w:tr>
        <w:trPr>
          <w:trHeight w:val="295"/>
        </w:trPr>
        <w:tc>
          <w:tcPr>
            <w:tcW w:w="2160" w:type="dxa"/>
            <w:vAlign w:val="bottom"/>
            <w:shd w:val="clear" w:color="auto" w:fill="CCEDD4"/>
          </w:tcPr>
          <w:p>
            <w:pPr>
              <w:spacing w:after="0"/>
              <w:rPr>
                <w:sz w:val="24"/>
                <w:szCs w:val="24"/>
                <w:color w:val="auto"/>
              </w:rPr>
            </w:pPr>
          </w:p>
        </w:tc>
        <w:tc>
          <w:tcPr>
            <w:tcW w:w="6600" w:type="dxa"/>
            <w:vAlign w:val="bottom"/>
            <w:shd w:val="clear" w:color="auto" w:fill="CCEDD4"/>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Compliance with the EU’s Directive on Waste of Electrical and Electronic</w:t>
            </w:r>
          </w:p>
        </w:tc>
        <w:tc>
          <w:tcPr>
            <w:tcW w:w="0" w:type="dxa"/>
            <w:vAlign w:val="bottom"/>
          </w:tcPr>
          <w:p>
            <w:pPr>
              <w:spacing w:after="0"/>
              <w:rPr>
                <w:sz w:val="1"/>
                <w:szCs w:val="1"/>
                <w:color w:val="auto"/>
              </w:rPr>
            </w:pPr>
          </w:p>
        </w:tc>
      </w:tr>
      <w:tr>
        <w:trPr>
          <w:trHeight w:val="202"/>
        </w:trPr>
        <w:tc>
          <w:tcPr>
            <w:tcW w:w="2160" w:type="dxa"/>
            <w:vAlign w:val="bottom"/>
            <w:shd w:val="clear" w:color="auto" w:fill="CCEDD4"/>
          </w:tcPr>
          <w:p>
            <w:pPr>
              <w:spacing w:after="0"/>
              <w:rPr>
                <w:sz w:val="17"/>
                <w:szCs w:val="17"/>
                <w:color w:val="auto"/>
              </w:rPr>
            </w:pP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Equipment (WEEE) and Directive on Restriction of Hazardous Substances</w:t>
            </w:r>
          </w:p>
        </w:tc>
        <w:tc>
          <w:tcPr>
            <w:tcW w:w="0" w:type="dxa"/>
            <w:vAlign w:val="bottom"/>
          </w:tcPr>
          <w:p>
            <w:pPr>
              <w:spacing w:after="0"/>
              <w:rPr>
                <w:sz w:val="1"/>
                <w:szCs w:val="1"/>
                <w:color w:val="auto"/>
              </w:rPr>
            </w:pPr>
          </w:p>
        </w:tc>
      </w:tr>
      <w:tr>
        <w:trPr>
          <w:trHeight w:val="205"/>
        </w:trPr>
        <w:tc>
          <w:tcPr>
            <w:tcW w:w="2160" w:type="dxa"/>
            <w:vAlign w:val="bottom"/>
            <w:shd w:val="clear" w:color="auto" w:fill="CCEDD4"/>
          </w:tcPr>
          <w:p>
            <w:pPr>
              <w:spacing w:after="0"/>
              <w:rPr>
                <w:sz w:val="17"/>
                <w:szCs w:val="17"/>
                <w:color w:val="auto"/>
              </w:rPr>
            </w:pP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(RoHS).</w:t>
            </w:r>
          </w:p>
        </w:tc>
        <w:tc>
          <w:tcPr>
            <w:tcW w:w="0" w:type="dxa"/>
            <w:vAlign w:val="bottom"/>
          </w:tcPr>
          <w:p>
            <w:pPr>
              <w:spacing w:after="0"/>
              <w:rPr>
                <w:sz w:val="1"/>
                <w:szCs w:val="1"/>
                <w:color w:val="auto"/>
              </w:rPr>
            </w:pPr>
          </w:p>
        </w:tc>
      </w:tr>
      <w:tr>
        <w:trPr>
          <w:trHeight w:val="281"/>
        </w:trPr>
        <w:tc>
          <w:tcPr>
            <w:tcW w:w="2160" w:type="dxa"/>
            <w:vAlign w:val="bottom"/>
            <w:shd w:val="clear" w:color="auto" w:fill="CCEDD4"/>
          </w:tcPr>
          <w:p>
            <w:pPr>
              <w:spacing w:after="0"/>
              <w:rPr>
                <w:sz w:val="24"/>
                <w:szCs w:val="24"/>
                <w:color w:val="auto"/>
              </w:rPr>
            </w:pPr>
          </w:p>
        </w:tc>
        <w:tc>
          <w:tcPr>
            <w:tcW w:w="6600" w:type="dxa"/>
            <w:vAlign w:val="bottom"/>
            <w:shd w:val="clear" w:color="auto" w:fill="CCEDD4"/>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In connection with RoHS and REACH, encourages its manufacturers to make</w:t>
            </w:r>
          </w:p>
        </w:tc>
        <w:tc>
          <w:tcPr>
            <w:tcW w:w="0" w:type="dxa"/>
            <w:vAlign w:val="bottom"/>
          </w:tcPr>
          <w:p>
            <w:pPr>
              <w:spacing w:after="0"/>
              <w:rPr>
                <w:sz w:val="1"/>
                <w:szCs w:val="1"/>
                <w:color w:val="auto"/>
              </w:rPr>
            </w:pPr>
          </w:p>
        </w:tc>
      </w:tr>
      <w:tr>
        <w:trPr>
          <w:trHeight w:val="202"/>
        </w:trPr>
        <w:tc>
          <w:tcPr>
            <w:tcW w:w="2160" w:type="dxa"/>
            <w:vAlign w:val="bottom"/>
            <w:shd w:val="clear" w:color="auto" w:fill="CCEDD4"/>
          </w:tcPr>
          <w:p>
            <w:pPr>
              <w:spacing w:after="0"/>
              <w:rPr>
                <w:sz w:val="17"/>
                <w:szCs w:val="17"/>
                <w:color w:val="auto"/>
              </w:rPr>
            </w:pP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environmental information available on their websites and assists suppliers with</w:t>
            </w:r>
          </w:p>
        </w:tc>
        <w:tc>
          <w:tcPr>
            <w:tcW w:w="0" w:type="dxa"/>
            <w:vAlign w:val="bottom"/>
          </w:tcPr>
          <w:p>
            <w:pPr>
              <w:spacing w:after="0"/>
              <w:rPr>
                <w:sz w:val="1"/>
                <w:szCs w:val="1"/>
                <w:color w:val="auto"/>
              </w:rPr>
            </w:pPr>
          </w:p>
        </w:tc>
      </w:tr>
      <w:tr>
        <w:trPr>
          <w:trHeight w:val="203"/>
        </w:trPr>
        <w:tc>
          <w:tcPr>
            <w:tcW w:w="2160" w:type="dxa"/>
            <w:vAlign w:val="bottom"/>
            <w:shd w:val="clear" w:color="auto" w:fill="CCEDD4"/>
          </w:tcPr>
          <w:p>
            <w:pPr>
              <w:spacing w:after="0"/>
              <w:rPr>
                <w:sz w:val="17"/>
                <w:szCs w:val="17"/>
                <w:color w:val="auto"/>
              </w:rPr>
            </w:pPr>
          </w:p>
        </w:tc>
        <w:tc>
          <w:tcPr>
            <w:tcW w:w="6600" w:type="dxa"/>
            <w:vAlign w:val="bottom"/>
            <w:shd w:val="clear" w:color="auto" w:fill="CCEDD4"/>
          </w:tcPr>
          <w:p>
            <w:pPr>
              <w:ind w:left="380"/>
              <w:spacing w:after="0"/>
              <w:rPr>
                <w:sz w:val="20"/>
                <w:szCs w:val="20"/>
                <w:color w:val="auto"/>
              </w:rPr>
            </w:pPr>
            <w:r>
              <w:rPr>
                <w:rFonts w:ascii="Arial" w:cs="Arial" w:eastAsia="Arial" w:hAnsi="Arial"/>
                <w:sz w:val="17"/>
                <w:szCs w:val="17"/>
                <w:color w:val="auto"/>
              </w:rPr>
              <w:t>providing their customers with relevant information and declarations available</w:t>
            </w:r>
          </w:p>
        </w:tc>
        <w:tc>
          <w:tcPr>
            <w:tcW w:w="0" w:type="dxa"/>
            <w:vAlign w:val="bottom"/>
          </w:tcPr>
          <w:p>
            <w:pPr>
              <w:spacing w:after="0"/>
              <w:rPr>
                <w:sz w:val="1"/>
                <w:szCs w:val="1"/>
                <w:color w:val="auto"/>
              </w:rPr>
            </w:pPr>
          </w:p>
        </w:tc>
      </w:tr>
      <w:tr>
        <w:trPr>
          <w:trHeight w:val="222"/>
        </w:trPr>
        <w:tc>
          <w:tcPr>
            <w:tcW w:w="2160" w:type="dxa"/>
            <w:vAlign w:val="bottom"/>
            <w:tcBorders>
              <w:bottom w:val="single" w:sz="8" w:color="CCEDD4"/>
            </w:tcBorders>
            <w:shd w:val="clear" w:color="auto" w:fill="CCEDD4"/>
          </w:tcPr>
          <w:p>
            <w:pPr>
              <w:spacing w:after="0"/>
              <w:rPr>
                <w:sz w:val="19"/>
                <w:szCs w:val="19"/>
                <w:color w:val="auto"/>
              </w:rPr>
            </w:pPr>
          </w:p>
        </w:tc>
        <w:tc>
          <w:tcPr>
            <w:tcW w:w="6600" w:type="dxa"/>
            <w:vAlign w:val="bottom"/>
            <w:tcBorders>
              <w:bottom w:val="single" w:sz="8" w:color="CCEDD4"/>
            </w:tcBorders>
            <w:shd w:val="clear" w:color="auto" w:fill="CCEDD4"/>
          </w:tcPr>
          <w:p>
            <w:pPr>
              <w:ind w:left="380"/>
              <w:spacing w:after="0"/>
              <w:rPr>
                <w:sz w:val="20"/>
                <w:szCs w:val="20"/>
                <w:color w:val="auto"/>
              </w:rPr>
            </w:pPr>
            <w:r>
              <w:rPr>
                <w:rFonts w:ascii="Arial" w:cs="Arial" w:eastAsia="Arial" w:hAnsi="Arial"/>
                <w:sz w:val="17"/>
                <w:szCs w:val="17"/>
                <w:color w:val="auto"/>
              </w:rPr>
              <w:t>from manufacturers.</w:t>
            </w:r>
          </w:p>
        </w:tc>
        <w:tc>
          <w:tcPr>
            <w:tcW w:w="0" w:type="dxa"/>
            <w:vAlign w:val="bottom"/>
          </w:tcPr>
          <w:p>
            <w:pPr>
              <w:spacing w:after="0"/>
              <w:rPr>
                <w:sz w:val="1"/>
                <w:szCs w:val="1"/>
                <w:color w:val="auto"/>
              </w:rPr>
            </w:pPr>
          </w:p>
        </w:tc>
      </w:tr>
      <w:tr>
        <w:trPr>
          <w:trHeight w:val="230"/>
        </w:trPr>
        <w:tc>
          <w:tcPr>
            <w:tcW w:w="2160" w:type="dxa"/>
            <w:vAlign w:val="bottom"/>
            <w:shd w:val="clear" w:color="auto" w:fill="9ADAAA"/>
          </w:tcPr>
          <w:p>
            <w:pPr>
              <w:ind w:left="120"/>
              <w:spacing w:after="0"/>
              <w:rPr>
                <w:sz w:val="20"/>
                <w:szCs w:val="20"/>
                <w:color w:val="auto"/>
              </w:rPr>
            </w:pPr>
            <w:r>
              <w:rPr>
                <w:rFonts w:ascii="Arial" w:cs="Arial" w:eastAsia="Arial" w:hAnsi="Arial"/>
                <w:sz w:val="17"/>
                <w:szCs w:val="17"/>
                <w:b w:val="1"/>
                <w:bCs w:val="1"/>
                <w:color w:val="auto"/>
              </w:rPr>
              <w:t>Community Impact</w:t>
            </w: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Encourages employees to make a difference in their local and global</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communities by giving back. The Company supports their efforts through its</w:t>
            </w:r>
          </w:p>
        </w:tc>
        <w:tc>
          <w:tcPr>
            <w:tcW w:w="0" w:type="dxa"/>
            <w:vAlign w:val="bottom"/>
          </w:tcPr>
          <w:p>
            <w:pPr>
              <w:spacing w:after="0"/>
              <w:rPr>
                <w:sz w:val="1"/>
                <w:szCs w:val="1"/>
                <w:color w:val="auto"/>
              </w:rPr>
            </w:pPr>
          </w:p>
        </w:tc>
      </w:tr>
      <w:tr>
        <w:trPr>
          <w:trHeight w:val="205"/>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Matching Grants and Dollars for Doers programs.</w:t>
            </w:r>
          </w:p>
        </w:tc>
        <w:tc>
          <w:tcPr>
            <w:tcW w:w="0" w:type="dxa"/>
            <w:vAlign w:val="bottom"/>
          </w:tcPr>
          <w:p>
            <w:pPr>
              <w:spacing w:after="0"/>
              <w:rPr>
                <w:sz w:val="1"/>
                <w:szCs w:val="1"/>
                <w:color w:val="auto"/>
              </w:rPr>
            </w:pPr>
          </w:p>
        </w:tc>
      </w:tr>
      <w:tr>
        <w:trPr>
          <w:trHeight w:val="281"/>
        </w:trPr>
        <w:tc>
          <w:tcPr>
            <w:tcW w:w="2160" w:type="dxa"/>
            <w:vAlign w:val="bottom"/>
            <w:shd w:val="clear" w:color="auto" w:fill="9ADAAA"/>
          </w:tcPr>
          <w:p>
            <w:pPr>
              <w:spacing w:after="0"/>
              <w:rPr>
                <w:sz w:val="24"/>
                <w:szCs w:val="24"/>
                <w:color w:val="auto"/>
              </w:rPr>
            </w:pP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Encourages future innovators to solve the world’s technology problems. The</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Company has partnered with the Ira A. Fulton School of Engineering at Arizona</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State University (ASU) to create two innovative programs: (1) the ASU</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Innovation Open and (2) the Avnet Innovation Lab. These two programs help</w:t>
            </w:r>
          </w:p>
        </w:tc>
        <w:tc>
          <w:tcPr>
            <w:tcW w:w="0" w:type="dxa"/>
            <w:vAlign w:val="bottom"/>
          </w:tcPr>
          <w:p>
            <w:pPr>
              <w:spacing w:after="0"/>
              <w:rPr>
                <w:sz w:val="1"/>
                <w:szCs w:val="1"/>
                <w:color w:val="auto"/>
              </w:rPr>
            </w:pPr>
          </w:p>
        </w:tc>
      </w:tr>
      <w:tr>
        <w:trPr>
          <w:trHeight w:val="202"/>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bring today’s ideas into tomorrow’s technology as each program is designed to</w:t>
            </w:r>
          </w:p>
        </w:tc>
        <w:tc>
          <w:tcPr>
            <w:tcW w:w="0" w:type="dxa"/>
            <w:vAlign w:val="bottom"/>
          </w:tcPr>
          <w:p>
            <w:pPr>
              <w:spacing w:after="0"/>
              <w:rPr>
                <w:sz w:val="1"/>
                <w:szCs w:val="1"/>
                <w:color w:val="auto"/>
              </w:rPr>
            </w:pPr>
          </w:p>
        </w:tc>
      </w:tr>
      <w:tr>
        <w:trPr>
          <w:trHeight w:val="205"/>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cultivate world changing ideas and bring them to life.</w:t>
            </w:r>
          </w:p>
        </w:tc>
        <w:tc>
          <w:tcPr>
            <w:tcW w:w="0" w:type="dxa"/>
            <w:vAlign w:val="bottom"/>
          </w:tcPr>
          <w:p>
            <w:pPr>
              <w:spacing w:after="0"/>
              <w:rPr>
                <w:sz w:val="1"/>
                <w:szCs w:val="1"/>
                <w:color w:val="auto"/>
              </w:rPr>
            </w:pPr>
          </w:p>
        </w:tc>
      </w:tr>
      <w:tr>
        <w:trPr>
          <w:trHeight w:val="308"/>
        </w:trPr>
        <w:tc>
          <w:tcPr>
            <w:tcW w:w="2160" w:type="dxa"/>
            <w:vAlign w:val="bottom"/>
            <w:shd w:val="clear" w:color="auto" w:fill="9ADAAA"/>
          </w:tcPr>
          <w:p>
            <w:pPr>
              <w:spacing w:after="0"/>
              <w:rPr>
                <w:sz w:val="24"/>
                <w:szCs w:val="24"/>
                <w:color w:val="auto"/>
              </w:rPr>
            </w:pPr>
          </w:p>
        </w:tc>
        <w:tc>
          <w:tcPr>
            <w:tcW w:w="6600" w:type="dxa"/>
            <w:vAlign w:val="bottom"/>
            <w:shd w:val="clear" w:color="auto" w:fill="9ADAAA"/>
          </w:tcPr>
          <w:p>
            <w:pPr>
              <w:ind w:left="100"/>
              <w:spacing w:after="0"/>
              <w:rPr>
                <w:sz w:val="20"/>
                <w:szCs w:val="20"/>
                <w:color w:val="auto"/>
              </w:rPr>
            </w:pPr>
            <w:r>
              <w:rPr>
                <w:rFonts w:ascii="Arial" w:cs="Arial" w:eastAsia="Arial" w:hAnsi="Arial"/>
                <w:sz w:val="17"/>
                <w:szCs w:val="17"/>
                <w:color w:val="56C271"/>
              </w:rPr>
              <w:t xml:space="preserve">•   </w:t>
            </w:r>
            <w:r>
              <w:rPr>
                <w:rFonts w:ascii="Arial" w:cs="Arial" w:eastAsia="Arial" w:hAnsi="Arial"/>
                <w:sz w:val="17"/>
                <w:szCs w:val="17"/>
                <w:color w:val="000000"/>
              </w:rPr>
              <w:t>In celebration of its 100</w:t>
            </w:r>
            <w:r>
              <w:rPr>
                <w:rFonts w:ascii="Arial" w:cs="Arial" w:eastAsia="Arial" w:hAnsi="Arial"/>
                <w:sz w:val="21"/>
                <w:szCs w:val="21"/>
                <w:color w:val="000000"/>
                <w:vertAlign w:val="superscript"/>
              </w:rPr>
              <w:t>th</w:t>
            </w:r>
            <w:r>
              <w:rPr>
                <w:rFonts w:ascii="Arial" w:cs="Arial" w:eastAsia="Arial" w:hAnsi="Arial"/>
                <w:sz w:val="17"/>
                <w:szCs w:val="17"/>
                <w:color w:val="56C271"/>
              </w:rPr>
              <w:t xml:space="preserve"> </w:t>
            </w:r>
            <w:r>
              <w:rPr>
                <w:rFonts w:ascii="Arial" w:cs="Arial" w:eastAsia="Arial" w:hAnsi="Arial"/>
                <w:sz w:val="17"/>
                <w:szCs w:val="17"/>
                <w:color w:val="000000"/>
              </w:rPr>
              <w:t>anniversary, the Company created a program in 2021 to</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donate $1,000 (USD) to 100 non-profit companies and charities globally,</w:t>
            </w:r>
          </w:p>
        </w:tc>
        <w:tc>
          <w:tcPr>
            <w:tcW w:w="0" w:type="dxa"/>
            <w:vAlign w:val="bottom"/>
          </w:tcPr>
          <w:p>
            <w:pPr>
              <w:spacing w:after="0"/>
              <w:rPr>
                <w:sz w:val="1"/>
                <w:szCs w:val="1"/>
                <w:color w:val="auto"/>
              </w:rPr>
            </w:pPr>
          </w:p>
        </w:tc>
      </w:tr>
      <w:tr>
        <w:trPr>
          <w:trHeight w:val="203"/>
        </w:trPr>
        <w:tc>
          <w:tcPr>
            <w:tcW w:w="2160" w:type="dxa"/>
            <w:vAlign w:val="bottom"/>
            <w:shd w:val="clear" w:color="auto" w:fill="9ADAAA"/>
          </w:tcPr>
          <w:p>
            <w:pPr>
              <w:spacing w:after="0"/>
              <w:rPr>
                <w:sz w:val="17"/>
                <w:szCs w:val="17"/>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selected based on volunteer stories submitted by employees, in recognition of</w:t>
            </w:r>
          </w:p>
        </w:tc>
        <w:tc>
          <w:tcPr>
            <w:tcW w:w="0" w:type="dxa"/>
            <w:vAlign w:val="bottom"/>
          </w:tcPr>
          <w:p>
            <w:pPr>
              <w:spacing w:after="0"/>
              <w:rPr>
                <w:sz w:val="1"/>
                <w:szCs w:val="1"/>
                <w:color w:val="auto"/>
              </w:rPr>
            </w:pPr>
          </w:p>
        </w:tc>
      </w:tr>
      <w:tr>
        <w:trPr>
          <w:trHeight w:val="222"/>
        </w:trPr>
        <w:tc>
          <w:tcPr>
            <w:tcW w:w="2160" w:type="dxa"/>
            <w:vAlign w:val="bottom"/>
            <w:shd w:val="clear" w:color="auto" w:fill="9ADAAA"/>
          </w:tcPr>
          <w:p>
            <w:pPr>
              <w:spacing w:after="0"/>
              <w:rPr>
                <w:sz w:val="19"/>
                <w:szCs w:val="19"/>
                <w:color w:val="auto"/>
              </w:rPr>
            </w:pPr>
          </w:p>
        </w:tc>
        <w:tc>
          <w:tcPr>
            <w:tcW w:w="6600" w:type="dxa"/>
            <w:vAlign w:val="bottom"/>
            <w:shd w:val="clear" w:color="auto" w:fill="9ADAAA"/>
          </w:tcPr>
          <w:p>
            <w:pPr>
              <w:ind w:left="380"/>
              <w:spacing w:after="0"/>
              <w:rPr>
                <w:sz w:val="20"/>
                <w:szCs w:val="20"/>
                <w:color w:val="auto"/>
              </w:rPr>
            </w:pPr>
            <w:r>
              <w:rPr>
                <w:rFonts w:ascii="Arial" w:cs="Arial" w:eastAsia="Arial" w:hAnsi="Arial"/>
                <w:sz w:val="17"/>
                <w:szCs w:val="17"/>
                <w:color w:val="auto"/>
              </w:rPr>
              <w:t>their passion to support local communities.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1259840</wp:posOffset>
            </wp:positionV>
            <wp:extent cx="1482725"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685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40"/>
        <w:spacing w:after="0"/>
        <w:rPr>
          <w:sz w:val="20"/>
          <w:szCs w:val="20"/>
          <w:color w:val="auto"/>
        </w:rPr>
      </w:pPr>
      <w:r>
        <w:rPr>
          <w:rFonts w:ascii="Arial" w:cs="Arial" w:eastAsia="Arial" w:hAnsi="Arial"/>
          <w:sz w:val="40"/>
          <w:szCs w:val="40"/>
          <w:b w:val="1"/>
          <w:bCs w:val="1"/>
          <w:color w:val="FEFEFE"/>
        </w:rPr>
        <w:t>THE BOARD OF DIRECTORS AND ITS</w:t>
      </w:r>
    </w:p>
    <w:p>
      <w:pPr>
        <w:spacing w:after="0" w:line="63" w:lineRule="exact"/>
        <w:rPr>
          <w:sz w:val="20"/>
          <w:szCs w:val="20"/>
          <w:color w:val="auto"/>
        </w:rPr>
      </w:pPr>
    </w:p>
    <w:p>
      <w:pPr>
        <w:jc w:val="center"/>
        <w:ind w:right="-840"/>
        <w:spacing w:after="0"/>
        <w:rPr>
          <w:sz w:val="20"/>
          <w:szCs w:val="20"/>
          <w:color w:val="auto"/>
        </w:rPr>
      </w:pPr>
      <w:r>
        <w:rPr>
          <w:rFonts w:ascii="Arial" w:cs="Arial" w:eastAsia="Arial" w:hAnsi="Arial"/>
          <w:sz w:val="40"/>
          <w:szCs w:val="40"/>
          <w:b w:val="1"/>
          <w:bCs w:val="1"/>
          <w:color w:val="FEFEFE"/>
        </w:rPr>
        <w:t>COMMITTEES</w:t>
      </w:r>
    </w:p>
    <w:p>
      <w:pPr>
        <w:spacing w:after="0" w:line="397" w:lineRule="exact"/>
        <w:rPr>
          <w:sz w:val="20"/>
          <w:szCs w:val="20"/>
          <w:color w:val="auto"/>
        </w:rPr>
      </w:pPr>
    </w:p>
    <w:p>
      <w:pPr>
        <w:ind w:left="1000" w:right="299"/>
        <w:spacing w:after="0" w:line="256" w:lineRule="auto"/>
        <w:rPr>
          <w:sz w:val="20"/>
          <w:szCs w:val="20"/>
          <w:color w:val="auto"/>
        </w:rPr>
      </w:pPr>
      <w:r>
        <w:rPr>
          <w:rFonts w:ascii="Arial" w:cs="Arial" w:eastAsia="Arial" w:hAnsi="Arial"/>
          <w:sz w:val="18"/>
          <w:szCs w:val="18"/>
          <w:color w:val="auto"/>
        </w:rPr>
        <w:t>The Board of Directors held 4 regular quarterly meetings and 3 special meetings during the fiscal year ended July 3, 2021 (“fiscal 2021”). During each of these regular quarterly meetings, the Independent Directors met separately in executive session, presided over by the Chair of the Board.</w:t>
      </w:r>
    </w:p>
    <w:p>
      <w:pPr>
        <w:spacing w:after="0" w:line="134" w:lineRule="exact"/>
        <w:rPr>
          <w:sz w:val="20"/>
          <w:szCs w:val="20"/>
          <w:color w:val="auto"/>
        </w:rPr>
      </w:pPr>
    </w:p>
    <w:p>
      <w:pPr>
        <w:ind w:left="1000" w:right="279"/>
        <w:spacing w:after="0" w:line="256" w:lineRule="auto"/>
        <w:rPr>
          <w:sz w:val="20"/>
          <w:szCs w:val="20"/>
          <w:color w:val="auto"/>
        </w:rPr>
      </w:pPr>
      <w:r>
        <w:rPr>
          <w:rFonts w:ascii="Arial" w:cs="Arial" w:eastAsia="Arial" w:hAnsi="Arial"/>
          <w:sz w:val="18"/>
          <w:szCs w:val="18"/>
          <w:color w:val="auto"/>
        </w:rPr>
        <w:t>During fiscal 2021, each Director standing for reelection attended 100% of the combined number of meetings of the Board held during the period for which the Director served and of the committees on which such Director served.</w:t>
      </w:r>
    </w:p>
    <w:p>
      <w:pPr>
        <w:spacing w:after="0" w:line="121" w:lineRule="exact"/>
        <w:rPr>
          <w:sz w:val="20"/>
          <w:szCs w:val="20"/>
          <w:color w:val="auto"/>
        </w:rPr>
      </w:pPr>
    </w:p>
    <w:p>
      <w:pPr>
        <w:ind w:left="1000" w:right="159"/>
        <w:spacing w:after="0" w:line="254" w:lineRule="auto"/>
        <w:rPr>
          <w:sz w:val="20"/>
          <w:szCs w:val="20"/>
          <w:color w:val="auto"/>
        </w:rPr>
      </w:pPr>
      <w:r>
        <w:rPr>
          <w:rFonts w:ascii="Arial" w:cs="Arial" w:eastAsia="Arial" w:hAnsi="Arial"/>
          <w:sz w:val="18"/>
          <w:szCs w:val="18"/>
          <w:color w:val="auto"/>
        </w:rPr>
        <w:t>All members of the Board of Directors are expected to attend the annual meeting of shareholders, unless unusual circumstances prevent such attendance. Board and committee meetings are scheduled in conjunction with the annual meeting of shareholders. All then Directors attended the 2020 Annual Meeting of Shareholders held on November 17, 2020.</w:t>
      </w:r>
    </w:p>
    <w:p>
      <w:pPr>
        <w:spacing w:after="0" w:line="136" w:lineRule="exact"/>
        <w:rPr>
          <w:sz w:val="20"/>
          <w:szCs w:val="20"/>
          <w:color w:val="auto"/>
        </w:rPr>
      </w:pPr>
    </w:p>
    <w:p>
      <w:pPr>
        <w:ind w:left="1000" w:right="499"/>
        <w:spacing w:after="0" w:line="252" w:lineRule="auto"/>
        <w:rPr>
          <w:sz w:val="20"/>
          <w:szCs w:val="20"/>
          <w:color w:val="auto"/>
        </w:rPr>
      </w:pPr>
      <w:r>
        <w:rPr>
          <w:rFonts w:ascii="Arial" w:cs="Arial" w:eastAsia="Arial" w:hAnsi="Arial"/>
          <w:sz w:val="18"/>
          <w:szCs w:val="18"/>
          <w:color w:val="auto"/>
        </w:rPr>
        <w:t>The Board currently has, and appoints the members of, a standing Audit Committee, Compensation and Leadership Development Committee, Corporate Governance Committee and Finance Committee. Each of these committees is comprised solely of non-employee Directors, reports regularly to the full Board and annually evaluates its performance. In addition, the Board has established the Executive Committee to exercise certain powers and authority of the Board between Board meetings. The Board appoints the members of the Executive Committee, which consist of the Chair of the Board and the Chairs of each committee.</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members of the committees as of the date of this Proxy Statement are identified in the following table.</w:t>
      </w:r>
    </w:p>
    <w:p>
      <w:pPr>
        <w:spacing w:after="0" w:line="18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860" w:type="dxa"/>
            <w:vAlign w:val="bottom"/>
            <w:tcBorders>
              <w:bottom w:val="single" w:sz="8" w:color="56C271"/>
            </w:tcBorders>
            <w:shd w:val="clear" w:color="auto" w:fill="56C271"/>
          </w:tcPr>
          <w:p>
            <w:pPr>
              <w:spacing w:after="0"/>
              <w:rPr>
                <w:sz w:val="19"/>
                <w:szCs w:val="19"/>
                <w:color w:val="auto"/>
              </w:rPr>
            </w:pPr>
          </w:p>
        </w:tc>
        <w:tc>
          <w:tcPr>
            <w:tcW w:w="640" w:type="dxa"/>
            <w:vAlign w:val="bottom"/>
            <w:tcBorders>
              <w:bottom w:val="single" w:sz="8" w:color="auto"/>
              <w:right w:val="single" w:sz="8" w:color="56C271"/>
            </w:tcBorders>
            <w:shd w:val="clear" w:color="auto" w:fill="56C271"/>
          </w:tcPr>
          <w:p>
            <w:pPr>
              <w:spacing w:after="0"/>
              <w:rPr>
                <w:sz w:val="19"/>
                <w:szCs w:val="19"/>
                <w:color w:val="auto"/>
              </w:rPr>
            </w:pPr>
          </w:p>
        </w:tc>
        <w:tc>
          <w:tcPr>
            <w:tcW w:w="540" w:type="dxa"/>
            <w:vAlign w:val="bottom"/>
            <w:tcBorders>
              <w:bottom w:val="single" w:sz="8" w:color="auto"/>
            </w:tcBorders>
            <w:shd w:val="clear" w:color="auto" w:fill="56C271"/>
          </w:tcPr>
          <w:p>
            <w:pPr>
              <w:spacing w:after="0"/>
              <w:rPr>
                <w:sz w:val="19"/>
                <w:szCs w:val="19"/>
                <w:color w:val="auto"/>
              </w:rPr>
            </w:pPr>
          </w:p>
        </w:tc>
        <w:tc>
          <w:tcPr>
            <w:tcW w:w="1440" w:type="dxa"/>
            <w:vAlign w:val="bottom"/>
            <w:tcBorders>
              <w:bottom w:val="single" w:sz="8" w:color="auto"/>
              <w:right w:val="single" w:sz="8" w:color="56C271"/>
            </w:tcBorders>
            <w:gridSpan w:val="3"/>
            <w:shd w:val="clear" w:color="auto" w:fill="56C271"/>
          </w:tcPr>
          <w:p>
            <w:pPr>
              <w:jc w:val="center"/>
              <w:ind w:right="404"/>
              <w:spacing w:after="0"/>
              <w:rPr>
                <w:sz w:val="20"/>
                <w:szCs w:val="20"/>
                <w:color w:val="auto"/>
              </w:rPr>
            </w:pPr>
            <w:r>
              <w:rPr>
                <w:rFonts w:ascii="Arial" w:cs="Arial" w:eastAsia="Arial" w:hAnsi="Arial"/>
                <w:sz w:val="16"/>
                <w:szCs w:val="16"/>
                <w:b w:val="1"/>
                <w:bCs w:val="1"/>
                <w:color w:val="FEFEFE"/>
              </w:rPr>
              <w:t>Committees</w:t>
            </w:r>
          </w:p>
        </w:tc>
        <w:tc>
          <w:tcPr>
            <w:tcW w:w="700" w:type="dxa"/>
            <w:vAlign w:val="bottom"/>
            <w:tcBorders>
              <w:bottom w:val="single" w:sz="8" w:color="auto"/>
              <w:right w:val="single" w:sz="8" w:color="56C271"/>
            </w:tcBorders>
            <w:shd w:val="clear" w:color="auto" w:fill="56C271"/>
          </w:tcPr>
          <w:p>
            <w:pPr>
              <w:spacing w:after="0"/>
              <w:rPr>
                <w:sz w:val="19"/>
                <w:szCs w:val="19"/>
                <w:color w:val="auto"/>
              </w:rPr>
            </w:pPr>
          </w:p>
        </w:tc>
        <w:tc>
          <w:tcPr>
            <w:tcW w:w="80" w:type="dxa"/>
            <w:vAlign w:val="bottom"/>
            <w:tcBorders>
              <w:bottom w:val="single" w:sz="8" w:color="56C271"/>
            </w:tcBorders>
            <w:shd w:val="clear" w:color="auto" w:fill="56C271"/>
          </w:tcPr>
          <w:p>
            <w:pPr>
              <w:spacing w:after="0"/>
              <w:rPr>
                <w:sz w:val="19"/>
                <w:szCs w:val="19"/>
                <w:color w:val="auto"/>
              </w:rPr>
            </w:pPr>
          </w:p>
        </w:tc>
        <w:tc>
          <w:tcPr>
            <w:tcW w:w="1040" w:type="dxa"/>
            <w:vAlign w:val="bottom"/>
            <w:tcBorders>
              <w:bottom w:val="single" w:sz="8" w:color="56C271"/>
            </w:tcBorders>
            <w:shd w:val="clear" w:color="auto" w:fill="56C271"/>
          </w:tcPr>
          <w:p>
            <w:pPr>
              <w:spacing w:after="0"/>
              <w:rPr>
                <w:sz w:val="19"/>
                <w:szCs w:val="19"/>
                <w:color w:val="auto"/>
              </w:rPr>
            </w:pPr>
          </w:p>
        </w:tc>
      </w:tr>
      <w:tr>
        <w:trPr>
          <w:trHeight w:val="196"/>
        </w:trPr>
        <w:tc>
          <w:tcPr>
            <w:tcW w:w="2860" w:type="dxa"/>
            <w:vAlign w:val="bottom"/>
            <w:shd w:val="clear" w:color="auto" w:fill="56C271"/>
          </w:tcPr>
          <w:p>
            <w:pPr>
              <w:spacing w:after="0"/>
              <w:rPr>
                <w:sz w:val="17"/>
                <w:szCs w:val="17"/>
                <w:color w:val="auto"/>
              </w:rPr>
            </w:pPr>
          </w:p>
        </w:tc>
        <w:tc>
          <w:tcPr>
            <w:tcW w:w="640" w:type="dxa"/>
            <w:vAlign w:val="bottom"/>
            <w:tcBorders>
              <w:right w:val="single" w:sz="8" w:color="56C271"/>
            </w:tcBorders>
            <w:shd w:val="clear" w:color="auto" w:fill="56C271"/>
          </w:tcPr>
          <w:p>
            <w:pPr>
              <w:jc w:val="center"/>
              <w:spacing w:after="0"/>
              <w:rPr>
                <w:sz w:val="20"/>
                <w:szCs w:val="20"/>
                <w:color w:val="auto"/>
              </w:rPr>
            </w:pPr>
            <w:r>
              <w:rPr>
                <w:rFonts w:ascii="Arial" w:cs="Arial" w:eastAsia="Arial" w:hAnsi="Arial"/>
                <w:sz w:val="16"/>
                <w:szCs w:val="16"/>
                <w:b w:val="1"/>
                <w:bCs w:val="1"/>
                <w:color w:val="FEFEFE"/>
                <w:w w:val="86"/>
              </w:rPr>
              <w:t>A</w:t>
            </w:r>
          </w:p>
        </w:tc>
        <w:tc>
          <w:tcPr>
            <w:tcW w:w="540" w:type="dxa"/>
            <w:vAlign w:val="bottom"/>
            <w:shd w:val="clear" w:color="auto" w:fill="56C271"/>
          </w:tcPr>
          <w:p>
            <w:pPr>
              <w:jc w:val="center"/>
              <w:spacing w:after="0"/>
              <w:rPr>
                <w:sz w:val="20"/>
                <w:szCs w:val="20"/>
                <w:color w:val="auto"/>
              </w:rPr>
            </w:pPr>
            <w:r>
              <w:rPr>
                <w:rFonts w:ascii="Arial" w:cs="Arial" w:eastAsia="Arial" w:hAnsi="Arial"/>
                <w:sz w:val="16"/>
                <w:szCs w:val="16"/>
                <w:b w:val="1"/>
                <w:bCs w:val="1"/>
                <w:color w:val="FEFEFE"/>
              </w:rPr>
              <w:t>C</w:t>
            </w:r>
          </w:p>
        </w:tc>
        <w:tc>
          <w:tcPr>
            <w:tcW w:w="120" w:type="dxa"/>
            <w:vAlign w:val="bottom"/>
            <w:tcBorders>
              <w:right w:val="single" w:sz="8" w:color="56C271"/>
            </w:tcBorders>
            <w:shd w:val="clear" w:color="auto" w:fill="56C271"/>
          </w:tcPr>
          <w:p>
            <w:pPr>
              <w:spacing w:after="0"/>
              <w:rPr>
                <w:sz w:val="17"/>
                <w:szCs w:val="17"/>
                <w:color w:val="auto"/>
              </w:rPr>
            </w:pPr>
          </w:p>
        </w:tc>
        <w:tc>
          <w:tcPr>
            <w:tcW w:w="660" w:type="dxa"/>
            <w:vAlign w:val="bottom"/>
            <w:tcBorders>
              <w:right w:val="single" w:sz="8" w:color="56C271"/>
            </w:tcBorders>
            <w:shd w:val="clear" w:color="auto" w:fill="56C271"/>
          </w:tcPr>
          <w:p>
            <w:pPr>
              <w:jc w:val="center"/>
              <w:spacing w:after="0"/>
              <w:rPr>
                <w:sz w:val="20"/>
                <w:szCs w:val="20"/>
                <w:color w:val="auto"/>
              </w:rPr>
            </w:pPr>
            <w:r>
              <w:rPr>
                <w:rFonts w:ascii="Arial" w:cs="Arial" w:eastAsia="Arial" w:hAnsi="Arial"/>
                <w:sz w:val="16"/>
                <w:szCs w:val="16"/>
                <w:b w:val="1"/>
                <w:bCs w:val="1"/>
                <w:color w:val="FEFEFE"/>
                <w:w w:val="99"/>
              </w:rPr>
              <w:t>CG</w:t>
            </w:r>
          </w:p>
        </w:tc>
        <w:tc>
          <w:tcPr>
            <w:tcW w:w="660" w:type="dxa"/>
            <w:vAlign w:val="bottom"/>
            <w:tcBorders>
              <w:right w:val="single" w:sz="8" w:color="56C271"/>
            </w:tcBorders>
            <w:shd w:val="clear" w:color="auto" w:fill="56C271"/>
          </w:tcPr>
          <w:p>
            <w:pPr>
              <w:jc w:val="center"/>
              <w:spacing w:after="0"/>
              <w:rPr>
                <w:sz w:val="20"/>
                <w:szCs w:val="20"/>
                <w:color w:val="auto"/>
              </w:rPr>
            </w:pPr>
            <w:r>
              <w:rPr>
                <w:rFonts w:ascii="Arial" w:cs="Arial" w:eastAsia="Arial" w:hAnsi="Arial"/>
                <w:sz w:val="16"/>
                <w:szCs w:val="16"/>
                <w:b w:val="1"/>
                <w:bCs w:val="1"/>
                <w:color w:val="FEFEFE"/>
              </w:rPr>
              <w:t>F</w:t>
            </w:r>
          </w:p>
        </w:tc>
        <w:tc>
          <w:tcPr>
            <w:tcW w:w="700" w:type="dxa"/>
            <w:vAlign w:val="bottom"/>
            <w:tcBorders>
              <w:right w:val="single" w:sz="8" w:color="56C271"/>
            </w:tcBorders>
            <w:shd w:val="clear" w:color="auto" w:fill="56C271"/>
          </w:tcPr>
          <w:p>
            <w:pPr>
              <w:jc w:val="center"/>
              <w:spacing w:after="0"/>
              <w:rPr>
                <w:sz w:val="20"/>
                <w:szCs w:val="20"/>
                <w:color w:val="auto"/>
              </w:rPr>
            </w:pPr>
            <w:r>
              <w:rPr>
                <w:rFonts w:ascii="Arial" w:cs="Arial" w:eastAsia="Arial" w:hAnsi="Arial"/>
                <w:sz w:val="16"/>
                <w:szCs w:val="16"/>
                <w:b w:val="1"/>
                <w:bCs w:val="1"/>
                <w:color w:val="FEFEFE"/>
              </w:rPr>
              <w:t>E</w:t>
            </w:r>
          </w:p>
        </w:tc>
        <w:tc>
          <w:tcPr>
            <w:tcW w:w="80" w:type="dxa"/>
            <w:vAlign w:val="bottom"/>
            <w:shd w:val="clear" w:color="auto" w:fill="56C271"/>
          </w:tcPr>
          <w:p>
            <w:pPr>
              <w:spacing w:after="0"/>
              <w:rPr>
                <w:sz w:val="17"/>
                <w:szCs w:val="17"/>
                <w:color w:val="auto"/>
              </w:rPr>
            </w:pPr>
          </w:p>
        </w:tc>
        <w:tc>
          <w:tcPr>
            <w:tcW w:w="1040" w:type="dxa"/>
            <w:vAlign w:val="bottom"/>
            <w:shd w:val="clear" w:color="auto" w:fill="56C271"/>
          </w:tcPr>
          <w:p>
            <w:pPr>
              <w:ind w:left="40"/>
              <w:spacing w:after="0"/>
              <w:rPr>
                <w:sz w:val="20"/>
                <w:szCs w:val="20"/>
                <w:color w:val="auto"/>
              </w:rPr>
            </w:pPr>
            <w:r>
              <w:rPr>
                <w:rFonts w:ascii="Arial" w:cs="Arial" w:eastAsia="Arial" w:hAnsi="Arial"/>
                <w:sz w:val="16"/>
                <w:szCs w:val="16"/>
                <w:b w:val="1"/>
                <w:bCs w:val="1"/>
                <w:color w:val="FEFEFE"/>
              </w:rPr>
              <w:t>Independent</w:t>
            </w:r>
          </w:p>
        </w:tc>
      </w:tr>
      <w:tr>
        <w:trPr>
          <w:trHeight w:val="324"/>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Rodney C. Adkins (Board Chair)</w:t>
            </w:r>
          </w:p>
        </w:tc>
        <w:tc>
          <w:tcPr>
            <w:tcW w:w="64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540" w:type="dxa"/>
            <w:vAlign w:val="bottom"/>
            <w:tcBorders>
              <w:bottom w:val="single" w:sz="8" w:color="auto"/>
            </w:tcBorders>
            <w:shd w:val="clear" w:color="auto" w:fill="B2B2B2"/>
          </w:tcPr>
          <w:p>
            <w:pPr>
              <w:spacing w:after="0"/>
              <w:rPr>
                <w:sz w:val="24"/>
                <w:szCs w:val="24"/>
                <w:color w:val="auto"/>
              </w:rPr>
            </w:pPr>
          </w:p>
        </w:tc>
        <w:tc>
          <w:tcPr>
            <w:tcW w:w="12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w w:val="90"/>
              </w:rPr>
              <w:t>•</w:t>
            </w:r>
          </w:p>
        </w:tc>
        <w:tc>
          <w:tcPr>
            <w:tcW w:w="660" w:type="dxa"/>
            <w:vAlign w:val="bottom"/>
            <w:tcBorders>
              <w:bottom w:val="single" w:sz="8" w:color="auto"/>
              <w:right w:val="single" w:sz="8" w:color="FEFEFE"/>
            </w:tcBorders>
            <w:shd w:val="clear" w:color="auto" w:fill="B2B2B2"/>
          </w:tcPr>
          <w:p>
            <w:pPr>
              <w:spacing w:after="0"/>
              <w:rPr>
                <w:sz w:val="24"/>
                <w:szCs w:val="24"/>
                <w:color w:val="auto"/>
              </w:rPr>
            </w:pPr>
          </w:p>
        </w:tc>
        <w:tc>
          <w:tcPr>
            <w:tcW w:w="70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18"/>
                <w:szCs w:val="18"/>
                <w:color w:val="auto"/>
              </w:rPr>
              <w:t>Chair</w:t>
            </w:r>
          </w:p>
        </w:tc>
        <w:tc>
          <w:tcPr>
            <w:tcW w:w="80" w:type="dxa"/>
            <w:vAlign w:val="bottom"/>
            <w:tcBorders>
              <w:bottom w:val="single" w:sz="8" w:color="auto"/>
            </w:tcBorders>
            <w:shd w:val="clear" w:color="auto" w:fill="B2B2B2"/>
          </w:tcPr>
          <w:p>
            <w:pPr>
              <w:spacing w:after="0"/>
              <w:rPr>
                <w:sz w:val="24"/>
                <w:szCs w:val="24"/>
                <w:color w:val="auto"/>
              </w:rPr>
            </w:pPr>
          </w:p>
        </w:tc>
        <w:tc>
          <w:tcPr>
            <w:tcW w:w="1040" w:type="dxa"/>
            <w:vAlign w:val="bottom"/>
            <w:tcBorders>
              <w:bottom w:val="single" w:sz="8" w:color="auto"/>
            </w:tcBorders>
            <w:shd w:val="clear" w:color="auto" w:fill="B2B2B2"/>
          </w:tcPr>
          <w:p>
            <w:pPr>
              <w:spacing w:after="0"/>
              <w:rPr>
                <w:sz w:val="24"/>
                <w:szCs w:val="24"/>
                <w:color w:val="auto"/>
              </w:rPr>
            </w:pPr>
          </w:p>
        </w:tc>
      </w:tr>
      <w:tr>
        <w:trPr>
          <w:trHeight w:val="318"/>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Carlo Bozotti</w:t>
            </w:r>
          </w:p>
        </w:tc>
        <w:tc>
          <w:tcPr>
            <w:tcW w:w="64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18"/>
                <w:szCs w:val="18"/>
                <w:color w:val="auto"/>
                <w:w w:val="97"/>
              </w:rPr>
              <w:t>Chair</w:t>
            </w:r>
          </w:p>
        </w:tc>
        <w:tc>
          <w:tcPr>
            <w:tcW w:w="540" w:type="dxa"/>
            <w:vAlign w:val="bottom"/>
            <w:tcBorders>
              <w:bottom w:val="single" w:sz="8" w:color="auto"/>
            </w:tcBorders>
            <w:shd w:val="clear" w:color="auto" w:fill="B2B2B2"/>
          </w:tcPr>
          <w:p>
            <w:pPr>
              <w:spacing w:after="0"/>
              <w:rPr>
                <w:sz w:val="24"/>
                <w:szCs w:val="24"/>
                <w:color w:val="auto"/>
              </w:rPr>
            </w:pPr>
          </w:p>
        </w:tc>
        <w:tc>
          <w:tcPr>
            <w:tcW w:w="12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70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w w:val="90"/>
              </w:rPr>
              <w:t>•</w:t>
            </w:r>
          </w:p>
        </w:tc>
        <w:tc>
          <w:tcPr>
            <w:tcW w:w="80" w:type="dxa"/>
            <w:vAlign w:val="bottom"/>
            <w:tcBorders>
              <w:bottom w:val="single" w:sz="8" w:color="auto"/>
            </w:tcBorders>
            <w:shd w:val="clear" w:color="auto" w:fill="B2B2B2"/>
          </w:tcPr>
          <w:p>
            <w:pPr>
              <w:spacing w:after="0"/>
              <w:rPr>
                <w:sz w:val="24"/>
                <w:szCs w:val="24"/>
                <w:color w:val="auto"/>
              </w:rPr>
            </w:pPr>
          </w:p>
        </w:tc>
        <w:tc>
          <w:tcPr>
            <w:tcW w:w="1040" w:type="dxa"/>
            <w:vAlign w:val="bottom"/>
            <w:tcBorders>
              <w:bottom w:val="single" w:sz="8" w:color="auto"/>
            </w:tcBorders>
            <w:shd w:val="clear" w:color="auto" w:fill="B2B2B2"/>
          </w:tcPr>
          <w:p>
            <w:pPr>
              <w:spacing w:after="0"/>
              <w:rPr>
                <w:sz w:val="24"/>
                <w:szCs w:val="24"/>
                <w:color w:val="auto"/>
              </w:rPr>
            </w:pPr>
          </w:p>
        </w:tc>
      </w:tr>
      <w:tr>
        <w:trPr>
          <w:trHeight w:val="318"/>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Michael A. Bradley</w:t>
            </w:r>
          </w:p>
        </w:tc>
        <w:tc>
          <w:tcPr>
            <w:tcW w:w="64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540" w:type="dxa"/>
            <w:vAlign w:val="bottom"/>
            <w:tcBorders>
              <w:bottom w:val="single" w:sz="8" w:color="auto"/>
            </w:tcBorders>
            <w:shd w:val="clear" w:color="auto" w:fill="B2B2B2"/>
          </w:tcPr>
          <w:p>
            <w:pPr>
              <w:spacing w:after="0"/>
              <w:rPr>
                <w:sz w:val="24"/>
                <w:szCs w:val="24"/>
                <w:color w:val="auto"/>
              </w:rPr>
            </w:pPr>
          </w:p>
        </w:tc>
        <w:tc>
          <w:tcPr>
            <w:tcW w:w="12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700" w:type="dxa"/>
            <w:vAlign w:val="bottom"/>
            <w:tcBorders>
              <w:bottom w:val="single" w:sz="8" w:color="auto"/>
              <w:right w:val="single" w:sz="8" w:color="FEFEFE"/>
            </w:tcBorders>
            <w:shd w:val="clear" w:color="auto" w:fill="B2B2B2"/>
          </w:tcPr>
          <w:p>
            <w:pPr>
              <w:spacing w:after="0"/>
              <w:rPr>
                <w:sz w:val="24"/>
                <w:szCs w:val="24"/>
                <w:color w:val="auto"/>
              </w:rPr>
            </w:pPr>
          </w:p>
        </w:tc>
        <w:tc>
          <w:tcPr>
            <w:tcW w:w="80" w:type="dxa"/>
            <w:vAlign w:val="bottom"/>
            <w:tcBorders>
              <w:bottom w:val="single" w:sz="8" w:color="auto"/>
            </w:tcBorders>
            <w:shd w:val="clear" w:color="auto" w:fill="B2B2B2"/>
          </w:tcPr>
          <w:p>
            <w:pPr>
              <w:spacing w:after="0"/>
              <w:rPr>
                <w:sz w:val="24"/>
                <w:szCs w:val="24"/>
                <w:color w:val="auto"/>
              </w:rPr>
            </w:pPr>
          </w:p>
        </w:tc>
        <w:tc>
          <w:tcPr>
            <w:tcW w:w="1040" w:type="dxa"/>
            <w:vAlign w:val="bottom"/>
            <w:tcBorders>
              <w:bottom w:val="single" w:sz="8" w:color="auto"/>
            </w:tcBorders>
            <w:shd w:val="clear" w:color="auto" w:fill="B2B2B2"/>
          </w:tcPr>
          <w:p>
            <w:pPr>
              <w:spacing w:after="0"/>
              <w:rPr>
                <w:sz w:val="24"/>
                <w:szCs w:val="24"/>
                <w:color w:val="auto"/>
              </w:rPr>
            </w:pPr>
          </w:p>
        </w:tc>
      </w:tr>
      <w:tr>
        <w:trPr>
          <w:trHeight w:val="318"/>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Brenda L. Freeman</w:t>
            </w:r>
          </w:p>
        </w:tc>
        <w:tc>
          <w:tcPr>
            <w:tcW w:w="64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540" w:type="dxa"/>
            <w:vAlign w:val="bottom"/>
            <w:tcBorders>
              <w:bottom w:val="single" w:sz="8" w:color="auto"/>
            </w:tcBorders>
            <w:shd w:val="clear" w:color="auto" w:fill="B2B2B2"/>
          </w:tcPr>
          <w:p>
            <w:pPr>
              <w:spacing w:after="0"/>
              <w:rPr>
                <w:sz w:val="24"/>
                <w:szCs w:val="24"/>
                <w:color w:val="auto"/>
              </w:rPr>
            </w:pPr>
          </w:p>
        </w:tc>
        <w:tc>
          <w:tcPr>
            <w:tcW w:w="12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700" w:type="dxa"/>
            <w:vAlign w:val="bottom"/>
            <w:tcBorders>
              <w:bottom w:val="single" w:sz="8" w:color="auto"/>
              <w:right w:val="single" w:sz="8" w:color="FEFEFE"/>
            </w:tcBorders>
            <w:shd w:val="clear" w:color="auto" w:fill="B2B2B2"/>
          </w:tcPr>
          <w:p>
            <w:pPr>
              <w:spacing w:after="0"/>
              <w:rPr>
                <w:sz w:val="24"/>
                <w:szCs w:val="24"/>
                <w:color w:val="auto"/>
              </w:rPr>
            </w:pPr>
          </w:p>
        </w:tc>
        <w:tc>
          <w:tcPr>
            <w:tcW w:w="80" w:type="dxa"/>
            <w:vAlign w:val="bottom"/>
            <w:tcBorders>
              <w:bottom w:val="single" w:sz="8" w:color="auto"/>
            </w:tcBorders>
            <w:shd w:val="clear" w:color="auto" w:fill="B2B2B2"/>
          </w:tcPr>
          <w:p>
            <w:pPr>
              <w:spacing w:after="0"/>
              <w:rPr>
                <w:sz w:val="24"/>
                <w:szCs w:val="24"/>
                <w:color w:val="auto"/>
              </w:rPr>
            </w:pPr>
          </w:p>
        </w:tc>
        <w:tc>
          <w:tcPr>
            <w:tcW w:w="1040" w:type="dxa"/>
            <w:vAlign w:val="bottom"/>
            <w:tcBorders>
              <w:bottom w:val="single" w:sz="8" w:color="auto"/>
            </w:tcBorders>
            <w:shd w:val="clear" w:color="auto" w:fill="B2B2B2"/>
          </w:tcPr>
          <w:p>
            <w:pPr>
              <w:spacing w:after="0"/>
              <w:rPr>
                <w:sz w:val="24"/>
                <w:szCs w:val="24"/>
                <w:color w:val="auto"/>
              </w:rPr>
            </w:pPr>
          </w:p>
        </w:tc>
      </w:tr>
      <w:tr>
        <w:trPr>
          <w:trHeight w:val="318"/>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Jo Ann Jenkins</w:t>
            </w:r>
          </w:p>
        </w:tc>
        <w:tc>
          <w:tcPr>
            <w:tcW w:w="640" w:type="dxa"/>
            <w:vAlign w:val="bottom"/>
            <w:tcBorders>
              <w:bottom w:val="single" w:sz="8" w:color="auto"/>
              <w:right w:val="single" w:sz="8" w:color="FEFEFE"/>
            </w:tcBorders>
            <w:shd w:val="clear" w:color="auto" w:fill="B2B2B2"/>
          </w:tcPr>
          <w:p>
            <w:pPr>
              <w:spacing w:after="0"/>
              <w:rPr>
                <w:sz w:val="24"/>
                <w:szCs w:val="24"/>
                <w:color w:val="auto"/>
              </w:rPr>
            </w:pPr>
          </w:p>
        </w:tc>
        <w:tc>
          <w:tcPr>
            <w:tcW w:w="540" w:type="dxa"/>
            <w:vAlign w:val="bottom"/>
            <w:tcBorders>
              <w:bottom w:val="single" w:sz="8" w:color="auto"/>
            </w:tcBorders>
            <w:shd w:val="clear" w:color="auto" w:fill="B2B2B2"/>
          </w:tcPr>
          <w:p>
            <w:pPr>
              <w:jc w:val="center"/>
              <w:spacing w:after="0"/>
              <w:rPr>
                <w:sz w:val="20"/>
                <w:szCs w:val="20"/>
                <w:color w:val="auto"/>
              </w:rPr>
            </w:pPr>
            <w:r>
              <w:rPr>
                <w:rFonts w:ascii="Arial" w:cs="Arial" w:eastAsia="Arial" w:hAnsi="Arial"/>
                <w:sz w:val="25"/>
                <w:szCs w:val="25"/>
                <w:color w:val="56C271"/>
                <w:w w:val="90"/>
              </w:rPr>
              <w:t>•</w:t>
            </w:r>
          </w:p>
        </w:tc>
        <w:tc>
          <w:tcPr>
            <w:tcW w:w="12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w w:val="90"/>
              </w:rPr>
              <w:t>•</w:t>
            </w:r>
          </w:p>
        </w:tc>
        <w:tc>
          <w:tcPr>
            <w:tcW w:w="660" w:type="dxa"/>
            <w:vAlign w:val="bottom"/>
            <w:tcBorders>
              <w:bottom w:val="single" w:sz="8" w:color="auto"/>
              <w:right w:val="single" w:sz="8" w:color="FEFEFE"/>
            </w:tcBorders>
            <w:shd w:val="clear" w:color="auto" w:fill="B2B2B2"/>
          </w:tcPr>
          <w:p>
            <w:pPr>
              <w:spacing w:after="0"/>
              <w:rPr>
                <w:sz w:val="24"/>
                <w:szCs w:val="24"/>
                <w:color w:val="auto"/>
              </w:rPr>
            </w:pPr>
          </w:p>
        </w:tc>
        <w:tc>
          <w:tcPr>
            <w:tcW w:w="700" w:type="dxa"/>
            <w:vAlign w:val="bottom"/>
            <w:tcBorders>
              <w:bottom w:val="single" w:sz="8" w:color="auto"/>
              <w:right w:val="single" w:sz="8" w:color="FEFEFE"/>
            </w:tcBorders>
            <w:shd w:val="clear" w:color="auto" w:fill="B2B2B2"/>
          </w:tcPr>
          <w:p>
            <w:pPr>
              <w:spacing w:after="0"/>
              <w:rPr>
                <w:sz w:val="24"/>
                <w:szCs w:val="24"/>
                <w:color w:val="auto"/>
              </w:rPr>
            </w:pPr>
          </w:p>
        </w:tc>
        <w:tc>
          <w:tcPr>
            <w:tcW w:w="80" w:type="dxa"/>
            <w:vAlign w:val="bottom"/>
            <w:tcBorders>
              <w:bottom w:val="single" w:sz="8" w:color="auto"/>
            </w:tcBorders>
            <w:shd w:val="clear" w:color="auto" w:fill="B2B2B2"/>
          </w:tcPr>
          <w:p>
            <w:pPr>
              <w:spacing w:after="0"/>
              <w:rPr>
                <w:sz w:val="24"/>
                <w:szCs w:val="24"/>
                <w:color w:val="auto"/>
              </w:rPr>
            </w:pPr>
          </w:p>
        </w:tc>
        <w:tc>
          <w:tcPr>
            <w:tcW w:w="1040" w:type="dxa"/>
            <w:vAlign w:val="bottom"/>
            <w:tcBorders>
              <w:bottom w:val="single" w:sz="8" w:color="auto"/>
            </w:tcBorders>
            <w:shd w:val="clear" w:color="auto" w:fill="B2B2B2"/>
          </w:tcPr>
          <w:p>
            <w:pPr>
              <w:spacing w:after="0"/>
              <w:rPr>
                <w:sz w:val="24"/>
                <w:szCs w:val="24"/>
                <w:color w:val="auto"/>
              </w:rPr>
            </w:pPr>
          </w:p>
        </w:tc>
      </w:tr>
      <w:tr>
        <w:trPr>
          <w:trHeight w:val="318"/>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Oleg Khaykin</w:t>
            </w:r>
          </w:p>
        </w:tc>
        <w:tc>
          <w:tcPr>
            <w:tcW w:w="64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540" w:type="dxa"/>
            <w:vAlign w:val="bottom"/>
            <w:tcBorders>
              <w:bottom w:val="single" w:sz="8" w:color="auto"/>
            </w:tcBorders>
            <w:shd w:val="clear" w:color="auto" w:fill="B2B2B2"/>
          </w:tcPr>
          <w:p>
            <w:pPr>
              <w:spacing w:after="0"/>
              <w:rPr>
                <w:sz w:val="24"/>
                <w:szCs w:val="24"/>
                <w:color w:val="auto"/>
              </w:rPr>
            </w:pPr>
          </w:p>
        </w:tc>
        <w:tc>
          <w:tcPr>
            <w:tcW w:w="12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700" w:type="dxa"/>
            <w:vAlign w:val="bottom"/>
            <w:tcBorders>
              <w:bottom w:val="single" w:sz="8" w:color="auto"/>
              <w:right w:val="single" w:sz="8" w:color="FEFEFE"/>
            </w:tcBorders>
            <w:shd w:val="clear" w:color="auto" w:fill="B2B2B2"/>
          </w:tcPr>
          <w:p>
            <w:pPr>
              <w:spacing w:after="0"/>
              <w:rPr>
                <w:sz w:val="24"/>
                <w:szCs w:val="24"/>
                <w:color w:val="auto"/>
              </w:rPr>
            </w:pPr>
          </w:p>
        </w:tc>
        <w:tc>
          <w:tcPr>
            <w:tcW w:w="80" w:type="dxa"/>
            <w:vAlign w:val="bottom"/>
            <w:tcBorders>
              <w:bottom w:val="single" w:sz="8" w:color="auto"/>
            </w:tcBorders>
            <w:shd w:val="clear" w:color="auto" w:fill="B2B2B2"/>
          </w:tcPr>
          <w:p>
            <w:pPr>
              <w:spacing w:after="0"/>
              <w:rPr>
                <w:sz w:val="24"/>
                <w:szCs w:val="24"/>
                <w:color w:val="auto"/>
              </w:rPr>
            </w:pPr>
          </w:p>
        </w:tc>
        <w:tc>
          <w:tcPr>
            <w:tcW w:w="1040" w:type="dxa"/>
            <w:vAlign w:val="bottom"/>
            <w:tcBorders>
              <w:bottom w:val="single" w:sz="8" w:color="auto"/>
            </w:tcBorders>
            <w:shd w:val="clear" w:color="auto" w:fill="B2B2B2"/>
          </w:tcPr>
          <w:p>
            <w:pPr>
              <w:spacing w:after="0"/>
              <w:rPr>
                <w:sz w:val="24"/>
                <w:szCs w:val="24"/>
                <w:color w:val="auto"/>
              </w:rPr>
            </w:pPr>
          </w:p>
        </w:tc>
      </w:tr>
      <w:tr>
        <w:trPr>
          <w:trHeight w:val="318"/>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James A. Lawrence</w:t>
            </w:r>
          </w:p>
        </w:tc>
        <w:tc>
          <w:tcPr>
            <w:tcW w:w="640" w:type="dxa"/>
            <w:vAlign w:val="bottom"/>
            <w:tcBorders>
              <w:bottom w:val="single" w:sz="8" w:color="auto"/>
              <w:right w:val="single" w:sz="8" w:color="FEFEFE"/>
            </w:tcBorders>
            <w:shd w:val="clear" w:color="auto" w:fill="B2B2B2"/>
          </w:tcPr>
          <w:p>
            <w:pPr>
              <w:spacing w:after="0"/>
              <w:rPr>
                <w:sz w:val="24"/>
                <w:szCs w:val="24"/>
                <w:color w:val="auto"/>
              </w:rPr>
            </w:pPr>
          </w:p>
        </w:tc>
        <w:tc>
          <w:tcPr>
            <w:tcW w:w="540" w:type="dxa"/>
            <w:vAlign w:val="bottom"/>
            <w:tcBorders>
              <w:bottom w:val="single" w:sz="8" w:color="auto"/>
            </w:tcBorders>
            <w:shd w:val="clear" w:color="auto" w:fill="B2B2B2"/>
          </w:tcPr>
          <w:p>
            <w:pPr>
              <w:jc w:val="center"/>
              <w:ind w:left="10"/>
              <w:spacing w:after="0"/>
              <w:rPr>
                <w:sz w:val="20"/>
                <w:szCs w:val="20"/>
                <w:color w:val="auto"/>
              </w:rPr>
            </w:pPr>
            <w:r>
              <w:rPr>
                <w:rFonts w:ascii="Arial" w:cs="Arial" w:eastAsia="Arial" w:hAnsi="Arial"/>
                <w:sz w:val="18"/>
                <w:szCs w:val="18"/>
                <w:color w:val="auto"/>
                <w:w w:val="97"/>
              </w:rPr>
              <w:t>Chair</w:t>
            </w:r>
          </w:p>
        </w:tc>
        <w:tc>
          <w:tcPr>
            <w:tcW w:w="12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70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w w:val="90"/>
              </w:rPr>
              <w:t>•</w:t>
            </w:r>
          </w:p>
        </w:tc>
        <w:tc>
          <w:tcPr>
            <w:tcW w:w="80" w:type="dxa"/>
            <w:vAlign w:val="bottom"/>
            <w:tcBorders>
              <w:bottom w:val="single" w:sz="8" w:color="auto"/>
            </w:tcBorders>
            <w:shd w:val="clear" w:color="auto" w:fill="B2B2B2"/>
          </w:tcPr>
          <w:p>
            <w:pPr>
              <w:spacing w:after="0"/>
              <w:rPr>
                <w:sz w:val="24"/>
                <w:szCs w:val="24"/>
                <w:color w:val="auto"/>
              </w:rPr>
            </w:pPr>
          </w:p>
        </w:tc>
        <w:tc>
          <w:tcPr>
            <w:tcW w:w="1040" w:type="dxa"/>
            <w:vAlign w:val="bottom"/>
            <w:tcBorders>
              <w:bottom w:val="single" w:sz="8" w:color="auto"/>
            </w:tcBorders>
            <w:shd w:val="clear" w:color="auto" w:fill="B2B2B2"/>
          </w:tcPr>
          <w:p>
            <w:pPr>
              <w:spacing w:after="0"/>
              <w:rPr>
                <w:sz w:val="24"/>
                <w:szCs w:val="24"/>
                <w:color w:val="auto"/>
              </w:rPr>
            </w:pPr>
          </w:p>
        </w:tc>
      </w:tr>
      <w:tr>
        <w:trPr>
          <w:trHeight w:val="318"/>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Ernest E. Maddock</w:t>
            </w:r>
          </w:p>
        </w:tc>
        <w:tc>
          <w:tcPr>
            <w:tcW w:w="64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540" w:type="dxa"/>
            <w:vAlign w:val="bottom"/>
            <w:tcBorders>
              <w:bottom w:val="single" w:sz="8" w:color="auto"/>
            </w:tcBorders>
            <w:shd w:val="clear" w:color="auto" w:fill="B2B2B2"/>
          </w:tcPr>
          <w:p>
            <w:pPr>
              <w:spacing w:after="0"/>
              <w:rPr>
                <w:sz w:val="24"/>
                <w:szCs w:val="24"/>
                <w:color w:val="auto"/>
              </w:rPr>
            </w:pPr>
          </w:p>
        </w:tc>
        <w:tc>
          <w:tcPr>
            <w:tcW w:w="12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700" w:type="dxa"/>
            <w:vAlign w:val="bottom"/>
            <w:tcBorders>
              <w:bottom w:val="single" w:sz="8" w:color="auto"/>
              <w:right w:val="single" w:sz="8" w:color="FEFEFE"/>
            </w:tcBorders>
            <w:shd w:val="clear" w:color="auto" w:fill="B2B2B2"/>
          </w:tcPr>
          <w:p>
            <w:pPr>
              <w:spacing w:after="0"/>
              <w:rPr>
                <w:sz w:val="24"/>
                <w:szCs w:val="24"/>
                <w:color w:val="auto"/>
              </w:rPr>
            </w:pPr>
          </w:p>
        </w:tc>
        <w:tc>
          <w:tcPr>
            <w:tcW w:w="80" w:type="dxa"/>
            <w:vAlign w:val="bottom"/>
            <w:tcBorders>
              <w:bottom w:val="single" w:sz="8" w:color="auto"/>
            </w:tcBorders>
            <w:shd w:val="clear" w:color="auto" w:fill="B2B2B2"/>
          </w:tcPr>
          <w:p>
            <w:pPr>
              <w:spacing w:after="0"/>
              <w:rPr>
                <w:sz w:val="24"/>
                <w:szCs w:val="24"/>
                <w:color w:val="auto"/>
              </w:rPr>
            </w:pPr>
          </w:p>
        </w:tc>
        <w:tc>
          <w:tcPr>
            <w:tcW w:w="1040" w:type="dxa"/>
            <w:vAlign w:val="bottom"/>
            <w:tcBorders>
              <w:bottom w:val="single" w:sz="8" w:color="auto"/>
            </w:tcBorders>
            <w:shd w:val="clear" w:color="auto" w:fill="B2B2B2"/>
          </w:tcPr>
          <w:p>
            <w:pPr>
              <w:spacing w:after="0"/>
              <w:rPr>
                <w:sz w:val="24"/>
                <w:szCs w:val="24"/>
                <w:color w:val="auto"/>
              </w:rPr>
            </w:pPr>
          </w:p>
        </w:tc>
      </w:tr>
      <w:tr>
        <w:trPr>
          <w:trHeight w:val="318"/>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Avid Modjtabai</w:t>
            </w:r>
          </w:p>
        </w:tc>
        <w:tc>
          <w:tcPr>
            <w:tcW w:w="640" w:type="dxa"/>
            <w:vAlign w:val="bottom"/>
            <w:tcBorders>
              <w:bottom w:val="single" w:sz="8" w:color="auto"/>
              <w:right w:val="single" w:sz="8" w:color="FEFEFE"/>
            </w:tcBorders>
            <w:shd w:val="clear" w:color="auto" w:fill="B2B2B2"/>
          </w:tcPr>
          <w:p>
            <w:pPr>
              <w:spacing w:after="0"/>
              <w:rPr>
                <w:sz w:val="24"/>
                <w:szCs w:val="24"/>
                <w:color w:val="auto"/>
              </w:rPr>
            </w:pPr>
          </w:p>
        </w:tc>
        <w:tc>
          <w:tcPr>
            <w:tcW w:w="540" w:type="dxa"/>
            <w:vAlign w:val="bottom"/>
            <w:tcBorders>
              <w:bottom w:val="single" w:sz="8" w:color="auto"/>
            </w:tcBorders>
            <w:shd w:val="clear" w:color="auto" w:fill="B2B2B2"/>
          </w:tcPr>
          <w:p>
            <w:pPr>
              <w:jc w:val="center"/>
              <w:spacing w:after="0"/>
              <w:rPr>
                <w:sz w:val="20"/>
                <w:szCs w:val="20"/>
                <w:color w:val="auto"/>
              </w:rPr>
            </w:pPr>
            <w:r>
              <w:rPr>
                <w:rFonts w:ascii="Arial" w:cs="Arial" w:eastAsia="Arial" w:hAnsi="Arial"/>
                <w:sz w:val="25"/>
                <w:szCs w:val="25"/>
                <w:color w:val="56C271"/>
                <w:w w:val="90"/>
              </w:rPr>
              <w:t>•</w:t>
            </w:r>
          </w:p>
        </w:tc>
        <w:tc>
          <w:tcPr>
            <w:tcW w:w="12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18"/>
                <w:szCs w:val="18"/>
                <w:color w:val="auto"/>
                <w:w w:val="97"/>
              </w:rPr>
              <w:t>Chair</w:t>
            </w:r>
          </w:p>
        </w:tc>
        <w:tc>
          <w:tcPr>
            <w:tcW w:w="660" w:type="dxa"/>
            <w:vAlign w:val="bottom"/>
            <w:tcBorders>
              <w:bottom w:val="single" w:sz="8" w:color="auto"/>
              <w:right w:val="single" w:sz="8" w:color="FEFEFE"/>
            </w:tcBorders>
            <w:shd w:val="clear" w:color="auto" w:fill="B2B2B2"/>
          </w:tcPr>
          <w:p>
            <w:pPr>
              <w:spacing w:after="0"/>
              <w:rPr>
                <w:sz w:val="24"/>
                <w:szCs w:val="24"/>
                <w:color w:val="auto"/>
              </w:rPr>
            </w:pPr>
          </w:p>
        </w:tc>
        <w:tc>
          <w:tcPr>
            <w:tcW w:w="70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w w:val="90"/>
              </w:rPr>
              <w:t>•</w:t>
            </w:r>
          </w:p>
        </w:tc>
        <w:tc>
          <w:tcPr>
            <w:tcW w:w="80" w:type="dxa"/>
            <w:vAlign w:val="bottom"/>
            <w:tcBorders>
              <w:bottom w:val="single" w:sz="8" w:color="auto"/>
            </w:tcBorders>
            <w:shd w:val="clear" w:color="auto" w:fill="B2B2B2"/>
          </w:tcPr>
          <w:p>
            <w:pPr>
              <w:spacing w:after="0"/>
              <w:rPr>
                <w:sz w:val="24"/>
                <w:szCs w:val="24"/>
                <w:color w:val="auto"/>
              </w:rPr>
            </w:pPr>
          </w:p>
        </w:tc>
        <w:tc>
          <w:tcPr>
            <w:tcW w:w="1040" w:type="dxa"/>
            <w:vAlign w:val="bottom"/>
            <w:tcBorders>
              <w:bottom w:val="single" w:sz="8" w:color="auto"/>
            </w:tcBorders>
            <w:shd w:val="clear" w:color="auto" w:fill="B2B2B2"/>
          </w:tcPr>
          <w:p>
            <w:pPr>
              <w:spacing w:after="0"/>
              <w:rPr>
                <w:sz w:val="24"/>
                <w:szCs w:val="24"/>
                <w:color w:val="auto"/>
              </w:rPr>
            </w:pPr>
          </w:p>
        </w:tc>
      </w:tr>
      <w:tr>
        <w:trPr>
          <w:trHeight w:val="317"/>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Adalio T. Sanchez</w:t>
            </w:r>
          </w:p>
        </w:tc>
        <w:tc>
          <w:tcPr>
            <w:tcW w:w="640" w:type="dxa"/>
            <w:vAlign w:val="bottom"/>
            <w:tcBorders>
              <w:bottom w:val="single" w:sz="8" w:color="auto"/>
              <w:right w:val="single" w:sz="8" w:color="FEFEFE"/>
            </w:tcBorders>
            <w:shd w:val="clear" w:color="auto" w:fill="B2B2B2"/>
          </w:tcPr>
          <w:p>
            <w:pPr>
              <w:spacing w:after="0"/>
              <w:rPr>
                <w:sz w:val="24"/>
                <w:szCs w:val="24"/>
                <w:color w:val="auto"/>
              </w:rPr>
            </w:pPr>
          </w:p>
        </w:tc>
        <w:tc>
          <w:tcPr>
            <w:tcW w:w="540" w:type="dxa"/>
            <w:vAlign w:val="bottom"/>
            <w:tcBorders>
              <w:bottom w:val="single" w:sz="8" w:color="auto"/>
            </w:tcBorders>
            <w:shd w:val="clear" w:color="auto" w:fill="B2B2B2"/>
          </w:tcPr>
          <w:p>
            <w:pPr>
              <w:jc w:val="center"/>
              <w:spacing w:after="0"/>
              <w:rPr>
                <w:sz w:val="20"/>
                <w:szCs w:val="20"/>
                <w:color w:val="auto"/>
              </w:rPr>
            </w:pPr>
            <w:r>
              <w:rPr>
                <w:rFonts w:ascii="Arial" w:cs="Arial" w:eastAsia="Arial" w:hAnsi="Arial"/>
                <w:sz w:val="25"/>
                <w:szCs w:val="25"/>
                <w:color w:val="56C271"/>
                <w:w w:val="90"/>
              </w:rPr>
              <w:t>•</w:t>
            </w:r>
          </w:p>
        </w:tc>
        <w:tc>
          <w:tcPr>
            <w:tcW w:w="120" w:type="dxa"/>
            <w:vAlign w:val="bottom"/>
            <w:tcBorders>
              <w:bottom w:val="single" w:sz="8" w:color="auto"/>
              <w:right w:val="single" w:sz="8" w:color="FEFEFE"/>
            </w:tcBorders>
            <w:shd w:val="clear" w:color="auto" w:fill="B2B2B2"/>
          </w:tcPr>
          <w:p>
            <w:pPr>
              <w:spacing w:after="0"/>
              <w:rPr>
                <w:sz w:val="24"/>
                <w:szCs w:val="24"/>
                <w:color w:val="auto"/>
              </w:rPr>
            </w:pPr>
          </w:p>
        </w:tc>
        <w:tc>
          <w:tcPr>
            <w:tcW w:w="660" w:type="dxa"/>
            <w:vAlign w:val="bottom"/>
            <w:tcBorders>
              <w:bottom w:val="single" w:sz="8" w:color="auto"/>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w w:val="90"/>
              </w:rPr>
              <w:t>•</w:t>
            </w:r>
          </w:p>
        </w:tc>
        <w:tc>
          <w:tcPr>
            <w:tcW w:w="660" w:type="dxa"/>
            <w:vAlign w:val="bottom"/>
            <w:tcBorders>
              <w:bottom w:val="single" w:sz="8" w:color="auto"/>
              <w:right w:val="single" w:sz="8" w:color="FEFEFE"/>
            </w:tcBorders>
            <w:shd w:val="clear" w:color="auto" w:fill="B2B2B2"/>
          </w:tcPr>
          <w:p>
            <w:pPr>
              <w:spacing w:after="0"/>
              <w:rPr>
                <w:sz w:val="24"/>
                <w:szCs w:val="24"/>
                <w:color w:val="auto"/>
              </w:rPr>
            </w:pPr>
          </w:p>
        </w:tc>
        <w:tc>
          <w:tcPr>
            <w:tcW w:w="700" w:type="dxa"/>
            <w:vAlign w:val="bottom"/>
            <w:tcBorders>
              <w:bottom w:val="single" w:sz="8" w:color="auto"/>
              <w:right w:val="single" w:sz="8" w:color="FEFEFE"/>
            </w:tcBorders>
            <w:shd w:val="clear" w:color="auto" w:fill="B2B2B2"/>
          </w:tcPr>
          <w:p>
            <w:pPr>
              <w:spacing w:after="0"/>
              <w:rPr>
                <w:sz w:val="24"/>
                <w:szCs w:val="24"/>
                <w:color w:val="auto"/>
              </w:rPr>
            </w:pPr>
          </w:p>
        </w:tc>
        <w:tc>
          <w:tcPr>
            <w:tcW w:w="80" w:type="dxa"/>
            <w:vAlign w:val="bottom"/>
            <w:tcBorders>
              <w:bottom w:val="single" w:sz="8" w:color="auto"/>
            </w:tcBorders>
            <w:shd w:val="clear" w:color="auto" w:fill="B2B2B2"/>
          </w:tcPr>
          <w:p>
            <w:pPr>
              <w:spacing w:after="0"/>
              <w:rPr>
                <w:sz w:val="24"/>
                <w:szCs w:val="24"/>
                <w:color w:val="auto"/>
              </w:rPr>
            </w:pPr>
          </w:p>
        </w:tc>
        <w:tc>
          <w:tcPr>
            <w:tcW w:w="1040" w:type="dxa"/>
            <w:vAlign w:val="bottom"/>
            <w:tcBorders>
              <w:bottom w:val="single" w:sz="8" w:color="auto"/>
            </w:tcBorders>
            <w:shd w:val="clear" w:color="auto" w:fill="B2B2B2"/>
          </w:tcPr>
          <w:p>
            <w:pPr>
              <w:spacing w:after="0"/>
              <w:rPr>
                <w:sz w:val="24"/>
                <w:szCs w:val="24"/>
                <w:color w:val="auto"/>
              </w:rPr>
            </w:pPr>
          </w:p>
        </w:tc>
      </w:tr>
      <w:tr>
        <w:trPr>
          <w:trHeight w:val="352"/>
        </w:trPr>
        <w:tc>
          <w:tcPr>
            <w:tcW w:w="2860" w:type="dxa"/>
            <w:vAlign w:val="bottom"/>
            <w:tcBorders>
              <w:bottom w:val="single" w:sz="8" w:color="56C271"/>
            </w:tcBorders>
          </w:tcPr>
          <w:p>
            <w:pPr>
              <w:ind w:left="60"/>
              <w:spacing w:after="0"/>
              <w:rPr>
                <w:sz w:val="20"/>
                <w:szCs w:val="20"/>
                <w:color w:val="auto"/>
              </w:rPr>
            </w:pPr>
            <w:r>
              <w:rPr>
                <w:rFonts w:ascii="Arial" w:cs="Arial" w:eastAsia="Arial" w:hAnsi="Arial"/>
                <w:sz w:val="16"/>
                <w:szCs w:val="16"/>
                <w:b w:val="1"/>
                <w:bCs w:val="1"/>
                <w:color w:val="auto"/>
              </w:rPr>
              <w:t>William H. Schumann, III</w:t>
            </w:r>
          </w:p>
        </w:tc>
        <w:tc>
          <w:tcPr>
            <w:tcW w:w="640" w:type="dxa"/>
            <w:vAlign w:val="bottom"/>
            <w:tcBorders>
              <w:bottom w:val="single" w:sz="8" w:color="56C271"/>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rPr>
              <w:t>•</w:t>
            </w:r>
          </w:p>
        </w:tc>
        <w:tc>
          <w:tcPr>
            <w:tcW w:w="540" w:type="dxa"/>
            <w:vAlign w:val="bottom"/>
            <w:tcBorders>
              <w:bottom w:val="single" w:sz="8" w:color="56C271"/>
            </w:tcBorders>
            <w:shd w:val="clear" w:color="auto" w:fill="B2B2B2"/>
          </w:tcPr>
          <w:p>
            <w:pPr>
              <w:spacing w:after="0"/>
              <w:rPr>
                <w:sz w:val="24"/>
                <w:szCs w:val="24"/>
                <w:color w:val="auto"/>
              </w:rPr>
            </w:pPr>
          </w:p>
        </w:tc>
        <w:tc>
          <w:tcPr>
            <w:tcW w:w="120" w:type="dxa"/>
            <w:vAlign w:val="bottom"/>
            <w:tcBorders>
              <w:bottom w:val="single" w:sz="8" w:color="56C271"/>
              <w:right w:val="single" w:sz="8" w:color="FEFEFE"/>
            </w:tcBorders>
            <w:shd w:val="clear" w:color="auto" w:fill="B2B2B2"/>
          </w:tcPr>
          <w:p>
            <w:pPr>
              <w:spacing w:after="0"/>
              <w:rPr>
                <w:sz w:val="24"/>
                <w:szCs w:val="24"/>
                <w:color w:val="auto"/>
              </w:rPr>
            </w:pPr>
          </w:p>
        </w:tc>
        <w:tc>
          <w:tcPr>
            <w:tcW w:w="660" w:type="dxa"/>
            <w:vAlign w:val="bottom"/>
            <w:tcBorders>
              <w:bottom w:val="single" w:sz="8" w:color="56C271"/>
              <w:right w:val="single" w:sz="8" w:color="FEFEFE"/>
            </w:tcBorders>
            <w:shd w:val="clear" w:color="auto" w:fill="B2B2B2"/>
          </w:tcPr>
          <w:p>
            <w:pPr>
              <w:spacing w:after="0"/>
              <w:rPr>
                <w:sz w:val="24"/>
                <w:szCs w:val="24"/>
                <w:color w:val="auto"/>
              </w:rPr>
            </w:pPr>
          </w:p>
        </w:tc>
        <w:tc>
          <w:tcPr>
            <w:tcW w:w="660" w:type="dxa"/>
            <w:vAlign w:val="bottom"/>
            <w:tcBorders>
              <w:bottom w:val="single" w:sz="8" w:color="56C271"/>
              <w:right w:val="single" w:sz="8" w:color="FEFEFE"/>
            </w:tcBorders>
            <w:shd w:val="clear" w:color="auto" w:fill="B2B2B2"/>
          </w:tcPr>
          <w:p>
            <w:pPr>
              <w:jc w:val="center"/>
              <w:spacing w:after="0"/>
              <w:rPr>
                <w:sz w:val="20"/>
                <w:szCs w:val="20"/>
                <w:color w:val="auto"/>
              </w:rPr>
            </w:pPr>
            <w:r>
              <w:rPr>
                <w:rFonts w:ascii="Arial" w:cs="Arial" w:eastAsia="Arial" w:hAnsi="Arial"/>
                <w:sz w:val="18"/>
                <w:szCs w:val="18"/>
                <w:color w:val="auto"/>
                <w:w w:val="97"/>
              </w:rPr>
              <w:t>Chair</w:t>
            </w:r>
          </w:p>
        </w:tc>
        <w:tc>
          <w:tcPr>
            <w:tcW w:w="700" w:type="dxa"/>
            <w:vAlign w:val="bottom"/>
            <w:tcBorders>
              <w:bottom w:val="single" w:sz="8" w:color="56C271"/>
              <w:right w:val="single" w:sz="8" w:color="FEFEFE"/>
            </w:tcBorders>
            <w:shd w:val="clear" w:color="auto" w:fill="B2B2B2"/>
          </w:tcPr>
          <w:p>
            <w:pPr>
              <w:jc w:val="center"/>
              <w:spacing w:after="0"/>
              <w:rPr>
                <w:sz w:val="20"/>
                <w:szCs w:val="20"/>
                <w:color w:val="auto"/>
              </w:rPr>
            </w:pPr>
            <w:r>
              <w:rPr>
                <w:rFonts w:ascii="Arial" w:cs="Arial" w:eastAsia="Arial" w:hAnsi="Arial"/>
                <w:sz w:val="25"/>
                <w:szCs w:val="25"/>
                <w:color w:val="56C271"/>
                <w:w w:val="90"/>
              </w:rPr>
              <w:t>•</w:t>
            </w:r>
          </w:p>
        </w:tc>
        <w:tc>
          <w:tcPr>
            <w:tcW w:w="80" w:type="dxa"/>
            <w:vAlign w:val="bottom"/>
            <w:tcBorders>
              <w:bottom w:val="single" w:sz="8" w:color="56C271"/>
            </w:tcBorders>
            <w:shd w:val="clear" w:color="auto" w:fill="B2B2B2"/>
          </w:tcPr>
          <w:p>
            <w:pPr>
              <w:spacing w:after="0"/>
              <w:rPr>
                <w:sz w:val="24"/>
                <w:szCs w:val="24"/>
                <w:color w:val="auto"/>
              </w:rPr>
            </w:pPr>
          </w:p>
        </w:tc>
        <w:tc>
          <w:tcPr>
            <w:tcW w:w="1040" w:type="dxa"/>
            <w:vAlign w:val="bottom"/>
            <w:tcBorders>
              <w:bottom w:val="single" w:sz="8" w:color="56C271"/>
            </w:tcBorders>
            <w:shd w:val="clear" w:color="auto" w:fill="B2B2B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-2348230</wp:posOffset>
            </wp:positionV>
            <wp:extent cx="12827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-2134235</wp:posOffset>
            </wp:positionV>
            <wp:extent cx="12827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-1919605</wp:posOffset>
            </wp:positionV>
            <wp:extent cx="12827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-1705610</wp:posOffset>
            </wp:positionV>
            <wp:extent cx="12827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-1490980</wp:posOffset>
            </wp:positionV>
            <wp:extent cx="12827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-1276985</wp:posOffset>
            </wp:positionV>
            <wp:extent cx="12827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-1062355</wp:posOffset>
            </wp:positionV>
            <wp:extent cx="12827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-848360</wp:posOffset>
            </wp:positionV>
            <wp:extent cx="12827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-633730</wp:posOffset>
            </wp:positionV>
            <wp:extent cx="12827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-419735</wp:posOffset>
            </wp:positionV>
            <wp:extent cx="12827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-196850</wp:posOffset>
            </wp:positionV>
            <wp:extent cx="12827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75" w:lineRule="exact"/>
        <w:rPr>
          <w:sz w:val="20"/>
          <w:szCs w:val="20"/>
          <w:color w:val="auto"/>
        </w:rPr>
      </w:pPr>
    </w:p>
    <w:p>
      <w:pPr>
        <w:ind w:left="1720"/>
        <w:spacing w:after="0"/>
        <w:tabs>
          <w:tab w:leader="none" w:pos="3100" w:val="left"/>
          <w:tab w:leader="none" w:pos="7000" w:val="left"/>
        </w:tabs>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Audit Committee</w:t>
      </w:r>
      <w:r>
        <w:rPr>
          <w:rFonts w:ascii="Arial" w:cs="Arial" w:eastAsia="Arial" w:hAnsi="Arial"/>
          <w:sz w:val="14"/>
          <w:szCs w:val="14"/>
          <w:b w:val="1"/>
          <w:bCs w:val="1"/>
          <w:color w:val="auto"/>
        </w:rPr>
        <w:tab/>
        <w:t xml:space="preserve">C: </w:t>
      </w:r>
      <w:r>
        <w:rPr>
          <w:rFonts w:ascii="Arial" w:cs="Arial" w:eastAsia="Arial" w:hAnsi="Arial"/>
          <w:sz w:val="14"/>
          <w:szCs w:val="14"/>
          <w:color w:val="auto"/>
        </w:rPr>
        <w:t>Compensation and Leadership Development Committee</w:t>
      </w:r>
      <w:r>
        <w:rPr>
          <w:rFonts w:ascii="Arial" w:cs="Arial" w:eastAsia="Arial" w:hAnsi="Arial"/>
          <w:sz w:val="14"/>
          <w:szCs w:val="14"/>
          <w:b w:val="1"/>
          <w:bCs w:val="1"/>
          <w:color w:val="auto"/>
        </w:rPr>
        <w:tab/>
        <w:t xml:space="preserve">CG: </w:t>
      </w:r>
      <w:r>
        <w:rPr>
          <w:rFonts w:ascii="Arial" w:cs="Arial" w:eastAsia="Arial" w:hAnsi="Arial"/>
          <w:sz w:val="14"/>
          <w:szCs w:val="14"/>
          <w:color w:val="auto"/>
        </w:rPr>
        <w:t>Corporate Governance Committee</w:t>
      </w:r>
    </w:p>
    <w:p>
      <w:pPr>
        <w:spacing w:after="0" w:line="29" w:lineRule="exact"/>
        <w:rPr>
          <w:sz w:val="20"/>
          <w:szCs w:val="20"/>
          <w:color w:val="auto"/>
        </w:rPr>
      </w:pPr>
    </w:p>
    <w:p>
      <w:pPr>
        <w:ind w:left="1720"/>
        <w:spacing w:after="0"/>
        <w:tabs>
          <w:tab w:leader="none" w:pos="3380" w:val="left"/>
        </w:tabs>
        <w:rPr>
          <w:sz w:val="20"/>
          <w:szCs w:val="20"/>
          <w:color w:val="auto"/>
        </w:rPr>
      </w:pPr>
      <w:r>
        <w:rPr>
          <w:rFonts w:ascii="Arial" w:cs="Arial" w:eastAsia="Arial" w:hAnsi="Arial"/>
          <w:sz w:val="14"/>
          <w:szCs w:val="14"/>
          <w:b w:val="1"/>
          <w:bCs w:val="1"/>
          <w:color w:val="auto"/>
        </w:rPr>
        <w:t xml:space="preserve">E: </w:t>
      </w:r>
      <w:r>
        <w:rPr>
          <w:rFonts w:ascii="Arial" w:cs="Arial" w:eastAsia="Arial" w:hAnsi="Arial"/>
          <w:sz w:val="14"/>
          <w:szCs w:val="14"/>
          <w:color w:val="auto"/>
        </w:rPr>
        <w:t>Executive Committee</w:t>
      </w:r>
      <w:r>
        <w:rPr>
          <w:rFonts w:ascii="Arial" w:cs="Arial" w:eastAsia="Arial" w:hAnsi="Arial"/>
          <w:sz w:val="14"/>
          <w:szCs w:val="14"/>
          <w:b w:val="1"/>
          <w:bCs w:val="1"/>
          <w:color w:val="auto"/>
        </w:rPr>
        <w:tab/>
        <w:t xml:space="preserve">F: </w:t>
      </w:r>
      <w:r>
        <w:rPr>
          <w:rFonts w:ascii="Arial" w:cs="Arial" w:eastAsia="Arial" w:hAnsi="Arial"/>
          <w:sz w:val="14"/>
          <w:szCs w:val="14"/>
          <w:color w:val="auto"/>
        </w:rPr>
        <w:t>Finance Committee</w:t>
      </w:r>
    </w:p>
    <w:p>
      <w:pPr>
        <w:spacing w:after="0" w:line="58" w:lineRule="exact"/>
        <w:rPr>
          <w:sz w:val="20"/>
          <w:szCs w:val="20"/>
          <w:color w:val="auto"/>
        </w:rPr>
      </w:pPr>
    </w:p>
    <w:p>
      <w:pPr>
        <w:ind w:left="1780" w:hanging="70"/>
        <w:spacing w:after="0"/>
        <w:tabs>
          <w:tab w:leader="none" w:pos="1780" w:val="left"/>
        </w:tabs>
        <w:numPr>
          <w:ilvl w:val="0"/>
          <w:numId w:val="30"/>
        </w:numPr>
        <w:rPr>
          <w:rFonts w:ascii="Arial" w:cs="Arial" w:eastAsia="Arial" w:hAnsi="Arial"/>
          <w:sz w:val="14"/>
          <w:szCs w:val="14"/>
          <w:color w:val="56C271"/>
        </w:rPr>
      </w:pPr>
      <w:r>
        <w:rPr>
          <w:rFonts w:ascii="Arial" w:cs="Arial" w:eastAsia="Arial" w:hAnsi="Arial"/>
          <w:sz w:val="14"/>
          <w:szCs w:val="14"/>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4545965</wp:posOffset>
            </wp:positionH>
            <wp:positionV relativeFrom="paragraph">
              <wp:posOffset>400685</wp:posOffset>
            </wp:positionV>
            <wp:extent cx="1482725" cy="291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285115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The Board of Directors and its Committees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168910</wp:posOffset>
            </wp:positionV>
            <wp:extent cx="55549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1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AUDIT COMMITTEE</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Rodney C. Adkins</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Michael A. Bradley</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Brenda L. Freeman</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Ernest E. Maddock</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William H. Schumann, III</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Meetings in fiscal 2021: 7</w:t>
      </w:r>
    </w:p>
    <w:p>
      <w:pPr>
        <w:spacing w:after="0" w:line="113" w:lineRule="exact"/>
        <w:rPr>
          <w:sz w:val="20"/>
          <w:szCs w:val="20"/>
          <w:color w:val="auto"/>
        </w:rPr>
      </w:pPr>
    </w:p>
    <w:p>
      <w:pPr>
        <w:ind w:left="1100" w:right="73"/>
        <w:spacing w:after="0" w:line="259" w:lineRule="auto"/>
        <w:rPr>
          <w:sz w:val="20"/>
          <w:szCs w:val="20"/>
          <w:color w:val="auto"/>
        </w:rPr>
      </w:pPr>
      <w:r>
        <w:rPr>
          <w:rFonts w:ascii="Arial" w:cs="Arial" w:eastAsia="Arial" w:hAnsi="Arial"/>
          <w:sz w:val="16"/>
          <w:szCs w:val="16"/>
          <w:b w:val="1"/>
          <w:bCs w:val="1"/>
          <w:color w:val="auto"/>
        </w:rPr>
        <w:t>Audit Committee Financial Experts:</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Michael A. Bradley</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Ernest E. Maddock</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William H. Schumann,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-139065</wp:posOffset>
            </wp:positionV>
            <wp:extent cx="5554980" cy="25292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54980" cy="2529205"/>
                    </a:xfrm>
                    <a:prstGeom prst="rect">
                      <a:avLst/>
                    </a:prstGeom>
                    <a:noFill/>
                  </pic:spPr>
                </pic:pic>
              </a:graphicData>
            </a:graphic>
          </wp:anchor>
        </w:drawing>
      </w:r>
    </w:p>
    <w:p>
      <w:pPr>
        <w:spacing w:after="0" w:line="140"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Audit Committee is charged with:</w:t>
      </w:r>
    </w:p>
    <w:p>
      <w:pPr>
        <w:spacing w:after="0" w:line="19" w:lineRule="exact"/>
        <w:rPr>
          <w:sz w:val="20"/>
          <w:szCs w:val="20"/>
          <w:color w:val="auto"/>
        </w:rPr>
      </w:pPr>
    </w:p>
    <w:p>
      <w:pPr>
        <w:ind w:left="267" w:right="559" w:hanging="267"/>
        <w:spacing w:after="0" w:line="260" w:lineRule="auto"/>
        <w:tabs>
          <w:tab w:leader="none" w:pos="267" w:val="left"/>
        </w:tabs>
        <w:numPr>
          <w:ilvl w:val="0"/>
          <w:numId w:val="31"/>
        </w:numPr>
        <w:rPr>
          <w:rFonts w:ascii="Arial" w:cs="Arial" w:eastAsia="Arial" w:hAnsi="Arial"/>
          <w:sz w:val="16"/>
          <w:szCs w:val="16"/>
          <w:color w:val="56C271"/>
        </w:rPr>
      </w:pPr>
      <w:r>
        <w:rPr>
          <w:rFonts w:ascii="Arial" w:cs="Arial" w:eastAsia="Arial" w:hAnsi="Arial"/>
          <w:sz w:val="16"/>
          <w:szCs w:val="16"/>
          <w:color w:val="auto"/>
        </w:rPr>
        <w:t>Assisting and representing the Board of Directors in fulfilling its oversight responsibilities with respect to:</w:t>
      </w:r>
    </w:p>
    <w:p>
      <w:pPr>
        <w:spacing w:after="0" w:line="6" w:lineRule="exact"/>
        <w:rPr>
          <w:rFonts w:ascii="Arial" w:cs="Arial" w:eastAsia="Arial" w:hAnsi="Arial"/>
          <w:sz w:val="16"/>
          <w:szCs w:val="16"/>
          <w:color w:val="56C271"/>
        </w:rPr>
      </w:pPr>
    </w:p>
    <w:p>
      <w:pPr>
        <w:ind w:left="427" w:hanging="265"/>
        <w:spacing w:after="0"/>
        <w:tabs>
          <w:tab w:leader="none" w:pos="427" w:val="left"/>
        </w:tabs>
        <w:numPr>
          <w:ilvl w:val="1"/>
          <w:numId w:val="31"/>
        </w:numPr>
        <w:rPr>
          <w:rFonts w:ascii="Arial" w:cs="Arial" w:eastAsia="Arial" w:hAnsi="Arial"/>
          <w:sz w:val="16"/>
          <w:szCs w:val="16"/>
          <w:color w:val="56C271"/>
        </w:rPr>
      </w:pPr>
      <w:r>
        <w:rPr>
          <w:rFonts w:ascii="Arial" w:cs="Arial" w:eastAsia="Arial" w:hAnsi="Arial"/>
          <w:sz w:val="16"/>
          <w:szCs w:val="16"/>
          <w:color w:val="auto"/>
        </w:rPr>
        <w:t>The integrity of the financial statements of the Company;</w:t>
      </w:r>
    </w:p>
    <w:p>
      <w:pPr>
        <w:spacing w:after="0" w:line="18" w:lineRule="exact"/>
        <w:rPr>
          <w:rFonts w:ascii="Arial" w:cs="Arial" w:eastAsia="Arial" w:hAnsi="Arial"/>
          <w:sz w:val="16"/>
          <w:szCs w:val="16"/>
          <w:color w:val="56C271"/>
        </w:rPr>
      </w:pPr>
    </w:p>
    <w:p>
      <w:pPr>
        <w:ind w:left="427" w:right="639" w:hanging="265"/>
        <w:spacing w:after="0" w:line="255" w:lineRule="auto"/>
        <w:tabs>
          <w:tab w:leader="none" w:pos="427" w:val="left"/>
        </w:tabs>
        <w:numPr>
          <w:ilvl w:val="1"/>
          <w:numId w:val="31"/>
        </w:numPr>
        <w:rPr>
          <w:rFonts w:ascii="Arial" w:cs="Arial" w:eastAsia="Arial" w:hAnsi="Arial"/>
          <w:sz w:val="16"/>
          <w:szCs w:val="16"/>
          <w:color w:val="56C271"/>
        </w:rPr>
      </w:pPr>
      <w:r>
        <w:rPr>
          <w:rFonts w:ascii="Arial" w:cs="Arial" w:eastAsia="Arial" w:hAnsi="Arial"/>
          <w:sz w:val="16"/>
          <w:szCs w:val="16"/>
          <w:color w:val="auto"/>
        </w:rPr>
        <w:t>The independence, qualifications and performance of the Company’s independent external auditors;</w:t>
      </w:r>
    </w:p>
    <w:p>
      <w:pPr>
        <w:ind w:left="427" w:hanging="265"/>
        <w:spacing w:after="0"/>
        <w:tabs>
          <w:tab w:leader="none" w:pos="427" w:val="left"/>
        </w:tabs>
        <w:numPr>
          <w:ilvl w:val="1"/>
          <w:numId w:val="31"/>
        </w:numPr>
        <w:rPr>
          <w:rFonts w:ascii="Arial" w:cs="Arial" w:eastAsia="Arial" w:hAnsi="Arial"/>
          <w:sz w:val="16"/>
          <w:szCs w:val="16"/>
          <w:color w:val="56C271"/>
        </w:rPr>
      </w:pPr>
      <w:r>
        <w:rPr>
          <w:rFonts w:ascii="Arial" w:cs="Arial" w:eastAsia="Arial" w:hAnsi="Arial"/>
          <w:sz w:val="16"/>
          <w:szCs w:val="16"/>
          <w:color w:val="auto"/>
        </w:rPr>
        <w:t>The performance of the Company’s internal audit function;</w:t>
      </w:r>
    </w:p>
    <w:p>
      <w:pPr>
        <w:spacing w:after="0" w:line="18" w:lineRule="exact"/>
        <w:rPr>
          <w:rFonts w:ascii="Arial" w:cs="Arial" w:eastAsia="Arial" w:hAnsi="Arial"/>
          <w:sz w:val="16"/>
          <w:szCs w:val="16"/>
          <w:color w:val="56C271"/>
        </w:rPr>
      </w:pPr>
    </w:p>
    <w:p>
      <w:pPr>
        <w:ind w:left="427" w:hanging="265"/>
        <w:spacing w:after="0"/>
        <w:tabs>
          <w:tab w:leader="none" w:pos="427" w:val="left"/>
        </w:tabs>
        <w:numPr>
          <w:ilvl w:val="1"/>
          <w:numId w:val="31"/>
        </w:numPr>
        <w:rPr>
          <w:rFonts w:ascii="Arial" w:cs="Arial" w:eastAsia="Arial" w:hAnsi="Arial"/>
          <w:sz w:val="16"/>
          <w:szCs w:val="16"/>
          <w:color w:val="56C271"/>
        </w:rPr>
      </w:pPr>
      <w:r>
        <w:rPr>
          <w:rFonts w:ascii="Arial" w:cs="Arial" w:eastAsia="Arial" w:hAnsi="Arial"/>
          <w:sz w:val="16"/>
          <w:szCs w:val="16"/>
          <w:color w:val="auto"/>
        </w:rPr>
        <w:t>Compliance with legal and regulatory requirements; and</w:t>
      </w:r>
    </w:p>
    <w:p>
      <w:pPr>
        <w:spacing w:after="0" w:line="18" w:lineRule="exact"/>
        <w:rPr>
          <w:rFonts w:ascii="Arial" w:cs="Arial" w:eastAsia="Arial" w:hAnsi="Arial"/>
          <w:sz w:val="16"/>
          <w:szCs w:val="16"/>
          <w:color w:val="56C271"/>
        </w:rPr>
      </w:pPr>
    </w:p>
    <w:p>
      <w:pPr>
        <w:ind w:left="427" w:right="339" w:hanging="265"/>
        <w:spacing w:after="0" w:line="260" w:lineRule="auto"/>
        <w:tabs>
          <w:tab w:leader="none" w:pos="427" w:val="left"/>
        </w:tabs>
        <w:numPr>
          <w:ilvl w:val="1"/>
          <w:numId w:val="31"/>
        </w:numPr>
        <w:rPr>
          <w:rFonts w:ascii="Arial" w:cs="Arial" w:eastAsia="Arial" w:hAnsi="Arial"/>
          <w:sz w:val="16"/>
          <w:szCs w:val="16"/>
          <w:color w:val="56C271"/>
        </w:rPr>
      </w:pPr>
      <w:r>
        <w:rPr>
          <w:rFonts w:ascii="Arial" w:cs="Arial" w:eastAsia="Arial" w:hAnsi="Arial"/>
          <w:sz w:val="16"/>
          <w:szCs w:val="16"/>
          <w:color w:val="auto"/>
        </w:rPr>
        <w:t>Internal ethics and compliance program, enterprise risk management and cybersecurity.</w:t>
      </w:r>
    </w:p>
    <w:p>
      <w:pPr>
        <w:spacing w:after="0" w:line="19" w:lineRule="exact"/>
        <w:rPr>
          <w:rFonts w:ascii="Arial" w:cs="Arial" w:eastAsia="Arial" w:hAnsi="Arial"/>
          <w:sz w:val="16"/>
          <w:szCs w:val="16"/>
          <w:color w:val="56C271"/>
        </w:rPr>
      </w:pPr>
    </w:p>
    <w:p>
      <w:pPr>
        <w:ind w:left="267" w:right="539" w:hanging="267"/>
        <w:spacing w:after="0" w:line="260" w:lineRule="auto"/>
        <w:tabs>
          <w:tab w:leader="none" w:pos="267" w:val="left"/>
        </w:tabs>
        <w:numPr>
          <w:ilvl w:val="0"/>
          <w:numId w:val="31"/>
        </w:numPr>
        <w:rPr>
          <w:rFonts w:ascii="Arial" w:cs="Arial" w:eastAsia="Arial" w:hAnsi="Arial"/>
          <w:sz w:val="16"/>
          <w:szCs w:val="16"/>
          <w:color w:val="56C271"/>
        </w:rPr>
      </w:pPr>
      <w:r>
        <w:rPr>
          <w:rFonts w:ascii="Arial" w:cs="Arial" w:eastAsia="Arial" w:hAnsi="Arial"/>
          <w:sz w:val="16"/>
          <w:szCs w:val="16"/>
          <w:color w:val="auto"/>
        </w:rPr>
        <w:t>Appointing, compensating, retaining and oversighting of the independent registered public accounting firm.</w:t>
      </w:r>
    </w:p>
    <w:p>
      <w:pPr>
        <w:spacing w:after="0" w:line="6" w:lineRule="exact"/>
        <w:rPr>
          <w:rFonts w:ascii="Arial" w:cs="Arial" w:eastAsia="Arial" w:hAnsi="Arial"/>
          <w:sz w:val="16"/>
          <w:szCs w:val="16"/>
          <w:color w:val="56C271"/>
        </w:rPr>
      </w:pPr>
    </w:p>
    <w:p>
      <w:pPr>
        <w:ind w:left="267" w:right="379" w:hanging="267"/>
        <w:spacing w:after="0" w:line="253" w:lineRule="auto"/>
        <w:tabs>
          <w:tab w:leader="none" w:pos="267" w:val="left"/>
        </w:tabs>
        <w:numPr>
          <w:ilvl w:val="0"/>
          <w:numId w:val="31"/>
        </w:numPr>
        <w:rPr>
          <w:rFonts w:ascii="Arial" w:cs="Arial" w:eastAsia="Arial" w:hAnsi="Arial"/>
          <w:sz w:val="16"/>
          <w:szCs w:val="16"/>
          <w:color w:val="56C271"/>
        </w:rPr>
      </w:pPr>
      <w:r>
        <w:rPr>
          <w:rFonts w:ascii="Arial" w:cs="Arial" w:eastAsia="Arial" w:hAnsi="Arial"/>
          <w:sz w:val="16"/>
          <w:szCs w:val="16"/>
          <w:color w:val="auto"/>
        </w:rPr>
        <w:t>Reviewing and approving transactions with any related person in which the Company is a participant and involves an amount that equals or exceeds $120,000 per year.</w:t>
      </w:r>
    </w:p>
    <w:p>
      <w:pPr>
        <w:spacing w:after="0" w:line="120" w:lineRule="exact"/>
        <w:rPr>
          <w:sz w:val="20"/>
          <w:szCs w:val="20"/>
          <w:color w:val="auto"/>
        </w:rPr>
      </w:pPr>
    </w:p>
    <w:p>
      <w:pPr>
        <w:ind w:left="7" w:right="459"/>
        <w:spacing w:after="0" w:line="260" w:lineRule="auto"/>
        <w:rPr>
          <w:sz w:val="20"/>
          <w:szCs w:val="20"/>
          <w:color w:val="auto"/>
        </w:rPr>
      </w:pPr>
      <w:r>
        <w:rPr>
          <w:rFonts w:ascii="Arial" w:cs="Arial" w:eastAsia="Arial" w:hAnsi="Arial"/>
          <w:sz w:val="16"/>
          <w:szCs w:val="16"/>
          <w:color w:val="auto"/>
        </w:rPr>
        <w:t>Please see the Audit Committee Report set forth elsewhere in this Proxy Statement for more information about the Audit Committee and its operations.</w:t>
      </w:r>
    </w:p>
    <w:p>
      <w:pPr>
        <w:spacing w:after="0" w:line="179" w:lineRule="exact"/>
        <w:rPr>
          <w:sz w:val="20"/>
          <w:szCs w:val="20"/>
          <w:color w:val="auto"/>
        </w:rPr>
      </w:pPr>
    </w:p>
    <w:p>
      <w:pPr>
        <w:sectPr>
          <w:pgSz w:w="11900" w:h="16838" w:orient="portrait"/>
          <w:cols w:equalWidth="0" w:num="2">
            <w:col w:w="3173" w:space="720"/>
            <w:col w:w="5986"/>
          </w:cols>
          <w:pgMar w:left="580" w:top="131" w:right="1440" w:bottom="1440" w:gutter="0" w:footer="0" w:header="0"/>
          <w:type w:val="continuous"/>
        </w:sectPr>
      </w:pPr>
    </w:p>
    <w:p>
      <w:pPr>
        <w:ind w:left="1000" w:right="139"/>
        <w:spacing w:after="0" w:line="252" w:lineRule="auto"/>
        <w:rPr>
          <w:sz w:val="20"/>
          <w:szCs w:val="20"/>
          <w:color w:val="auto"/>
        </w:rPr>
      </w:pPr>
      <w:r>
        <w:rPr>
          <w:rFonts w:ascii="Arial" w:cs="Arial" w:eastAsia="Arial" w:hAnsi="Arial"/>
          <w:sz w:val="18"/>
          <w:szCs w:val="18"/>
          <w:color w:val="auto"/>
        </w:rPr>
        <w:t>All the members of the Audit Committee are independent under the independence requirements of the Nasdaq listing standards and the independence standards adopted by the Board, and also meet the additional independence requirements for audit committee members established by the SEC. The Board of Directors has further determined that the following five members of the Audit Committee qualify as “audit committee financial experts” as defined in rules adopted by the SEC and meet the audit committee financial sophistication requirement of Nasdaq: Mr. Bozotti, the Chair of the Audit Committee, and Messrs. Bradley, Khaykin, Maddock and Schumann.</w:t>
      </w:r>
    </w:p>
    <w:p>
      <w:pPr>
        <w:spacing w:after="0" w:line="139" w:lineRule="exact"/>
        <w:rPr>
          <w:sz w:val="20"/>
          <w:szCs w:val="20"/>
          <w:color w:val="auto"/>
        </w:rPr>
      </w:pPr>
    </w:p>
    <w:p>
      <w:pPr>
        <w:ind w:left="1000" w:right="359"/>
        <w:spacing w:after="0" w:line="254" w:lineRule="auto"/>
        <w:rPr>
          <w:sz w:val="20"/>
          <w:szCs w:val="20"/>
          <w:color w:val="auto"/>
        </w:rPr>
      </w:pPr>
      <w:r>
        <w:rPr>
          <w:rFonts w:ascii="Arial" w:cs="Arial" w:eastAsia="Arial" w:hAnsi="Arial"/>
          <w:sz w:val="18"/>
          <w:szCs w:val="18"/>
          <w:color w:val="auto"/>
        </w:rPr>
        <w:t xml:space="preserve">The Audit Committee operates under a written charter that outlines the Audit Committee’s purpose, member qualifications, authority and responsibilities. The Audit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2538730</wp:posOffset>
            </wp:positionV>
            <wp:extent cx="1482725" cy="291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The Board of Directors and its Committees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COMPENSATION AND LEADERSHIP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168910</wp:posOffset>
            </wp:positionV>
            <wp:extent cx="55549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pacing w:after="0" w:line="29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COMPENSATION AND LEADERSHIP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28575</wp:posOffset>
            </wp:positionV>
            <wp:extent cx="5554980" cy="2400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54980" cy="240030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25" w:lineRule="exact"/>
        <w:rPr>
          <w:sz w:val="20"/>
          <w:szCs w:val="20"/>
          <w:color w:val="auto"/>
        </w:rPr>
      </w:pPr>
    </w:p>
    <w:p>
      <w:pPr>
        <w:ind w:left="1100" w:right="113"/>
        <w:spacing w:after="0" w:line="251" w:lineRule="auto"/>
        <w:rPr>
          <w:sz w:val="20"/>
          <w:szCs w:val="20"/>
          <w:color w:val="auto"/>
        </w:rPr>
      </w:pPr>
      <w:r>
        <w:rPr>
          <w:rFonts w:ascii="Arial" w:cs="Arial" w:eastAsia="Arial" w:hAnsi="Arial"/>
          <w:sz w:val="16"/>
          <w:szCs w:val="16"/>
          <w:color w:val="auto"/>
        </w:rPr>
        <w:t>James A. Lawrence (Chair) Jo Ann Jenkins Avid Modjtabai Adalio T. Sanchez</w:t>
      </w:r>
    </w:p>
    <w:p>
      <w:pPr>
        <w:spacing w:after="0" w:line="7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Meetings in fiscal 2021: 7</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Responsibilities</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Compensation and Leadership Development Committee is charged with:</w:t>
      </w:r>
    </w:p>
    <w:p>
      <w:pPr>
        <w:spacing w:after="0" w:line="19" w:lineRule="exact"/>
        <w:rPr>
          <w:sz w:val="20"/>
          <w:szCs w:val="20"/>
          <w:color w:val="auto"/>
        </w:rPr>
      </w:pPr>
    </w:p>
    <w:p>
      <w:pPr>
        <w:ind w:left="267" w:right="599" w:hanging="267"/>
        <w:spacing w:after="0" w:line="260" w:lineRule="auto"/>
        <w:tabs>
          <w:tab w:leader="none" w:pos="267" w:val="left"/>
        </w:tabs>
        <w:numPr>
          <w:ilvl w:val="0"/>
          <w:numId w:val="32"/>
        </w:numPr>
        <w:rPr>
          <w:rFonts w:ascii="Arial" w:cs="Arial" w:eastAsia="Arial" w:hAnsi="Arial"/>
          <w:sz w:val="16"/>
          <w:szCs w:val="16"/>
          <w:color w:val="56C271"/>
        </w:rPr>
      </w:pPr>
      <w:r>
        <w:rPr>
          <w:rFonts w:ascii="Arial" w:cs="Arial" w:eastAsia="Arial" w:hAnsi="Arial"/>
          <w:sz w:val="16"/>
          <w:szCs w:val="16"/>
          <w:color w:val="auto"/>
        </w:rPr>
        <w:t>Overseeing the Company’s overall compensation structure, policies and programs.</w:t>
      </w:r>
    </w:p>
    <w:p>
      <w:pPr>
        <w:spacing w:after="0" w:line="19" w:lineRule="exact"/>
        <w:rPr>
          <w:rFonts w:ascii="Arial" w:cs="Arial" w:eastAsia="Arial" w:hAnsi="Arial"/>
          <w:sz w:val="16"/>
          <w:szCs w:val="16"/>
          <w:color w:val="56C271"/>
        </w:rPr>
      </w:pPr>
    </w:p>
    <w:p>
      <w:pPr>
        <w:ind w:left="267" w:right="1179" w:hanging="267"/>
        <w:spacing w:after="0" w:line="260" w:lineRule="auto"/>
        <w:tabs>
          <w:tab w:leader="none" w:pos="267" w:val="left"/>
        </w:tabs>
        <w:numPr>
          <w:ilvl w:val="0"/>
          <w:numId w:val="32"/>
        </w:numPr>
        <w:rPr>
          <w:rFonts w:ascii="Arial" w:cs="Arial" w:eastAsia="Arial" w:hAnsi="Arial"/>
          <w:sz w:val="16"/>
          <w:szCs w:val="16"/>
          <w:color w:val="56C271"/>
        </w:rPr>
      </w:pPr>
      <w:r>
        <w:rPr>
          <w:rFonts w:ascii="Arial" w:cs="Arial" w:eastAsia="Arial" w:hAnsi="Arial"/>
          <w:sz w:val="16"/>
          <w:szCs w:val="16"/>
          <w:color w:val="auto"/>
        </w:rPr>
        <w:t>Assisting the Board in fulfilling its responsibilities with respect to administering the Company’s long-term incentive plan.</w:t>
      </w:r>
    </w:p>
    <w:p>
      <w:pPr>
        <w:spacing w:after="0" w:line="6" w:lineRule="exact"/>
        <w:rPr>
          <w:rFonts w:ascii="Arial" w:cs="Arial" w:eastAsia="Arial" w:hAnsi="Arial"/>
          <w:sz w:val="16"/>
          <w:szCs w:val="16"/>
          <w:color w:val="56C271"/>
        </w:rPr>
      </w:pPr>
    </w:p>
    <w:p>
      <w:pPr>
        <w:ind w:left="267" w:right="759" w:hanging="267"/>
        <w:spacing w:after="0" w:line="260" w:lineRule="auto"/>
        <w:tabs>
          <w:tab w:leader="none" w:pos="267" w:val="left"/>
        </w:tabs>
        <w:numPr>
          <w:ilvl w:val="0"/>
          <w:numId w:val="32"/>
        </w:numPr>
        <w:rPr>
          <w:rFonts w:ascii="Arial" w:cs="Arial" w:eastAsia="Arial" w:hAnsi="Arial"/>
          <w:sz w:val="16"/>
          <w:szCs w:val="16"/>
          <w:color w:val="56C271"/>
        </w:rPr>
      </w:pPr>
      <w:r>
        <w:rPr>
          <w:rFonts w:ascii="Arial" w:cs="Arial" w:eastAsia="Arial" w:hAnsi="Arial"/>
          <w:sz w:val="16"/>
          <w:szCs w:val="16"/>
          <w:color w:val="auto"/>
        </w:rPr>
        <w:t>Reviewing and approving compensation arrangements with executive officers of the Company.</w:t>
      </w:r>
    </w:p>
    <w:p>
      <w:pPr>
        <w:spacing w:after="0" w:line="6" w:lineRule="exact"/>
        <w:rPr>
          <w:rFonts w:ascii="Arial" w:cs="Arial" w:eastAsia="Arial" w:hAnsi="Arial"/>
          <w:sz w:val="16"/>
          <w:szCs w:val="16"/>
          <w:color w:val="56C271"/>
        </w:rPr>
      </w:pPr>
    </w:p>
    <w:p>
      <w:pPr>
        <w:ind w:left="267" w:right="959" w:hanging="267"/>
        <w:spacing w:after="0" w:line="260" w:lineRule="auto"/>
        <w:tabs>
          <w:tab w:leader="none" w:pos="267" w:val="left"/>
        </w:tabs>
        <w:numPr>
          <w:ilvl w:val="0"/>
          <w:numId w:val="32"/>
        </w:numPr>
        <w:rPr>
          <w:rFonts w:ascii="Arial" w:cs="Arial" w:eastAsia="Arial" w:hAnsi="Arial"/>
          <w:sz w:val="16"/>
          <w:szCs w:val="16"/>
          <w:color w:val="56C271"/>
        </w:rPr>
      </w:pPr>
      <w:r>
        <w:rPr>
          <w:rFonts w:ascii="Arial" w:cs="Arial" w:eastAsia="Arial" w:hAnsi="Arial"/>
          <w:sz w:val="16"/>
          <w:szCs w:val="16"/>
          <w:color w:val="auto"/>
        </w:rPr>
        <w:t>Evaluating the performance of and recommending to the Board the compensation for the CEO.</w:t>
      </w:r>
    </w:p>
    <w:p>
      <w:pPr>
        <w:spacing w:after="0" w:line="19" w:lineRule="exact"/>
        <w:rPr>
          <w:rFonts w:ascii="Arial" w:cs="Arial" w:eastAsia="Arial" w:hAnsi="Arial"/>
          <w:sz w:val="16"/>
          <w:szCs w:val="16"/>
          <w:color w:val="56C271"/>
        </w:rPr>
      </w:pPr>
    </w:p>
    <w:p>
      <w:pPr>
        <w:ind w:left="267" w:right="919" w:hanging="267"/>
        <w:spacing w:after="0" w:line="260" w:lineRule="auto"/>
        <w:tabs>
          <w:tab w:leader="none" w:pos="267" w:val="left"/>
        </w:tabs>
        <w:numPr>
          <w:ilvl w:val="0"/>
          <w:numId w:val="32"/>
        </w:numPr>
        <w:rPr>
          <w:rFonts w:ascii="Arial" w:cs="Arial" w:eastAsia="Arial" w:hAnsi="Arial"/>
          <w:sz w:val="16"/>
          <w:szCs w:val="16"/>
          <w:color w:val="56C271"/>
        </w:rPr>
      </w:pPr>
      <w:r>
        <w:rPr>
          <w:rFonts w:ascii="Arial" w:cs="Arial" w:eastAsia="Arial" w:hAnsi="Arial"/>
          <w:sz w:val="16"/>
          <w:szCs w:val="16"/>
          <w:color w:val="auto"/>
        </w:rPr>
        <w:t>Overseeing the Company’s policies and programs relating to talent, leadership, culture, diversity, equity and inclusion.</w:t>
      </w:r>
    </w:p>
    <w:p>
      <w:pPr>
        <w:spacing w:after="0" w:line="6" w:lineRule="exact"/>
        <w:rPr>
          <w:rFonts w:ascii="Arial" w:cs="Arial" w:eastAsia="Arial" w:hAnsi="Arial"/>
          <w:sz w:val="16"/>
          <w:szCs w:val="16"/>
          <w:color w:val="56C271"/>
        </w:rPr>
      </w:pPr>
    </w:p>
    <w:p>
      <w:pPr>
        <w:ind w:left="267" w:right="379" w:hanging="267"/>
        <w:spacing w:after="0" w:line="260" w:lineRule="auto"/>
        <w:tabs>
          <w:tab w:leader="none" w:pos="267" w:val="left"/>
        </w:tabs>
        <w:numPr>
          <w:ilvl w:val="0"/>
          <w:numId w:val="32"/>
        </w:numPr>
        <w:rPr>
          <w:rFonts w:ascii="Arial" w:cs="Arial" w:eastAsia="Arial" w:hAnsi="Arial"/>
          <w:sz w:val="16"/>
          <w:szCs w:val="16"/>
          <w:color w:val="56C271"/>
        </w:rPr>
      </w:pPr>
      <w:r>
        <w:rPr>
          <w:rFonts w:ascii="Arial" w:cs="Arial" w:eastAsia="Arial" w:hAnsi="Arial"/>
          <w:sz w:val="16"/>
          <w:szCs w:val="16"/>
          <w:color w:val="auto"/>
        </w:rPr>
        <w:t>Handling Director compensation oversight and recommending to the Board any changes to Director compensation.</w:t>
      </w:r>
    </w:p>
    <w:p>
      <w:pPr>
        <w:spacing w:after="0" w:line="128" w:lineRule="exact"/>
        <w:rPr>
          <w:sz w:val="20"/>
          <w:szCs w:val="20"/>
          <w:color w:val="auto"/>
        </w:rPr>
      </w:pPr>
    </w:p>
    <w:p>
      <w:pPr>
        <w:ind w:left="7" w:right="339"/>
        <w:spacing w:after="0" w:line="253" w:lineRule="auto"/>
        <w:rPr>
          <w:sz w:val="20"/>
          <w:szCs w:val="20"/>
          <w:color w:val="auto"/>
        </w:rPr>
      </w:pPr>
      <w:r>
        <w:rPr>
          <w:rFonts w:ascii="Arial" w:cs="Arial" w:eastAsia="Arial" w:hAnsi="Arial"/>
          <w:sz w:val="16"/>
          <w:szCs w:val="16"/>
          <w:color w:val="auto"/>
        </w:rPr>
        <w:t>The Compensation and Leadership Development Committee’s objective is to establish and administer a “total compensation program” that fairly and competitively rewards long-term performance and enhances shareholder value.</w:t>
      </w:r>
    </w:p>
    <w:p>
      <w:pPr>
        <w:spacing w:after="0" w:line="171" w:lineRule="exact"/>
        <w:rPr>
          <w:sz w:val="20"/>
          <w:szCs w:val="20"/>
          <w:color w:val="auto"/>
        </w:rPr>
      </w:pPr>
    </w:p>
    <w:p>
      <w:pPr>
        <w:sectPr>
          <w:pgSz w:w="11900" w:h="16838" w:orient="portrait"/>
          <w:cols w:equalWidth="0" w:num="2">
            <w:col w:w="3173" w:space="720"/>
            <w:col w:w="5986"/>
          </w:cols>
          <w:pgMar w:left="580" w:top="131" w:right="1440" w:bottom="1440" w:gutter="0" w:footer="0" w:header="0"/>
          <w:type w:val="continuous"/>
        </w:sectPr>
      </w:pPr>
    </w:p>
    <w:p>
      <w:pPr>
        <w:ind w:left="1000" w:right="379"/>
        <w:spacing w:after="0" w:line="251" w:lineRule="auto"/>
        <w:rPr>
          <w:sz w:val="20"/>
          <w:szCs w:val="20"/>
          <w:color w:val="auto"/>
        </w:rPr>
      </w:pPr>
      <w:r>
        <w:rPr>
          <w:rFonts w:ascii="Arial" w:cs="Arial" w:eastAsia="Arial" w:hAnsi="Arial"/>
          <w:sz w:val="18"/>
          <w:szCs w:val="18"/>
          <w:color w:val="auto"/>
        </w:rPr>
        <w:t>The Compensation and Leadership Development Committee has the authority to retain an independent executive compensation consultant to assist in the evaluation of compensation for the Company’s executive officers and Directors, and to help ensure the objectivity and appropriateness of the actions of the Compensation and Leadership Development Committee. The Compensation and Leadership Development Committee has the sole authority to retain, at the Company’s expense, and terminate any such consultant, including the sole authority to approve such consultant’s fees and other terms of engagement. The Compensation and Leadership Development Committee retained Meridian Compensation Partners, LLC (“Meridian”) as the Compensation and Leadership Development Committee’s independent compensation consultant for fiscal 2021. The Compensation and Leadership Development Committee assessed the independence of Meridian pursuant to the SEC and Nasdaq rules and concluded that no conflict of interest existed that prevented, or will prevent, Meridian from being an independent consultant to the Compensation and Leadership Development Committee.</w:t>
      </w:r>
    </w:p>
    <w:p>
      <w:pPr>
        <w:spacing w:after="0" w:line="143" w:lineRule="exact"/>
        <w:rPr>
          <w:sz w:val="20"/>
          <w:szCs w:val="20"/>
          <w:color w:val="auto"/>
        </w:rPr>
      </w:pPr>
    </w:p>
    <w:p>
      <w:pPr>
        <w:ind w:left="1000" w:right="199"/>
        <w:spacing w:after="0" w:line="278" w:lineRule="auto"/>
        <w:rPr>
          <w:sz w:val="20"/>
          <w:szCs w:val="20"/>
          <w:color w:val="auto"/>
        </w:rPr>
      </w:pPr>
      <w:r>
        <w:rPr>
          <w:rFonts w:ascii="Arial" w:cs="Arial" w:eastAsia="Arial" w:hAnsi="Arial"/>
          <w:sz w:val="17"/>
          <w:szCs w:val="17"/>
          <w:color w:val="auto"/>
        </w:rPr>
        <w:t>All members of the Compensation and Leadership Development Committee meet the independence requirements of Nasdaq listing standards and the independence standards adopted by the Board of Directors, and also meet Nasdaq’s additional independence requirements for compensation committee members.</w:t>
      </w:r>
    </w:p>
    <w:p>
      <w:pPr>
        <w:spacing w:after="0" w:line="117" w:lineRule="exact"/>
        <w:rPr>
          <w:sz w:val="20"/>
          <w:szCs w:val="20"/>
          <w:color w:val="auto"/>
        </w:rPr>
      </w:pPr>
    </w:p>
    <w:p>
      <w:pPr>
        <w:ind w:left="1000" w:right="179"/>
        <w:spacing w:after="0" w:line="253" w:lineRule="auto"/>
        <w:rPr>
          <w:sz w:val="20"/>
          <w:szCs w:val="20"/>
          <w:color w:val="auto"/>
        </w:rPr>
      </w:pPr>
      <w:r>
        <w:rPr>
          <w:rFonts w:ascii="Arial" w:cs="Arial" w:eastAsia="Arial" w:hAnsi="Arial"/>
          <w:sz w:val="18"/>
          <w:szCs w:val="18"/>
          <w:color w:val="auto"/>
        </w:rPr>
        <w:t xml:space="preserve">The Compensation and Leadership Development Committee operates under a written charter that outlines the purpose, member qualifications, authority and responsibilities of the committee. The Compensation and Leadership Development Committee reviews its charter and conducts an evaluation of its own effectiveness annually. A copy of the Compensation and Leadership Development Committee charter is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30035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The Board of Directors and its Committees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168910</wp:posOffset>
            </wp:positionV>
            <wp:extent cx="55549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pacing w:after="0" w:line="29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28575</wp:posOffset>
            </wp:positionV>
            <wp:extent cx="5554980" cy="2074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54980" cy="2074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Avid Modjtabai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Rodney C. Adkins</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Jo Ann Jenkins</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Adalio T. Sanchez</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Meetings in fiscal 2021: 4</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Responsibilities</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Corporate Governance Committee is charged with:</w:t>
      </w:r>
    </w:p>
    <w:p>
      <w:pPr>
        <w:spacing w:after="0" w:line="127" w:lineRule="exact"/>
        <w:rPr>
          <w:sz w:val="20"/>
          <w:szCs w:val="20"/>
          <w:color w:val="auto"/>
        </w:rPr>
      </w:pPr>
    </w:p>
    <w:p>
      <w:pPr>
        <w:ind w:left="267" w:right="979" w:hanging="267"/>
        <w:spacing w:after="0" w:line="260" w:lineRule="auto"/>
        <w:tabs>
          <w:tab w:leader="none" w:pos="267" w:val="left"/>
        </w:tabs>
        <w:numPr>
          <w:ilvl w:val="0"/>
          <w:numId w:val="33"/>
        </w:numPr>
        <w:rPr>
          <w:rFonts w:ascii="Arial" w:cs="Arial" w:eastAsia="Arial" w:hAnsi="Arial"/>
          <w:sz w:val="16"/>
          <w:szCs w:val="16"/>
          <w:color w:val="56C271"/>
        </w:rPr>
      </w:pPr>
      <w:r>
        <w:rPr>
          <w:rFonts w:ascii="Arial" w:cs="Arial" w:eastAsia="Arial" w:hAnsi="Arial"/>
          <w:sz w:val="16"/>
          <w:szCs w:val="16"/>
          <w:color w:val="auto"/>
        </w:rPr>
        <w:t>Identifying, screening and recommending to the Board of Directors appropriate candidates to serve as directors of the Company.</w:t>
      </w:r>
    </w:p>
    <w:p>
      <w:pPr>
        <w:spacing w:after="0" w:line="19" w:lineRule="exact"/>
        <w:rPr>
          <w:rFonts w:ascii="Arial" w:cs="Arial" w:eastAsia="Arial" w:hAnsi="Arial"/>
          <w:sz w:val="16"/>
          <w:szCs w:val="16"/>
          <w:color w:val="56C271"/>
        </w:rPr>
      </w:pPr>
    </w:p>
    <w:p>
      <w:pPr>
        <w:ind w:left="267" w:right="659" w:hanging="267"/>
        <w:spacing w:after="0" w:line="260" w:lineRule="auto"/>
        <w:tabs>
          <w:tab w:leader="none" w:pos="267" w:val="left"/>
        </w:tabs>
        <w:numPr>
          <w:ilvl w:val="0"/>
          <w:numId w:val="33"/>
        </w:numPr>
        <w:rPr>
          <w:rFonts w:ascii="Arial" w:cs="Arial" w:eastAsia="Arial" w:hAnsi="Arial"/>
          <w:sz w:val="16"/>
          <w:szCs w:val="16"/>
          <w:color w:val="56C271"/>
        </w:rPr>
      </w:pPr>
      <w:r>
        <w:rPr>
          <w:rFonts w:ascii="Arial" w:cs="Arial" w:eastAsia="Arial" w:hAnsi="Arial"/>
          <w:sz w:val="16"/>
          <w:szCs w:val="16"/>
          <w:color w:val="auto"/>
        </w:rPr>
        <w:t>Periodically reviewing the Company’s succession plans, including CEO succession.</w:t>
      </w:r>
    </w:p>
    <w:p>
      <w:pPr>
        <w:spacing w:after="0" w:line="6" w:lineRule="exact"/>
        <w:rPr>
          <w:rFonts w:ascii="Arial" w:cs="Arial" w:eastAsia="Arial" w:hAnsi="Arial"/>
          <w:sz w:val="16"/>
          <w:szCs w:val="16"/>
          <w:color w:val="56C271"/>
        </w:rPr>
      </w:pPr>
    </w:p>
    <w:p>
      <w:pPr>
        <w:ind w:left="267" w:right="279" w:hanging="267"/>
        <w:spacing w:after="0" w:line="260" w:lineRule="auto"/>
        <w:tabs>
          <w:tab w:leader="none" w:pos="267" w:val="left"/>
        </w:tabs>
        <w:numPr>
          <w:ilvl w:val="0"/>
          <w:numId w:val="33"/>
        </w:numPr>
        <w:rPr>
          <w:rFonts w:ascii="Arial" w:cs="Arial" w:eastAsia="Arial" w:hAnsi="Arial"/>
          <w:sz w:val="16"/>
          <w:szCs w:val="16"/>
          <w:color w:val="56C271"/>
        </w:rPr>
      </w:pPr>
      <w:r>
        <w:rPr>
          <w:rFonts w:ascii="Arial" w:cs="Arial" w:eastAsia="Arial" w:hAnsi="Arial"/>
          <w:sz w:val="16"/>
          <w:szCs w:val="16"/>
          <w:color w:val="auto"/>
        </w:rPr>
        <w:t>Overseeing the process for evaluating the Board of Directors, its committees and management.</w:t>
      </w:r>
    </w:p>
    <w:p>
      <w:pPr>
        <w:spacing w:after="0" w:line="6" w:lineRule="exact"/>
        <w:rPr>
          <w:rFonts w:ascii="Arial" w:cs="Arial" w:eastAsia="Arial" w:hAnsi="Arial"/>
          <w:sz w:val="16"/>
          <w:szCs w:val="16"/>
          <w:color w:val="56C271"/>
        </w:rPr>
      </w:pPr>
    </w:p>
    <w:p>
      <w:pPr>
        <w:ind w:left="267" w:right="679" w:hanging="267"/>
        <w:spacing w:after="0" w:line="260" w:lineRule="auto"/>
        <w:tabs>
          <w:tab w:leader="none" w:pos="267" w:val="left"/>
        </w:tabs>
        <w:numPr>
          <w:ilvl w:val="0"/>
          <w:numId w:val="33"/>
        </w:numPr>
        <w:rPr>
          <w:rFonts w:ascii="Arial" w:cs="Arial" w:eastAsia="Arial" w:hAnsi="Arial"/>
          <w:sz w:val="16"/>
          <w:szCs w:val="16"/>
          <w:color w:val="56C271"/>
        </w:rPr>
      </w:pPr>
      <w:r>
        <w:rPr>
          <w:rFonts w:ascii="Arial" w:cs="Arial" w:eastAsia="Arial" w:hAnsi="Arial"/>
          <w:sz w:val="16"/>
          <w:szCs w:val="16"/>
          <w:color w:val="auto"/>
        </w:rPr>
        <w:t>Making recommendations with respect to corporate governance issues affecting the Board of Directors and the Company.</w:t>
      </w:r>
    </w:p>
    <w:p>
      <w:pPr>
        <w:spacing w:after="0" w:line="6" w:lineRule="exact"/>
        <w:rPr>
          <w:rFonts w:ascii="Arial" w:cs="Arial" w:eastAsia="Arial" w:hAnsi="Arial"/>
          <w:sz w:val="16"/>
          <w:szCs w:val="16"/>
          <w:color w:val="56C271"/>
        </w:rPr>
      </w:pPr>
    </w:p>
    <w:p>
      <w:pPr>
        <w:ind w:left="267" w:hanging="267"/>
        <w:spacing w:after="0"/>
        <w:tabs>
          <w:tab w:leader="none" w:pos="267" w:val="left"/>
        </w:tabs>
        <w:numPr>
          <w:ilvl w:val="0"/>
          <w:numId w:val="33"/>
        </w:numPr>
        <w:rPr>
          <w:rFonts w:ascii="Arial" w:cs="Arial" w:eastAsia="Arial" w:hAnsi="Arial"/>
          <w:sz w:val="16"/>
          <w:szCs w:val="16"/>
          <w:color w:val="56C271"/>
        </w:rPr>
      </w:pPr>
      <w:r>
        <w:rPr>
          <w:rFonts w:ascii="Arial" w:cs="Arial" w:eastAsia="Arial" w:hAnsi="Arial"/>
          <w:sz w:val="16"/>
          <w:szCs w:val="16"/>
          <w:color w:val="auto"/>
        </w:rPr>
        <w:t>Overseeing director orientation and continuing education programs.</w:t>
      </w:r>
    </w:p>
    <w:p>
      <w:pPr>
        <w:spacing w:after="0" w:line="5" w:lineRule="exact"/>
        <w:rPr>
          <w:rFonts w:ascii="Arial" w:cs="Arial" w:eastAsia="Arial" w:hAnsi="Arial"/>
          <w:sz w:val="16"/>
          <w:szCs w:val="16"/>
          <w:color w:val="56C271"/>
        </w:rPr>
      </w:pPr>
    </w:p>
    <w:p>
      <w:pPr>
        <w:ind w:left="267" w:hanging="267"/>
        <w:spacing w:after="0"/>
        <w:tabs>
          <w:tab w:leader="none" w:pos="267" w:val="left"/>
        </w:tabs>
        <w:numPr>
          <w:ilvl w:val="0"/>
          <w:numId w:val="33"/>
        </w:numPr>
        <w:rPr>
          <w:rFonts w:ascii="Arial" w:cs="Arial" w:eastAsia="Arial" w:hAnsi="Arial"/>
          <w:sz w:val="16"/>
          <w:szCs w:val="16"/>
          <w:color w:val="56C271"/>
        </w:rPr>
      </w:pPr>
      <w:r>
        <w:rPr>
          <w:rFonts w:ascii="Arial" w:cs="Arial" w:eastAsia="Arial" w:hAnsi="Arial"/>
          <w:sz w:val="16"/>
          <w:szCs w:val="16"/>
          <w:color w:val="auto"/>
        </w:rPr>
        <w:t>Overseeing corporate social responsibility matters affecting the Company.</w:t>
      </w:r>
    </w:p>
    <w:p>
      <w:pPr>
        <w:spacing w:after="0" w:line="140" w:lineRule="exact"/>
        <w:rPr>
          <w:sz w:val="20"/>
          <w:szCs w:val="20"/>
          <w:color w:val="auto"/>
        </w:rPr>
      </w:pPr>
    </w:p>
    <w:p>
      <w:pPr>
        <w:ind w:left="7" w:right="699"/>
        <w:spacing w:after="0" w:line="260" w:lineRule="auto"/>
        <w:rPr>
          <w:sz w:val="20"/>
          <w:szCs w:val="20"/>
          <w:color w:val="auto"/>
        </w:rPr>
      </w:pPr>
      <w:r>
        <w:rPr>
          <w:rFonts w:ascii="Arial" w:cs="Arial" w:eastAsia="Arial" w:hAnsi="Arial"/>
          <w:sz w:val="16"/>
          <w:szCs w:val="16"/>
          <w:color w:val="auto"/>
        </w:rPr>
        <w:t>Please see “Corporate Governance — Director Nominations” for additional information on the Corporate Governance Committee.</w:t>
      </w:r>
    </w:p>
    <w:p>
      <w:pPr>
        <w:spacing w:after="0" w:line="166" w:lineRule="exact"/>
        <w:rPr>
          <w:sz w:val="20"/>
          <w:szCs w:val="20"/>
          <w:color w:val="auto"/>
        </w:rPr>
      </w:pPr>
    </w:p>
    <w:p>
      <w:pPr>
        <w:sectPr>
          <w:pgSz w:w="11900" w:h="16838" w:orient="portrait"/>
          <w:cols w:equalWidth="0" w:num="2">
            <w:col w:w="3173" w:space="720"/>
            <w:col w:w="5986"/>
          </w:cols>
          <w:pgMar w:left="580" w:top="131" w:right="1440" w:bottom="1440" w:gutter="0" w:footer="0" w:header="0"/>
          <w:type w:val="continuous"/>
        </w:sectPr>
      </w:pPr>
    </w:p>
    <w:p>
      <w:pPr>
        <w:ind w:left="1000" w:right="439"/>
        <w:spacing w:after="0" w:line="261" w:lineRule="auto"/>
        <w:rPr>
          <w:sz w:val="20"/>
          <w:szCs w:val="20"/>
          <w:color w:val="auto"/>
        </w:rPr>
      </w:pPr>
      <w:r>
        <w:rPr>
          <w:rFonts w:ascii="Arial" w:cs="Arial" w:eastAsia="Arial" w:hAnsi="Arial"/>
          <w:sz w:val="18"/>
          <w:szCs w:val="18"/>
          <w:color w:val="auto"/>
        </w:rPr>
        <w:t>All the members of the Corporate Governance Committee meet the independence requirements of Nasdaq listing standards and the independence standards adopted by the Board of Directors.</w:t>
      </w:r>
    </w:p>
    <w:p>
      <w:pPr>
        <w:spacing w:after="0" w:line="130" w:lineRule="exact"/>
        <w:rPr>
          <w:sz w:val="20"/>
          <w:szCs w:val="20"/>
          <w:color w:val="auto"/>
        </w:rPr>
      </w:pPr>
    </w:p>
    <w:p>
      <w:pPr>
        <w:ind w:left="1000" w:right="199"/>
        <w:spacing w:after="0" w:line="254" w:lineRule="auto"/>
        <w:rPr>
          <w:sz w:val="20"/>
          <w:szCs w:val="20"/>
          <w:color w:val="auto"/>
        </w:rPr>
      </w:pPr>
      <w:r>
        <w:rPr>
          <w:rFonts w:ascii="Arial" w:cs="Arial" w:eastAsia="Arial" w:hAnsi="Arial"/>
          <w:sz w:val="18"/>
          <w:szCs w:val="18"/>
          <w:color w:val="auto"/>
        </w:rPr>
        <w:t xml:space="preserve">The Corporate Governance Committee operates under a written charter that outlines the Committee’s purpose, member qualifications, authority and responsibilities. The Corporate Governance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ectPr>
          <w:pgSz w:w="11900" w:h="16838" w:orient="portrait"/>
          <w:cols w:equalWidth="0" w:num="1">
            <w:col w:w="9879"/>
          </w:cols>
          <w:pgMar w:left="580" w:top="131" w:right="1440" w:bottom="1440" w:gutter="0" w:footer="0" w:header="0"/>
          <w:type w:val="continuous"/>
        </w:sectPr>
      </w:pP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FINANCE COMMITTEE</w:t>
      </w:r>
    </w:p>
    <w:p>
      <w:pPr>
        <w:spacing w:after="0" w:line="32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FINANCE COMMITTEE</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William H. Schumann, III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Michael A. Bradley</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Brenda L. Freeman</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James A. Lawrence</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Ernest E. Maddock</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Meetings in fiscal 2021: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1789430</wp:posOffset>
            </wp:positionV>
            <wp:extent cx="1482725" cy="300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-318770</wp:posOffset>
            </wp:positionV>
            <wp:extent cx="5554980" cy="21856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54980" cy="2185670"/>
                    </a:xfrm>
                    <a:prstGeom prst="rect">
                      <a:avLst/>
                    </a:prstGeom>
                    <a:noFill/>
                  </pic:spPr>
                </pic:pic>
              </a:graphicData>
            </a:graphic>
          </wp:anchor>
        </w:drawing>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Finance Committee is charged with:</w:t>
      </w:r>
    </w:p>
    <w:p>
      <w:pPr>
        <w:spacing w:after="0" w:line="140" w:lineRule="exact"/>
        <w:rPr>
          <w:sz w:val="20"/>
          <w:szCs w:val="20"/>
          <w:color w:val="auto"/>
        </w:rPr>
      </w:pPr>
    </w:p>
    <w:p>
      <w:pPr>
        <w:ind w:left="267" w:right="279" w:hanging="267"/>
        <w:spacing w:after="0" w:line="260" w:lineRule="auto"/>
        <w:tabs>
          <w:tab w:leader="none" w:pos="267" w:val="left"/>
        </w:tabs>
        <w:numPr>
          <w:ilvl w:val="0"/>
          <w:numId w:val="34"/>
        </w:numPr>
        <w:rPr>
          <w:rFonts w:ascii="Arial" w:cs="Arial" w:eastAsia="Arial" w:hAnsi="Arial"/>
          <w:sz w:val="16"/>
          <w:szCs w:val="16"/>
          <w:color w:val="56C271"/>
        </w:rPr>
      </w:pPr>
      <w:r>
        <w:rPr>
          <w:rFonts w:ascii="Arial" w:cs="Arial" w:eastAsia="Arial" w:hAnsi="Arial"/>
          <w:sz w:val="16"/>
          <w:szCs w:val="16"/>
          <w:color w:val="auto"/>
        </w:rPr>
        <w:t>Assisting the Board with its oversight responsibilities with respect to financial matters.</w:t>
      </w:r>
    </w:p>
    <w:p>
      <w:pPr>
        <w:spacing w:after="0" w:line="6" w:lineRule="exact"/>
        <w:rPr>
          <w:rFonts w:ascii="Arial" w:cs="Arial" w:eastAsia="Arial" w:hAnsi="Arial"/>
          <w:sz w:val="16"/>
          <w:szCs w:val="16"/>
          <w:color w:val="56C271"/>
        </w:rPr>
      </w:pPr>
    </w:p>
    <w:p>
      <w:pPr>
        <w:ind w:left="267" w:right="599" w:hanging="267"/>
        <w:spacing w:after="0" w:line="253" w:lineRule="auto"/>
        <w:tabs>
          <w:tab w:leader="none" w:pos="267" w:val="left"/>
        </w:tabs>
        <w:numPr>
          <w:ilvl w:val="0"/>
          <w:numId w:val="34"/>
        </w:numPr>
        <w:rPr>
          <w:rFonts w:ascii="Arial" w:cs="Arial" w:eastAsia="Arial" w:hAnsi="Arial"/>
          <w:sz w:val="16"/>
          <w:szCs w:val="16"/>
          <w:color w:val="56C271"/>
        </w:rPr>
      </w:pPr>
      <w:r>
        <w:rPr>
          <w:rFonts w:ascii="Arial" w:cs="Arial" w:eastAsia="Arial" w:hAnsi="Arial"/>
          <w:sz w:val="16"/>
          <w:szCs w:val="16"/>
          <w:color w:val="auto"/>
        </w:rPr>
        <w:t>Reviewing and providing guidance to the Board and management about capital allocation, capital structure, mergers and acquisitions, financial strategies, capital markets and share buybacks.</w:t>
      </w:r>
    </w:p>
    <w:p>
      <w:pPr>
        <w:spacing w:after="0" w:line="12" w:lineRule="exact"/>
        <w:rPr>
          <w:rFonts w:ascii="Arial" w:cs="Arial" w:eastAsia="Arial" w:hAnsi="Arial"/>
          <w:sz w:val="16"/>
          <w:szCs w:val="16"/>
          <w:color w:val="56C271"/>
        </w:rPr>
      </w:pPr>
    </w:p>
    <w:p>
      <w:pPr>
        <w:ind w:left="267" w:right="759" w:hanging="267"/>
        <w:spacing w:after="0" w:line="253" w:lineRule="auto"/>
        <w:tabs>
          <w:tab w:leader="none" w:pos="267" w:val="left"/>
        </w:tabs>
        <w:numPr>
          <w:ilvl w:val="0"/>
          <w:numId w:val="34"/>
        </w:numPr>
        <w:rPr>
          <w:rFonts w:ascii="Arial" w:cs="Arial" w:eastAsia="Arial" w:hAnsi="Arial"/>
          <w:sz w:val="16"/>
          <w:szCs w:val="16"/>
          <w:color w:val="56C271"/>
        </w:rPr>
      </w:pPr>
      <w:r>
        <w:rPr>
          <w:rFonts w:ascii="Arial" w:cs="Arial" w:eastAsia="Arial" w:hAnsi="Arial"/>
          <w:sz w:val="16"/>
          <w:szCs w:val="16"/>
          <w:color w:val="auto"/>
        </w:rPr>
        <w:t>Approving secured borrowings, loans and credit facilities, for amounts exceeding management’s delegated authority up to the Finance Committee’s delegated authority.</w:t>
      </w:r>
    </w:p>
    <w:p>
      <w:pPr>
        <w:spacing w:after="0" w:line="25" w:lineRule="exact"/>
        <w:rPr>
          <w:rFonts w:ascii="Arial" w:cs="Arial" w:eastAsia="Arial" w:hAnsi="Arial"/>
          <w:sz w:val="16"/>
          <w:szCs w:val="16"/>
          <w:color w:val="56C271"/>
        </w:rPr>
      </w:pPr>
    </w:p>
    <w:p>
      <w:pPr>
        <w:ind w:left="267" w:right="339" w:hanging="267"/>
        <w:spacing w:after="0" w:line="260" w:lineRule="auto"/>
        <w:tabs>
          <w:tab w:leader="none" w:pos="267" w:val="left"/>
        </w:tabs>
        <w:numPr>
          <w:ilvl w:val="0"/>
          <w:numId w:val="34"/>
        </w:numPr>
        <w:rPr>
          <w:rFonts w:ascii="Arial" w:cs="Arial" w:eastAsia="Arial" w:hAnsi="Arial"/>
          <w:sz w:val="16"/>
          <w:szCs w:val="16"/>
          <w:color w:val="56C271"/>
        </w:rPr>
      </w:pPr>
      <w:r>
        <w:rPr>
          <w:rFonts w:ascii="Arial" w:cs="Arial" w:eastAsia="Arial" w:hAnsi="Arial"/>
          <w:sz w:val="16"/>
          <w:szCs w:val="16"/>
          <w:color w:val="auto"/>
        </w:rPr>
        <w:t>Approving real estate transactions (i.e. leases, sales, purchases and similar transactions) for amounts exceeding management’s delegated authority.</w:t>
      </w:r>
    </w:p>
    <w:p>
      <w:pPr>
        <w:spacing w:after="0" w:line="6" w:lineRule="exact"/>
        <w:rPr>
          <w:rFonts w:ascii="Arial" w:cs="Arial" w:eastAsia="Arial" w:hAnsi="Arial"/>
          <w:sz w:val="16"/>
          <w:szCs w:val="16"/>
          <w:color w:val="56C271"/>
        </w:rPr>
      </w:pPr>
    </w:p>
    <w:p>
      <w:pPr>
        <w:ind w:left="267" w:right="839" w:hanging="267"/>
        <w:spacing w:after="0" w:line="260" w:lineRule="auto"/>
        <w:tabs>
          <w:tab w:leader="none" w:pos="267" w:val="left"/>
        </w:tabs>
        <w:numPr>
          <w:ilvl w:val="0"/>
          <w:numId w:val="34"/>
        </w:numPr>
        <w:rPr>
          <w:rFonts w:ascii="Arial" w:cs="Arial" w:eastAsia="Arial" w:hAnsi="Arial"/>
          <w:sz w:val="16"/>
          <w:szCs w:val="16"/>
          <w:color w:val="56C271"/>
        </w:rPr>
      </w:pPr>
      <w:r>
        <w:rPr>
          <w:rFonts w:ascii="Arial" w:cs="Arial" w:eastAsia="Arial" w:hAnsi="Arial"/>
          <w:sz w:val="16"/>
          <w:szCs w:val="16"/>
          <w:color w:val="auto"/>
        </w:rPr>
        <w:t>Approving company guarantees and similar instruments for amounts exceeding management’s delegated authority.</w:t>
      </w:r>
    </w:p>
    <w:p>
      <w:pPr>
        <w:spacing w:after="0" w:line="200" w:lineRule="exact"/>
        <w:rPr>
          <w:sz w:val="20"/>
          <w:szCs w:val="20"/>
          <w:color w:val="auto"/>
        </w:rPr>
      </w:pPr>
    </w:p>
    <w:p>
      <w:pPr>
        <w:sectPr>
          <w:pgSz w:w="11900" w:h="16838" w:orient="portrait"/>
          <w:cols w:equalWidth="0" w:num="2">
            <w:col w:w="3400" w:space="493"/>
            <w:col w:w="5986"/>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282575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The Board of Directors and its Committees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279"/>
        <w:spacing w:after="0" w:line="261" w:lineRule="auto"/>
        <w:rPr>
          <w:sz w:val="20"/>
          <w:szCs w:val="20"/>
          <w:color w:val="auto"/>
        </w:rPr>
      </w:pPr>
      <w:r>
        <w:rPr>
          <w:rFonts w:ascii="Arial" w:cs="Arial" w:eastAsia="Arial" w:hAnsi="Arial"/>
          <w:sz w:val="18"/>
          <w:szCs w:val="18"/>
          <w:color w:val="auto"/>
        </w:rPr>
        <w:t>All the members of the Finance Committee meet the independence requirements of Nasdaq listing standards and the independence standards adopted by the Board of Directors.</w:t>
      </w:r>
    </w:p>
    <w:p>
      <w:pPr>
        <w:spacing w:after="0" w:line="117" w:lineRule="exact"/>
        <w:rPr>
          <w:sz w:val="20"/>
          <w:szCs w:val="20"/>
          <w:color w:val="auto"/>
        </w:rPr>
      </w:pPr>
    </w:p>
    <w:p>
      <w:pPr>
        <w:ind w:left="1000" w:right="579"/>
        <w:spacing w:after="0" w:line="254" w:lineRule="auto"/>
        <w:rPr>
          <w:sz w:val="20"/>
          <w:szCs w:val="20"/>
          <w:color w:val="auto"/>
        </w:rPr>
      </w:pPr>
      <w:r>
        <w:rPr>
          <w:rFonts w:ascii="Arial" w:cs="Arial" w:eastAsia="Arial" w:hAnsi="Arial"/>
          <w:sz w:val="18"/>
          <w:szCs w:val="18"/>
          <w:color w:val="auto"/>
        </w:rPr>
        <w:t xml:space="preserve">The Finance Committee operates under a written charter that outlines the Committee’s purpose, member qualifications, authority and responsibilities. The Finance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177165</wp:posOffset>
            </wp:positionV>
            <wp:extent cx="555498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24"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FFFFFF"/>
        </w:rPr>
        <w:t>EXECUTIVE COMMITTEE</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Rodney C. Adkins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James A. Lawrence</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Avid Modjtabai</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William H. Schumann, III</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Meetings in fiscal 2021: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-130175</wp:posOffset>
            </wp:positionV>
            <wp:extent cx="5554980" cy="20313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54980" cy="2031365"/>
                    </a:xfrm>
                    <a:prstGeom prst="rect">
                      <a:avLst/>
                    </a:prstGeom>
                    <a:noFill/>
                  </pic:spPr>
                </pic:pic>
              </a:graphicData>
            </a:graphic>
          </wp:anchor>
        </w:drawing>
      </w:r>
    </w:p>
    <w:p>
      <w:pPr>
        <w:spacing w:after="0" w:line="127" w:lineRule="exact"/>
        <w:rPr>
          <w:sz w:val="20"/>
          <w:szCs w:val="20"/>
          <w:color w:val="auto"/>
        </w:rPr>
      </w:pPr>
    </w:p>
    <w:p>
      <w:pPr>
        <w:ind w:left="7" w:right="359"/>
        <w:spacing w:after="0" w:line="249" w:lineRule="auto"/>
        <w:rPr>
          <w:sz w:val="20"/>
          <w:szCs w:val="20"/>
          <w:color w:val="auto"/>
        </w:rPr>
      </w:pPr>
      <w:r>
        <w:rPr>
          <w:rFonts w:ascii="Arial" w:cs="Arial" w:eastAsia="Arial" w:hAnsi="Arial"/>
          <w:sz w:val="16"/>
          <w:szCs w:val="16"/>
          <w:color w:val="auto"/>
        </w:rPr>
        <w:t>The Board established the Executive Committee to exercise the powers and authority of the Board during the intervals between Board meetings when the Chair of the Board determines that convening a special Board meeting is not warranted. The Executive Committee may exercise the powers and authority of the Board except those not permitted by law or the Company’s Bylaws. Therefore, the Executive Committee does not have the authority to:</w:t>
      </w:r>
    </w:p>
    <w:p>
      <w:pPr>
        <w:spacing w:after="0" w:line="29" w:lineRule="exact"/>
        <w:rPr>
          <w:sz w:val="20"/>
          <w:szCs w:val="20"/>
          <w:color w:val="auto"/>
        </w:rPr>
      </w:pPr>
    </w:p>
    <w:p>
      <w:pPr>
        <w:ind w:left="267" w:right="359" w:hanging="267"/>
        <w:spacing w:after="0" w:line="255" w:lineRule="auto"/>
        <w:tabs>
          <w:tab w:leader="none" w:pos="267" w:val="left"/>
        </w:tabs>
        <w:numPr>
          <w:ilvl w:val="0"/>
          <w:numId w:val="35"/>
        </w:numPr>
        <w:rPr>
          <w:rFonts w:ascii="Arial" w:cs="Arial" w:eastAsia="Arial" w:hAnsi="Arial"/>
          <w:sz w:val="16"/>
          <w:szCs w:val="16"/>
          <w:color w:val="56C271"/>
        </w:rPr>
      </w:pPr>
      <w:r>
        <w:rPr>
          <w:rFonts w:ascii="Arial" w:cs="Arial" w:eastAsia="Arial" w:hAnsi="Arial"/>
          <w:sz w:val="16"/>
          <w:szCs w:val="16"/>
          <w:color w:val="auto"/>
        </w:rPr>
        <w:t>Submit to shareholders any action that needs shareholders’ approval under applicable law,</w:t>
      </w:r>
    </w:p>
    <w:p>
      <w:pPr>
        <w:ind w:left="267" w:hanging="267"/>
        <w:spacing w:after="0"/>
        <w:tabs>
          <w:tab w:leader="none" w:pos="267" w:val="left"/>
        </w:tabs>
        <w:numPr>
          <w:ilvl w:val="0"/>
          <w:numId w:val="35"/>
        </w:numPr>
        <w:rPr>
          <w:rFonts w:ascii="Arial" w:cs="Arial" w:eastAsia="Arial" w:hAnsi="Arial"/>
          <w:sz w:val="16"/>
          <w:szCs w:val="16"/>
          <w:color w:val="56C271"/>
        </w:rPr>
      </w:pPr>
      <w:r>
        <w:rPr>
          <w:rFonts w:ascii="Arial" w:cs="Arial" w:eastAsia="Arial" w:hAnsi="Arial"/>
          <w:sz w:val="16"/>
          <w:szCs w:val="16"/>
          <w:color w:val="auto"/>
        </w:rPr>
        <w:t>Fill vacancies in the Board or any Board Committee,</w:t>
      </w:r>
    </w:p>
    <w:p>
      <w:pPr>
        <w:spacing w:after="0" w:line="32" w:lineRule="exact"/>
        <w:rPr>
          <w:rFonts w:ascii="Arial" w:cs="Arial" w:eastAsia="Arial" w:hAnsi="Arial"/>
          <w:sz w:val="16"/>
          <w:szCs w:val="16"/>
          <w:color w:val="56C271"/>
        </w:rPr>
      </w:pPr>
    </w:p>
    <w:p>
      <w:pPr>
        <w:ind w:left="267" w:right="1039" w:hanging="267"/>
        <w:spacing w:after="0" w:line="255" w:lineRule="auto"/>
        <w:tabs>
          <w:tab w:leader="none" w:pos="267" w:val="left"/>
        </w:tabs>
        <w:numPr>
          <w:ilvl w:val="0"/>
          <w:numId w:val="35"/>
        </w:numPr>
        <w:rPr>
          <w:rFonts w:ascii="Arial" w:cs="Arial" w:eastAsia="Arial" w:hAnsi="Arial"/>
          <w:sz w:val="16"/>
          <w:szCs w:val="16"/>
          <w:color w:val="56C271"/>
        </w:rPr>
      </w:pPr>
      <w:r>
        <w:rPr>
          <w:rFonts w:ascii="Arial" w:cs="Arial" w:eastAsia="Arial" w:hAnsi="Arial"/>
          <w:sz w:val="16"/>
          <w:szCs w:val="16"/>
          <w:color w:val="auto"/>
        </w:rPr>
        <w:t>Fix compensation for Directors serving on the Board or any Board Committee,</w:t>
      </w:r>
    </w:p>
    <w:p>
      <w:pPr>
        <w:ind w:left="267" w:hanging="267"/>
        <w:spacing w:after="0"/>
        <w:tabs>
          <w:tab w:leader="none" w:pos="267" w:val="left"/>
        </w:tabs>
        <w:numPr>
          <w:ilvl w:val="0"/>
          <w:numId w:val="35"/>
        </w:numPr>
        <w:rPr>
          <w:rFonts w:ascii="Arial" w:cs="Arial" w:eastAsia="Arial" w:hAnsi="Arial"/>
          <w:sz w:val="16"/>
          <w:szCs w:val="16"/>
          <w:color w:val="56C271"/>
        </w:rPr>
      </w:pPr>
      <w:r>
        <w:rPr>
          <w:rFonts w:ascii="Arial" w:cs="Arial" w:eastAsia="Arial" w:hAnsi="Arial"/>
          <w:sz w:val="16"/>
          <w:szCs w:val="16"/>
          <w:color w:val="auto"/>
        </w:rPr>
        <w:t>Amend or repeal the Bylaws or adopt new bylaws or</w:t>
      </w:r>
    </w:p>
    <w:p>
      <w:pPr>
        <w:spacing w:after="0" w:line="18" w:lineRule="exact"/>
        <w:rPr>
          <w:rFonts w:ascii="Arial" w:cs="Arial" w:eastAsia="Arial" w:hAnsi="Arial"/>
          <w:sz w:val="16"/>
          <w:szCs w:val="16"/>
          <w:color w:val="56C271"/>
        </w:rPr>
      </w:pPr>
    </w:p>
    <w:p>
      <w:pPr>
        <w:ind w:left="267" w:right="959" w:hanging="267"/>
        <w:spacing w:after="0" w:line="260" w:lineRule="auto"/>
        <w:tabs>
          <w:tab w:leader="none" w:pos="267" w:val="left"/>
        </w:tabs>
        <w:numPr>
          <w:ilvl w:val="0"/>
          <w:numId w:val="35"/>
        </w:numPr>
        <w:rPr>
          <w:rFonts w:ascii="Arial" w:cs="Arial" w:eastAsia="Arial" w:hAnsi="Arial"/>
          <w:sz w:val="16"/>
          <w:szCs w:val="16"/>
          <w:color w:val="56C271"/>
        </w:rPr>
      </w:pPr>
      <w:r>
        <w:rPr>
          <w:rFonts w:ascii="Arial" w:cs="Arial" w:eastAsia="Arial" w:hAnsi="Arial"/>
          <w:sz w:val="16"/>
          <w:szCs w:val="16"/>
          <w:color w:val="auto"/>
        </w:rPr>
        <w:t>Amend or repeal any Board resolutions which, by its terms, are not amendable or repealable.</w:t>
      </w:r>
    </w:p>
    <w:p>
      <w:pPr>
        <w:spacing w:after="0" w:line="179" w:lineRule="exact"/>
        <w:rPr>
          <w:sz w:val="20"/>
          <w:szCs w:val="20"/>
          <w:color w:val="auto"/>
        </w:rPr>
      </w:pPr>
    </w:p>
    <w:p>
      <w:pPr>
        <w:sectPr>
          <w:pgSz w:w="11900" w:h="16838" w:orient="portrait"/>
          <w:cols w:equalWidth="0" w:num="2">
            <w:col w:w="3220" w:space="673"/>
            <w:col w:w="5986"/>
          </w:cols>
          <w:pgMar w:left="580" w:top="131" w:right="1440" w:bottom="1440" w:gutter="0" w:footer="0" w:header="0"/>
          <w:type w:val="continuous"/>
        </w:sectPr>
      </w:pPr>
    </w:p>
    <w:p>
      <w:pPr>
        <w:ind w:left="1000" w:right="979"/>
        <w:spacing w:after="0" w:line="261" w:lineRule="auto"/>
        <w:rPr>
          <w:sz w:val="20"/>
          <w:szCs w:val="20"/>
          <w:color w:val="auto"/>
        </w:rPr>
      </w:pPr>
      <w:r>
        <w:rPr>
          <w:rFonts w:ascii="Arial" w:cs="Arial" w:eastAsia="Arial" w:hAnsi="Arial"/>
          <w:sz w:val="18"/>
          <w:szCs w:val="18"/>
          <w:color w:val="auto"/>
        </w:rPr>
        <w:t>All the members of the Executive Committee meet the independence requirements of Nasdaq listing standards and the independence standards adopted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482725" cy="29146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720"/>
        <w:spacing w:after="0"/>
        <w:rPr>
          <w:sz w:val="20"/>
          <w:szCs w:val="20"/>
          <w:color w:val="auto"/>
        </w:rPr>
      </w:pPr>
      <w:r>
        <w:rPr>
          <w:rFonts w:ascii="Arial" w:cs="Arial" w:eastAsia="Arial" w:hAnsi="Arial"/>
          <w:sz w:val="40"/>
          <w:szCs w:val="40"/>
          <w:b w:val="1"/>
          <w:bCs w:val="1"/>
          <w:color w:val="FEFEFE"/>
        </w:rPr>
        <w:t>DIRECTOR COMPENSATION</w:t>
      </w:r>
    </w:p>
    <w:p>
      <w:pPr>
        <w:spacing w:after="0" w:line="366" w:lineRule="exact"/>
        <w:rPr>
          <w:sz w:val="20"/>
          <w:szCs w:val="20"/>
          <w:color w:val="auto"/>
        </w:rPr>
      </w:pPr>
    </w:p>
    <w:p>
      <w:pPr>
        <w:ind w:left="1000" w:right="599"/>
        <w:spacing w:after="0" w:line="254" w:lineRule="auto"/>
        <w:rPr>
          <w:sz w:val="20"/>
          <w:szCs w:val="20"/>
          <w:color w:val="auto"/>
        </w:rPr>
      </w:pPr>
      <w:r>
        <w:rPr>
          <w:rFonts w:ascii="Arial" w:cs="Arial" w:eastAsia="Arial" w:hAnsi="Arial"/>
          <w:sz w:val="18"/>
          <w:szCs w:val="18"/>
          <w:color w:val="auto"/>
        </w:rPr>
        <w:t>Directors who are also officers or employees of the Company do not receive any special or additional remuneration for service on the Board. Upon the recommendations of the Compensation and Leadership Development Committee and approvals of the Board of Directors, non-employee Directors received compensation for their services on the Board for fiscal 2021 as set out below.</w:t>
      </w:r>
    </w:p>
    <w:p>
      <w:pPr>
        <w:spacing w:after="0" w:line="164"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6440" w:type="dxa"/>
            <w:vAlign w:val="bottom"/>
            <w:shd w:val="clear" w:color="auto" w:fill="56C271"/>
          </w:tcPr>
          <w:p>
            <w:pPr>
              <w:ind w:left="80"/>
              <w:spacing w:after="0"/>
              <w:rPr>
                <w:sz w:val="20"/>
                <w:szCs w:val="20"/>
                <w:color w:val="auto"/>
              </w:rPr>
            </w:pPr>
            <w:r>
              <w:rPr>
                <w:rFonts w:ascii="Arial" w:cs="Arial" w:eastAsia="Arial" w:hAnsi="Arial"/>
                <w:sz w:val="14"/>
                <w:szCs w:val="14"/>
                <w:b w:val="1"/>
                <w:bCs w:val="1"/>
                <w:color w:val="FEFEFE"/>
              </w:rPr>
              <w:t>Annual Compensation Components:</w:t>
            </w:r>
          </w:p>
        </w:tc>
        <w:tc>
          <w:tcPr>
            <w:tcW w:w="800" w:type="dxa"/>
            <w:vAlign w:val="bottom"/>
            <w:shd w:val="clear" w:color="auto" w:fill="56C271"/>
          </w:tcPr>
          <w:p>
            <w:pPr>
              <w:spacing w:after="0"/>
              <w:rPr>
                <w:sz w:val="18"/>
                <w:szCs w:val="18"/>
                <w:color w:val="auto"/>
              </w:rPr>
            </w:pPr>
          </w:p>
        </w:tc>
        <w:tc>
          <w:tcPr>
            <w:tcW w:w="780" w:type="dxa"/>
            <w:vAlign w:val="bottom"/>
            <w:shd w:val="clear" w:color="auto" w:fill="56C271"/>
          </w:tcPr>
          <w:p>
            <w:pPr>
              <w:spacing w:after="0"/>
              <w:rPr>
                <w:sz w:val="18"/>
                <w:szCs w:val="18"/>
                <w:color w:val="auto"/>
              </w:rPr>
            </w:pPr>
          </w:p>
        </w:tc>
      </w:tr>
      <w:tr>
        <w:trPr>
          <w:trHeight w:val="283"/>
        </w:trPr>
        <w:tc>
          <w:tcPr>
            <w:tcW w:w="6440" w:type="dxa"/>
            <w:vAlign w:val="bottom"/>
          </w:tcPr>
          <w:p>
            <w:pPr>
              <w:ind w:left="80"/>
              <w:spacing w:after="0"/>
              <w:rPr>
                <w:sz w:val="20"/>
                <w:szCs w:val="20"/>
                <w:color w:val="auto"/>
              </w:rPr>
            </w:pPr>
            <w:r>
              <w:rPr>
                <w:rFonts w:ascii="Arial" w:cs="Arial" w:eastAsia="Arial" w:hAnsi="Arial"/>
                <w:sz w:val="18"/>
                <w:szCs w:val="18"/>
                <w:color w:val="auto"/>
              </w:rPr>
              <w:t>Cash Retainer</w:t>
            </w:r>
            <w:r>
              <w:rPr>
                <w:rFonts w:ascii="Arial" w:cs="Arial" w:eastAsia="Arial" w:hAnsi="Arial"/>
                <w:sz w:val="23"/>
                <w:szCs w:val="23"/>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100,000</w:t>
            </w:r>
          </w:p>
        </w:tc>
      </w:tr>
      <w:tr>
        <w:trPr>
          <w:trHeight w:val="283"/>
        </w:trPr>
        <w:tc>
          <w:tcPr>
            <w:tcW w:w="6440" w:type="dxa"/>
            <w:vAlign w:val="bottom"/>
            <w:shd w:val="clear" w:color="auto" w:fill="CCEDD4"/>
          </w:tcPr>
          <w:p>
            <w:pPr>
              <w:ind w:left="80"/>
              <w:spacing w:after="0"/>
              <w:rPr>
                <w:sz w:val="20"/>
                <w:szCs w:val="20"/>
                <w:color w:val="auto"/>
              </w:rPr>
            </w:pPr>
            <w:r>
              <w:rPr>
                <w:rFonts w:ascii="Arial" w:cs="Arial" w:eastAsia="Arial" w:hAnsi="Arial"/>
                <w:sz w:val="18"/>
                <w:szCs w:val="18"/>
                <w:color w:val="auto"/>
              </w:rPr>
              <w:t>Equity</w:t>
            </w:r>
            <w:r>
              <w:rPr>
                <w:rFonts w:ascii="Arial" w:cs="Arial" w:eastAsia="Arial" w:hAnsi="Arial"/>
                <w:sz w:val="23"/>
                <w:szCs w:val="23"/>
                <w:color w:val="auto"/>
                <w:vertAlign w:val="superscript"/>
              </w:rPr>
              <w:t>(2)</w:t>
            </w:r>
          </w:p>
        </w:tc>
        <w:tc>
          <w:tcPr>
            <w:tcW w:w="8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DD4"/>
          </w:tcPr>
          <w:p>
            <w:pPr>
              <w:jc w:val="right"/>
              <w:ind w:right="30"/>
              <w:spacing w:after="0"/>
              <w:rPr>
                <w:sz w:val="20"/>
                <w:szCs w:val="20"/>
                <w:color w:val="auto"/>
              </w:rPr>
            </w:pPr>
            <w:r>
              <w:rPr>
                <w:rFonts w:ascii="Arial" w:cs="Arial" w:eastAsia="Arial" w:hAnsi="Arial"/>
                <w:sz w:val="18"/>
                <w:szCs w:val="18"/>
                <w:color w:val="auto"/>
                <w:w w:val="98"/>
              </w:rPr>
              <w:t>160,000</w:t>
            </w:r>
          </w:p>
        </w:tc>
      </w:tr>
      <w:tr>
        <w:trPr>
          <w:trHeight w:val="257"/>
        </w:trPr>
        <w:tc>
          <w:tcPr>
            <w:tcW w:w="6440" w:type="dxa"/>
            <w:vAlign w:val="bottom"/>
          </w:tcPr>
          <w:p>
            <w:pPr>
              <w:ind w:left="26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260,000</w:t>
            </w:r>
          </w:p>
        </w:tc>
      </w:tr>
      <w:tr>
        <w:trPr>
          <w:trHeight w:val="309"/>
        </w:trPr>
        <w:tc>
          <w:tcPr>
            <w:tcW w:w="6440" w:type="dxa"/>
            <w:vAlign w:val="bottom"/>
            <w:tcBorders>
              <w:bottom w:val="single" w:sz="8" w:color="CCEDD4"/>
            </w:tcBorders>
            <w:shd w:val="clear" w:color="auto" w:fill="CCEDD4"/>
          </w:tcPr>
          <w:p>
            <w:pPr>
              <w:ind w:left="260"/>
              <w:spacing w:after="0"/>
              <w:rPr>
                <w:sz w:val="20"/>
                <w:szCs w:val="20"/>
                <w:color w:val="auto"/>
              </w:rPr>
            </w:pPr>
            <w:r>
              <w:rPr>
                <w:rFonts w:ascii="Arial" w:cs="Arial" w:eastAsia="Arial" w:hAnsi="Arial"/>
                <w:sz w:val="18"/>
                <w:szCs w:val="18"/>
                <w:color w:val="auto"/>
              </w:rPr>
              <w:t>% of Cash to Equity</w:t>
            </w:r>
          </w:p>
        </w:tc>
        <w:tc>
          <w:tcPr>
            <w:tcW w:w="800" w:type="dxa"/>
            <w:vAlign w:val="bottom"/>
            <w:tcBorders>
              <w:bottom w:val="single" w:sz="8" w:color="CCEDD4"/>
            </w:tcBorders>
            <w:shd w:val="clear" w:color="auto" w:fill="CCEDD4"/>
          </w:tcPr>
          <w:p>
            <w:pPr>
              <w:spacing w:after="0"/>
              <w:rPr>
                <w:sz w:val="24"/>
                <w:szCs w:val="24"/>
                <w:color w:val="auto"/>
              </w:rPr>
            </w:pPr>
          </w:p>
        </w:tc>
        <w:tc>
          <w:tcPr>
            <w:tcW w:w="780" w:type="dxa"/>
            <w:vAlign w:val="bottom"/>
            <w:tcBorders>
              <w:bottom w:val="single" w:sz="8" w:color="CCEDD4"/>
            </w:tcBorders>
            <w:shd w:val="clear" w:color="auto" w:fill="CCEDD4"/>
          </w:tcPr>
          <w:p>
            <w:pPr>
              <w:jc w:val="right"/>
              <w:ind w:right="30"/>
              <w:spacing w:after="0"/>
              <w:rPr>
                <w:sz w:val="20"/>
                <w:szCs w:val="20"/>
                <w:color w:val="auto"/>
              </w:rPr>
            </w:pPr>
            <w:r>
              <w:rPr>
                <w:rFonts w:ascii="Arial" w:cs="Arial" w:eastAsia="Arial" w:hAnsi="Arial"/>
                <w:sz w:val="18"/>
                <w:szCs w:val="18"/>
                <w:color w:val="auto"/>
              </w:rPr>
              <w:t>38/62</w:t>
            </w:r>
          </w:p>
        </w:tc>
      </w:tr>
      <w:tr>
        <w:trPr>
          <w:trHeight w:val="216"/>
        </w:trPr>
        <w:tc>
          <w:tcPr>
            <w:tcW w:w="6440" w:type="dxa"/>
            <w:vAlign w:val="bottom"/>
            <w:tcBorders>
              <w:top w:val="single" w:sz="8" w:color="56C271"/>
            </w:tcBorders>
          </w:tcPr>
          <w:p>
            <w:pPr>
              <w:spacing w:after="0"/>
              <w:rPr>
                <w:sz w:val="18"/>
                <w:szCs w:val="18"/>
                <w:color w:val="auto"/>
              </w:rPr>
            </w:pPr>
          </w:p>
        </w:tc>
        <w:tc>
          <w:tcPr>
            <w:tcW w:w="800" w:type="dxa"/>
            <w:vAlign w:val="bottom"/>
            <w:tcBorders>
              <w:top w:val="single" w:sz="8" w:color="56C271"/>
            </w:tcBorders>
          </w:tcPr>
          <w:p>
            <w:pPr>
              <w:spacing w:after="0"/>
              <w:rPr>
                <w:sz w:val="18"/>
                <w:szCs w:val="18"/>
                <w:color w:val="auto"/>
              </w:rPr>
            </w:pPr>
          </w:p>
        </w:tc>
        <w:tc>
          <w:tcPr>
            <w:tcW w:w="780" w:type="dxa"/>
            <w:vAlign w:val="bottom"/>
            <w:tcBorders>
              <w:top w:val="single" w:sz="8" w:color="56C271"/>
            </w:tcBorders>
          </w:tcPr>
          <w:p>
            <w:pPr>
              <w:spacing w:after="0"/>
              <w:rPr>
                <w:sz w:val="18"/>
                <w:szCs w:val="18"/>
                <w:color w:val="auto"/>
              </w:rPr>
            </w:pPr>
          </w:p>
        </w:tc>
      </w:tr>
      <w:tr>
        <w:trPr>
          <w:trHeight w:val="216"/>
        </w:trPr>
        <w:tc>
          <w:tcPr>
            <w:tcW w:w="6440" w:type="dxa"/>
            <w:vAlign w:val="bottom"/>
            <w:shd w:val="clear" w:color="auto" w:fill="56C271"/>
          </w:tcPr>
          <w:p>
            <w:pPr>
              <w:ind w:left="80"/>
              <w:spacing w:after="0"/>
              <w:rPr>
                <w:sz w:val="20"/>
                <w:szCs w:val="20"/>
                <w:color w:val="auto"/>
              </w:rPr>
            </w:pPr>
            <w:r>
              <w:rPr>
                <w:rFonts w:ascii="Arial" w:cs="Arial" w:eastAsia="Arial" w:hAnsi="Arial"/>
                <w:sz w:val="14"/>
                <w:szCs w:val="14"/>
                <w:b w:val="1"/>
                <w:bCs w:val="1"/>
                <w:color w:val="FEFEFE"/>
              </w:rPr>
              <w:t>Additional Annual Amounts:</w:t>
            </w:r>
            <w:r>
              <w:rPr>
                <w:rFonts w:ascii="Arial" w:cs="Arial" w:eastAsia="Arial" w:hAnsi="Arial"/>
                <w:sz w:val="17"/>
                <w:szCs w:val="17"/>
                <w:b w:val="1"/>
                <w:bCs w:val="1"/>
                <w:color w:val="FEFEFE"/>
                <w:vertAlign w:val="superscript"/>
              </w:rPr>
              <w:t>(1)</w:t>
            </w:r>
          </w:p>
        </w:tc>
        <w:tc>
          <w:tcPr>
            <w:tcW w:w="800" w:type="dxa"/>
            <w:vAlign w:val="bottom"/>
            <w:shd w:val="clear" w:color="auto" w:fill="56C271"/>
          </w:tcPr>
          <w:p>
            <w:pPr>
              <w:spacing w:after="0"/>
              <w:rPr>
                <w:sz w:val="18"/>
                <w:szCs w:val="18"/>
                <w:color w:val="auto"/>
              </w:rPr>
            </w:pPr>
          </w:p>
        </w:tc>
        <w:tc>
          <w:tcPr>
            <w:tcW w:w="780" w:type="dxa"/>
            <w:vAlign w:val="bottom"/>
            <w:shd w:val="clear" w:color="auto" w:fill="56C271"/>
          </w:tcPr>
          <w:p>
            <w:pPr>
              <w:spacing w:after="0"/>
              <w:rPr>
                <w:sz w:val="18"/>
                <w:szCs w:val="18"/>
                <w:color w:val="auto"/>
              </w:rPr>
            </w:pPr>
          </w:p>
        </w:tc>
      </w:tr>
      <w:tr>
        <w:trPr>
          <w:trHeight w:val="257"/>
        </w:trPr>
        <w:tc>
          <w:tcPr>
            <w:tcW w:w="6440" w:type="dxa"/>
            <w:vAlign w:val="bottom"/>
          </w:tcPr>
          <w:p>
            <w:pPr>
              <w:ind w:left="80"/>
              <w:spacing w:after="0"/>
              <w:rPr>
                <w:sz w:val="20"/>
                <w:szCs w:val="20"/>
                <w:color w:val="auto"/>
              </w:rPr>
            </w:pPr>
            <w:r>
              <w:rPr>
                <w:rFonts w:ascii="Arial" w:cs="Arial" w:eastAsia="Arial" w:hAnsi="Arial"/>
                <w:sz w:val="18"/>
                <w:szCs w:val="18"/>
                <w:color w:val="auto"/>
              </w:rPr>
              <w:t>Independent Chair Retainer</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175,000</w:t>
            </w:r>
          </w:p>
        </w:tc>
      </w:tr>
      <w:tr>
        <w:trPr>
          <w:trHeight w:val="283"/>
        </w:trPr>
        <w:tc>
          <w:tcPr>
            <w:tcW w:w="6440" w:type="dxa"/>
            <w:vAlign w:val="bottom"/>
            <w:shd w:val="clear" w:color="auto" w:fill="CCEDD4"/>
          </w:tcPr>
          <w:p>
            <w:pPr>
              <w:ind w:left="80"/>
              <w:spacing w:after="0"/>
              <w:rPr>
                <w:sz w:val="20"/>
                <w:szCs w:val="20"/>
                <w:color w:val="auto"/>
              </w:rPr>
            </w:pPr>
            <w:r>
              <w:rPr>
                <w:rFonts w:ascii="Arial" w:cs="Arial" w:eastAsia="Arial" w:hAnsi="Arial"/>
                <w:sz w:val="18"/>
                <w:szCs w:val="18"/>
                <w:color w:val="auto"/>
              </w:rPr>
              <w:t>Audit Committee Chair Retainer</w:t>
            </w:r>
            <w:r>
              <w:rPr>
                <w:rFonts w:ascii="Arial" w:cs="Arial" w:eastAsia="Arial" w:hAnsi="Arial"/>
                <w:sz w:val="23"/>
                <w:szCs w:val="23"/>
                <w:color w:val="auto"/>
                <w:vertAlign w:val="superscript"/>
              </w:rPr>
              <w:t>(3)</w:t>
            </w:r>
          </w:p>
        </w:tc>
        <w:tc>
          <w:tcPr>
            <w:tcW w:w="8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DD4"/>
          </w:tcPr>
          <w:p>
            <w:pPr>
              <w:jc w:val="right"/>
              <w:ind w:right="30"/>
              <w:spacing w:after="0"/>
              <w:rPr>
                <w:sz w:val="20"/>
                <w:szCs w:val="20"/>
                <w:color w:val="auto"/>
              </w:rPr>
            </w:pPr>
            <w:r>
              <w:rPr>
                <w:rFonts w:ascii="Arial" w:cs="Arial" w:eastAsia="Arial" w:hAnsi="Arial"/>
                <w:sz w:val="18"/>
                <w:szCs w:val="18"/>
                <w:color w:val="auto"/>
              </w:rPr>
              <w:t>25,000</w:t>
            </w:r>
          </w:p>
        </w:tc>
      </w:tr>
      <w:tr>
        <w:trPr>
          <w:trHeight w:val="257"/>
        </w:trPr>
        <w:tc>
          <w:tcPr>
            <w:tcW w:w="6440" w:type="dxa"/>
            <w:vAlign w:val="bottom"/>
          </w:tcPr>
          <w:p>
            <w:pPr>
              <w:ind w:left="80"/>
              <w:spacing w:after="0"/>
              <w:rPr>
                <w:sz w:val="20"/>
                <w:szCs w:val="20"/>
                <w:color w:val="auto"/>
              </w:rPr>
            </w:pPr>
            <w:r>
              <w:rPr>
                <w:rFonts w:ascii="Arial" w:cs="Arial" w:eastAsia="Arial" w:hAnsi="Arial"/>
                <w:sz w:val="18"/>
                <w:szCs w:val="18"/>
                <w:color w:val="auto"/>
              </w:rPr>
              <w:t>Audit Committee Retainer</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7,500</w:t>
            </w:r>
          </w:p>
        </w:tc>
      </w:tr>
      <w:tr>
        <w:trPr>
          <w:trHeight w:val="270"/>
        </w:trPr>
        <w:tc>
          <w:tcPr>
            <w:tcW w:w="6440" w:type="dxa"/>
            <w:vAlign w:val="bottom"/>
            <w:shd w:val="clear" w:color="auto" w:fill="CCEDD4"/>
          </w:tcPr>
          <w:p>
            <w:pPr>
              <w:ind w:left="80"/>
              <w:spacing w:after="0"/>
              <w:rPr>
                <w:sz w:val="20"/>
                <w:szCs w:val="20"/>
                <w:color w:val="auto"/>
              </w:rPr>
            </w:pPr>
            <w:r>
              <w:rPr>
                <w:rFonts w:ascii="Arial" w:cs="Arial" w:eastAsia="Arial" w:hAnsi="Arial"/>
                <w:sz w:val="18"/>
                <w:szCs w:val="18"/>
                <w:color w:val="auto"/>
              </w:rPr>
              <w:t>Compensation and Leadership Development Committee Chair Retainer</w:t>
            </w:r>
          </w:p>
        </w:tc>
        <w:tc>
          <w:tcPr>
            <w:tcW w:w="8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DD4"/>
          </w:tcPr>
          <w:p>
            <w:pPr>
              <w:jc w:val="right"/>
              <w:ind w:right="30"/>
              <w:spacing w:after="0"/>
              <w:rPr>
                <w:sz w:val="20"/>
                <w:szCs w:val="20"/>
                <w:color w:val="auto"/>
              </w:rPr>
            </w:pPr>
            <w:r>
              <w:rPr>
                <w:rFonts w:ascii="Arial" w:cs="Arial" w:eastAsia="Arial" w:hAnsi="Arial"/>
                <w:sz w:val="18"/>
                <w:szCs w:val="18"/>
                <w:color w:val="auto"/>
              </w:rPr>
              <w:t>20,000</w:t>
            </w:r>
          </w:p>
        </w:tc>
      </w:tr>
      <w:tr>
        <w:trPr>
          <w:trHeight w:val="270"/>
        </w:trPr>
        <w:tc>
          <w:tcPr>
            <w:tcW w:w="6440" w:type="dxa"/>
            <w:vAlign w:val="bottom"/>
          </w:tcPr>
          <w:p>
            <w:pPr>
              <w:ind w:left="80"/>
              <w:spacing w:after="0"/>
              <w:rPr>
                <w:sz w:val="20"/>
                <w:szCs w:val="20"/>
                <w:color w:val="auto"/>
              </w:rPr>
            </w:pPr>
            <w:r>
              <w:rPr>
                <w:rFonts w:ascii="Arial" w:cs="Arial" w:eastAsia="Arial" w:hAnsi="Arial"/>
                <w:sz w:val="18"/>
                <w:szCs w:val="18"/>
                <w:color w:val="auto"/>
              </w:rPr>
              <w:t>Corporate Governance Committee Chair Retainer</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15,000</w:t>
            </w:r>
          </w:p>
        </w:tc>
      </w:tr>
      <w:tr>
        <w:trPr>
          <w:trHeight w:val="290"/>
        </w:trPr>
        <w:tc>
          <w:tcPr>
            <w:tcW w:w="6440" w:type="dxa"/>
            <w:vAlign w:val="bottom"/>
            <w:tcBorders>
              <w:bottom w:val="single" w:sz="8" w:color="CCEDD4"/>
            </w:tcBorders>
            <w:shd w:val="clear" w:color="auto" w:fill="CCEDD4"/>
          </w:tcPr>
          <w:p>
            <w:pPr>
              <w:ind w:left="80"/>
              <w:spacing w:after="0"/>
              <w:rPr>
                <w:sz w:val="20"/>
                <w:szCs w:val="20"/>
                <w:color w:val="auto"/>
              </w:rPr>
            </w:pPr>
            <w:r>
              <w:rPr>
                <w:rFonts w:ascii="Arial" w:cs="Arial" w:eastAsia="Arial" w:hAnsi="Arial"/>
                <w:sz w:val="18"/>
                <w:szCs w:val="18"/>
                <w:color w:val="auto"/>
              </w:rPr>
              <w:t>Finance Committee Chair Retainer</w:t>
            </w:r>
          </w:p>
        </w:tc>
        <w:tc>
          <w:tcPr>
            <w:tcW w:w="80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DD4"/>
            </w:tcBorders>
            <w:shd w:val="clear" w:color="auto" w:fill="CCEDD4"/>
          </w:tcPr>
          <w:p>
            <w:pPr>
              <w:jc w:val="right"/>
              <w:ind w:right="30"/>
              <w:spacing w:after="0"/>
              <w:rPr>
                <w:sz w:val="20"/>
                <w:szCs w:val="20"/>
                <w:color w:val="auto"/>
              </w:rPr>
            </w:pPr>
            <w:r>
              <w:rPr>
                <w:rFonts w:ascii="Arial" w:cs="Arial" w:eastAsia="Arial" w:hAnsi="Arial"/>
                <w:sz w:val="18"/>
                <w:szCs w:val="18"/>
                <w:color w:val="auto"/>
              </w:rPr>
              <w:t>15,000</w:t>
            </w:r>
          </w:p>
        </w:tc>
      </w:tr>
      <w:tr>
        <w:trPr>
          <w:trHeight w:val="27"/>
        </w:trPr>
        <w:tc>
          <w:tcPr>
            <w:tcW w:w="6440" w:type="dxa"/>
            <w:vAlign w:val="bottom"/>
            <w:shd w:val="clear" w:color="auto" w:fill="56C271"/>
          </w:tcPr>
          <w:p>
            <w:pPr>
              <w:spacing w:after="0"/>
              <w:rPr>
                <w:sz w:val="2"/>
                <w:szCs w:val="2"/>
                <w:color w:val="auto"/>
              </w:rPr>
            </w:pPr>
          </w:p>
        </w:tc>
        <w:tc>
          <w:tcPr>
            <w:tcW w:w="800" w:type="dxa"/>
            <w:vAlign w:val="bottom"/>
            <w:shd w:val="clear" w:color="auto" w:fill="56C271"/>
          </w:tcPr>
          <w:p>
            <w:pPr>
              <w:spacing w:after="0"/>
              <w:rPr>
                <w:sz w:val="2"/>
                <w:szCs w:val="2"/>
                <w:color w:val="auto"/>
              </w:rPr>
            </w:pPr>
          </w:p>
        </w:tc>
        <w:tc>
          <w:tcPr>
            <w:tcW w:w="780" w:type="dxa"/>
            <w:vAlign w:val="bottom"/>
            <w:shd w:val="clear" w:color="auto" w:fill="56C271"/>
          </w:tcPr>
          <w:p>
            <w:pPr>
              <w:spacing w:after="0"/>
              <w:rPr>
                <w:sz w:val="2"/>
                <w:szCs w:val="2"/>
                <w:color w:val="auto"/>
              </w:rPr>
            </w:pPr>
          </w:p>
        </w:tc>
      </w:tr>
    </w:tbl>
    <w:p>
      <w:pPr>
        <w:spacing w:after="0" w:line="80" w:lineRule="exact"/>
        <w:rPr>
          <w:sz w:val="20"/>
          <w:szCs w:val="20"/>
          <w:color w:val="auto"/>
        </w:rPr>
      </w:pPr>
    </w:p>
    <w:p>
      <w:pPr>
        <w:ind w:left="2080" w:right="219" w:hanging="730"/>
        <w:spacing w:after="0" w:line="254" w:lineRule="auto"/>
        <w:tabs>
          <w:tab w:leader="none" w:pos="2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Paid in equal quarterly installments, unless the Director elects to defer under the Avnet Deferred Compensation Plan for Outside Directors, which is described in more detail under the caption “Deferred Compensation Plan” below. If elected as a Director after January 1st, the amount is prorated based on the date of election.</w:t>
      </w:r>
    </w:p>
    <w:p>
      <w:pPr>
        <w:spacing w:after="0" w:line="55" w:lineRule="exact"/>
        <w:rPr>
          <w:rFonts w:ascii="Arial" w:cs="Arial" w:eastAsia="Arial" w:hAnsi="Arial"/>
          <w:sz w:val="18"/>
          <w:szCs w:val="18"/>
          <w:color w:val="auto"/>
        </w:rPr>
      </w:pPr>
    </w:p>
    <w:p>
      <w:pPr>
        <w:jc w:val="both"/>
        <w:ind w:left="2080" w:right="299" w:hanging="730"/>
        <w:spacing w:after="0" w:line="256" w:lineRule="auto"/>
        <w:tabs>
          <w:tab w:leader="none" w:pos="2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delivered each January, unless the Director elects to defer under the Avnet Deferred Compensation Plan for Outside Directors. If elected as a Director after January 1st, the amount is prorated based on the date of election and delivered at such time.</w:t>
      </w:r>
    </w:p>
    <w:p>
      <w:pPr>
        <w:spacing w:after="0" w:line="53" w:lineRule="exact"/>
        <w:rPr>
          <w:rFonts w:ascii="Arial" w:cs="Arial" w:eastAsia="Arial" w:hAnsi="Arial"/>
          <w:sz w:val="18"/>
          <w:szCs w:val="18"/>
          <w:color w:val="auto"/>
        </w:rPr>
      </w:pPr>
    </w:p>
    <w:p>
      <w:pPr>
        <w:ind w:left="2080" w:hanging="730"/>
        <w:spacing w:after="0"/>
        <w:tabs>
          <w:tab w:leader="none" w:pos="2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Audit Committee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2620645</wp:posOffset>
            </wp:positionV>
            <wp:extent cx="1482725" cy="300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Director Compensation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219"/>
        <w:spacing w:after="0" w:line="261" w:lineRule="auto"/>
        <w:rPr>
          <w:sz w:val="20"/>
          <w:szCs w:val="20"/>
          <w:color w:val="auto"/>
        </w:rPr>
      </w:pPr>
      <w:r>
        <w:rPr>
          <w:rFonts w:ascii="Arial" w:cs="Arial" w:eastAsia="Arial" w:hAnsi="Arial"/>
          <w:sz w:val="18"/>
          <w:szCs w:val="18"/>
          <w:color w:val="auto"/>
        </w:rPr>
        <w:t>The following table shows the total dollar value of all fees earned by and paid to all non-employee Directors in fiscal 2021 and the grant date fair value of stock awards to non-employee Directors made in fiscal 2021.</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3780" w:type="dxa"/>
            <w:vAlign w:val="bottom"/>
            <w:shd w:val="clear" w:color="auto" w:fill="56C271"/>
          </w:tcPr>
          <w:p>
            <w:pPr>
              <w:spacing w:after="0"/>
              <w:rPr>
                <w:sz w:val="16"/>
                <w:szCs w:val="16"/>
                <w:color w:val="auto"/>
              </w:rPr>
            </w:pPr>
          </w:p>
        </w:tc>
        <w:tc>
          <w:tcPr>
            <w:tcW w:w="2900" w:type="dxa"/>
            <w:vAlign w:val="bottom"/>
            <w:shd w:val="clear" w:color="auto" w:fill="56C271"/>
          </w:tcPr>
          <w:p>
            <w:pPr>
              <w:jc w:val="right"/>
              <w:ind w:right="75"/>
              <w:spacing w:after="0"/>
              <w:rPr>
                <w:sz w:val="20"/>
                <w:szCs w:val="20"/>
                <w:color w:val="auto"/>
              </w:rPr>
            </w:pPr>
            <w:r>
              <w:rPr>
                <w:rFonts w:ascii="Arial" w:cs="Arial" w:eastAsia="Arial" w:hAnsi="Arial"/>
                <w:sz w:val="14"/>
                <w:szCs w:val="14"/>
                <w:b w:val="1"/>
                <w:bCs w:val="1"/>
                <w:color w:val="FEFEFE"/>
              </w:rPr>
              <w:t>Fees Earned or</w:t>
            </w:r>
          </w:p>
        </w:tc>
        <w:tc>
          <w:tcPr>
            <w:tcW w:w="1200" w:type="dxa"/>
            <w:vAlign w:val="bottom"/>
            <w:shd w:val="clear" w:color="auto" w:fill="56C271"/>
          </w:tcPr>
          <w:p>
            <w:pPr>
              <w:spacing w:after="0"/>
              <w:rPr>
                <w:sz w:val="16"/>
                <w:szCs w:val="16"/>
                <w:color w:val="auto"/>
              </w:rPr>
            </w:pPr>
          </w:p>
        </w:tc>
        <w:tc>
          <w:tcPr>
            <w:tcW w:w="880" w:type="dxa"/>
            <w:vAlign w:val="bottom"/>
            <w:shd w:val="clear" w:color="auto" w:fill="56C271"/>
          </w:tcPr>
          <w:p>
            <w:pPr>
              <w:spacing w:after="0"/>
              <w:rPr>
                <w:sz w:val="16"/>
                <w:szCs w:val="16"/>
                <w:color w:val="auto"/>
              </w:rPr>
            </w:pPr>
          </w:p>
        </w:tc>
      </w:tr>
      <w:tr>
        <w:trPr>
          <w:trHeight w:val="162"/>
        </w:trPr>
        <w:tc>
          <w:tcPr>
            <w:tcW w:w="3780" w:type="dxa"/>
            <w:vAlign w:val="bottom"/>
            <w:shd w:val="clear" w:color="auto" w:fill="56C271"/>
          </w:tcPr>
          <w:p>
            <w:pPr>
              <w:spacing w:after="0"/>
              <w:rPr>
                <w:sz w:val="14"/>
                <w:szCs w:val="14"/>
                <w:color w:val="auto"/>
              </w:rPr>
            </w:pPr>
          </w:p>
        </w:tc>
        <w:tc>
          <w:tcPr>
            <w:tcW w:w="2900" w:type="dxa"/>
            <w:vAlign w:val="bottom"/>
            <w:shd w:val="clear" w:color="auto" w:fill="56C271"/>
          </w:tcPr>
          <w:p>
            <w:pPr>
              <w:jc w:val="right"/>
              <w:ind w:right="75"/>
              <w:spacing w:after="0"/>
              <w:rPr>
                <w:sz w:val="20"/>
                <w:szCs w:val="20"/>
                <w:color w:val="auto"/>
              </w:rPr>
            </w:pPr>
            <w:r>
              <w:rPr>
                <w:rFonts w:ascii="Arial" w:cs="Arial" w:eastAsia="Arial" w:hAnsi="Arial"/>
                <w:sz w:val="14"/>
                <w:szCs w:val="14"/>
                <w:b w:val="1"/>
                <w:bCs w:val="1"/>
                <w:color w:val="FEFEFE"/>
              </w:rPr>
              <w:t>Paid in Cash</w:t>
            </w:r>
          </w:p>
        </w:tc>
        <w:tc>
          <w:tcPr>
            <w:tcW w:w="120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w w:val="99"/>
              </w:rPr>
              <w:t>Stock Awards</w:t>
            </w:r>
          </w:p>
        </w:tc>
        <w:tc>
          <w:tcPr>
            <w:tcW w:w="880" w:type="dxa"/>
            <w:vAlign w:val="bottom"/>
            <w:shd w:val="clear" w:color="auto" w:fill="56C271"/>
          </w:tcPr>
          <w:p>
            <w:pPr>
              <w:jc w:val="right"/>
              <w:ind w:right="74"/>
              <w:spacing w:after="0"/>
              <w:rPr>
                <w:sz w:val="20"/>
                <w:szCs w:val="20"/>
                <w:color w:val="auto"/>
              </w:rPr>
            </w:pPr>
            <w:r>
              <w:rPr>
                <w:rFonts w:ascii="Arial" w:cs="Arial" w:eastAsia="Arial" w:hAnsi="Arial"/>
                <w:sz w:val="14"/>
                <w:szCs w:val="14"/>
                <w:b w:val="1"/>
                <w:bCs w:val="1"/>
                <w:color w:val="FEFEFE"/>
              </w:rPr>
              <w:t>Total</w:t>
            </w:r>
          </w:p>
        </w:tc>
      </w:tr>
      <w:tr>
        <w:trPr>
          <w:trHeight w:val="189"/>
        </w:trPr>
        <w:tc>
          <w:tcPr>
            <w:tcW w:w="3780" w:type="dxa"/>
            <w:vAlign w:val="bottom"/>
            <w:shd w:val="clear" w:color="auto" w:fill="56C271"/>
          </w:tcPr>
          <w:p>
            <w:pPr>
              <w:ind w:left="100"/>
              <w:spacing w:after="0" w:line="189" w:lineRule="exact"/>
              <w:rPr>
                <w:sz w:val="20"/>
                <w:szCs w:val="20"/>
                <w:color w:val="auto"/>
              </w:rPr>
            </w:pPr>
            <w:r>
              <w:rPr>
                <w:rFonts w:ascii="Arial" w:cs="Arial" w:eastAsia="Arial" w:hAnsi="Arial"/>
                <w:sz w:val="21"/>
                <w:szCs w:val="21"/>
                <w:b w:val="1"/>
                <w:bCs w:val="1"/>
                <w:color w:val="FEFEFE"/>
                <w:vertAlign w:val="subscript"/>
              </w:rPr>
              <w:t>Name</w:t>
            </w:r>
            <w:r>
              <w:rPr>
                <w:rFonts w:ascii="Arial" w:cs="Arial" w:eastAsia="Arial" w:hAnsi="Arial"/>
                <w:sz w:val="8"/>
                <w:szCs w:val="8"/>
                <w:b w:val="1"/>
                <w:bCs w:val="1"/>
                <w:color w:val="FEFEFE"/>
              </w:rPr>
              <w:t>(1)(2)</w:t>
            </w:r>
          </w:p>
        </w:tc>
        <w:tc>
          <w:tcPr>
            <w:tcW w:w="2900" w:type="dxa"/>
            <w:vAlign w:val="bottom"/>
            <w:shd w:val="clear" w:color="auto" w:fill="56C271"/>
          </w:tcPr>
          <w:p>
            <w:pPr>
              <w:jc w:val="right"/>
              <w:ind w:right="35"/>
              <w:spacing w:after="0"/>
              <w:rPr>
                <w:sz w:val="20"/>
                <w:szCs w:val="20"/>
                <w:color w:val="auto"/>
              </w:rPr>
            </w:pPr>
            <w:r>
              <w:rPr>
                <w:rFonts w:ascii="Arial" w:cs="Arial" w:eastAsia="Arial" w:hAnsi="Arial"/>
                <w:sz w:val="14"/>
                <w:szCs w:val="14"/>
                <w:b w:val="1"/>
                <w:bCs w:val="1"/>
                <w:color w:val="FEFEFE"/>
              </w:rPr>
              <w:t>($)</w:t>
            </w:r>
          </w:p>
        </w:tc>
        <w:tc>
          <w:tcPr>
            <w:tcW w:w="1200" w:type="dxa"/>
            <w:vAlign w:val="bottom"/>
            <w:shd w:val="clear" w:color="auto" w:fill="56C271"/>
          </w:tcPr>
          <w:p>
            <w:pPr>
              <w:jc w:val="right"/>
              <w:ind w:right="34"/>
              <w:spacing w:after="0"/>
              <w:rPr>
                <w:sz w:val="20"/>
                <w:szCs w:val="20"/>
                <w:color w:val="auto"/>
              </w:rPr>
            </w:pPr>
            <w:r>
              <w:rPr>
                <w:rFonts w:ascii="Arial" w:cs="Arial" w:eastAsia="Arial" w:hAnsi="Arial"/>
                <w:sz w:val="14"/>
                <w:szCs w:val="14"/>
                <w:b w:val="1"/>
                <w:bCs w:val="1"/>
                <w:color w:val="FEFEFE"/>
              </w:rPr>
              <w:t>($)</w:t>
            </w:r>
          </w:p>
        </w:tc>
        <w:tc>
          <w:tcPr>
            <w:tcW w:w="880" w:type="dxa"/>
            <w:vAlign w:val="bottom"/>
            <w:shd w:val="clear" w:color="auto" w:fill="56C271"/>
          </w:tcPr>
          <w:p>
            <w:pPr>
              <w:jc w:val="right"/>
              <w:ind w:right="34"/>
              <w:spacing w:after="0"/>
              <w:rPr>
                <w:sz w:val="20"/>
                <w:szCs w:val="20"/>
                <w:color w:val="auto"/>
              </w:rPr>
            </w:pPr>
            <w:r>
              <w:rPr>
                <w:rFonts w:ascii="Arial" w:cs="Arial" w:eastAsia="Arial" w:hAnsi="Arial"/>
                <w:sz w:val="14"/>
                <w:szCs w:val="14"/>
                <w:b w:val="1"/>
                <w:bCs w:val="1"/>
                <w:color w:val="FEFEFE"/>
              </w:rPr>
              <w:t>($)</w:t>
            </w:r>
          </w:p>
        </w:tc>
      </w:tr>
      <w:tr>
        <w:trPr>
          <w:trHeight w:val="216"/>
        </w:trPr>
        <w:tc>
          <w:tcPr>
            <w:tcW w:w="3780" w:type="dxa"/>
            <w:vAlign w:val="bottom"/>
          </w:tcPr>
          <w:p>
            <w:pPr>
              <w:ind w:left="100"/>
              <w:spacing w:after="0"/>
              <w:rPr>
                <w:sz w:val="20"/>
                <w:szCs w:val="20"/>
                <w:color w:val="auto"/>
              </w:rPr>
            </w:pPr>
            <w:r>
              <w:rPr>
                <w:rFonts w:ascii="Arial" w:cs="Arial" w:eastAsia="Arial" w:hAnsi="Arial"/>
                <w:sz w:val="14"/>
                <w:szCs w:val="14"/>
                <w:b w:val="1"/>
                <w:bCs w:val="1"/>
                <w:color w:val="auto"/>
              </w:rPr>
              <w:t>(a)</w:t>
            </w:r>
          </w:p>
        </w:tc>
        <w:tc>
          <w:tcPr>
            <w:tcW w:w="2900" w:type="dxa"/>
            <w:vAlign w:val="bottom"/>
          </w:tcPr>
          <w:p>
            <w:pPr>
              <w:jc w:val="right"/>
              <w:ind w:right="175"/>
              <w:spacing w:after="0"/>
              <w:rPr>
                <w:sz w:val="20"/>
                <w:szCs w:val="20"/>
                <w:color w:val="auto"/>
              </w:rPr>
            </w:pPr>
            <w:r>
              <w:rPr>
                <w:rFonts w:ascii="Arial" w:cs="Arial" w:eastAsia="Arial" w:hAnsi="Arial"/>
                <w:sz w:val="14"/>
                <w:szCs w:val="14"/>
                <w:b w:val="1"/>
                <w:bCs w:val="1"/>
                <w:color w:val="auto"/>
              </w:rPr>
              <w:t>(b)</w:t>
            </w:r>
          </w:p>
        </w:tc>
        <w:tc>
          <w:tcPr>
            <w:tcW w:w="1200" w:type="dxa"/>
            <w:vAlign w:val="bottom"/>
          </w:tcPr>
          <w:p>
            <w:pPr>
              <w:jc w:val="right"/>
              <w:ind w:right="134"/>
              <w:spacing w:after="0"/>
              <w:rPr>
                <w:sz w:val="20"/>
                <w:szCs w:val="20"/>
                <w:color w:val="auto"/>
              </w:rPr>
            </w:pPr>
            <w:r>
              <w:rPr>
                <w:rFonts w:ascii="Arial" w:cs="Arial" w:eastAsia="Arial" w:hAnsi="Arial"/>
                <w:sz w:val="14"/>
                <w:szCs w:val="14"/>
                <w:b w:val="1"/>
                <w:bCs w:val="1"/>
                <w:color w:val="auto"/>
              </w:rPr>
              <w:t>(c)</w:t>
            </w: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(h)</w:t>
            </w:r>
          </w:p>
        </w:tc>
      </w:tr>
      <w:tr>
        <w:trPr>
          <w:trHeight w:val="257"/>
        </w:trPr>
        <w:tc>
          <w:tcPr>
            <w:tcW w:w="37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Rodney C. Adkins</w:t>
            </w:r>
          </w:p>
        </w:tc>
        <w:tc>
          <w:tcPr>
            <w:tcW w:w="2900" w:type="dxa"/>
            <w:vAlign w:val="bottom"/>
            <w:shd w:val="clear" w:color="auto" w:fill="CCEDD4"/>
          </w:tcPr>
          <w:p>
            <w:pPr>
              <w:jc w:val="right"/>
              <w:ind w:right="235"/>
              <w:spacing w:after="0"/>
              <w:rPr>
                <w:sz w:val="20"/>
                <w:szCs w:val="20"/>
                <w:color w:val="auto"/>
              </w:rPr>
            </w:pPr>
            <w:r>
              <w:rPr>
                <w:rFonts w:ascii="Arial" w:cs="Arial" w:eastAsia="Arial" w:hAnsi="Arial"/>
                <w:sz w:val="18"/>
                <w:szCs w:val="18"/>
                <w:color w:val="auto"/>
              </w:rPr>
              <w:t>349,375</w:t>
            </w:r>
          </w:p>
        </w:tc>
        <w:tc>
          <w:tcPr>
            <w:tcW w:w="1200" w:type="dxa"/>
            <w:vAlign w:val="bottom"/>
            <w:shd w:val="clear" w:color="auto" w:fill="CCEDD4"/>
          </w:tcPr>
          <w:p>
            <w:pPr>
              <w:jc w:val="center"/>
              <w:spacing w:after="0"/>
              <w:rPr>
                <w:sz w:val="20"/>
                <w:szCs w:val="20"/>
                <w:color w:val="auto"/>
              </w:rPr>
            </w:pPr>
            <w:r>
              <w:rPr>
                <w:rFonts w:ascii="Arial" w:cs="Arial" w:eastAsia="Arial" w:hAnsi="Arial"/>
                <w:sz w:val="18"/>
                <w:szCs w:val="18"/>
                <w:color w:val="auto"/>
              </w:rPr>
              <w:t>160,000</w:t>
            </w:r>
          </w:p>
        </w:tc>
        <w:tc>
          <w:tcPr>
            <w:tcW w:w="88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509,375</w:t>
            </w:r>
          </w:p>
        </w:tc>
      </w:tr>
      <w:tr>
        <w:trPr>
          <w:trHeight w:val="257"/>
        </w:trPr>
        <w:tc>
          <w:tcPr>
            <w:tcW w:w="3780" w:type="dxa"/>
            <w:vAlign w:val="bottom"/>
          </w:tcPr>
          <w:p>
            <w:pPr>
              <w:ind w:left="100"/>
              <w:spacing w:after="0"/>
              <w:rPr>
                <w:sz w:val="20"/>
                <w:szCs w:val="20"/>
                <w:color w:val="auto"/>
              </w:rPr>
            </w:pPr>
            <w:r>
              <w:rPr>
                <w:rFonts w:ascii="Arial" w:cs="Arial" w:eastAsia="Arial" w:hAnsi="Arial"/>
                <w:sz w:val="18"/>
                <w:szCs w:val="18"/>
                <w:color w:val="auto"/>
              </w:rPr>
              <w:t>Carlo Bozotti</w:t>
            </w:r>
          </w:p>
        </w:tc>
        <w:tc>
          <w:tcPr>
            <w:tcW w:w="2900" w:type="dxa"/>
            <w:vAlign w:val="bottom"/>
          </w:tcPr>
          <w:p>
            <w:pPr>
              <w:jc w:val="right"/>
              <w:ind w:right="235"/>
              <w:spacing w:after="0"/>
              <w:rPr>
                <w:sz w:val="20"/>
                <w:szCs w:val="20"/>
                <w:color w:val="auto"/>
              </w:rPr>
            </w:pPr>
            <w:r>
              <w:rPr>
                <w:rFonts w:ascii="Arial" w:cs="Arial" w:eastAsia="Arial" w:hAnsi="Arial"/>
                <w:sz w:val="18"/>
                <w:szCs w:val="18"/>
                <w:color w:val="auto"/>
              </w:rPr>
              <w:t>147,500</w:t>
            </w:r>
          </w:p>
        </w:tc>
        <w:tc>
          <w:tcPr>
            <w:tcW w:w="1200" w:type="dxa"/>
            <w:vAlign w:val="bottom"/>
          </w:tcPr>
          <w:p>
            <w:pPr>
              <w:jc w:val="center"/>
              <w:spacing w:after="0"/>
              <w:rPr>
                <w:sz w:val="20"/>
                <w:szCs w:val="20"/>
                <w:color w:val="auto"/>
              </w:rPr>
            </w:pPr>
            <w:r>
              <w:rPr>
                <w:rFonts w:ascii="Arial" w:cs="Arial" w:eastAsia="Arial" w:hAnsi="Arial"/>
                <w:sz w:val="18"/>
                <w:szCs w:val="18"/>
                <w:color w:val="auto"/>
              </w:rPr>
              <w:t>160,000</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307,500</w:t>
            </w:r>
          </w:p>
        </w:tc>
      </w:tr>
      <w:tr>
        <w:trPr>
          <w:trHeight w:val="256"/>
        </w:trPr>
        <w:tc>
          <w:tcPr>
            <w:tcW w:w="37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Michael A. Bradley</w:t>
            </w:r>
          </w:p>
        </w:tc>
        <w:tc>
          <w:tcPr>
            <w:tcW w:w="2900" w:type="dxa"/>
            <w:vAlign w:val="bottom"/>
            <w:shd w:val="clear" w:color="auto" w:fill="CCEDD4"/>
          </w:tcPr>
          <w:p>
            <w:pPr>
              <w:jc w:val="right"/>
              <w:ind w:right="235"/>
              <w:spacing w:after="0"/>
              <w:rPr>
                <w:sz w:val="20"/>
                <w:szCs w:val="20"/>
                <w:color w:val="auto"/>
              </w:rPr>
            </w:pPr>
            <w:r>
              <w:rPr>
                <w:rFonts w:ascii="Arial" w:cs="Arial" w:eastAsia="Arial" w:hAnsi="Arial"/>
                <w:sz w:val="18"/>
                <w:szCs w:val="18"/>
                <w:color w:val="auto"/>
              </w:rPr>
              <w:t>143,125</w:t>
            </w:r>
          </w:p>
        </w:tc>
        <w:tc>
          <w:tcPr>
            <w:tcW w:w="1200" w:type="dxa"/>
            <w:vAlign w:val="bottom"/>
            <w:shd w:val="clear" w:color="auto" w:fill="CCEDD4"/>
          </w:tcPr>
          <w:p>
            <w:pPr>
              <w:jc w:val="center"/>
              <w:spacing w:after="0"/>
              <w:rPr>
                <w:sz w:val="20"/>
                <w:szCs w:val="20"/>
                <w:color w:val="auto"/>
              </w:rPr>
            </w:pPr>
            <w:r>
              <w:rPr>
                <w:rFonts w:ascii="Arial" w:cs="Arial" w:eastAsia="Arial" w:hAnsi="Arial"/>
                <w:sz w:val="18"/>
                <w:szCs w:val="18"/>
                <w:color w:val="auto"/>
              </w:rPr>
              <w:t>160,000</w:t>
            </w:r>
          </w:p>
        </w:tc>
        <w:tc>
          <w:tcPr>
            <w:tcW w:w="88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303,125</w:t>
            </w:r>
          </w:p>
        </w:tc>
      </w:tr>
      <w:tr>
        <w:trPr>
          <w:trHeight w:val="257"/>
        </w:trPr>
        <w:tc>
          <w:tcPr>
            <w:tcW w:w="3780" w:type="dxa"/>
            <w:vAlign w:val="bottom"/>
          </w:tcPr>
          <w:p>
            <w:pPr>
              <w:ind w:left="100"/>
              <w:spacing w:after="0"/>
              <w:rPr>
                <w:sz w:val="20"/>
                <w:szCs w:val="20"/>
                <w:color w:val="auto"/>
              </w:rPr>
            </w:pPr>
            <w:r>
              <w:rPr>
                <w:rFonts w:ascii="Arial" w:cs="Arial" w:eastAsia="Arial" w:hAnsi="Arial"/>
                <w:sz w:val="18"/>
                <w:szCs w:val="18"/>
                <w:color w:val="auto"/>
              </w:rPr>
              <w:t>Brenda L. Freeman</w:t>
            </w:r>
          </w:p>
        </w:tc>
        <w:tc>
          <w:tcPr>
            <w:tcW w:w="2900" w:type="dxa"/>
            <w:vAlign w:val="bottom"/>
          </w:tcPr>
          <w:p>
            <w:pPr>
              <w:jc w:val="right"/>
              <w:ind w:right="235"/>
              <w:spacing w:after="0"/>
              <w:rPr>
                <w:sz w:val="20"/>
                <w:szCs w:val="20"/>
                <w:color w:val="auto"/>
              </w:rPr>
            </w:pPr>
            <w:r>
              <w:rPr>
                <w:rFonts w:ascii="Arial" w:cs="Arial" w:eastAsia="Arial" w:hAnsi="Arial"/>
                <w:sz w:val="18"/>
                <w:szCs w:val="18"/>
                <w:color w:val="auto"/>
              </w:rPr>
              <w:t>134,375</w:t>
            </w:r>
          </w:p>
        </w:tc>
        <w:tc>
          <w:tcPr>
            <w:tcW w:w="1200" w:type="dxa"/>
            <w:vAlign w:val="bottom"/>
          </w:tcPr>
          <w:p>
            <w:pPr>
              <w:jc w:val="center"/>
              <w:spacing w:after="0"/>
              <w:rPr>
                <w:sz w:val="20"/>
                <w:szCs w:val="20"/>
                <w:color w:val="auto"/>
              </w:rPr>
            </w:pPr>
            <w:r>
              <w:rPr>
                <w:rFonts w:ascii="Arial" w:cs="Arial" w:eastAsia="Arial" w:hAnsi="Arial"/>
                <w:sz w:val="18"/>
                <w:szCs w:val="18"/>
                <w:color w:val="auto"/>
              </w:rPr>
              <w:t>160,000</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294,375</w:t>
            </w:r>
          </w:p>
        </w:tc>
      </w:tr>
      <w:tr>
        <w:trPr>
          <w:trHeight w:val="257"/>
        </w:trPr>
        <w:tc>
          <w:tcPr>
            <w:tcW w:w="37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Jo Ann Jenkins</w:t>
            </w:r>
          </w:p>
        </w:tc>
        <w:tc>
          <w:tcPr>
            <w:tcW w:w="2900" w:type="dxa"/>
            <w:vAlign w:val="bottom"/>
            <w:shd w:val="clear" w:color="auto" w:fill="CCEDD4"/>
          </w:tcPr>
          <w:p>
            <w:pPr>
              <w:jc w:val="right"/>
              <w:ind w:right="235"/>
              <w:spacing w:after="0"/>
              <w:rPr>
                <w:sz w:val="20"/>
                <w:szCs w:val="20"/>
                <w:color w:val="auto"/>
              </w:rPr>
            </w:pPr>
            <w:r>
              <w:rPr>
                <w:rFonts w:ascii="Arial" w:cs="Arial" w:eastAsia="Arial" w:hAnsi="Arial"/>
                <w:sz w:val="18"/>
                <w:szCs w:val="18"/>
                <w:color w:val="auto"/>
              </w:rPr>
              <w:t>125,000</w:t>
            </w:r>
          </w:p>
        </w:tc>
        <w:tc>
          <w:tcPr>
            <w:tcW w:w="1200" w:type="dxa"/>
            <w:vAlign w:val="bottom"/>
            <w:shd w:val="clear" w:color="auto" w:fill="CCEDD4"/>
          </w:tcPr>
          <w:p>
            <w:pPr>
              <w:jc w:val="center"/>
              <w:spacing w:after="0"/>
              <w:rPr>
                <w:sz w:val="20"/>
                <w:szCs w:val="20"/>
                <w:color w:val="auto"/>
              </w:rPr>
            </w:pPr>
            <w:r>
              <w:rPr>
                <w:rFonts w:ascii="Arial" w:cs="Arial" w:eastAsia="Arial" w:hAnsi="Arial"/>
                <w:sz w:val="18"/>
                <w:szCs w:val="18"/>
                <w:color w:val="auto"/>
              </w:rPr>
              <w:t>160,000</w:t>
            </w:r>
          </w:p>
        </w:tc>
        <w:tc>
          <w:tcPr>
            <w:tcW w:w="88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285,000</w:t>
            </w:r>
          </w:p>
        </w:tc>
      </w:tr>
      <w:tr>
        <w:trPr>
          <w:trHeight w:val="257"/>
        </w:trPr>
        <w:tc>
          <w:tcPr>
            <w:tcW w:w="3780" w:type="dxa"/>
            <w:vAlign w:val="bottom"/>
          </w:tcPr>
          <w:p>
            <w:pPr>
              <w:ind w:left="100"/>
              <w:spacing w:after="0"/>
              <w:rPr>
                <w:sz w:val="20"/>
                <w:szCs w:val="20"/>
                <w:color w:val="auto"/>
              </w:rPr>
            </w:pPr>
            <w:r>
              <w:rPr>
                <w:rFonts w:ascii="Arial" w:cs="Arial" w:eastAsia="Arial" w:hAnsi="Arial"/>
                <w:sz w:val="18"/>
                <w:szCs w:val="18"/>
                <w:color w:val="auto"/>
              </w:rPr>
              <w:t>Oleg Khaykin</w:t>
            </w:r>
          </w:p>
        </w:tc>
        <w:tc>
          <w:tcPr>
            <w:tcW w:w="2900" w:type="dxa"/>
            <w:vAlign w:val="bottom"/>
          </w:tcPr>
          <w:p>
            <w:pPr>
              <w:jc w:val="right"/>
              <w:ind w:right="235"/>
              <w:spacing w:after="0"/>
              <w:rPr>
                <w:sz w:val="20"/>
                <w:szCs w:val="20"/>
                <w:color w:val="auto"/>
              </w:rPr>
            </w:pPr>
            <w:r>
              <w:rPr>
                <w:rFonts w:ascii="Arial" w:cs="Arial" w:eastAsia="Arial" w:hAnsi="Arial"/>
                <w:sz w:val="18"/>
                <w:szCs w:val="18"/>
                <w:color w:val="auto"/>
              </w:rPr>
              <w:t>134,375</w:t>
            </w:r>
          </w:p>
        </w:tc>
        <w:tc>
          <w:tcPr>
            <w:tcW w:w="1200" w:type="dxa"/>
            <w:vAlign w:val="bottom"/>
          </w:tcPr>
          <w:p>
            <w:pPr>
              <w:jc w:val="center"/>
              <w:spacing w:after="0"/>
              <w:rPr>
                <w:sz w:val="20"/>
                <w:szCs w:val="20"/>
                <w:color w:val="auto"/>
              </w:rPr>
            </w:pPr>
            <w:r>
              <w:rPr>
                <w:rFonts w:ascii="Arial" w:cs="Arial" w:eastAsia="Arial" w:hAnsi="Arial"/>
                <w:sz w:val="18"/>
                <w:szCs w:val="18"/>
                <w:color w:val="auto"/>
              </w:rPr>
              <w:t>160,000</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294,375</w:t>
            </w:r>
          </w:p>
        </w:tc>
      </w:tr>
      <w:tr>
        <w:trPr>
          <w:trHeight w:val="256"/>
        </w:trPr>
        <w:tc>
          <w:tcPr>
            <w:tcW w:w="37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James A. Lawrence</w:t>
            </w:r>
          </w:p>
        </w:tc>
        <w:tc>
          <w:tcPr>
            <w:tcW w:w="2900" w:type="dxa"/>
            <w:vAlign w:val="bottom"/>
            <w:shd w:val="clear" w:color="auto" w:fill="CCEDD4"/>
          </w:tcPr>
          <w:p>
            <w:pPr>
              <w:jc w:val="right"/>
              <w:ind w:right="235"/>
              <w:spacing w:after="0"/>
              <w:rPr>
                <w:sz w:val="20"/>
                <w:szCs w:val="20"/>
                <w:color w:val="auto"/>
              </w:rPr>
            </w:pPr>
            <w:r>
              <w:rPr>
                <w:rFonts w:ascii="Arial" w:cs="Arial" w:eastAsia="Arial" w:hAnsi="Arial"/>
                <w:sz w:val="18"/>
                <w:szCs w:val="18"/>
                <w:color w:val="auto"/>
              </w:rPr>
              <w:t>150,000</w:t>
            </w:r>
          </w:p>
        </w:tc>
        <w:tc>
          <w:tcPr>
            <w:tcW w:w="1200" w:type="dxa"/>
            <w:vAlign w:val="bottom"/>
            <w:shd w:val="clear" w:color="auto" w:fill="CCEDD4"/>
          </w:tcPr>
          <w:p>
            <w:pPr>
              <w:jc w:val="center"/>
              <w:spacing w:after="0"/>
              <w:rPr>
                <w:sz w:val="20"/>
                <w:szCs w:val="20"/>
                <w:color w:val="auto"/>
              </w:rPr>
            </w:pPr>
            <w:r>
              <w:rPr>
                <w:rFonts w:ascii="Arial" w:cs="Arial" w:eastAsia="Arial" w:hAnsi="Arial"/>
                <w:sz w:val="18"/>
                <w:szCs w:val="18"/>
                <w:color w:val="auto"/>
              </w:rPr>
              <w:t>160,000</w:t>
            </w:r>
          </w:p>
        </w:tc>
        <w:tc>
          <w:tcPr>
            <w:tcW w:w="88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310,000</w:t>
            </w:r>
          </w:p>
        </w:tc>
      </w:tr>
      <w:tr>
        <w:trPr>
          <w:trHeight w:val="257"/>
        </w:trPr>
        <w:tc>
          <w:tcPr>
            <w:tcW w:w="3780" w:type="dxa"/>
            <w:vAlign w:val="bottom"/>
          </w:tcPr>
          <w:p>
            <w:pPr>
              <w:ind w:left="100"/>
              <w:spacing w:after="0"/>
              <w:rPr>
                <w:sz w:val="20"/>
                <w:szCs w:val="20"/>
                <w:color w:val="auto"/>
              </w:rPr>
            </w:pPr>
            <w:r>
              <w:rPr>
                <w:rFonts w:ascii="Arial" w:cs="Arial" w:eastAsia="Arial" w:hAnsi="Arial"/>
                <w:sz w:val="18"/>
                <w:szCs w:val="18"/>
                <w:color w:val="auto"/>
              </w:rPr>
              <w:t>Avid Modjtabai</w:t>
            </w:r>
          </w:p>
        </w:tc>
        <w:tc>
          <w:tcPr>
            <w:tcW w:w="2900" w:type="dxa"/>
            <w:vAlign w:val="bottom"/>
          </w:tcPr>
          <w:p>
            <w:pPr>
              <w:jc w:val="right"/>
              <w:ind w:right="235"/>
              <w:spacing w:after="0"/>
              <w:rPr>
                <w:sz w:val="20"/>
                <w:szCs w:val="20"/>
                <w:color w:val="auto"/>
              </w:rPr>
            </w:pPr>
            <w:r>
              <w:rPr>
                <w:rFonts w:ascii="Arial" w:cs="Arial" w:eastAsia="Arial" w:hAnsi="Arial"/>
                <w:sz w:val="18"/>
                <w:szCs w:val="18"/>
                <w:color w:val="auto"/>
              </w:rPr>
              <w:t>143,750</w:t>
            </w:r>
          </w:p>
        </w:tc>
        <w:tc>
          <w:tcPr>
            <w:tcW w:w="1200" w:type="dxa"/>
            <w:vAlign w:val="bottom"/>
          </w:tcPr>
          <w:p>
            <w:pPr>
              <w:jc w:val="center"/>
              <w:spacing w:after="0"/>
              <w:rPr>
                <w:sz w:val="20"/>
                <w:szCs w:val="20"/>
                <w:color w:val="auto"/>
              </w:rPr>
            </w:pPr>
            <w:r>
              <w:rPr>
                <w:rFonts w:ascii="Arial" w:cs="Arial" w:eastAsia="Arial" w:hAnsi="Arial"/>
                <w:sz w:val="18"/>
                <w:szCs w:val="18"/>
                <w:color w:val="auto"/>
              </w:rPr>
              <w:t>160,000</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303,750</w:t>
            </w:r>
          </w:p>
        </w:tc>
      </w:tr>
      <w:tr>
        <w:trPr>
          <w:trHeight w:val="257"/>
        </w:trPr>
        <w:tc>
          <w:tcPr>
            <w:tcW w:w="37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Adalio T. Sanchez</w:t>
            </w:r>
          </w:p>
        </w:tc>
        <w:tc>
          <w:tcPr>
            <w:tcW w:w="2900" w:type="dxa"/>
            <w:vAlign w:val="bottom"/>
            <w:shd w:val="clear" w:color="auto" w:fill="CCEDD4"/>
          </w:tcPr>
          <w:p>
            <w:pPr>
              <w:jc w:val="right"/>
              <w:ind w:right="235"/>
              <w:spacing w:after="0"/>
              <w:rPr>
                <w:sz w:val="20"/>
                <w:szCs w:val="20"/>
                <w:color w:val="auto"/>
              </w:rPr>
            </w:pPr>
            <w:r>
              <w:rPr>
                <w:rFonts w:ascii="Arial" w:cs="Arial" w:eastAsia="Arial" w:hAnsi="Arial"/>
                <w:sz w:val="18"/>
                <w:szCs w:val="18"/>
                <w:color w:val="auto"/>
              </w:rPr>
              <w:t>128,750</w:t>
            </w:r>
          </w:p>
        </w:tc>
        <w:tc>
          <w:tcPr>
            <w:tcW w:w="1200" w:type="dxa"/>
            <w:vAlign w:val="bottom"/>
            <w:shd w:val="clear" w:color="auto" w:fill="CCEDD4"/>
          </w:tcPr>
          <w:p>
            <w:pPr>
              <w:jc w:val="center"/>
              <w:spacing w:after="0"/>
              <w:rPr>
                <w:sz w:val="20"/>
                <w:szCs w:val="20"/>
                <w:color w:val="auto"/>
              </w:rPr>
            </w:pPr>
            <w:r>
              <w:rPr>
                <w:rFonts w:ascii="Arial" w:cs="Arial" w:eastAsia="Arial" w:hAnsi="Arial"/>
                <w:sz w:val="18"/>
                <w:szCs w:val="18"/>
                <w:color w:val="auto"/>
              </w:rPr>
              <w:t>160,000</w:t>
            </w:r>
          </w:p>
        </w:tc>
        <w:tc>
          <w:tcPr>
            <w:tcW w:w="88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288,750</w:t>
            </w:r>
          </w:p>
        </w:tc>
      </w:tr>
      <w:tr>
        <w:trPr>
          <w:trHeight w:val="257"/>
        </w:trPr>
        <w:tc>
          <w:tcPr>
            <w:tcW w:w="3780" w:type="dxa"/>
            <w:vAlign w:val="bottom"/>
          </w:tcPr>
          <w:p>
            <w:pPr>
              <w:ind w:left="100"/>
              <w:spacing w:after="0"/>
              <w:rPr>
                <w:sz w:val="20"/>
                <w:szCs w:val="20"/>
                <w:color w:val="auto"/>
              </w:rPr>
            </w:pPr>
            <w:r>
              <w:rPr>
                <w:rFonts w:ascii="Arial" w:cs="Arial" w:eastAsia="Arial" w:hAnsi="Arial"/>
                <w:sz w:val="18"/>
                <w:szCs w:val="18"/>
                <w:color w:val="auto"/>
              </w:rPr>
              <w:t>William H. Schumann, III</w:t>
            </w:r>
          </w:p>
        </w:tc>
        <w:tc>
          <w:tcPr>
            <w:tcW w:w="2900" w:type="dxa"/>
            <w:vAlign w:val="bottom"/>
          </w:tcPr>
          <w:p>
            <w:pPr>
              <w:jc w:val="right"/>
              <w:ind w:right="235"/>
              <w:spacing w:after="0"/>
              <w:rPr>
                <w:sz w:val="20"/>
                <w:szCs w:val="20"/>
                <w:color w:val="auto"/>
              </w:rPr>
            </w:pPr>
            <w:r>
              <w:rPr>
                <w:rFonts w:ascii="Arial" w:cs="Arial" w:eastAsia="Arial" w:hAnsi="Arial"/>
                <w:sz w:val="18"/>
                <w:szCs w:val="18"/>
                <w:color w:val="auto"/>
              </w:rPr>
              <w:t>153,125</w:t>
            </w:r>
          </w:p>
        </w:tc>
        <w:tc>
          <w:tcPr>
            <w:tcW w:w="1200" w:type="dxa"/>
            <w:vAlign w:val="bottom"/>
          </w:tcPr>
          <w:p>
            <w:pPr>
              <w:jc w:val="center"/>
              <w:spacing w:after="0"/>
              <w:rPr>
                <w:sz w:val="20"/>
                <w:szCs w:val="20"/>
                <w:color w:val="auto"/>
              </w:rPr>
            </w:pPr>
            <w:r>
              <w:rPr>
                <w:rFonts w:ascii="Arial" w:cs="Arial" w:eastAsia="Arial" w:hAnsi="Arial"/>
                <w:sz w:val="18"/>
                <w:szCs w:val="18"/>
                <w:color w:val="auto"/>
              </w:rPr>
              <w:t>160,000</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313,125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25400</wp:posOffset>
            </wp:positionV>
            <wp:extent cx="555498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114" w:lineRule="exact"/>
        <w:rPr>
          <w:sz w:val="20"/>
          <w:szCs w:val="20"/>
          <w:color w:val="auto"/>
        </w:rPr>
      </w:pPr>
    </w:p>
    <w:p>
      <w:pPr>
        <w:ind w:left="1820" w:right="219" w:hanging="722"/>
        <w:spacing w:after="0" w:line="233" w:lineRule="auto"/>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discussed in the Company’s Annual Report on Form 10-K for the fiscal year ended July 3, 2021, fiscal 2021 contained 53 weeks versus 52 weeks. Since fees to non-employee Directors are paid at the beginning of each calendar quarter, the amounts reflected in the table above include an additional quarter of payments due to fiscal 2021 ended on July 3, 2021, which is within the 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calendar quarter.</w:t>
      </w:r>
    </w:p>
    <w:p>
      <w:pPr>
        <w:spacing w:after="0" w:line="80" w:lineRule="exact"/>
        <w:rPr>
          <w:rFonts w:ascii="Arial" w:cs="Arial" w:eastAsia="Arial" w:hAnsi="Arial"/>
          <w:sz w:val="18"/>
          <w:szCs w:val="18"/>
          <w:color w:val="auto"/>
        </w:rPr>
      </w:pPr>
    </w:p>
    <w:p>
      <w:pPr>
        <w:ind w:left="1820" w:hanging="722"/>
        <w:spacing w:after="0"/>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Maddock was elected to the Board during fiscal 2022.</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PROCESS FOR REVIEWING NON-EMPLOYEE DIRECTOR COMPENSATION</w:t>
      </w:r>
    </w:p>
    <w:p>
      <w:pPr>
        <w:spacing w:after="0" w:line="170" w:lineRule="exact"/>
        <w:rPr>
          <w:sz w:val="20"/>
          <w:szCs w:val="20"/>
          <w:color w:val="auto"/>
        </w:rPr>
      </w:pPr>
    </w:p>
    <w:p>
      <w:pPr>
        <w:ind w:left="1000" w:right="219"/>
        <w:spacing w:after="0" w:line="252" w:lineRule="auto"/>
        <w:rPr>
          <w:sz w:val="20"/>
          <w:szCs w:val="20"/>
          <w:color w:val="auto"/>
        </w:rPr>
      </w:pPr>
      <w:r>
        <w:rPr>
          <w:rFonts w:ascii="Arial" w:cs="Arial" w:eastAsia="Arial" w:hAnsi="Arial"/>
          <w:sz w:val="18"/>
          <w:szCs w:val="18"/>
          <w:color w:val="auto"/>
        </w:rPr>
        <w:t>The Board’s practice is to review the Company’s non-employee Director compensation program periodically based on recommendations from the Committee tasked with Director compensation oversight, and any changes are generally made effective as of January 1st of the following calendar year. Historically, it has been the practice every two years for the Committee tasked with Director compensation oversight to perform a comprehensive benchmarking review of the program, including each element of the program as well as the compensation in total.</w:t>
      </w:r>
    </w:p>
    <w:p>
      <w:pPr>
        <w:spacing w:after="0" w:line="127" w:lineRule="exact"/>
        <w:rPr>
          <w:sz w:val="20"/>
          <w:szCs w:val="20"/>
          <w:color w:val="auto"/>
        </w:rPr>
      </w:pPr>
    </w:p>
    <w:p>
      <w:pPr>
        <w:ind w:left="1000" w:right="199"/>
        <w:spacing w:after="0" w:line="261" w:lineRule="auto"/>
        <w:rPr>
          <w:sz w:val="20"/>
          <w:szCs w:val="20"/>
          <w:color w:val="auto"/>
        </w:rPr>
      </w:pPr>
      <w:r>
        <w:rPr>
          <w:rFonts w:ascii="Arial" w:cs="Arial" w:eastAsia="Arial" w:hAnsi="Arial"/>
          <w:sz w:val="18"/>
          <w:szCs w:val="18"/>
          <w:color w:val="auto"/>
        </w:rPr>
        <w:t>The Compensation and Leadership Development Committee did not recommend to the Board any changes to non-employee Director compensation for fiscal 2021.</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DEFERRED COMPENSATION PLAN</w:t>
      </w:r>
    </w:p>
    <w:p>
      <w:pPr>
        <w:spacing w:after="0" w:line="170" w:lineRule="exact"/>
        <w:rPr>
          <w:sz w:val="20"/>
          <w:szCs w:val="20"/>
          <w:color w:val="auto"/>
        </w:rPr>
      </w:pPr>
    </w:p>
    <w:p>
      <w:pPr>
        <w:ind w:left="1000" w:right="279"/>
        <w:spacing w:after="0" w:line="252" w:lineRule="auto"/>
        <w:rPr>
          <w:sz w:val="20"/>
          <w:szCs w:val="20"/>
          <w:color w:val="auto"/>
        </w:rPr>
      </w:pPr>
      <w:r>
        <w:rPr>
          <w:rFonts w:ascii="Arial" w:cs="Arial" w:eastAsia="Arial" w:hAnsi="Arial"/>
          <w:sz w:val="18"/>
          <w:szCs w:val="18"/>
          <w:color w:val="auto"/>
        </w:rPr>
        <w:t>Under the Avnet Deferred Compensation Plan for Outside Directors, a non-employee Director may elect to defer all or a portion of his or her annual equity compensation and receive phantom stock units instead. Each phantom stock unit is the economic equivalent of one share of Common Stock, and is settled in Common Stock on a one-for-one basis with fractional shares payable in cash. Phantom stock units will be settled upon the Director no longer serving on the Board or upon a change of control of the Company, as provided under the plan.</w:t>
      </w:r>
    </w:p>
    <w:p>
      <w:pPr>
        <w:spacing w:after="0" w:line="141" w:lineRule="exact"/>
        <w:rPr>
          <w:sz w:val="20"/>
          <w:szCs w:val="20"/>
          <w:color w:val="auto"/>
        </w:rPr>
      </w:pPr>
    </w:p>
    <w:p>
      <w:pPr>
        <w:ind w:left="1000" w:right="259"/>
        <w:spacing w:after="0" w:line="254" w:lineRule="auto"/>
        <w:rPr>
          <w:sz w:val="20"/>
          <w:szCs w:val="20"/>
          <w:color w:val="auto"/>
        </w:rPr>
      </w:pPr>
      <w:r>
        <w:rPr>
          <w:rFonts w:ascii="Arial" w:cs="Arial" w:eastAsia="Arial" w:hAnsi="Arial"/>
          <w:sz w:val="18"/>
          <w:szCs w:val="18"/>
          <w:color w:val="auto"/>
        </w:rPr>
        <w:t>The number of phantom stock units is determined by dividing the grant date fair value of the annual equity compensation by the average of the high and low price of the Common Stock on the national stock exchange constituting the primary market for the Common Stock on the first business day in January of each year then multiplying by the percentage of the equity compensation deferred.</w:t>
      </w:r>
    </w:p>
    <w:p>
      <w:pPr>
        <w:spacing w:after="0" w:line="123" w:lineRule="exact"/>
        <w:rPr>
          <w:sz w:val="20"/>
          <w:szCs w:val="20"/>
          <w:color w:val="auto"/>
        </w:rPr>
      </w:pPr>
    </w:p>
    <w:p>
      <w:pPr>
        <w:ind w:left="1000" w:right="479"/>
        <w:spacing w:after="0" w:line="291" w:lineRule="auto"/>
        <w:rPr>
          <w:sz w:val="20"/>
          <w:szCs w:val="20"/>
          <w:color w:val="auto"/>
        </w:rPr>
      </w:pPr>
      <w:r>
        <w:rPr>
          <w:rFonts w:ascii="Arial" w:cs="Arial" w:eastAsia="Arial" w:hAnsi="Arial"/>
          <w:sz w:val="17"/>
          <w:szCs w:val="17"/>
          <w:color w:val="auto"/>
        </w:rPr>
        <w:t>In addition, under the plan, a non-employee Director may elect to defer all or a portion of his or her cash compensation either as cash or phantom stock units. Cash compensation deferred as cash is credited to a</w:t>
      </w:r>
    </w:p>
    <w:p>
      <w:pPr>
        <w:spacing w:after="0" w:line="110"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Director Compensation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359"/>
        <w:spacing w:after="0" w:line="253" w:lineRule="auto"/>
        <w:rPr>
          <w:sz w:val="20"/>
          <w:szCs w:val="20"/>
          <w:color w:val="auto"/>
        </w:rPr>
      </w:pPr>
      <w:r>
        <w:rPr>
          <w:rFonts w:ascii="Arial" w:cs="Arial" w:eastAsia="Arial" w:hAnsi="Arial"/>
          <w:sz w:val="18"/>
          <w:szCs w:val="18"/>
          <w:color w:val="auto"/>
        </w:rPr>
        <w:t>cash account established under the plan for the Director at the beginning of each quarter and earns monthly interest at a rate corresponding to the rate of interest on U.S. Treasury 10-year notes on the first day of the month. During fiscal 2021, there were no “above market” earnings. The cash account is payable to the Director upon the Director no longer serving on the Board or upon a change of control of the Company, as provided under the plan.</w:t>
      </w:r>
    </w:p>
    <w:p>
      <w:pPr>
        <w:spacing w:after="0" w:line="124" w:lineRule="exact"/>
        <w:rPr>
          <w:sz w:val="20"/>
          <w:szCs w:val="20"/>
          <w:color w:val="auto"/>
        </w:rPr>
      </w:pPr>
    </w:p>
    <w:p>
      <w:pPr>
        <w:ind w:left="1000" w:right="239"/>
        <w:spacing w:after="0" w:line="253" w:lineRule="auto"/>
        <w:rPr>
          <w:sz w:val="20"/>
          <w:szCs w:val="20"/>
          <w:color w:val="auto"/>
        </w:rPr>
      </w:pPr>
      <w:r>
        <w:rPr>
          <w:rFonts w:ascii="Arial" w:cs="Arial" w:eastAsia="Arial" w:hAnsi="Arial"/>
          <w:sz w:val="18"/>
          <w:szCs w:val="18"/>
          <w:color w:val="auto"/>
        </w:rPr>
        <w:t>Except in connection with a change of control, the settlement of phantom stock units with Common Stock and payment of the cash account in cash will be made in ten annual installments unless the Director elects to receive in a single lump sum or annual installments not exceeding ten, with such election made within the timeframes required by the plan. In connection with a change of control, the settlement and payment will be made in a single lump sum.</w:t>
      </w:r>
    </w:p>
    <w:p>
      <w:pPr>
        <w:spacing w:after="0" w:line="138" w:lineRule="exact"/>
        <w:rPr>
          <w:sz w:val="20"/>
          <w:szCs w:val="20"/>
          <w:color w:val="auto"/>
        </w:rPr>
      </w:pPr>
    </w:p>
    <w:p>
      <w:pPr>
        <w:ind w:left="1000" w:right="239"/>
        <w:spacing w:after="0" w:line="261" w:lineRule="auto"/>
        <w:rPr>
          <w:sz w:val="20"/>
          <w:szCs w:val="20"/>
          <w:color w:val="auto"/>
        </w:rPr>
      </w:pPr>
      <w:r>
        <w:rPr>
          <w:rFonts w:ascii="Arial" w:cs="Arial" w:eastAsia="Arial" w:hAnsi="Arial"/>
          <w:sz w:val="18"/>
          <w:szCs w:val="18"/>
          <w:color w:val="auto"/>
        </w:rPr>
        <w:t>In the event of the death of a Director before receipt of all payments, all remaining payments shall be made to the Director’s designated beneficiary.</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D&amp;O INSURANCE</w:t>
      </w:r>
    </w:p>
    <w:p>
      <w:pPr>
        <w:spacing w:after="0" w:line="170" w:lineRule="exact"/>
        <w:rPr>
          <w:sz w:val="20"/>
          <w:szCs w:val="20"/>
          <w:color w:val="auto"/>
        </w:rPr>
      </w:pPr>
    </w:p>
    <w:p>
      <w:pPr>
        <w:ind w:left="1000" w:right="139"/>
        <w:spacing w:after="0" w:line="267" w:lineRule="auto"/>
        <w:rPr>
          <w:sz w:val="20"/>
          <w:szCs w:val="20"/>
          <w:color w:val="auto"/>
        </w:rPr>
      </w:pPr>
      <w:r>
        <w:rPr>
          <w:rFonts w:ascii="Arial" w:cs="Arial" w:eastAsia="Arial" w:hAnsi="Arial"/>
          <w:sz w:val="17"/>
          <w:szCs w:val="17"/>
          <w:color w:val="auto"/>
        </w:rPr>
        <w:t>As permitted by Section 726 of the Business Corporation Law of New York, the Company has in force directors’ and officers’ liability insurance and corporate reimbursement insurance. The policy insures the Company against losses from claims against its Directors and officers when they are entitled to indemnification by the Company, and insures the Company’s Directors and officers against certain losses from claims against them in their official capacities. All duly elected Directors and officers of the Company and its subsidiaries are covered under this insurance. The primary insurer is Federal Insurance Company, a Chubb Group insurance company. Excess insurers include XL Specialty Insurance Company, Zurich American Insurance Company, National Union Fire Insurance Co. of Pittsburgh, PA, Travelers Casualty and Surety Company of America, Endurance American Insurance Company and Lloyd’s of London. The coverage was renewed effective August 1, 2021, for a one-year term. The total premium paid for both primary and excess insurance was $1,052,866. No claims were made or sums paid out under such insurance policies during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3282315</wp:posOffset>
            </wp:positionV>
            <wp:extent cx="1482725" cy="291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20"/>
        <w:spacing w:after="0"/>
        <w:rPr>
          <w:sz w:val="20"/>
          <w:szCs w:val="20"/>
          <w:color w:val="auto"/>
        </w:rPr>
      </w:pPr>
      <w:r>
        <w:rPr>
          <w:rFonts w:ascii="Arial" w:cs="Arial" w:eastAsia="Arial" w:hAnsi="Arial"/>
          <w:sz w:val="40"/>
          <w:szCs w:val="40"/>
          <w:b w:val="1"/>
          <w:bCs w:val="1"/>
          <w:color w:val="FEFEFE"/>
        </w:rPr>
        <w:t>EXECUTIVE OFFICERS OF THE COMPANY</w:t>
      </w:r>
    </w:p>
    <w:p>
      <w:pPr>
        <w:spacing w:after="0" w:line="366" w:lineRule="exact"/>
        <w:rPr>
          <w:sz w:val="20"/>
          <w:szCs w:val="20"/>
          <w:color w:val="auto"/>
        </w:rPr>
      </w:pPr>
    </w:p>
    <w:p>
      <w:pPr>
        <w:ind w:left="1000" w:right="199"/>
        <w:spacing w:after="0" w:line="254" w:lineRule="auto"/>
        <w:rPr>
          <w:sz w:val="20"/>
          <w:szCs w:val="20"/>
          <w:color w:val="auto"/>
        </w:rPr>
      </w:pPr>
      <w:r>
        <w:rPr>
          <w:rFonts w:ascii="Arial" w:cs="Arial" w:eastAsia="Arial" w:hAnsi="Arial"/>
          <w:sz w:val="18"/>
          <w:szCs w:val="18"/>
          <w:color w:val="auto"/>
        </w:rPr>
        <w:t>Below are the names, ages and titles of each of the Company’s current executive officers and a certain significant employees as of September 20, 2021, as well as a summary of their backgrounds and business experience (other than the Company’s Chief Executive Officer, Mr. Gallagher, whose biography is listed earlier under “Proposal 1 Election of Directors — Nominees”).</w:t>
      </w:r>
    </w:p>
    <w:p>
      <w:pPr>
        <w:spacing w:after="0" w:line="136" w:lineRule="exact"/>
        <w:rPr>
          <w:sz w:val="20"/>
          <w:szCs w:val="20"/>
          <w:color w:val="auto"/>
        </w:rPr>
      </w:pPr>
    </w:p>
    <w:p>
      <w:pPr>
        <w:ind w:left="1000" w:right="159"/>
        <w:spacing w:after="0" w:line="291" w:lineRule="auto"/>
        <w:rPr>
          <w:sz w:val="20"/>
          <w:szCs w:val="20"/>
          <w:color w:val="auto"/>
        </w:rPr>
      </w:pPr>
      <w:r>
        <w:rPr>
          <w:rFonts w:ascii="Arial" w:cs="Arial" w:eastAsia="Arial" w:hAnsi="Arial"/>
          <w:sz w:val="17"/>
          <w:szCs w:val="17"/>
          <w:color w:val="auto"/>
        </w:rPr>
        <w:t>Executive officers are generally appointed each year by the Board at a meeting following the annual meeting of shareholders and hold office until the next annual meeting or until their earlier death, resignation or removal.</w:t>
      </w:r>
    </w:p>
    <w:p>
      <w:pPr>
        <w:spacing w:after="0" w:line="134" w:lineRule="exact"/>
        <w:rPr>
          <w:sz w:val="20"/>
          <w:szCs w:val="20"/>
          <w:color w:val="auto"/>
        </w:rPr>
      </w:pPr>
    </w:p>
    <w:tbl>
      <w:tblPr>
        <w:tblLayout w:type="fixed"/>
        <w:tblInd w:w="990" w:type="dxa"/>
        <w:tblCellMar>
          <w:top w:w="0" w:type="dxa"/>
          <w:left w:w="0" w:type="dxa"/>
          <w:bottom w:w="0" w:type="dxa"/>
          <w:right w:w="0" w:type="dxa"/>
        </w:tblCellMar>
      </w:tblPr>
      <w:tr>
        <w:trPr>
          <w:trHeight w:val="229"/>
        </w:trPr>
        <w:tc>
          <w:tcPr>
            <w:tcW w:w="2080" w:type="dxa"/>
            <w:vAlign w:val="bottom"/>
            <w:tcBorders>
              <w:left w:val="single" w:sz="8" w:color="56C271"/>
              <w:right w:val="single" w:sz="8" w:color="56C271"/>
            </w:tcBorders>
            <w:shd w:val="clear" w:color="auto" w:fill="56C271"/>
          </w:tcPr>
          <w:p>
            <w:pPr>
              <w:ind w:left="12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56C271"/>
          </w:tcPr>
          <w:p>
            <w:pPr>
              <w:spacing w:after="0"/>
              <w:rPr>
                <w:sz w:val="19"/>
                <w:szCs w:val="19"/>
                <w:color w:val="auto"/>
              </w:rPr>
            </w:pPr>
          </w:p>
        </w:tc>
        <w:tc>
          <w:tcPr>
            <w:tcW w:w="740" w:type="dxa"/>
            <w:vAlign w:val="bottom"/>
            <w:shd w:val="clear" w:color="auto" w:fill="56C271"/>
          </w:tcPr>
          <w:p>
            <w:pPr>
              <w:jc w:val="center"/>
              <w:ind w:left="175"/>
              <w:spacing w:after="0"/>
              <w:rPr>
                <w:sz w:val="20"/>
                <w:szCs w:val="20"/>
                <w:color w:val="auto"/>
              </w:rPr>
            </w:pPr>
            <w:r>
              <w:rPr>
                <w:rFonts w:ascii="Arial" w:cs="Arial" w:eastAsia="Arial" w:hAnsi="Arial"/>
                <w:sz w:val="14"/>
                <w:szCs w:val="14"/>
                <w:b w:val="1"/>
                <w:bCs w:val="1"/>
                <w:color w:val="FFFFFF"/>
              </w:rPr>
              <w:t>Age</w:t>
            </w:r>
          </w:p>
        </w:tc>
        <w:tc>
          <w:tcPr>
            <w:tcW w:w="5840" w:type="dxa"/>
            <w:vAlign w:val="bottom"/>
            <w:tcBorders>
              <w:right w:val="single" w:sz="8" w:color="56C271"/>
            </w:tcBorders>
            <w:shd w:val="clear" w:color="auto" w:fill="56C271"/>
          </w:tcPr>
          <w:p>
            <w:pPr>
              <w:ind w:left="120"/>
              <w:spacing w:after="0"/>
              <w:rPr>
                <w:sz w:val="20"/>
                <w:szCs w:val="20"/>
                <w:color w:val="auto"/>
              </w:rPr>
            </w:pPr>
            <w:r>
              <w:rPr>
                <w:rFonts w:ascii="Arial" w:cs="Arial" w:eastAsia="Arial" w:hAnsi="Arial"/>
                <w:sz w:val="14"/>
                <w:szCs w:val="14"/>
                <w:b w:val="1"/>
                <w:bCs w:val="1"/>
                <w:color w:val="FFFFFF"/>
              </w:rPr>
              <w:t>Office</w:t>
            </w:r>
          </w:p>
        </w:tc>
      </w:tr>
      <w:tr>
        <w:trPr>
          <w:trHeight w:val="263"/>
        </w:trPr>
        <w:tc>
          <w:tcPr>
            <w:tcW w:w="2080" w:type="dxa"/>
            <w:vAlign w:val="bottom"/>
          </w:tcPr>
          <w:p>
            <w:pPr>
              <w:ind w:left="120"/>
              <w:spacing w:after="0"/>
              <w:rPr>
                <w:sz w:val="20"/>
                <w:szCs w:val="20"/>
                <w:color w:val="auto"/>
              </w:rPr>
            </w:pPr>
            <w:r>
              <w:rPr>
                <w:rFonts w:ascii="Arial" w:cs="Arial" w:eastAsia="Arial" w:hAnsi="Arial"/>
                <w:sz w:val="18"/>
                <w:szCs w:val="18"/>
                <w:color w:val="auto"/>
              </w:rPr>
              <w:t>Philip R. Gallagher</w:t>
            </w:r>
          </w:p>
        </w:tc>
        <w:tc>
          <w:tcPr>
            <w:tcW w:w="84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60</w:t>
            </w:r>
          </w:p>
        </w:tc>
        <w:tc>
          <w:tcPr>
            <w:tcW w:w="5840" w:type="dxa"/>
            <w:vAlign w:val="bottom"/>
          </w:tcPr>
          <w:p>
            <w:pPr>
              <w:ind w:left="120"/>
              <w:spacing w:after="0"/>
              <w:rPr>
                <w:sz w:val="20"/>
                <w:szCs w:val="20"/>
                <w:color w:val="auto"/>
              </w:rPr>
            </w:pPr>
            <w:r>
              <w:rPr>
                <w:rFonts w:ascii="Arial" w:cs="Arial" w:eastAsia="Arial" w:hAnsi="Arial"/>
                <w:sz w:val="18"/>
                <w:szCs w:val="18"/>
                <w:color w:val="auto"/>
              </w:rPr>
              <w:t>Chief Executive Officer and President, Electronic Components</w:t>
            </w:r>
          </w:p>
        </w:tc>
      </w:tr>
      <w:tr>
        <w:trPr>
          <w:trHeight w:val="277"/>
        </w:trPr>
        <w:tc>
          <w:tcPr>
            <w:tcW w:w="2080" w:type="dxa"/>
            <w:vAlign w:val="bottom"/>
            <w:tcBorders>
              <w:left w:val="single" w:sz="8" w:color="CCEDD4"/>
              <w:right w:val="single" w:sz="8" w:color="CCEDD4"/>
            </w:tcBorders>
            <w:shd w:val="clear" w:color="auto" w:fill="CCEDD4"/>
          </w:tcPr>
          <w:p>
            <w:pPr>
              <w:ind w:left="120"/>
              <w:spacing w:after="0"/>
              <w:rPr>
                <w:sz w:val="20"/>
                <w:szCs w:val="20"/>
                <w:color w:val="auto"/>
              </w:rPr>
            </w:pPr>
            <w:r>
              <w:rPr>
                <w:rFonts w:ascii="Arial" w:cs="Arial" w:eastAsia="Arial" w:hAnsi="Arial"/>
                <w:sz w:val="18"/>
                <w:szCs w:val="18"/>
                <w:color w:val="auto"/>
              </w:rPr>
              <w:t>Thomas Liguori</w:t>
            </w:r>
          </w:p>
        </w:tc>
        <w:tc>
          <w:tcPr>
            <w:tcW w:w="840" w:type="dxa"/>
            <w:vAlign w:val="bottom"/>
            <w:gridSpan w:val="2"/>
            <w:shd w:val="clear" w:color="auto" w:fill="CCEDD4"/>
          </w:tcPr>
          <w:p>
            <w:pPr>
              <w:jc w:val="center"/>
              <w:ind w:left="270"/>
              <w:spacing w:after="0"/>
              <w:rPr>
                <w:sz w:val="20"/>
                <w:szCs w:val="20"/>
                <w:color w:val="auto"/>
              </w:rPr>
            </w:pPr>
            <w:r>
              <w:rPr>
                <w:rFonts w:ascii="Arial" w:cs="Arial" w:eastAsia="Arial" w:hAnsi="Arial"/>
                <w:sz w:val="18"/>
                <w:szCs w:val="18"/>
                <w:color w:val="auto"/>
                <w:w w:val="99"/>
              </w:rPr>
              <w:t>63</w:t>
            </w:r>
          </w:p>
        </w:tc>
        <w:tc>
          <w:tcPr>
            <w:tcW w:w="5840" w:type="dxa"/>
            <w:vAlign w:val="bottom"/>
            <w:tcBorders>
              <w:right w:val="single" w:sz="8" w:color="CCEDD4"/>
            </w:tcBorders>
            <w:shd w:val="clear" w:color="auto" w:fill="CCEDD4"/>
          </w:tcPr>
          <w:p>
            <w:pPr>
              <w:ind w:left="120"/>
              <w:spacing w:after="0"/>
              <w:rPr>
                <w:sz w:val="20"/>
                <w:szCs w:val="20"/>
                <w:color w:val="auto"/>
              </w:rPr>
            </w:pPr>
            <w:r>
              <w:rPr>
                <w:rFonts w:ascii="Arial" w:cs="Arial" w:eastAsia="Arial" w:hAnsi="Arial"/>
                <w:sz w:val="18"/>
                <w:szCs w:val="18"/>
                <w:color w:val="auto"/>
              </w:rPr>
              <w:t>Chief Financial Officer</w:t>
            </w:r>
          </w:p>
        </w:tc>
      </w:tr>
      <w:tr>
        <w:trPr>
          <w:trHeight w:val="263"/>
        </w:trPr>
        <w:tc>
          <w:tcPr>
            <w:tcW w:w="2080" w:type="dxa"/>
            <w:vAlign w:val="bottom"/>
          </w:tcPr>
          <w:p>
            <w:pPr>
              <w:ind w:left="120"/>
              <w:spacing w:after="0"/>
              <w:rPr>
                <w:sz w:val="20"/>
                <w:szCs w:val="20"/>
                <w:color w:val="auto"/>
              </w:rPr>
            </w:pPr>
            <w:r>
              <w:rPr>
                <w:rFonts w:ascii="Arial" w:cs="Arial" w:eastAsia="Arial" w:hAnsi="Arial"/>
                <w:sz w:val="18"/>
                <w:szCs w:val="18"/>
                <w:color w:val="auto"/>
              </w:rPr>
              <w:t>Ken E. Arnold</w:t>
            </w:r>
          </w:p>
        </w:tc>
        <w:tc>
          <w:tcPr>
            <w:tcW w:w="84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57</w:t>
            </w:r>
          </w:p>
        </w:tc>
        <w:tc>
          <w:tcPr>
            <w:tcW w:w="5840" w:type="dxa"/>
            <w:vAlign w:val="bottom"/>
          </w:tcPr>
          <w:p>
            <w:pPr>
              <w:ind w:left="120"/>
              <w:spacing w:after="0"/>
              <w:rPr>
                <w:sz w:val="20"/>
                <w:szCs w:val="20"/>
                <w:color w:val="auto"/>
              </w:rPr>
            </w:pPr>
            <w:r>
              <w:rPr>
                <w:rFonts w:ascii="Arial" w:cs="Arial" w:eastAsia="Arial" w:hAnsi="Arial"/>
                <w:sz w:val="18"/>
                <w:szCs w:val="18"/>
                <w:color w:val="auto"/>
              </w:rPr>
              <w:t>Senior Vice President and Chief People Officer</w:t>
            </w:r>
          </w:p>
        </w:tc>
      </w:tr>
      <w:tr>
        <w:trPr>
          <w:trHeight w:val="277"/>
        </w:trPr>
        <w:tc>
          <w:tcPr>
            <w:tcW w:w="2080" w:type="dxa"/>
            <w:vAlign w:val="bottom"/>
            <w:tcBorders>
              <w:left w:val="single" w:sz="8" w:color="CCEDD4"/>
              <w:right w:val="single" w:sz="8" w:color="CCEDD4"/>
            </w:tcBorders>
            <w:shd w:val="clear" w:color="auto" w:fill="CCEDD4"/>
          </w:tcPr>
          <w:p>
            <w:pPr>
              <w:ind w:left="120"/>
              <w:spacing w:after="0"/>
              <w:rPr>
                <w:sz w:val="20"/>
                <w:szCs w:val="20"/>
                <w:color w:val="auto"/>
              </w:rPr>
            </w:pPr>
            <w:r>
              <w:rPr>
                <w:rFonts w:ascii="Arial" w:cs="Arial" w:eastAsia="Arial" w:hAnsi="Arial"/>
                <w:sz w:val="18"/>
                <w:szCs w:val="18"/>
                <w:color w:val="auto"/>
              </w:rPr>
              <w:t>Michael R. McCoy</w:t>
            </w:r>
          </w:p>
        </w:tc>
        <w:tc>
          <w:tcPr>
            <w:tcW w:w="840" w:type="dxa"/>
            <w:vAlign w:val="bottom"/>
            <w:gridSpan w:val="2"/>
            <w:shd w:val="clear" w:color="auto" w:fill="CCEDD4"/>
          </w:tcPr>
          <w:p>
            <w:pPr>
              <w:jc w:val="center"/>
              <w:ind w:left="270"/>
              <w:spacing w:after="0"/>
              <w:rPr>
                <w:sz w:val="20"/>
                <w:szCs w:val="20"/>
                <w:color w:val="auto"/>
              </w:rPr>
            </w:pPr>
            <w:r>
              <w:rPr>
                <w:rFonts w:ascii="Arial" w:cs="Arial" w:eastAsia="Arial" w:hAnsi="Arial"/>
                <w:sz w:val="18"/>
                <w:szCs w:val="18"/>
                <w:color w:val="auto"/>
                <w:w w:val="99"/>
              </w:rPr>
              <w:t>45</w:t>
            </w:r>
          </w:p>
        </w:tc>
        <w:tc>
          <w:tcPr>
            <w:tcW w:w="5840" w:type="dxa"/>
            <w:vAlign w:val="bottom"/>
            <w:tcBorders>
              <w:right w:val="single" w:sz="8" w:color="CCEDD4"/>
            </w:tcBorders>
            <w:shd w:val="clear" w:color="auto" w:fill="CCEDD4"/>
          </w:tcPr>
          <w:p>
            <w:pPr>
              <w:ind w:left="120"/>
              <w:spacing w:after="0"/>
              <w:rPr>
                <w:sz w:val="20"/>
                <w:szCs w:val="20"/>
                <w:color w:val="auto"/>
              </w:rPr>
            </w:pPr>
            <w:r>
              <w:rPr>
                <w:rFonts w:ascii="Arial" w:cs="Arial" w:eastAsia="Arial" w:hAnsi="Arial"/>
                <w:sz w:val="18"/>
                <w:szCs w:val="18"/>
                <w:color w:val="auto"/>
              </w:rPr>
              <w:t>Senior Vice President, General Counsel and Chief Legal Officer</w:t>
            </w:r>
          </w:p>
        </w:tc>
      </w:tr>
      <w:tr>
        <w:trPr>
          <w:trHeight w:val="263"/>
        </w:trPr>
        <w:tc>
          <w:tcPr>
            <w:tcW w:w="2080" w:type="dxa"/>
            <w:vAlign w:val="bottom"/>
          </w:tcPr>
          <w:p>
            <w:pPr>
              <w:ind w:left="120"/>
              <w:spacing w:after="0"/>
              <w:rPr>
                <w:sz w:val="20"/>
                <w:szCs w:val="20"/>
                <w:color w:val="auto"/>
              </w:rPr>
            </w:pPr>
            <w:r>
              <w:rPr>
                <w:rFonts w:ascii="Arial" w:cs="Arial" w:eastAsia="Arial" w:hAnsi="Arial"/>
                <w:sz w:val="18"/>
                <w:szCs w:val="18"/>
                <w:color w:val="auto"/>
              </w:rPr>
              <w:t>Dayna C. Badhorn</w:t>
            </w:r>
          </w:p>
        </w:tc>
        <w:tc>
          <w:tcPr>
            <w:tcW w:w="84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50</w:t>
            </w:r>
          </w:p>
        </w:tc>
        <w:tc>
          <w:tcPr>
            <w:tcW w:w="5840" w:type="dxa"/>
            <w:vAlign w:val="bottom"/>
          </w:tcPr>
          <w:p>
            <w:pPr>
              <w:ind w:left="120"/>
              <w:spacing w:after="0"/>
              <w:rPr>
                <w:sz w:val="20"/>
                <w:szCs w:val="20"/>
                <w:color w:val="auto"/>
              </w:rPr>
            </w:pPr>
            <w:r>
              <w:rPr>
                <w:rFonts w:ascii="Arial" w:cs="Arial" w:eastAsia="Arial" w:hAnsi="Arial"/>
                <w:sz w:val="18"/>
                <w:szCs w:val="18"/>
                <w:color w:val="auto"/>
              </w:rPr>
              <w:t>Global Vice President, Strategic Planning and Corporate Marketing</w:t>
            </w:r>
          </w:p>
        </w:tc>
      </w:tr>
      <w:tr>
        <w:trPr>
          <w:trHeight w:val="277"/>
        </w:trPr>
        <w:tc>
          <w:tcPr>
            <w:tcW w:w="2080" w:type="dxa"/>
            <w:vAlign w:val="bottom"/>
            <w:tcBorders>
              <w:left w:val="single" w:sz="8" w:color="CCEDD4"/>
              <w:right w:val="single" w:sz="8" w:color="CCEDD4"/>
            </w:tcBorders>
            <w:shd w:val="clear" w:color="auto" w:fill="CCEDD4"/>
          </w:tcPr>
          <w:p>
            <w:pPr>
              <w:ind w:left="120"/>
              <w:spacing w:after="0"/>
              <w:rPr>
                <w:sz w:val="20"/>
                <w:szCs w:val="20"/>
                <w:color w:val="auto"/>
              </w:rPr>
            </w:pPr>
            <w:r>
              <w:rPr>
                <w:rFonts w:ascii="Arial" w:cs="Arial" w:eastAsia="Arial" w:hAnsi="Arial"/>
                <w:sz w:val="18"/>
                <w:szCs w:val="18"/>
                <w:color w:val="auto"/>
              </w:rPr>
              <w:t>Leng Jin (Max) Chan</w:t>
            </w:r>
          </w:p>
        </w:tc>
        <w:tc>
          <w:tcPr>
            <w:tcW w:w="840" w:type="dxa"/>
            <w:vAlign w:val="bottom"/>
            <w:gridSpan w:val="2"/>
            <w:shd w:val="clear" w:color="auto" w:fill="CCEDD4"/>
          </w:tcPr>
          <w:p>
            <w:pPr>
              <w:jc w:val="center"/>
              <w:ind w:left="270"/>
              <w:spacing w:after="0"/>
              <w:rPr>
                <w:sz w:val="20"/>
                <w:szCs w:val="20"/>
                <w:color w:val="auto"/>
              </w:rPr>
            </w:pPr>
            <w:r>
              <w:rPr>
                <w:rFonts w:ascii="Arial" w:cs="Arial" w:eastAsia="Arial" w:hAnsi="Arial"/>
                <w:sz w:val="18"/>
                <w:szCs w:val="18"/>
                <w:color w:val="auto"/>
                <w:w w:val="99"/>
              </w:rPr>
              <w:t>49</w:t>
            </w:r>
          </w:p>
        </w:tc>
        <w:tc>
          <w:tcPr>
            <w:tcW w:w="5840" w:type="dxa"/>
            <w:vAlign w:val="bottom"/>
            <w:tcBorders>
              <w:right w:val="single" w:sz="8" w:color="CCEDD4"/>
            </w:tcBorders>
            <w:shd w:val="clear" w:color="auto" w:fill="CCEDD4"/>
          </w:tcPr>
          <w:p>
            <w:pPr>
              <w:ind w:left="120"/>
              <w:spacing w:after="0"/>
              <w:rPr>
                <w:sz w:val="20"/>
                <w:szCs w:val="20"/>
                <w:color w:val="auto"/>
              </w:rPr>
            </w:pPr>
            <w:r>
              <w:rPr>
                <w:rFonts w:ascii="Arial" w:cs="Arial" w:eastAsia="Arial" w:hAnsi="Arial"/>
                <w:sz w:val="18"/>
                <w:szCs w:val="18"/>
                <w:color w:val="auto"/>
              </w:rPr>
              <w:t>Chief Information Officer</w:t>
            </w:r>
          </w:p>
        </w:tc>
      </w:tr>
      <w:tr>
        <w:trPr>
          <w:trHeight w:val="263"/>
        </w:trPr>
        <w:tc>
          <w:tcPr>
            <w:tcW w:w="2080" w:type="dxa"/>
            <w:vAlign w:val="bottom"/>
          </w:tcPr>
          <w:p>
            <w:pPr>
              <w:ind w:left="120"/>
              <w:spacing w:after="0"/>
              <w:rPr>
                <w:sz w:val="20"/>
                <w:szCs w:val="20"/>
                <w:color w:val="auto"/>
              </w:rPr>
            </w:pPr>
            <w:r>
              <w:rPr>
                <w:rFonts w:ascii="Arial" w:cs="Arial" w:eastAsia="Arial" w:hAnsi="Arial"/>
                <w:sz w:val="18"/>
                <w:szCs w:val="18"/>
                <w:color w:val="auto"/>
              </w:rPr>
              <w:t>Elizabeth A. McMullen</w:t>
            </w:r>
          </w:p>
        </w:tc>
        <w:tc>
          <w:tcPr>
            <w:tcW w:w="84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61</w:t>
            </w:r>
          </w:p>
        </w:tc>
        <w:tc>
          <w:tcPr>
            <w:tcW w:w="5840" w:type="dxa"/>
            <w:vAlign w:val="bottom"/>
          </w:tcPr>
          <w:p>
            <w:pPr>
              <w:ind w:left="120"/>
              <w:spacing w:after="0"/>
              <w:rPr>
                <w:sz w:val="20"/>
                <w:szCs w:val="20"/>
                <w:color w:val="auto"/>
              </w:rPr>
            </w:pPr>
            <w:r>
              <w:rPr>
                <w:rFonts w:ascii="Arial" w:cs="Arial" w:eastAsia="Arial" w:hAnsi="Arial"/>
                <w:sz w:val="18"/>
                <w:szCs w:val="18"/>
                <w:color w:val="auto"/>
              </w:rPr>
              <w:t>Global Vice President, Operations</w:t>
            </w:r>
          </w:p>
        </w:tc>
      </w:tr>
      <w:tr>
        <w:trPr>
          <w:trHeight w:val="277"/>
        </w:trPr>
        <w:tc>
          <w:tcPr>
            <w:tcW w:w="2080" w:type="dxa"/>
            <w:vAlign w:val="bottom"/>
            <w:tcBorders>
              <w:left w:val="single" w:sz="8" w:color="CCEDD4"/>
              <w:right w:val="single" w:sz="8" w:color="CCEDD4"/>
            </w:tcBorders>
            <w:shd w:val="clear" w:color="auto" w:fill="CCEDD4"/>
          </w:tcPr>
          <w:p>
            <w:pPr>
              <w:ind w:left="120"/>
              <w:spacing w:after="0"/>
              <w:rPr>
                <w:sz w:val="20"/>
                <w:szCs w:val="20"/>
                <w:color w:val="auto"/>
              </w:rPr>
            </w:pPr>
            <w:r>
              <w:rPr>
                <w:rFonts w:ascii="Arial" w:cs="Arial" w:eastAsia="Arial" w:hAnsi="Arial"/>
                <w:sz w:val="18"/>
                <w:szCs w:val="18"/>
                <w:color w:val="auto"/>
              </w:rPr>
              <w:t>Kenneth A. Jacobson</w:t>
            </w:r>
          </w:p>
        </w:tc>
        <w:tc>
          <w:tcPr>
            <w:tcW w:w="840" w:type="dxa"/>
            <w:vAlign w:val="bottom"/>
            <w:gridSpan w:val="2"/>
            <w:shd w:val="clear" w:color="auto" w:fill="CCEDD4"/>
          </w:tcPr>
          <w:p>
            <w:pPr>
              <w:jc w:val="center"/>
              <w:ind w:left="270"/>
              <w:spacing w:after="0"/>
              <w:rPr>
                <w:sz w:val="20"/>
                <w:szCs w:val="20"/>
                <w:color w:val="auto"/>
              </w:rPr>
            </w:pPr>
            <w:r>
              <w:rPr>
                <w:rFonts w:ascii="Arial" w:cs="Arial" w:eastAsia="Arial" w:hAnsi="Arial"/>
                <w:sz w:val="18"/>
                <w:szCs w:val="18"/>
                <w:color w:val="auto"/>
                <w:w w:val="99"/>
              </w:rPr>
              <w:t>43</w:t>
            </w:r>
          </w:p>
        </w:tc>
        <w:tc>
          <w:tcPr>
            <w:tcW w:w="5840" w:type="dxa"/>
            <w:vAlign w:val="bottom"/>
            <w:tcBorders>
              <w:right w:val="single" w:sz="8" w:color="CCEDD4"/>
            </w:tcBorders>
            <w:shd w:val="clear" w:color="auto" w:fill="CCEDD4"/>
          </w:tcPr>
          <w:p>
            <w:pPr>
              <w:ind w:left="120"/>
              <w:spacing w:after="0"/>
              <w:rPr>
                <w:sz w:val="20"/>
                <w:szCs w:val="20"/>
                <w:color w:val="auto"/>
              </w:rPr>
            </w:pPr>
            <w:r>
              <w:rPr>
                <w:rFonts w:ascii="Arial" w:cs="Arial" w:eastAsia="Arial" w:hAnsi="Arial"/>
                <w:sz w:val="18"/>
                <w:szCs w:val="18"/>
                <w:color w:val="auto"/>
              </w:rPr>
              <w:t>Principal Accounting Officer and Corporate Controller</w:t>
            </w:r>
          </w:p>
        </w:tc>
      </w:tr>
      <w:tr>
        <w:trPr>
          <w:trHeight w:val="223"/>
        </w:trPr>
        <w:tc>
          <w:tcPr>
            <w:tcW w:w="2080" w:type="dxa"/>
            <w:vAlign w:val="bottom"/>
            <w:tcBorders>
              <w:bottom w:val="single" w:sz="8" w:color="56C271"/>
            </w:tcBorders>
          </w:tcPr>
          <w:p>
            <w:pPr>
              <w:spacing w:after="0"/>
              <w:rPr>
                <w:sz w:val="19"/>
                <w:szCs w:val="19"/>
                <w:color w:val="auto"/>
              </w:rPr>
            </w:pPr>
          </w:p>
        </w:tc>
        <w:tc>
          <w:tcPr>
            <w:tcW w:w="100" w:type="dxa"/>
            <w:vAlign w:val="bottom"/>
            <w:tcBorders>
              <w:bottom w:val="single" w:sz="8" w:color="56C271"/>
            </w:tcBorders>
          </w:tcPr>
          <w:p>
            <w:pPr>
              <w:spacing w:after="0"/>
              <w:rPr>
                <w:sz w:val="19"/>
                <w:szCs w:val="19"/>
                <w:color w:val="auto"/>
              </w:rPr>
            </w:pPr>
          </w:p>
        </w:tc>
        <w:tc>
          <w:tcPr>
            <w:tcW w:w="6580" w:type="dxa"/>
            <w:vAlign w:val="bottom"/>
            <w:tcBorders>
              <w:bottom w:val="single" w:sz="8" w:color="56C271"/>
            </w:tcBorders>
            <w:gridSpan w:val="2"/>
          </w:tcPr>
          <w:p>
            <w:pPr>
              <w:spacing w:after="0"/>
              <w:rPr>
                <w:sz w:val="19"/>
                <w:szCs w:val="19"/>
                <w:color w:val="auto"/>
              </w:rPr>
            </w:pPr>
          </w:p>
        </w:tc>
      </w:tr>
      <w:tr>
        <w:trPr>
          <w:trHeight w:val="304"/>
        </w:trPr>
        <w:tc>
          <w:tcPr>
            <w:tcW w:w="2080" w:type="dxa"/>
            <w:vAlign w:val="bottom"/>
            <w:tcBorders>
              <w:left w:val="single" w:sz="8" w:color="56C271"/>
              <w:bottom w:val="single" w:sz="8" w:color="CCEDD4"/>
              <w:right w:val="single" w:sz="8" w:color="56C271"/>
            </w:tcBorders>
            <w:shd w:val="clear" w:color="auto" w:fill="CCEDD4"/>
          </w:tcPr>
          <w:p>
            <w:pPr>
              <w:spacing w:after="0"/>
              <w:rPr>
                <w:sz w:val="24"/>
                <w:szCs w:val="24"/>
                <w:color w:val="auto"/>
              </w:rPr>
            </w:pPr>
          </w:p>
        </w:tc>
        <w:tc>
          <w:tcPr>
            <w:tcW w:w="100" w:type="dxa"/>
            <w:vAlign w:val="bottom"/>
            <w:tcBorders>
              <w:bottom w:val="single" w:sz="8" w:color="56C271"/>
            </w:tcBorders>
            <w:shd w:val="clear" w:color="auto" w:fill="56C271"/>
          </w:tcPr>
          <w:p>
            <w:pPr>
              <w:spacing w:after="0"/>
              <w:rPr>
                <w:sz w:val="24"/>
                <w:szCs w:val="24"/>
                <w:color w:val="auto"/>
              </w:rPr>
            </w:pPr>
          </w:p>
        </w:tc>
        <w:tc>
          <w:tcPr>
            <w:tcW w:w="6580" w:type="dxa"/>
            <w:vAlign w:val="bottom"/>
            <w:tcBorders>
              <w:bottom w:val="single" w:sz="8" w:color="56C271"/>
              <w:right w:val="single" w:sz="8" w:color="56C271"/>
            </w:tcBorders>
            <w:gridSpan w:val="2"/>
            <w:shd w:val="clear" w:color="auto" w:fill="56C271"/>
          </w:tcPr>
          <w:p>
            <w:pPr>
              <w:spacing w:after="0"/>
              <w:rPr>
                <w:sz w:val="20"/>
                <w:szCs w:val="20"/>
                <w:color w:val="auto"/>
              </w:rPr>
            </w:pPr>
            <w:r>
              <w:rPr>
                <w:rFonts w:ascii="Arial" w:cs="Arial" w:eastAsia="Arial" w:hAnsi="Arial"/>
                <w:sz w:val="18"/>
                <w:szCs w:val="18"/>
                <w:b w:val="1"/>
                <w:bCs w:val="1"/>
                <w:color w:val="FEFEFE"/>
              </w:rPr>
              <w:t>THOMAS LIGUORI</w:t>
            </w:r>
          </w:p>
        </w:tc>
      </w:tr>
      <w:tr>
        <w:trPr>
          <w:trHeight w:val="277"/>
        </w:trPr>
        <w:tc>
          <w:tcPr>
            <w:tcW w:w="2080" w:type="dxa"/>
            <w:vAlign w:val="bottom"/>
            <w:tcBorders>
              <w:left w:val="single" w:sz="8" w:color="56C271"/>
              <w:right w:val="single" w:sz="8" w:color="56C271"/>
            </w:tcBorders>
            <w:shd w:val="clear" w:color="auto" w:fill="CCEDD4"/>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Thomas Liguori has served as the Company’s Chief Financial Officer since</w:t>
            </w:r>
          </w:p>
        </w:tc>
      </w:tr>
      <w:tr>
        <w:trPr>
          <w:trHeight w:val="203"/>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January 2018. He previously served as the Executive Vice President and Chief</w:t>
            </w:r>
          </w:p>
        </w:tc>
      </w:tr>
      <w:tr>
        <w:trPr>
          <w:trHeight w:val="203"/>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Financial Officer of Advanced Energy Industries, Inc. (Nasdaq: AEIS), a product and</w:t>
            </w:r>
          </w:p>
        </w:tc>
      </w:tr>
      <w:tr>
        <w:trPr>
          <w:trHeight w:val="203"/>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services provider for semi and industrial power applications, from May 2015 to</w:t>
            </w:r>
          </w:p>
        </w:tc>
      </w:tr>
      <w:tr>
        <w:trPr>
          <w:trHeight w:val="203"/>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December 2017. Prior to that, Mr. Liguori served as the Executive Vice President and</w:t>
            </w:r>
          </w:p>
        </w:tc>
      </w:tr>
      <w:tr>
        <w:trPr>
          <w:trHeight w:val="203"/>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Chief Financial Officer of MFLEX (Nasdaq: MFLX), a global provider of flexible circuits</w:t>
            </w:r>
          </w:p>
        </w:tc>
      </w:tr>
      <w:tr>
        <w:trPr>
          <w:trHeight w:val="203"/>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and assemblies for smartphones and tablets, from February 2008 to May 2015.</w:t>
            </w:r>
          </w:p>
        </w:tc>
      </w:tr>
      <w:tr>
        <w:trPr>
          <w:trHeight w:val="205"/>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Mr. Liguori is a Certified Management Accountant and a Certified Financial Manager.</w:t>
            </w:r>
          </w:p>
        </w:tc>
      </w:tr>
      <w:tr>
        <w:trPr>
          <w:trHeight w:val="146"/>
        </w:trPr>
        <w:tc>
          <w:tcPr>
            <w:tcW w:w="2080" w:type="dxa"/>
            <w:vAlign w:val="bottom"/>
            <w:tcBorders>
              <w:left w:val="single" w:sz="8" w:color="56C271"/>
              <w:bottom w:val="single" w:sz="8" w:color="56C271"/>
              <w:right w:val="single" w:sz="8" w:color="56C271"/>
            </w:tcBorders>
            <w:shd w:val="clear" w:color="auto" w:fill="CCEDD4"/>
          </w:tcPr>
          <w:p>
            <w:pPr>
              <w:spacing w:after="0"/>
              <w:rPr>
                <w:sz w:val="12"/>
                <w:szCs w:val="12"/>
                <w:color w:val="auto"/>
              </w:rPr>
            </w:pPr>
          </w:p>
        </w:tc>
        <w:tc>
          <w:tcPr>
            <w:tcW w:w="100" w:type="dxa"/>
            <w:vAlign w:val="bottom"/>
            <w:tcBorders>
              <w:bottom w:val="single" w:sz="8" w:color="56C271"/>
            </w:tcBorders>
          </w:tcPr>
          <w:p>
            <w:pPr>
              <w:spacing w:after="0"/>
              <w:rPr>
                <w:sz w:val="12"/>
                <w:szCs w:val="12"/>
                <w:color w:val="auto"/>
              </w:rPr>
            </w:pPr>
          </w:p>
        </w:tc>
        <w:tc>
          <w:tcPr>
            <w:tcW w:w="6580" w:type="dxa"/>
            <w:vAlign w:val="bottom"/>
            <w:tcBorders>
              <w:bottom w:val="single" w:sz="8" w:color="56C271"/>
              <w:right w:val="single" w:sz="8" w:color="56C271"/>
            </w:tcBorders>
            <w:gridSpan w:val="2"/>
          </w:tcPr>
          <w:p>
            <w:pPr>
              <w:spacing w:after="0"/>
              <w:rPr>
                <w:sz w:val="12"/>
                <w:szCs w:val="12"/>
                <w:color w:val="auto"/>
              </w:rPr>
            </w:pPr>
          </w:p>
        </w:tc>
      </w:tr>
      <w:tr>
        <w:trPr>
          <w:trHeight w:val="223"/>
        </w:trPr>
        <w:tc>
          <w:tcPr>
            <w:tcW w:w="2080" w:type="dxa"/>
            <w:vAlign w:val="bottom"/>
            <w:tcBorders>
              <w:bottom w:val="single" w:sz="8" w:color="56C271"/>
            </w:tcBorders>
          </w:tcPr>
          <w:p>
            <w:pPr>
              <w:spacing w:after="0"/>
              <w:rPr>
                <w:sz w:val="19"/>
                <w:szCs w:val="19"/>
                <w:color w:val="auto"/>
              </w:rPr>
            </w:pPr>
          </w:p>
        </w:tc>
        <w:tc>
          <w:tcPr>
            <w:tcW w:w="100" w:type="dxa"/>
            <w:vAlign w:val="bottom"/>
            <w:tcBorders>
              <w:bottom w:val="single" w:sz="8" w:color="56C271"/>
            </w:tcBorders>
          </w:tcPr>
          <w:p>
            <w:pPr>
              <w:spacing w:after="0"/>
              <w:rPr>
                <w:sz w:val="19"/>
                <w:szCs w:val="19"/>
                <w:color w:val="auto"/>
              </w:rPr>
            </w:pPr>
          </w:p>
        </w:tc>
        <w:tc>
          <w:tcPr>
            <w:tcW w:w="6580" w:type="dxa"/>
            <w:vAlign w:val="bottom"/>
            <w:tcBorders>
              <w:bottom w:val="single" w:sz="8" w:color="56C271"/>
            </w:tcBorders>
            <w:gridSpan w:val="2"/>
          </w:tcPr>
          <w:p>
            <w:pPr>
              <w:spacing w:after="0"/>
              <w:rPr>
                <w:sz w:val="19"/>
                <w:szCs w:val="19"/>
                <w:color w:val="auto"/>
              </w:rPr>
            </w:pPr>
          </w:p>
        </w:tc>
      </w:tr>
      <w:tr>
        <w:trPr>
          <w:trHeight w:val="351"/>
        </w:trPr>
        <w:tc>
          <w:tcPr>
            <w:tcW w:w="2080" w:type="dxa"/>
            <w:vAlign w:val="bottom"/>
            <w:tcBorders>
              <w:left w:val="single" w:sz="8" w:color="56C271"/>
              <w:right w:val="single" w:sz="8" w:color="56C271"/>
            </w:tcBorders>
            <w:shd w:val="clear" w:color="auto" w:fill="CCEDD4"/>
          </w:tcPr>
          <w:p>
            <w:pPr>
              <w:spacing w:after="0"/>
              <w:rPr>
                <w:sz w:val="24"/>
                <w:szCs w:val="24"/>
                <w:color w:val="auto"/>
              </w:rPr>
            </w:pPr>
          </w:p>
        </w:tc>
        <w:tc>
          <w:tcPr>
            <w:tcW w:w="100" w:type="dxa"/>
            <w:vAlign w:val="bottom"/>
            <w:shd w:val="clear" w:color="auto" w:fill="56C271"/>
          </w:tcPr>
          <w:p>
            <w:pPr>
              <w:spacing w:after="0"/>
              <w:rPr>
                <w:sz w:val="24"/>
                <w:szCs w:val="24"/>
                <w:color w:val="auto"/>
              </w:rPr>
            </w:pPr>
          </w:p>
        </w:tc>
        <w:tc>
          <w:tcPr>
            <w:tcW w:w="6580" w:type="dxa"/>
            <w:vAlign w:val="bottom"/>
            <w:tcBorders>
              <w:right w:val="single" w:sz="8" w:color="56C271"/>
            </w:tcBorders>
            <w:gridSpan w:val="2"/>
            <w:shd w:val="clear" w:color="auto" w:fill="56C271"/>
          </w:tcPr>
          <w:p>
            <w:pPr>
              <w:spacing w:after="0"/>
              <w:rPr>
                <w:sz w:val="20"/>
                <w:szCs w:val="20"/>
                <w:color w:val="auto"/>
              </w:rPr>
            </w:pPr>
            <w:r>
              <w:rPr>
                <w:rFonts w:ascii="Arial" w:cs="Arial" w:eastAsia="Arial" w:hAnsi="Arial"/>
                <w:sz w:val="18"/>
                <w:szCs w:val="18"/>
                <w:b w:val="1"/>
                <w:bCs w:val="1"/>
                <w:color w:val="FEFEFE"/>
              </w:rPr>
              <w:t>KEN E. ARNOLD</w:t>
            </w:r>
          </w:p>
        </w:tc>
      </w:tr>
      <w:tr>
        <w:trPr>
          <w:trHeight w:val="121"/>
        </w:trPr>
        <w:tc>
          <w:tcPr>
            <w:tcW w:w="2080" w:type="dxa"/>
            <w:vAlign w:val="bottom"/>
            <w:tcBorders>
              <w:left w:val="single" w:sz="8" w:color="56C271"/>
              <w:right w:val="single" w:sz="8" w:color="56C271"/>
            </w:tcBorders>
            <w:shd w:val="clear" w:color="auto" w:fill="CCEDD4"/>
          </w:tcPr>
          <w:p>
            <w:pPr>
              <w:spacing w:after="0"/>
              <w:rPr>
                <w:sz w:val="10"/>
                <w:szCs w:val="10"/>
                <w:color w:val="auto"/>
              </w:rPr>
            </w:pPr>
          </w:p>
        </w:tc>
        <w:tc>
          <w:tcPr>
            <w:tcW w:w="100" w:type="dxa"/>
            <w:vAlign w:val="bottom"/>
            <w:shd w:val="clear" w:color="auto" w:fill="56C271"/>
          </w:tcPr>
          <w:p>
            <w:pPr>
              <w:spacing w:after="0"/>
              <w:rPr>
                <w:sz w:val="10"/>
                <w:szCs w:val="10"/>
                <w:color w:val="auto"/>
              </w:rPr>
            </w:pPr>
          </w:p>
        </w:tc>
        <w:tc>
          <w:tcPr>
            <w:tcW w:w="6580" w:type="dxa"/>
            <w:vAlign w:val="bottom"/>
            <w:tcBorders>
              <w:right w:val="single" w:sz="8" w:color="56C271"/>
            </w:tcBorders>
            <w:gridSpan w:val="2"/>
            <w:shd w:val="clear" w:color="auto" w:fill="56C271"/>
          </w:tcPr>
          <w:p>
            <w:pPr>
              <w:spacing w:after="0"/>
              <w:rPr>
                <w:sz w:val="10"/>
                <w:szCs w:val="10"/>
                <w:color w:val="auto"/>
              </w:rPr>
            </w:pPr>
          </w:p>
        </w:tc>
      </w:tr>
      <w:tr>
        <w:trPr>
          <w:trHeight w:val="277"/>
        </w:trPr>
        <w:tc>
          <w:tcPr>
            <w:tcW w:w="2080" w:type="dxa"/>
            <w:vAlign w:val="bottom"/>
            <w:tcBorders>
              <w:left w:val="single" w:sz="8" w:color="56C271"/>
              <w:right w:val="single" w:sz="8" w:color="56C271"/>
            </w:tcBorders>
            <w:shd w:val="clear" w:color="auto" w:fill="CCEDD4"/>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Ken E. Arnold has served as Senior Vice President and Chief People Officer since</w:t>
            </w:r>
          </w:p>
        </w:tc>
      </w:tr>
      <w:tr>
        <w:trPr>
          <w:trHeight w:val="203"/>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February 2019. He previously served in various human resource leadership roles with</w:t>
            </w:r>
          </w:p>
        </w:tc>
      </w:tr>
      <w:tr>
        <w:trPr>
          <w:trHeight w:val="203"/>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the Company, including as Vice President, Human Resources from 2009 to</w:t>
            </w:r>
          </w:p>
        </w:tc>
      </w:tr>
      <w:tr>
        <w:trPr>
          <w:trHeight w:val="203"/>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February 2019 and Director, Human Resources — Talent Acquisition and HR Services</w:t>
            </w:r>
          </w:p>
        </w:tc>
      </w:tr>
      <w:tr>
        <w:trPr>
          <w:trHeight w:val="205"/>
        </w:trPr>
        <w:tc>
          <w:tcPr>
            <w:tcW w:w="2080" w:type="dxa"/>
            <w:vAlign w:val="bottom"/>
            <w:tcBorders>
              <w:left w:val="single" w:sz="8" w:color="56C271"/>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right w:val="single" w:sz="8" w:color="56C271"/>
            </w:tcBorders>
            <w:gridSpan w:val="2"/>
          </w:tcPr>
          <w:p>
            <w:pPr>
              <w:spacing w:after="0"/>
              <w:rPr>
                <w:sz w:val="20"/>
                <w:szCs w:val="20"/>
                <w:color w:val="auto"/>
              </w:rPr>
            </w:pPr>
            <w:r>
              <w:rPr>
                <w:rFonts w:ascii="Arial" w:cs="Arial" w:eastAsia="Arial" w:hAnsi="Arial"/>
                <w:sz w:val="17"/>
                <w:szCs w:val="17"/>
                <w:color w:val="auto"/>
              </w:rPr>
              <w:t>from 2007 to 2009.</w:t>
            </w:r>
          </w:p>
        </w:tc>
      </w:tr>
      <w:tr>
        <w:trPr>
          <w:trHeight w:val="159"/>
        </w:trPr>
        <w:tc>
          <w:tcPr>
            <w:tcW w:w="2080" w:type="dxa"/>
            <w:vAlign w:val="bottom"/>
            <w:tcBorders>
              <w:left w:val="single" w:sz="8" w:color="56C271"/>
              <w:bottom w:val="single" w:sz="8" w:color="56C271"/>
              <w:right w:val="single" w:sz="8" w:color="56C271"/>
            </w:tcBorders>
            <w:shd w:val="clear" w:color="auto" w:fill="CCEDD4"/>
          </w:tcPr>
          <w:p>
            <w:pPr>
              <w:spacing w:after="0"/>
              <w:rPr>
                <w:sz w:val="13"/>
                <w:szCs w:val="13"/>
                <w:color w:val="auto"/>
              </w:rPr>
            </w:pPr>
          </w:p>
        </w:tc>
        <w:tc>
          <w:tcPr>
            <w:tcW w:w="100" w:type="dxa"/>
            <w:vAlign w:val="bottom"/>
            <w:tcBorders>
              <w:bottom w:val="single" w:sz="8" w:color="56C271"/>
            </w:tcBorders>
          </w:tcPr>
          <w:p>
            <w:pPr>
              <w:spacing w:after="0"/>
              <w:rPr>
                <w:sz w:val="13"/>
                <w:szCs w:val="13"/>
                <w:color w:val="auto"/>
              </w:rPr>
            </w:pPr>
          </w:p>
        </w:tc>
        <w:tc>
          <w:tcPr>
            <w:tcW w:w="740" w:type="dxa"/>
            <w:vAlign w:val="bottom"/>
            <w:tcBorders>
              <w:bottom w:val="single" w:sz="8" w:color="56C271"/>
            </w:tcBorders>
          </w:tcPr>
          <w:p>
            <w:pPr>
              <w:spacing w:after="0"/>
              <w:rPr>
                <w:sz w:val="13"/>
                <w:szCs w:val="13"/>
                <w:color w:val="auto"/>
              </w:rPr>
            </w:pPr>
          </w:p>
        </w:tc>
        <w:tc>
          <w:tcPr>
            <w:tcW w:w="5840" w:type="dxa"/>
            <w:vAlign w:val="bottom"/>
            <w:tcBorders>
              <w:bottom w:val="single" w:sz="8" w:color="56C271"/>
              <w:right w:val="single" w:sz="8" w:color="56C271"/>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-2485390</wp:posOffset>
            </wp:positionV>
            <wp:extent cx="1097280" cy="925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97280" cy="92583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-942340</wp:posOffset>
            </wp:positionV>
            <wp:extent cx="1097280" cy="925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97280" cy="92583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Executive Officers of the Company</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306070</wp:posOffset>
            </wp:positionV>
            <wp:extent cx="5554980" cy="127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54980" cy="12776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060"/>
        <w:spacing w:after="0"/>
        <w:rPr>
          <w:sz w:val="20"/>
          <w:szCs w:val="20"/>
          <w:color w:val="auto"/>
        </w:rPr>
      </w:pPr>
      <w:r>
        <w:rPr>
          <w:sz w:val="1"/>
          <w:szCs w:val="1"/>
          <w:color w:val="auto"/>
        </w:rPr>
        <w:drawing>
          <wp:inline distT="0" distB="0" distL="0" distR="0">
            <wp:extent cx="59690" cy="22288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222885"/>
                    </a:xfrm>
                    <a:prstGeom prst="rect">
                      <a:avLst/>
                    </a:prstGeom>
                    <a:noFill/>
                    <a:ln>
                      <a:noFill/>
                    </a:ln>
                  </pic:spPr>
                </pic:pic>
              </a:graphicData>
            </a:graphic>
          </wp:inline>
        </w:drawing>
      </w:r>
      <w:r>
        <w:rPr>
          <w:rFonts w:ascii="Arial" w:cs="Arial" w:eastAsia="Arial" w:hAnsi="Arial"/>
          <w:sz w:val="18"/>
          <w:szCs w:val="18"/>
          <w:b w:val="1"/>
          <w:bCs w:val="1"/>
          <w:color w:val="FEFEFE"/>
        </w:rPr>
        <w:t>MICHAEL R. MCCOY</w:t>
      </w:r>
    </w:p>
    <w:p>
      <w:pPr>
        <w:spacing w:after="0" w:line="75" w:lineRule="exact"/>
        <w:rPr>
          <w:sz w:val="20"/>
          <w:szCs w:val="20"/>
          <w:color w:val="auto"/>
        </w:rPr>
      </w:pPr>
    </w:p>
    <w:p>
      <w:pPr>
        <w:ind w:left="3160" w:right="319"/>
        <w:spacing w:after="0" w:line="250" w:lineRule="auto"/>
        <w:rPr>
          <w:sz w:val="20"/>
          <w:szCs w:val="20"/>
          <w:color w:val="auto"/>
        </w:rPr>
      </w:pPr>
      <w:r>
        <w:rPr>
          <w:rFonts w:ascii="Arial" w:cs="Arial" w:eastAsia="Arial" w:hAnsi="Arial"/>
          <w:sz w:val="17"/>
          <w:szCs w:val="17"/>
          <w:color w:val="auto"/>
        </w:rPr>
        <w:t>Michael R. McCoy has served as Senior Vice President, General Counsel and Chief Legal Officer since April 2020. He joined the Company in 2010 and previously served as General Counsel, International from May 2019 to April 2020; Vice President, Assistant General Counsel, EMEA General Counsel from 2017 to 2019; and Secretary from 2013 to 2017. Prior to joining the Company, Mr. McCoy worked at two international law firms and at the U.S. Securities and Exchange Commission’s Division of Corporation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238760</wp:posOffset>
            </wp:positionV>
            <wp:extent cx="5554980" cy="11144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54980" cy="111442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FEFEFE"/>
        </w:rPr>
        <w:t>DAYNA C. BADHORN</w:t>
      </w:r>
    </w:p>
    <w:p>
      <w:pPr>
        <w:spacing w:after="0" w:line="282" w:lineRule="exact"/>
        <w:rPr>
          <w:sz w:val="20"/>
          <w:szCs w:val="20"/>
          <w:color w:val="auto"/>
        </w:rPr>
      </w:pPr>
    </w:p>
    <w:p>
      <w:pPr>
        <w:ind w:left="3160" w:right="439"/>
        <w:spacing w:after="0" w:line="252" w:lineRule="auto"/>
        <w:rPr>
          <w:sz w:val="20"/>
          <w:szCs w:val="20"/>
          <w:color w:val="auto"/>
        </w:rPr>
      </w:pPr>
      <w:r>
        <w:rPr>
          <w:rFonts w:ascii="Arial" w:cs="Arial" w:eastAsia="Arial" w:hAnsi="Arial"/>
          <w:sz w:val="17"/>
          <w:szCs w:val="17"/>
          <w:color w:val="auto"/>
        </w:rPr>
        <w:t>Dayna C. Badhorn has served as the Global Vice President, Strategic Planning and Corporate Marketing since November 2020. She joined the Company in 1998 and previously served as Vice President, Strategic Planning for Electronic Components from 2010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305435</wp:posOffset>
            </wp:positionV>
            <wp:extent cx="5554980" cy="1534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54980" cy="153416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060"/>
        <w:spacing w:after="0"/>
        <w:rPr>
          <w:sz w:val="20"/>
          <w:szCs w:val="20"/>
          <w:color w:val="auto"/>
        </w:rPr>
      </w:pPr>
      <w:r>
        <w:rPr>
          <w:sz w:val="1"/>
          <w:szCs w:val="1"/>
          <w:color w:val="auto"/>
        </w:rPr>
        <w:drawing>
          <wp:inline distT="0" distB="0" distL="0" distR="0">
            <wp:extent cx="59690" cy="22288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222885"/>
                    </a:xfrm>
                    <a:prstGeom prst="rect">
                      <a:avLst/>
                    </a:prstGeom>
                    <a:noFill/>
                    <a:ln>
                      <a:noFill/>
                    </a:ln>
                  </pic:spPr>
                </pic:pic>
              </a:graphicData>
            </a:graphic>
          </wp:inline>
        </w:drawing>
      </w:r>
      <w:r>
        <w:rPr>
          <w:rFonts w:ascii="Arial" w:cs="Arial" w:eastAsia="Arial" w:hAnsi="Arial"/>
          <w:sz w:val="18"/>
          <w:szCs w:val="18"/>
          <w:b w:val="1"/>
          <w:bCs w:val="1"/>
          <w:color w:val="FEFEFE"/>
        </w:rPr>
        <w:t>LENG JIN (MAX) CHAN</w:t>
      </w:r>
    </w:p>
    <w:p>
      <w:pPr>
        <w:spacing w:after="0" w:line="75" w:lineRule="exact"/>
        <w:rPr>
          <w:sz w:val="20"/>
          <w:szCs w:val="20"/>
          <w:color w:val="auto"/>
        </w:rPr>
      </w:pPr>
    </w:p>
    <w:p>
      <w:pPr>
        <w:ind w:left="3160" w:right="259"/>
        <w:spacing w:after="0" w:line="250" w:lineRule="auto"/>
        <w:rPr>
          <w:sz w:val="20"/>
          <w:szCs w:val="20"/>
          <w:color w:val="auto"/>
        </w:rPr>
      </w:pPr>
      <w:r>
        <w:rPr>
          <w:rFonts w:ascii="Arial" w:cs="Arial" w:eastAsia="Arial" w:hAnsi="Arial"/>
          <w:sz w:val="17"/>
          <w:szCs w:val="17"/>
          <w:color w:val="auto"/>
        </w:rPr>
        <w:t>Max Chan has served as the Chief Information Officer since 2019. Since joining the Company in 2013, he has served in various roles including Vice President, Information Technology Global Supply Chain from 2016 to 2019 and Vice President of Information for Avnet Technology Solutions (a subsidiary of the Company) in Asia from 2013 to 2016. Prior to joining the Company, Mr. Chan had held several Information Technology leadership roles, including Chief Information Officer, Asia at VF Corporation (NYSE: VFC) from 2008 to 2010 and Vice President, IT Global Supply Chain, Building Efficiency at Johnson Controls International (NYSE: JCI) from 2001 to 2008 and 2010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237490</wp:posOffset>
            </wp:positionV>
            <wp:extent cx="5554980" cy="11747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54980" cy="1174750"/>
                    </a:xfrm>
                    <a:prstGeom prst="rect">
                      <a:avLst/>
                    </a:prstGeom>
                    <a:noFill/>
                  </pic:spPr>
                </pic:pic>
              </a:graphicData>
            </a:graphic>
          </wp:anchor>
        </w:drawing>
      </w:r>
    </w:p>
    <w:p>
      <w:pPr>
        <w:spacing w:after="0" w:line="316" w:lineRule="exact"/>
        <w:rPr>
          <w:sz w:val="20"/>
          <w:szCs w:val="20"/>
          <w:color w:val="auto"/>
        </w:rPr>
      </w:pPr>
    </w:p>
    <w:p>
      <w:pPr>
        <w:ind w:left="3060"/>
        <w:spacing w:after="0"/>
        <w:rPr>
          <w:sz w:val="20"/>
          <w:szCs w:val="20"/>
          <w:color w:val="auto"/>
        </w:rPr>
      </w:pPr>
      <w:r>
        <w:rPr>
          <w:sz w:val="1"/>
          <w:szCs w:val="1"/>
          <w:color w:val="auto"/>
        </w:rPr>
        <w:drawing>
          <wp:inline distT="0" distB="0" distL="0" distR="0">
            <wp:extent cx="59690" cy="24892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248920"/>
                    </a:xfrm>
                    <a:prstGeom prst="rect">
                      <a:avLst/>
                    </a:prstGeom>
                    <a:noFill/>
                    <a:ln>
                      <a:noFill/>
                    </a:ln>
                  </pic:spPr>
                </pic:pic>
              </a:graphicData>
            </a:graphic>
          </wp:inline>
        </w:drawing>
      </w:r>
      <w:r>
        <w:rPr>
          <w:rFonts w:ascii="Arial" w:cs="Arial" w:eastAsia="Arial" w:hAnsi="Arial"/>
          <w:sz w:val="18"/>
          <w:szCs w:val="18"/>
          <w:b w:val="1"/>
          <w:bCs w:val="1"/>
          <w:color w:val="FEFEFE"/>
        </w:rPr>
        <w:t>ELIZABETH A. MCMULLEN</w:t>
      </w:r>
    </w:p>
    <w:p>
      <w:pPr>
        <w:spacing w:after="0" w:line="75" w:lineRule="exact"/>
        <w:rPr>
          <w:sz w:val="20"/>
          <w:szCs w:val="20"/>
          <w:color w:val="auto"/>
        </w:rPr>
      </w:pPr>
    </w:p>
    <w:p>
      <w:pPr>
        <w:ind w:left="3160" w:right="419"/>
        <w:spacing w:after="0" w:line="250" w:lineRule="auto"/>
        <w:rPr>
          <w:sz w:val="20"/>
          <w:szCs w:val="20"/>
          <w:color w:val="auto"/>
        </w:rPr>
      </w:pPr>
      <w:r>
        <w:rPr>
          <w:rFonts w:ascii="Arial" w:cs="Arial" w:eastAsia="Arial" w:hAnsi="Arial"/>
          <w:sz w:val="17"/>
          <w:szCs w:val="17"/>
          <w:color w:val="auto"/>
        </w:rPr>
        <w:t>Elizabeth A. McMullen has served as the Global Vice President, Operations since November 2020. Since joining the Company in 2010, she has served in various leadership roles, including Vice President, Global Business Operations from 2018 to 2020. Prior to joining the Company, Ms. McMullen had held senior leadership positions at Deutsche Post DHL Group (OTCMKTS: DPSGY) and Arthur Andersen,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239395</wp:posOffset>
            </wp:positionV>
            <wp:extent cx="5554980" cy="127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54980" cy="1276985"/>
                    </a:xfrm>
                    <a:prstGeom prst="rect">
                      <a:avLst/>
                    </a:prstGeom>
                    <a:noFill/>
                  </pic:spPr>
                </pic:pic>
              </a:graphicData>
            </a:graphic>
          </wp:anchor>
        </w:drawing>
      </w:r>
    </w:p>
    <w:p>
      <w:pPr>
        <w:spacing w:after="0" w:line="319" w:lineRule="exact"/>
        <w:rPr>
          <w:sz w:val="20"/>
          <w:szCs w:val="20"/>
          <w:color w:val="auto"/>
        </w:rPr>
      </w:pPr>
    </w:p>
    <w:p>
      <w:pPr>
        <w:ind w:left="3060"/>
        <w:spacing w:after="0"/>
        <w:rPr>
          <w:sz w:val="20"/>
          <w:szCs w:val="20"/>
          <w:color w:val="auto"/>
        </w:rPr>
      </w:pPr>
      <w:r>
        <w:rPr>
          <w:sz w:val="1"/>
          <w:szCs w:val="1"/>
          <w:color w:val="auto"/>
        </w:rPr>
        <w:drawing>
          <wp:inline distT="0" distB="0" distL="0" distR="0">
            <wp:extent cx="59690" cy="22288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222885"/>
                    </a:xfrm>
                    <a:prstGeom prst="rect">
                      <a:avLst/>
                    </a:prstGeom>
                    <a:noFill/>
                    <a:ln>
                      <a:noFill/>
                    </a:ln>
                  </pic:spPr>
                </pic:pic>
              </a:graphicData>
            </a:graphic>
          </wp:inline>
        </w:drawing>
      </w:r>
      <w:r>
        <w:rPr>
          <w:rFonts w:ascii="Arial" w:cs="Arial" w:eastAsia="Arial" w:hAnsi="Arial"/>
          <w:sz w:val="18"/>
          <w:szCs w:val="18"/>
          <w:b w:val="1"/>
          <w:bCs w:val="1"/>
          <w:color w:val="FEFEFE"/>
        </w:rPr>
        <w:t>KENNETH A. JACOBSON</w:t>
      </w:r>
    </w:p>
    <w:p>
      <w:pPr>
        <w:spacing w:after="0" w:line="75" w:lineRule="exact"/>
        <w:rPr>
          <w:sz w:val="20"/>
          <w:szCs w:val="20"/>
          <w:color w:val="auto"/>
        </w:rPr>
      </w:pPr>
    </w:p>
    <w:p>
      <w:pPr>
        <w:ind w:left="3160" w:right="919"/>
        <w:spacing w:after="0" w:line="248" w:lineRule="auto"/>
        <w:rPr>
          <w:sz w:val="20"/>
          <w:szCs w:val="20"/>
          <w:color w:val="auto"/>
        </w:rPr>
      </w:pPr>
      <w:r>
        <w:rPr>
          <w:rFonts w:ascii="Arial" w:cs="Arial" w:eastAsia="Arial" w:hAnsi="Arial"/>
          <w:sz w:val="17"/>
          <w:szCs w:val="17"/>
          <w:color w:val="auto"/>
        </w:rPr>
        <w:t>Kenneth A. Jacobson has served as the Corporate Controller since 2013 and Principal Accounting Officer since February 2018. From August 2017 to</w:t>
      </w:r>
    </w:p>
    <w:p>
      <w:pPr>
        <w:spacing w:after="0" w:line="1" w:lineRule="exact"/>
        <w:rPr>
          <w:sz w:val="20"/>
          <w:szCs w:val="20"/>
          <w:color w:val="auto"/>
        </w:rPr>
      </w:pPr>
    </w:p>
    <w:p>
      <w:pPr>
        <w:ind w:left="3160" w:right="239"/>
        <w:spacing w:after="0" w:line="251" w:lineRule="auto"/>
        <w:rPr>
          <w:sz w:val="20"/>
          <w:szCs w:val="20"/>
          <w:color w:val="auto"/>
        </w:rPr>
      </w:pPr>
      <w:r>
        <w:rPr>
          <w:rFonts w:ascii="Arial" w:cs="Arial" w:eastAsia="Arial" w:hAnsi="Arial"/>
          <w:sz w:val="17"/>
          <w:szCs w:val="17"/>
          <w:color w:val="auto"/>
        </w:rPr>
        <w:t>January 2018, he also served as the Interim Chief Financial Officer. Prior to joining the Company, Mr. Jacobson served as the Director of External Reporting and Accounting Research for First Solar Inc. from 2011 to 2013, where he led external reporting and provided accounting support for acquisitions and sales of solar power projects. Mr. Jacobson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434975</wp:posOffset>
            </wp:positionV>
            <wp:extent cx="1482725" cy="291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685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FEFEFE"/>
        </w:rPr>
        <w:t>SECURITY OWNERSHIP OF CERTAIN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FEFEFE"/>
        </w:rPr>
        <w:t>BENEFICIAL OWNERS AND MANAGEMENT</w:t>
      </w:r>
    </w:p>
    <w:p>
      <w:pPr>
        <w:spacing w:after="0" w:line="397" w:lineRule="exact"/>
        <w:rPr>
          <w:sz w:val="20"/>
          <w:szCs w:val="20"/>
          <w:color w:val="auto"/>
        </w:rPr>
      </w:pPr>
    </w:p>
    <w:p>
      <w:pPr>
        <w:ind w:left="1000" w:right="1000"/>
        <w:spacing w:after="0" w:line="236" w:lineRule="auto"/>
        <w:rPr>
          <w:sz w:val="20"/>
          <w:szCs w:val="20"/>
          <w:color w:val="auto"/>
        </w:rPr>
      </w:pPr>
      <w:r>
        <w:rPr>
          <w:rFonts w:ascii="Arial" w:cs="Arial" w:eastAsia="Arial" w:hAnsi="Arial"/>
          <w:sz w:val="18"/>
          <w:szCs w:val="18"/>
          <w:color w:val="auto"/>
        </w:rPr>
        <w:t>Unless otherwise stated, the following table sets forth information with respect to the Company’s Common Stock beneficially owned as of September 1, 2021 or, in respect of any 5% Holder, the date of such holder’s most recent Schedule 13D or Schedule 13G filed with the Securities and Exchange Commission (“SEC”) as of September 1, 2021, by: (a) persons that, to the Company’s knowledge, were the beneficial owners of more than 5% of the Company’s outstanding Common Stock (“5% Holders”), (b) each current Director and director nominee of the Company, (c) each of the executive officers named in the Summary Compensation Table in this Proxy Statement (“NEO”), and (d) all Directors and NEOs of the Company as a group. Except where specifically noted in the table, all the shares listed for a person or the group are directly held by such person or group members, with sole voting and dispositive power.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460" w:type="dxa"/>
            <w:vAlign w:val="bottom"/>
            <w:shd w:val="clear" w:color="auto" w:fill="56C271"/>
          </w:tcPr>
          <w:p>
            <w:pPr>
              <w:spacing w:after="0"/>
              <w:rPr>
                <w:sz w:val="14"/>
                <w:szCs w:val="14"/>
                <w:color w:val="auto"/>
              </w:rPr>
            </w:pPr>
          </w:p>
        </w:tc>
        <w:tc>
          <w:tcPr>
            <w:tcW w:w="1060" w:type="dxa"/>
            <w:vAlign w:val="bottom"/>
            <w:shd w:val="clear" w:color="auto" w:fill="56C271"/>
          </w:tcPr>
          <w:p>
            <w:pPr>
              <w:spacing w:after="0"/>
              <w:rPr>
                <w:sz w:val="14"/>
                <w:szCs w:val="14"/>
                <w:color w:val="auto"/>
              </w:rPr>
            </w:pPr>
          </w:p>
        </w:tc>
        <w:tc>
          <w:tcPr>
            <w:tcW w:w="1120" w:type="dxa"/>
            <w:vAlign w:val="bottom"/>
            <w:shd w:val="clear" w:color="auto" w:fill="56C271"/>
          </w:tcPr>
          <w:p>
            <w:pPr>
              <w:spacing w:after="0"/>
              <w:rPr>
                <w:sz w:val="14"/>
                <w:szCs w:val="14"/>
                <w:color w:val="auto"/>
              </w:rPr>
            </w:pPr>
          </w:p>
        </w:tc>
        <w:tc>
          <w:tcPr>
            <w:tcW w:w="1140" w:type="dxa"/>
            <w:vAlign w:val="bottom"/>
            <w:shd w:val="clear" w:color="auto" w:fill="56C271"/>
          </w:tcPr>
          <w:p>
            <w:pPr>
              <w:jc w:val="right"/>
              <w:ind w:right="168"/>
              <w:spacing w:after="0"/>
              <w:rPr>
                <w:sz w:val="20"/>
                <w:szCs w:val="20"/>
                <w:color w:val="auto"/>
              </w:rPr>
            </w:pPr>
            <w:r>
              <w:rPr>
                <w:rFonts w:ascii="Arial" w:cs="Arial" w:eastAsia="Arial" w:hAnsi="Arial"/>
                <w:sz w:val="14"/>
                <w:szCs w:val="14"/>
                <w:b w:val="1"/>
                <w:bCs w:val="1"/>
                <w:color w:val="FEFEFE"/>
              </w:rPr>
              <w:t>Total</w:t>
            </w:r>
          </w:p>
        </w:tc>
        <w:tc>
          <w:tcPr>
            <w:tcW w:w="820" w:type="dxa"/>
            <w:vAlign w:val="bottom"/>
            <w:shd w:val="clear" w:color="auto" w:fill="56C271"/>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460" w:type="dxa"/>
            <w:vAlign w:val="bottom"/>
            <w:shd w:val="clear" w:color="auto" w:fill="56C271"/>
          </w:tcPr>
          <w:p>
            <w:pPr>
              <w:spacing w:after="0"/>
              <w:rPr>
                <w:sz w:val="14"/>
                <w:szCs w:val="14"/>
                <w:color w:val="auto"/>
              </w:rPr>
            </w:pPr>
          </w:p>
        </w:tc>
        <w:tc>
          <w:tcPr>
            <w:tcW w:w="1060" w:type="dxa"/>
            <w:vAlign w:val="bottom"/>
            <w:shd w:val="clear" w:color="auto" w:fill="56C271"/>
          </w:tcPr>
          <w:p>
            <w:pPr>
              <w:spacing w:after="0"/>
              <w:rPr>
                <w:sz w:val="14"/>
                <w:szCs w:val="14"/>
                <w:color w:val="auto"/>
              </w:rPr>
            </w:pPr>
          </w:p>
        </w:tc>
        <w:tc>
          <w:tcPr>
            <w:tcW w:w="1120" w:type="dxa"/>
            <w:vAlign w:val="bottom"/>
            <w:shd w:val="clear" w:color="auto" w:fill="56C271"/>
          </w:tcPr>
          <w:p>
            <w:pPr>
              <w:jc w:val="right"/>
              <w:ind w:right="90"/>
              <w:spacing w:after="0"/>
              <w:rPr>
                <w:sz w:val="20"/>
                <w:szCs w:val="20"/>
                <w:color w:val="auto"/>
              </w:rPr>
            </w:pPr>
            <w:r>
              <w:rPr>
                <w:rFonts w:ascii="Arial" w:cs="Arial" w:eastAsia="Arial" w:hAnsi="Arial"/>
                <w:sz w:val="14"/>
                <w:szCs w:val="14"/>
                <w:b w:val="1"/>
                <w:bCs w:val="1"/>
                <w:color w:val="FEFEFE"/>
              </w:rPr>
              <w:t>Stock</w:t>
            </w:r>
          </w:p>
        </w:tc>
        <w:tc>
          <w:tcPr>
            <w:tcW w:w="1140" w:type="dxa"/>
            <w:vAlign w:val="bottom"/>
            <w:shd w:val="clear" w:color="auto" w:fill="56C271"/>
          </w:tcPr>
          <w:p>
            <w:pPr>
              <w:jc w:val="right"/>
              <w:ind w:right="168"/>
              <w:spacing w:after="0"/>
              <w:rPr>
                <w:sz w:val="20"/>
                <w:szCs w:val="20"/>
                <w:color w:val="auto"/>
              </w:rPr>
            </w:pPr>
            <w:r>
              <w:rPr>
                <w:rFonts w:ascii="Arial" w:cs="Arial" w:eastAsia="Arial" w:hAnsi="Arial"/>
                <w:sz w:val="14"/>
                <w:szCs w:val="14"/>
                <w:b w:val="1"/>
                <w:bCs w:val="1"/>
                <w:color w:val="FEFEFE"/>
              </w:rPr>
              <w:t>Common</w:t>
            </w:r>
          </w:p>
        </w:tc>
        <w:tc>
          <w:tcPr>
            <w:tcW w:w="820" w:type="dxa"/>
            <w:vAlign w:val="bottom"/>
            <w:shd w:val="clear" w:color="auto" w:fill="56C271"/>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460" w:type="dxa"/>
            <w:vAlign w:val="bottom"/>
            <w:shd w:val="clear" w:color="auto" w:fill="56C271"/>
          </w:tcPr>
          <w:p>
            <w:pPr>
              <w:spacing w:after="0"/>
              <w:rPr>
                <w:sz w:val="14"/>
                <w:szCs w:val="14"/>
                <w:color w:val="auto"/>
              </w:rPr>
            </w:pPr>
          </w:p>
        </w:tc>
        <w:tc>
          <w:tcPr>
            <w:tcW w:w="1060" w:type="dxa"/>
            <w:vAlign w:val="bottom"/>
            <w:shd w:val="clear" w:color="auto" w:fill="56C271"/>
          </w:tcPr>
          <w:p>
            <w:pPr>
              <w:spacing w:after="0"/>
              <w:rPr>
                <w:sz w:val="14"/>
                <w:szCs w:val="14"/>
                <w:color w:val="auto"/>
              </w:rPr>
            </w:pPr>
          </w:p>
        </w:tc>
        <w:tc>
          <w:tcPr>
            <w:tcW w:w="1120" w:type="dxa"/>
            <w:vAlign w:val="bottom"/>
            <w:shd w:val="clear" w:color="auto" w:fill="56C271"/>
          </w:tcPr>
          <w:p>
            <w:pPr>
              <w:jc w:val="right"/>
              <w:ind w:right="90"/>
              <w:spacing w:after="0"/>
              <w:rPr>
                <w:sz w:val="20"/>
                <w:szCs w:val="20"/>
                <w:color w:val="auto"/>
              </w:rPr>
            </w:pPr>
            <w:r>
              <w:rPr>
                <w:rFonts w:ascii="Arial" w:cs="Arial" w:eastAsia="Arial" w:hAnsi="Arial"/>
                <w:sz w:val="14"/>
                <w:szCs w:val="14"/>
                <w:b w:val="1"/>
                <w:bCs w:val="1"/>
                <w:color w:val="FEFEFE"/>
              </w:rPr>
              <w:t>Options</w:t>
            </w:r>
          </w:p>
        </w:tc>
        <w:tc>
          <w:tcPr>
            <w:tcW w:w="1140" w:type="dxa"/>
            <w:vAlign w:val="bottom"/>
            <w:shd w:val="clear" w:color="auto" w:fill="56C271"/>
          </w:tcPr>
          <w:p>
            <w:pPr>
              <w:jc w:val="right"/>
              <w:ind w:right="168"/>
              <w:spacing w:after="0"/>
              <w:rPr>
                <w:sz w:val="20"/>
                <w:szCs w:val="20"/>
                <w:color w:val="auto"/>
              </w:rPr>
            </w:pPr>
            <w:r>
              <w:rPr>
                <w:rFonts w:ascii="Arial" w:cs="Arial" w:eastAsia="Arial" w:hAnsi="Arial"/>
                <w:sz w:val="14"/>
                <w:szCs w:val="14"/>
                <w:b w:val="1"/>
                <w:bCs w:val="1"/>
                <w:color w:val="FEFEFE"/>
              </w:rPr>
              <w:t>Stock</w:t>
            </w:r>
          </w:p>
        </w:tc>
        <w:tc>
          <w:tcPr>
            <w:tcW w:w="820" w:type="dxa"/>
            <w:vAlign w:val="bottom"/>
            <w:shd w:val="clear" w:color="auto" w:fill="56C271"/>
          </w:tcPr>
          <w:p>
            <w:pPr>
              <w:jc w:val="right"/>
              <w:ind w:right="27"/>
              <w:spacing w:after="0"/>
              <w:rPr>
                <w:sz w:val="20"/>
                <w:szCs w:val="20"/>
                <w:color w:val="auto"/>
              </w:rPr>
            </w:pPr>
            <w:r>
              <w:rPr>
                <w:rFonts w:ascii="Arial" w:cs="Arial" w:eastAsia="Arial" w:hAnsi="Arial"/>
                <w:sz w:val="14"/>
                <w:szCs w:val="14"/>
                <w:b w:val="1"/>
                <w:bCs w:val="1"/>
                <w:color w:val="FEFEFE"/>
              </w:rPr>
              <w:t>Percent</w:t>
            </w:r>
          </w:p>
        </w:tc>
        <w:tc>
          <w:tcPr>
            <w:tcW w:w="98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460" w:type="dxa"/>
            <w:vAlign w:val="bottom"/>
            <w:shd w:val="clear" w:color="auto" w:fill="56C271"/>
          </w:tcPr>
          <w:p>
            <w:pPr>
              <w:spacing w:after="0"/>
              <w:rPr>
                <w:sz w:val="14"/>
                <w:szCs w:val="14"/>
                <w:color w:val="auto"/>
              </w:rPr>
            </w:pPr>
          </w:p>
        </w:tc>
        <w:tc>
          <w:tcPr>
            <w:tcW w:w="1060" w:type="dxa"/>
            <w:vAlign w:val="bottom"/>
            <w:shd w:val="clear" w:color="auto" w:fill="56C271"/>
          </w:tcPr>
          <w:p>
            <w:pPr>
              <w:jc w:val="right"/>
              <w:ind w:right="188"/>
              <w:spacing w:after="0"/>
              <w:rPr>
                <w:sz w:val="20"/>
                <w:szCs w:val="20"/>
                <w:color w:val="auto"/>
              </w:rPr>
            </w:pPr>
            <w:r>
              <w:rPr>
                <w:rFonts w:ascii="Arial" w:cs="Arial" w:eastAsia="Arial" w:hAnsi="Arial"/>
                <w:sz w:val="14"/>
                <w:szCs w:val="14"/>
                <w:b w:val="1"/>
                <w:bCs w:val="1"/>
                <w:color w:val="FEFEFE"/>
              </w:rPr>
              <w:t>Common</w:t>
            </w:r>
          </w:p>
        </w:tc>
        <w:tc>
          <w:tcPr>
            <w:tcW w:w="1120" w:type="dxa"/>
            <w:vAlign w:val="bottom"/>
            <w:shd w:val="clear" w:color="auto" w:fill="56C271"/>
          </w:tcPr>
          <w:p>
            <w:pPr>
              <w:jc w:val="right"/>
              <w:ind w:right="90"/>
              <w:spacing w:after="0"/>
              <w:rPr>
                <w:sz w:val="20"/>
                <w:szCs w:val="20"/>
                <w:color w:val="auto"/>
              </w:rPr>
            </w:pPr>
            <w:r>
              <w:rPr>
                <w:rFonts w:ascii="Arial" w:cs="Arial" w:eastAsia="Arial" w:hAnsi="Arial"/>
                <w:sz w:val="14"/>
                <w:szCs w:val="14"/>
                <w:b w:val="1"/>
                <w:bCs w:val="1"/>
                <w:color w:val="FEFEFE"/>
              </w:rPr>
              <w:t>Exercisable</w:t>
            </w:r>
          </w:p>
        </w:tc>
        <w:tc>
          <w:tcPr>
            <w:tcW w:w="1140" w:type="dxa"/>
            <w:vAlign w:val="bottom"/>
            <w:shd w:val="clear" w:color="auto" w:fill="56C271"/>
          </w:tcPr>
          <w:p>
            <w:pPr>
              <w:jc w:val="right"/>
              <w:ind w:right="168"/>
              <w:spacing w:after="0"/>
              <w:rPr>
                <w:sz w:val="20"/>
                <w:szCs w:val="20"/>
                <w:color w:val="auto"/>
              </w:rPr>
            </w:pPr>
            <w:r>
              <w:rPr>
                <w:rFonts w:ascii="Arial" w:cs="Arial" w:eastAsia="Arial" w:hAnsi="Arial"/>
                <w:sz w:val="14"/>
                <w:szCs w:val="14"/>
                <w:b w:val="1"/>
                <w:bCs w:val="1"/>
                <w:color w:val="FEFEFE"/>
              </w:rPr>
              <w:t>Beneficially</w:t>
            </w:r>
          </w:p>
        </w:tc>
        <w:tc>
          <w:tcPr>
            <w:tcW w:w="820" w:type="dxa"/>
            <w:vAlign w:val="bottom"/>
            <w:shd w:val="clear" w:color="auto" w:fill="56C271"/>
          </w:tcPr>
          <w:p>
            <w:pPr>
              <w:jc w:val="right"/>
              <w:ind w:right="27"/>
              <w:spacing w:after="0"/>
              <w:rPr>
                <w:sz w:val="20"/>
                <w:szCs w:val="20"/>
                <w:color w:val="auto"/>
              </w:rPr>
            </w:pPr>
            <w:r>
              <w:rPr>
                <w:rFonts w:ascii="Arial" w:cs="Arial" w:eastAsia="Arial" w:hAnsi="Arial"/>
                <w:sz w:val="14"/>
                <w:szCs w:val="14"/>
                <w:b w:val="1"/>
                <w:bCs w:val="1"/>
                <w:color w:val="FEFEFE"/>
              </w:rPr>
              <w:t>of</w:t>
            </w:r>
          </w:p>
        </w:tc>
        <w:tc>
          <w:tcPr>
            <w:tcW w:w="980" w:type="dxa"/>
            <w:vAlign w:val="bottom"/>
          </w:tcPr>
          <w:p>
            <w:pPr>
              <w:spacing w:after="0"/>
              <w:rPr>
                <w:sz w:val="14"/>
                <w:szCs w:val="14"/>
                <w:color w:val="auto"/>
              </w:rPr>
            </w:pPr>
          </w:p>
        </w:tc>
      </w:tr>
      <w:tr>
        <w:trPr>
          <w:trHeight w:val="175"/>
        </w:trPr>
        <w:tc>
          <w:tcPr>
            <w:tcW w:w="980" w:type="dxa"/>
            <w:vAlign w:val="bottom"/>
          </w:tcPr>
          <w:p>
            <w:pPr>
              <w:spacing w:after="0"/>
              <w:rPr>
                <w:sz w:val="15"/>
                <w:szCs w:val="15"/>
                <w:color w:val="auto"/>
              </w:rPr>
            </w:pPr>
          </w:p>
        </w:tc>
        <w:tc>
          <w:tcPr>
            <w:tcW w:w="4620" w:type="dxa"/>
            <w:vAlign w:val="bottom"/>
            <w:gridSpan w:val="2"/>
            <w:shd w:val="clear" w:color="auto" w:fill="56C271"/>
          </w:tcPr>
          <w:p>
            <w:pPr>
              <w:ind w:left="60"/>
              <w:spacing w:after="0"/>
              <w:rPr>
                <w:sz w:val="20"/>
                <w:szCs w:val="20"/>
                <w:color w:val="auto"/>
              </w:rPr>
            </w:pPr>
            <w:r>
              <w:rPr>
                <w:rFonts w:ascii="Arial" w:cs="Arial" w:eastAsia="Arial" w:hAnsi="Arial"/>
                <w:sz w:val="14"/>
                <w:szCs w:val="14"/>
                <w:b w:val="1"/>
                <w:bCs w:val="1"/>
                <w:color w:val="FEFEFE"/>
              </w:rPr>
              <w:t>Name of Beneficial Owner</w:t>
            </w:r>
          </w:p>
        </w:tc>
        <w:tc>
          <w:tcPr>
            <w:tcW w:w="1060" w:type="dxa"/>
            <w:vAlign w:val="bottom"/>
            <w:shd w:val="clear" w:color="auto" w:fill="56C271"/>
          </w:tcPr>
          <w:p>
            <w:pPr>
              <w:jc w:val="right"/>
              <w:ind w:right="148"/>
              <w:spacing w:after="0" w:line="176" w:lineRule="exact"/>
              <w:rPr>
                <w:sz w:val="20"/>
                <w:szCs w:val="20"/>
                <w:color w:val="auto"/>
              </w:rPr>
            </w:pPr>
            <w:r>
              <w:rPr>
                <w:rFonts w:ascii="Arial" w:cs="Arial" w:eastAsia="Arial" w:hAnsi="Arial"/>
                <w:sz w:val="14"/>
                <w:szCs w:val="14"/>
                <w:b w:val="1"/>
                <w:bCs w:val="1"/>
                <w:color w:val="FEFEFE"/>
              </w:rPr>
              <w:t>Stock</w:t>
            </w:r>
            <w:r>
              <w:rPr>
                <w:rFonts w:ascii="Arial" w:cs="Arial" w:eastAsia="Arial" w:hAnsi="Arial"/>
                <w:sz w:val="17"/>
                <w:szCs w:val="17"/>
                <w:b w:val="1"/>
                <w:bCs w:val="1"/>
                <w:color w:val="FEFEFE"/>
                <w:vertAlign w:val="superscript"/>
              </w:rPr>
              <w:t>(a)</w:t>
            </w:r>
          </w:p>
        </w:tc>
        <w:tc>
          <w:tcPr>
            <w:tcW w:w="1120" w:type="dxa"/>
            <w:vAlign w:val="bottom"/>
            <w:shd w:val="clear" w:color="auto" w:fill="56C271"/>
          </w:tcPr>
          <w:p>
            <w:pPr>
              <w:jc w:val="right"/>
              <w:ind w:right="50"/>
              <w:spacing w:after="0"/>
              <w:rPr>
                <w:sz w:val="20"/>
                <w:szCs w:val="20"/>
                <w:color w:val="auto"/>
              </w:rPr>
            </w:pPr>
            <w:r>
              <w:rPr>
                <w:rFonts w:ascii="Arial" w:cs="Arial" w:eastAsia="Arial" w:hAnsi="Arial"/>
                <w:sz w:val="14"/>
                <w:szCs w:val="14"/>
                <w:b w:val="1"/>
                <w:bCs w:val="1"/>
                <w:color w:val="FEFEFE"/>
                <w:w w:val="98"/>
              </w:rPr>
              <w:t>Within 60 Days</w:t>
            </w:r>
          </w:p>
        </w:tc>
        <w:tc>
          <w:tcPr>
            <w:tcW w:w="1140" w:type="dxa"/>
            <w:vAlign w:val="bottom"/>
            <w:shd w:val="clear" w:color="auto" w:fill="56C271"/>
          </w:tcPr>
          <w:p>
            <w:pPr>
              <w:jc w:val="right"/>
              <w:ind w:right="128"/>
              <w:spacing w:after="0"/>
              <w:rPr>
                <w:sz w:val="20"/>
                <w:szCs w:val="20"/>
                <w:color w:val="auto"/>
              </w:rPr>
            </w:pPr>
            <w:r>
              <w:rPr>
                <w:rFonts w:ascii="Arial" w:cs="Arial" w:eastAsia="Arial" w:hAnsi="Arial"/>
                <w:sz w:val="14"/>
                <w:szCs w:val="14"/>
                <w:b w:val="1"/>
                <w:bCs w:val="1"/>
                <w:color w:val="FEFEFE"/>
              </w:rPr>
              <w:t>Owned</w:t>
            </w:r>
          </w:p>
        </w:tc>
        <w:tc>
          <w:tcPr>
            <w:tcW w:w="820" w:type="dxa"/>
            <w:vAlign w:val="bottom"/>
            <w:shd w:val="clear" w:color="auto" w:fill="56C271"/>
          </w:tcPr>
          <w:p>
            <w:pPr>
              <w:jc w:val="right"/>
              <w:spacing w:after="0" w:line="176" w:lineRule="exact"/>
              <w:rPr>
                <w:sz w:val="20"/>
                <w:szCs w:val="20"/>
                <w:color w:val="auto"/>
              </w:rPr>
            </w:pPr>
            <w:r>
              <w:rPr>
                <w:rFonts w:ascii="Arial" w:cs="Arial" w:eastAsia="Arial" w:hAnsi="Arial"/>
                <w:sz w:val="14"/>
                <w:szCs w:val="14"/>
                <w:b w:val="1"/>
                <w:bCs w:val="1"/>
                <w:color w:val="FEFEFE"/>
              </w:rPr>
              <w:t>Class</w:t>
            </w:r>
            <w:r>
              <w:rPr>
                <w:rFonts w:ascii="Arial" w:cs="Arial" w:eastAsia="Arial" w:hAnsi="Arial"/>
                <w:sz w:val="17"/>
                <w:szCs w:val="17"/>
                <w:b w:val="1"/>
                <w:bCs w:val="1"/>
                <w:color w:val="FEFEFE"/>
                <w:vertAlign w:val="superscript"/>
              </w:rPr>
              <w:t>(b)</w:t>
            </w:r>
          </w:p>
        </w:tc>
        <w:tc>
          <w:tcPr>
            <w:tcW w:w="980" w:type="dxa"/>
            <w:vAlign w:val="bottom"/>
          </w:tcPr>
          <w:p>
            <w:pPr>
              <w:spacing w:after="0"/>
              <w:rPr>
                <w:sz w:val="15"/>
                <w:szCs w:val="15"/>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b w:val="1"/>
                <w:bCs w:val="1"/>
                <w:color w:val="auto"/>
              </w:rPr>
              <w:t>5% Holders</w:t>
            </w: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1"/>
        </w:trPr>
        <w:tc>
          <w:tcPr>
            <w:tcW w:w="980" w:type="dxa"/>
            <w:vAlign w:val="bottom"/>
          </w:tcPr>
          <w:p>
            <w:pPr>
              <w:spacing w:after="0"/>
              <w:rPr>
                <w:sz w:val="22"/>
                <w:szCs w:val="22"/>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BlackRock, Inc.</w:t>
            </w:r>
            <w:r>
              <w:rPr>
                <w:rFonts w:ascii="Arial" w:cs="Arial" w:eastAsia="Arial" w:hAnsi="Arial"/>
                <w:sz w:val="17"/>
                <w:szCs w:val="17"/>
                <w:color w:val="auto"/>
                <w:vertAlign w:val="superscript"/>
              </w:rPr>
              <w:t>(1)</w:t>
            </w:r>
          </w:p>
        </w:tc>
        <w:tc>
          <w:tcPr>
            <w:tcW w:w="1060" w:type="dxa"/>
            <w:vAlign w:val="bottom"/>
            <w:shd w:val="clear" w:color="auto" w:fill="CCEDD4"/>
          </w:tcPr>
          <w:p>
            <w:pPr>
              <w:jc w:val="right"/>
              <w:ind w:right="148"/>
              <w:spacing w:after="0"/>
              <w:rPr>
                <w:sz w:val="20"/>
                <w:szCs w:val="20"/>
                <w:color w:val="auto"/>
              </w:rPr>
            </w:pPr>
            <w:r>
              <w:rPr>
                <w:rFonts w:ascii="Arial" w:cs="Arial" w:eastAsia="Arial" w:hAnsi="Arial"/>
                <w:sz w:val="14"/>
                <w:szCs w:val="14"/>
                <w:color w:val="auto"/>
              </w:rPr>
              <w:t>8,677,865</w:t>
            </w:r>
          </w:p>
        </w:tc>
        <w:tc>
          <w:tcPr>
            <w:tcW w:w="1120" w:type="dxa"/>
            <w:vAlign w:val="bottom"/>
            <w:shd w:val="clear" w:color="auto" w:fill="CCEDD4"/>
          </w:tcPr>
          <w:p>
            <w:pPr>
              <w:spacing w:after="0"/>
              <w:rPr>
                <w:sz w:val="22"/>
                <w:szCs w:val="22"/>
                <w:color w:val="auto"/>
              </w:rPr>
            </w:pP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b w:val="1"/>
                <w:bCs w:val="1"/>
                <w:color w:val="auto"/>
              </w:rPr>
              <w:t>8,677,865</w:t>
            </w:r>
          </w:p>
        </w:tc>
        <w:tc>
          <w:tcPr>
            <w:tcW w:w="820" w:type="dxa"/>
            <w:vAlign w:val="bottom"/>
            <w:shd w:val="clear" w:color="auto" w:fill="CCEDD4"/>
          </w:tcPr>
          <w:p>
            <w:pPr>
              <w:jc w:val="right"/>
              <w:ind w:right="87"/>
              <w:spacing w:after="0"/>
              <w:rPr>
                <w:sz w:val="20"/>
                <w:szCs w:val="20"/>
                <w:color w:val="auto"/>
              </w:rPr>
            </w:pPr>
            <w:r>
              <w:rPr>
                <w:rFonts w:ascii="Arial" w:cs="Arial" w:eastAsia="Arial" w:hAnsi="Arial"/>
                <w:sz w:val="14"/>
                <w:szCs w:val="14"/>
                <w:b w:val="1"/>
                <w:bCs w:val="1"/>
                <w:color w:val="auto"/>
              </w:rPr>
              <w:t>8.7%</w:t>
            </w:r>
          </w:p>
        </w:tc>
        <w:tc>
          <w:tcPr>
            <w:tcW w:w="980" w:type="dxa"/>
            <w:vAlign w:val="bottom"/>
          </w:tcPr>
          <w:p>
            <w:pPr>
              <w:spacing w:after="0"/>
              <w:rPr>
                <w:sz w:val="22"/>
                <w:szCs w:val="22"/>
                <w:color w:val="auto"/>
              </w:rPr>
            </w:pPr>
          </w:p>
        </w:tc>
      </w:tr>
      <w:tr>
        <w:trPr>
          <w:trHeight w:val="162"/>
        </w:trPr>
        <w:tc>
          <w:tcPr>
            <w:tcW w:w="980" w:type="dxa"/>
            <w:vAlign w:val="bottom"/>
          </w:tcPr>
          <w:p>
            <w:pPr>
              <w:spacing w:after="0"/>
              <w:rPr>
                <w:sz w:val="14"/>
                <w:szCs w:val="14"/>
                <w:color w:val="auto"/>
              </w:rPr>
            </w:pPr>
          </w:p>
        </w:tc>
        <w:tc>
          <w:tcPr>
            <w:tcW w:w="160" w:type="dxa"/>
            <w:vAlign w:val="bottom"/>
            <w:shd w:val="clear" w:color="auto" w:fill="CCEDD4"/>
          </w:tcPr>
          <w:p>
            <w:pPr>
              <w:spacing w:after="0"/>
              <w:rPr>
                <w:sz w:val="14"/>
                <w:szCs w:val="14"/>
                <w:color w:val="auto"/>
              </w:rPr>
            </w:pPr>
          </w:p>
        </w:tc>
        <w:tc>
          <w:tcPr>
            <w:tcW w:w="4460" w:type="dxa"/>
            <w:vAlign w:val="bottom"/>
            <w:shd w:val="clear" w:color="auto" w:fill="CCEDD4"/>
          </w:tcPr>
          <w:p>
            <w:pPr>
              <w:ind w:left="40"/>
              <w:spacing w:after="0"/>
              <w:rPr>
                <w:sz w:val="20"/>
                <w:szCs w:val="20"/>
                <w:color w:val="auto"/>
              </w:rPr>
            </w:pPr>
            <w:r>
              <w:rPr>
                <w:rFonts w:ascii="Arial" w:cs="Arial" w:eastAsia="Arial" w:hAnsi="Arial"/>
                <w:sz w:val="14"/>
                <w:szCs w:val="14"/>
                <w:color w:val="auto"/>
              </w:rPr>
              <w:t>55 East 52nd Street</w:t>
            </w:r>
          </w:p>
        </w:tc>
        <w:tc>
          <w:tcPr>
            <w:tcW w:w="1060" w:type="dxa"/>
            <w:vAlign w:val="bottom"/>
            <w:shd w:val="clear" w:color="auto" w:fill="CCEDD4"/>
          </w:tcPr>
          <w:p>
            <w:pPr>
              <w:spacing w:after="0"/>
              <w:rPr>
                <w:sz w:val="14"/>
                <w:szCs w:val="14"/>
                <w:color w:val="auto"/>
              </w:rPr>
            </w:pPr>
          </w:p>
        </w:tc>
        <w:tc>
          <w:tcPr>
            <w:tcW w:w="1120" w:type="dxa"/>
            <w:vAlign w:val="bottom"/>
            <w:shd w:val="clear" w:color="auto" w:fill="CCEDD4"/>
          </w:tcPr>
          <w:p>
            <w:pPr>
              <w:spacing w:after="0"/>
              <w:rPr>
                <w:sz w:val="14"/>
                <w:szCs w:val="14"/>
                <w:color w:val="auto"/>
              </w:rPr>
            </w:pPr>
          </w:p>
        </w:tc>
        <w:tc>
          <w:tcPr>
            <w:tcW w:w="1140" w:type="dxa"/>
            <w:vAlign w:val="bottom"/>
            <w:shd w:val="clear" w:color="auto" w:fill="CCEDD4"/>
          </w:tcPr>
          <w:p>
            <w:pPr>
              <w:spacing w:after="0"/>
              <w:rPr>
                <w:sz w:val="14"/>
                <w:szCs w:val="14"/>
                <w:color w:val="auto"/>
              </w:rPr>
            </w:pPr>
          </w:p>
        </w:tc>
        <w:tc>
          <w:tcPr>
            <w:tcW w:w="820" w:type="dxa"/>
            <w:vAlign w:val="bottom"/>
            <w:shd w:val="clear" w:color="auto" w:fill="CCEDD4"/>
          </w:tcPr>
          <w:p>
            <w:pPr>
              <w:spacing w:after="0"/>
              <w:rPr>
                <w:sz w:val="14"/>
                <w:szCs w:val="14"/>
                <w:color w:val="auto"/>
              </w:rPr>
            </w:pPr>
          </w:p>
        </w:tc>
        <w:tc>
          <w:tcPr>
            <w:tcW w:w="980" w:type="dxa"/>
            <w:vAlign w:val="bottom"/>
          </w:tcPr>
          <w:p>
            <w:pPr>
              <w:spacing w:after="0"/>
              <w:rPr>
                <w:sz w:val="14"/>
                <w:szCs w:val="14"/>
                <w:color w:val="auto"/>
              </w:rPr>
            </w:pPr>
          </w:p>
        </w:tc>
      </w:tr>
      <w:tr>
        <w:trPr>
          <w:trHeight w:val="184"/>
        </w:trPr>
        <w:tc>
          <w:tcPr>
            <w:tcW w:w="980" w:type="dxa"/>
            <w:vAlign w:val="bottom"/>
          </w:tcPr>
          <w:p>
            <w:pPr>
              <w:spacing w:after="0"/>
              <w:rPr>
                <w:sz w:val="16"/>
                <w:szCs w:val="16"/>
                <w:color w:val="auto"/>
              </w:rPr>
            </w:pPr>
          </w:p>
        </w:tc>
        <w:tc>
          <w:tcPr>
            <w:tcW w:w="160" w:type="dxa"/>
            <w:vAlign w:val="bottom"/>
            <w:shd w:val="clear" w:color="auto" w:fill="CCEDD4"/>
          </w:tcPr>
          <w:p>
            <w:pPr>
              <w:spacing w:after="0"/>
              <w:rPr>
                <w:sz w:val="16"/>
                <w:szCs w:val="16"/>
                <w:color w:val="auto"/>
              </w:rPr>
            </w:pPr>
          </w:p>
        </w:tc>
        <w:tc>
          <w:tcPr>
            <w:tcW w:w="4460" w:type="dxa"/>
            <w:vAlign w:val="bottom"/>
            <w:shd w:val="clear" w:color="auto" w:fill="CCEDD4"/>
          </w:tcPr>
          <w:p>
            <w:pPr>
              <w:ind w:left="40"/>
              <w:spacing w:after="0"/>
              <w:rPr>
                <w:sz w:val="20"/>
                <w:szCs w:val="20"/>
                <w:color w:val="auto"/>
              </w:rPr>
            </w:pPr>
            <w:r>
              <w:rPr>
                <w:rFonts w:ascii="Arial" w:cs="Arial" w:eastAsia="Arial" w:hAnsi="Arial"/>
                <w:sz w:val="14"/>
                <w:szCs w:val="14"/>
                <w:color w:val="auto"/>
              </w:rPr>
              <w:t>New York, NY 10055</w:t>
            </w:r>
          </w:p>
        </w:tc>
        <w:tc>
          <w:tcPr>
            <w:tcW w:w="1060" w:type="dxa"/>
            <w:vAlign w:val="bottom"/>
            <w:shd w:val="clear" w:color="auto" w:fill="CCEDD4"/>
          </w:tcPr>
          <w:p>
            <w:pPr>
              <w:spacing w:after="0"/>
              <w:rPr>
                <w:sz w:val="16"/>
                <w:szCs w:val="16"/>
                <w:color w:val="auto"/>
              </w:rPr>
            </w:pPr>
          </w:p>
        </w:tc>
        <w:tc>
          <w:tcPr>
            <w:tcW w:w="1120" w:type="dxa"/>
            <w:vAlign w:val="bottom"/>
            <w:shd w:val="clear" w:color="auto" w:fill="CCEDD4"/>
          </w:tcPr>
          <w:p>
            <w:pPr>
              <w:spacing w:after="0"/>
              <w:rPr>
                <w:sz w:val="16"/>
                <w:szCs w:val="16"/>
                <w:color w:val="auto"/>
              </w:rPr>
            </w:pPr>
          </w:p>
        </w:tc>
        <w:tc>
          <w:tcPr>
            <w:tcW w:w="1140" w:type="dxa"/>
            <w:vAlign w:val="bottom"/>
            <w:shd w:val="clear" w:color="auto" w:fill="CCEDD4"/>
          </w:tcPr>
          <w:p>
            <w:pPr>
              <w:spacing w:after="0"/>
              <w:rPr>
                <w:sz w:val="16"/>
                <w:szCs w:val="16"/>
                <w:color w:val="auto"/>
              </w:rPr>
            </w:pPr>
          </w:p>
        </w:tc>
        <w:tc>
          <w:tcPr>
            <w:tcW w:w="820" w:type="dxa"/>
            <w:vAlign w:val="bottom"/>
            <w:shd w:val="clear" w:color="auto" w:fill="CCEDD4"/>
          </w:tcPr>
          <w:p>
            <w:pPr>
              <w:spacing w:after="0"/>
              <w:rPr>
                <w:sz w:val="16"/>
                <w:szCs w:val="16"/>
                <w:color w:val="auto"/>
              </w:rPr>
            </w:pPr>
          </w:p>
        </w:tc>
        <w:tc>
          <w:tcPr>
            <w:tcW w:w="980" w:type="dxa"/>
            <w:vAlign w:val="bottom"/>
          </w:tcPr>
          <w:p>
            <w:pPr>
              <w:spacing w:after="0"/>
              <w:rPr>
                <w:sz w:val="16"/>
                <w:szCs w:val="16"/>
                <w:color w:val="auto"/>
              </w:rPr>
            </w:pPr>
          </w:p>
        </w:tc>
      </w:tr>
      <w:tr>
        <w:trPr>
          <w:trHeight w:val="261"/>
        </w:trPr>
        <w:tc>
          <w:tcPr>
            <w:tcW w:w="980" w:type="dxa"/>
            <w:vAlign w:val="bottom"/>
          </w:tcPr>
          <w:p>
            <w:pPr>
              <w:spacing w:after="0"/>
              <w:rPr>
                <w:sz w:val="22"/>
                <w:szCs w:val="22"/>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Pzena Investment Management LLC.</w:t>
            </w:r>
            <w:r>
              <w:rPr>
                <w:rFonts w:ascii="Arial" w:cs="Arial" w:eastAsia="Arial" w:hAnsi="Arial"/>
                <w:sz w:val="17"/>
                <w:szCs w:val="17"/>
                <w:color w:val="auto"/>
                <w:vertAlign w:val="superscript"/>
              </w:rPr>
              <w:t>(2)</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12,561,805</w:t>
            </w:r>
          </w:p>
        </w:tc>
        <w:tc>
          <w:tcPr>
            <w:tcW w:w="1120" w:type="dxa"/>
            <w:vAlign w:val="bottom"/>
          </w:tcPr>
          <w:p>
            <w:pPr>
              <w:spacing w:after="0"/>
              <w:rPr>
                <w:sz w:val="22"/>
                <w:szCs w:val="22"/>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12,561,805</w:t>
            </w:r>
          </w:p>
        </w:tc>
        <w:tc>
          <w:tcPr>
            <w:tcW w:w="820" w:type="dxa"/>
            <w:vAlign w:val="bottom"/>
          </w:tcPr>
          <w:p>
            <w:pPr>
              <w:jc w:val="right"/>
              <w:ind w:right="87"/>
              <w:spacing w:after="0"/>
              <w:rPr>
                <w:sz w:val="20"/>
                <w:szCs w:val="20"/>
                <w:color w:val="auto"/>
              </w:rPr>
            </w:pPr>
            <w:r>
              <w:rPr>
                <w:rFonts w:ascii="Arial" w:cs="Arial" w:eastAsia="Arial" w:hAnsi="Arial"/>
                <w:sz w:val="14"/>
                <w:szCs w:val="14"/>
                <w:b w:val="1"/>
                <w:bCs w:val="1"/>
                <w:color w:val="auto"/>
              </w:rPr>
              <w:t>12.6%</w:t>
            </w:r>
          </w:p>
        </w:tc>
        <w:tc>
          <w:tcPr>
            <w:tcW w:w="980" w:type="dxa"/>
            <w:vAlign w:val="bottom"/>
          </w:tcPr>
          <w:p>
            <w:pPr>
              <w:spacing w:after="0"/>
              <w:rPr>
                <w:sz w:val="22"/>
                <w:szCs w:val="22"/>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320 Park Avenue, 8th Floor</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New York, NY 10022</w:t>
            </w: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67"/>
        </w:trPr>
        <w:tc>
          <w:tcPr>
            <w:tcW w:w="980" w:type="dxa"/>
            <w:vAlign w:val="bottom"/>
          </w:tcPr>
          <w:p>
            <w:pPr>
              <w:spacing w:after="0"/>
              <w:rPr>
                <w:sz w:val="23"/>
                <w:szCs w:val="23"/>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17"/>
                <w:szCs w:val="17"/>
                <w:color w:val="auto"/>
                <w:vertAlign w:val="superscript"/>
              </w:rPr>
              <w:t>(3)</w:t>
            </w:r>
          </w:p>
        </w:tc>
        <w:tc>
          <w:tcPr>
            <w:tcW w:w="1060" w:type="dxa"/>
            <w:vAlign w:val="bottom"/>
            <w:shd w:val="clear" w:color="auto" w:fill="CCEDD4"/>
          </w:tcPr>
          <w:p>
            <w:pPr>
              <w:jc w:val="right"/>
              <w:ind w:right="148"/>
              <w:spacing w:after="0"/>
              <w:rPr>
                <w:sz w:val="20"/>
                <w:szCs w:val="20"/>
                <w:color w:val="auto"/>
              </w:rPr>
            </w:pPr>
            <w:r>
              <w:rPr>
                <w:rFonts w:ascii="Arial" w:cs="Arial" w:eastAsia="Arial" w:hAnsi="Arial"/>
                <w:sz w:val="14"/>
                <w:szCs w:val="14"/>
                <w:color w:val="auto"/>
              </w:rPr>
              <w:t>10,680,640</w:t>
            </w:r>
          </w:p>
        </w:tc>
        <w:tc>
          <w:tcPr>
            <w:tcW w:w="1120" w:type="dxa"/>
            <w:vAlign w:val="bottom"/>
            <w:shd w:val="clear" w:color="auto" w:fill="CCEDD4"/>
          </w:tcPr>
          <w:p>
            <w:pPr>
              <w:spacing w:after="0"/>
              <w:rPr>
                <w:sz w:val="23"/>
                <w:szCs w:val="23"/>
                <w:color w:val="auto"/>
              </w:rPr>
            </w:pP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b w:val="1"/>
                <w:bCs w:val="1"/>
                <w:color w:val="auto"/>
              </w:rPr>
              <w:t>10,680,640</w:t>
            </w:r>
          </w:p>
        </w:tc>
        <w:tc>
          <w:tcPr>
            <w:tcW w:w="820" w:type="dxa"/>
            <w:vAlign w:val="bottom"/>
            <w:shd w:val="clear" w:color="auto" w:fill="CCEDD4"/>
          </w:tcPr>
          <w:p>
            <w:pPr>
              <w:jc w:val="right"/>
              <w:ind w:right="87"/>
              <w:spacing w:after="0"/>
              <w:rPr>
                <w:sz w:val="20"/>
                <w:szCs w:val="20"/>
                <w:color w:val="auto"/>
              </w:rPr>
            </w:pPr>
            <w:r>
              <w:rPr>
                <w:rFonts w:ascii="Arial" w:cs="Arial" w:eastAsia="Arial" w:hAnsi="Arial"/>
                <w:sz w:val="14"/>
                <w:szCs w:val="14"/>
                <w:b w:val="1"/>
                <w:bCs w:val="1"/>
                <w:color w:val="auto"/>
              </w:rPr>
              <w:t>10.7%</w:t>
            </w:r>
          </w:p>
        </w:tc>
        <w:tc>
          <w:tcPr>
            <w:tcW w:w="980" w:type="dxa"/>
            <w:vAlign w:val="bottom"/>
          </w:tcPr>
          <w:p>
            <w:pPr>
              <w:spacing w:after="0"/>
              <w:rPr>
                <w:sz w:val="23"/>
                <w:szCs w:val="23"/>
                <w:color w:val="auto"/>
              </w:rPr>
            </w:pPr>
          </w:p>
        </w:tc>
      </w:tr>
      <w:tr>
        <w:trPr>
          <w:trHeight w:val="162"/>
        </w:trPr>
        <w:tc>
          <w:tcPr>
            <w:tcW w:w="980" w:type="dxa"/>
            <w:vAlign w:val="bottom"/>
          </w:tcPr>
          <w:p>
            <w:pPr>
              <w:spacing w:after="0"/>
              <w:rPr>
                <w:sz w:val="14"/>
                <w:szCs w:val="14"/>
                <w:color w:val="auto"/>
              </w:rPr>
            </w:pPr>
          </w:p>
        </w:tc>
        <w:tc>
          <w:tcPr>
            <w:tcW w:w="160" w:type="dxa"/>
            <w:vAlign w:val="bottom"/>
            <w:shd w:val="clear" w:color="auto" w:fill="CCEDD4"/>
          </w:tcPr>
          <w:p>
            <w:pPr>
              <w:spacing w:after="0"/>
              <w:rPr>
                <w:sz w:val="14"/>
                <w:szCs w:val="14"/>
                <w:color w:val="auto"/>
              </w:rPr>
            </w:pPr>
          </w:p>
        </w:tc>
        <w:tc>
          <w:tcPr>
            <w:tcW w:w="4460" w:type="dxa"/>
            <w:vAlign w:val="bottom"/>
            <w:shd w:val="clear" w:color="auto" w:fill="CCEDD4"/>
          </w:tcPr>
          <w:p>
            <w:pPr>
              <w:ind w:left="40"/>
              <w:spacing w:after="0"/>
              <w:rPr>
                <w:sz w:val="20"/>
                <w:szCs w:val="20"/>
                <w:color w:val="auto"/>
              </w:rPr>
            </w:pPr>
            <w:r>
              <w:rPr>
                <w:rFonts w:ascii="Arial" w:cs="Arial" w:eastAsia="Arial" w:hAnsi="Arial"/>
                <w:sz w:val="14"/>
                <w:szCs w:val="14"/>
                <w:color w:val="auto"/>
              </w:rPr>
              <w:t>100 Vanguard Blvd.</w:t>
            </w:r>
          </w:p>
        </w:tc>
        <w:tc>
          <w:tcPr>
            <w:tcW w:w="1060" w:type="dxa"/>
            <w:vAlign w:val="bottom"/>
            <w:shd w:val="clear" w:color="auto" w:fill="CCEDD4"/>
          </w:tcPr>
          <w:p>
            <w:pPr>
              <w:spacing w:after="0"/>
              <w:rPr>
                <w:sz w:val="14"/>
                <w:szCs w:val="14"/>
                <w:color w:val="auto"/>
              </w:rPr>
            </w:pPr>
          </w:p>
        </w:tc>
        <w:tc>
          <w:tcPr>
            <w:tcW w:w="1120" w:type="dxa"/>
            <w:vAlign w:val="bottom"/>
            <w:shd w:val="clear" w:color="auto" w:fill="CCEDD4"/>
          </w:tcPr>
          <w:p>
            <w:pPr>
              <w:spacing w:after="0"/>
              <w:rPr>
                <w:sz w:val="14"/>
                <w:szCs w:val="14"/>
                <w:color w:val="auto"/>
              </w:rPr>
            </w:pPr>
          </w:p>
        </w:tc>
        <w:tc>
          <w:tcPr>
            <w:tcW w:w="1140" w:type="dxa"/>
            <w:vAlign w:val="bottom"/>
            <w:shd w:val="clear" w:color="auto" w:fill="CCEDD4"/>
          </w:tcPr>
          <w:p>
            <w:pPr>
              <w:spacing w:after="0"/>
              <w:rPr>
                <w:sz w:val="14"/>
                <w:szCs w:val="14"/>
                <w:color w:val="auto"/>
              </w:rPr>
            </w:pPr>
          </w:p>
        </w:tc>
        <w:tc>
          <w:tcPr>
            <w:tcW w:w="820" w:type="dxa"/>
            <w:vAlign w:val="bottom"/>
            <w:shd w:val="clear" w:color="auto" w:fill="CCEDD4"/>
          </w:tcPr>
          <w:p>
            <w:pPr>
              <w:spacing w:after="0"/>
              <w:rPr>
                <w:sz w:val="14"/>
                <w:szCs w:val="14"/>
                <w:color w:val="auto"/>
              </w:rPr>
            </w:pPr>
          </w:p>
        </w:tc>
        <w:tc>
          <w:tcPr>
            <w:tcW w:w="980" w:type="dxa"/>
            <w:vAlign w:val="bottom"/>
          </w:tcPr>
          <w:p>
            <w:pPr>
              <w:spacing w:after="0"/>
              <w:rPr>
                <w:sz w:val="14"/>
                <w:szCs w:val="14"/>
                <w:color w:val="auto"/>
              </w:rPr>
            </w:pPr>
          </w:p>
        </w:tc>
      </w:tr>
      <w:tr>
        <w:trPr>
          <w:trHeight w:val="184"/>
        </w:trPr>
        <w:tc>
          <w:tcPr>
            <w:tcW w:w="980" w:type="dxa"/>
            <w:vAlign w:val="bottom"/>
          </w:tcPr>
          <w:p>
            <w:pPr>
              <w:spacing w:after="0"/>
              <w:rPr>
                <w:sz w:val="16"/>
                <w:szCs w:val="16"/>
                <w:color w:val="auto"/>
              </w:rPr>
            </w:pPr>
          </w:p>
        </w:tc>
        <w:tc>
          <w:tcPr>
            <w:tcW w:w="160" w:type="dxa"/>
            <w:vAlign w:val="bottom"/>
            <w:shd w:val="clear" w:color="auto" w:fill="CCEDD4"/>
          </w:tcPr>
          <w:p>
            <w:pPr>
              <w:spacing w:after="0"/>
              <w:rPr>
                <w:sz w:val="16"/>
                <w:szCs w:val="16"/>
                <w:color w:val="auto"/>
              </w:rPr>
            </w:pPr>
          </w:p>
        </w:tc>
        <w:tc>
          <w:tcPr>
            <w:tcW w:w="4460" w:type="dxa"/>
            <w:vAlign w:val="bottom"/>
            <w:shd w:val="clear" w:color="auto" w:fill="CCEDD4"/>
          </w:tcPr>
          <w:p>
            <w:pPr>
              <w:ind w:left="40"/>
              <w:spacing w:after="0"/>
              <w:rPr>
                <w:sz w:val="20"/>
                <w:szCs w:val="20"/>
                <w:color w:val="auto"/>
              </w:rPr>
            </w:pPr>
            <w:r>
              <w:rPr>
                <w:rFonts w:ascii="Arial" w:cs="Arial" w:eastAsia="Arial" w:hAnsi="Arial"/>
                <w:sz w:val="14"/>
                <w:szCs w:val="14"/>
                <w:color w:val="auto"/>
              </w:rPr>
              <w:t>Malvern, PA 19355</w:t>
            </w:r>
          </w:p>
        </w:tc>
        <w:tc>
          <w:tcPr>
            <w:tcW w:w="1060" w:type="dxa"/>
            <w:vAlign w:val="bottom"/>
            <w:shd w:val="clear" w:color="auto" w:fill="CCEDD4"/>
          </w:tcPr>
          <w:p>
            <w:pPr>
              <w:spacing w:after="0"/>
              <w:rPr>
                <w:sz w:val="16"/>
                <w:szCs w:val="16"/>
                <w:color w:val="auto"/>
              </w:rPr>
            </w:pPr>
          </w:p>
        </w:tc>
        <w:tc>
          <w:tcPr>
            <w:tcW w:w="1120" w:type="dxa"/>
            <w:vAlign w:val="bottom"/>
            <w:shd w:val="clear" w:color="auto" w:fill="CCEDD4"/>
          </w:tcPr>
          <w:p>
            <w:pPr>
              <w:spacing w:after="0"/>
              <w:rPr>
                <w:sz w:val="16"/>
                <w:szCs w:val="16"/>
                <w:color w:val="auto"/>
              </w:rPr>
            </w:pPr>
          </w:p>
        </w:tc>
        <w:tc>
          <w:tcPr>
            <w:tcW w:w="1140" w:type="dxa"/>
            <w:vAlign w:val="bottom"/>
            <w:shd w:val="clear" w:color="auto" w:fill="CCEDD4"/>
          </w:tcPr>
          <w:p>
            <w:pPr>
              <w:spacing w:after="0"/>
              <w:rPr>
                <w:sz w:val="16"/>
                <w:szCs w:val="16"/>
                <w:color w:val="auto"/>
              </w:rPr>
            </w:pPr>
          </w:p>
        </w:tc>
        <w:tc>
          <w:tcPr>
            <w:tcW w:w="820" w:type="dxa"/>
            <w:vAlign w:val="bottom"/>
            <w:shd w:val="clear" w:color="auto" w:fill="CCEDD4"/>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b w:val="1"/>
                <w:bCs w:val="1"/>
                <w:color w:val="auto"/>
              </w:rPr>
              <w:t>Directors, Director Nominees and Named Executive Officers</w:t>
            </w: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Rodney C. Adkins, Chair</w:t>
            </w:r>
          </w:p>
        </w:tc>
        <w:tc>
          <w:tcPr>
            <w:tcW w:w="1060" w:type="dxa"/>
            <w:vAlign w:val="bottom"/>
            <w:shd w:val="clear" w:color="auto" w:fill="CCEDD4"/>
          </w:tcPr>
          <w:p>
            <w:pPr>
              <w:jc w:val="right"/>
              <w:ind w:right="8"/>
              <w:spacing w:after="0" w:line="203" w:lineRule="exact"/>
              <w:rPr>
                <w:sz w:val="20"/>
                <w:szCs w:val="20"/>
                <w:color w:val="auto"/>
              </w:rPr>
            </w:pPr>
            <w:r>
              <w:rPr>
                <w:rFonts w:ascii="Arial" w:cs="Arial" w:eastAsia="Arial" w:hAnsi="Arial"/>
                <w:sz w:val="14"/>
                <w:szCs w:val="14"/>
                <w:color w:val="auto"/>
              </w:rPr>
              <w:t>24,969</w:t>
            </w:r>
            <w:r>
              <w:rPr>
                <w:rFonts w:ascii="Arial" w:cs="Arial" w:eastAsia="Arial" w:hAnsi="Arial"/>
                <w:sz w:val="21"/>
                <w:szCs w:val="21"/>
                <w:color w:val="auto"/>
                <w:vertAlign w:val="superscript"/>
              </w:rPr>
              <w:t>(4)</w:t>
            </w:r>
          </w:p>
        </w:tc>
        <w:tc>
          <w:tcPr>
            <w:tcW w:w="1120" w:type="dxa"/>
            <w:vAlign w:val="bottom"/>
            <w:shd w:val="clear" w:color="auto" w:fill="CCEDD4"/>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b w:val="1"/>
                <w:bCs w:val="1"/>
                <w:color w:val="auto"/>
              </w:rPr>
              <w:t>24,969</w:t>
            </w:r>
          </w:p>
        </w:tc>
        <w:tc>
          <w:tcPr>
            <w:tcW w:w="820" w:type="dxa"/>
            <w:vAlign w:val="bottom"/>
            <w:shd w:val="clear" w:color="auto" w:fill="CCEDD4"/>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Carlo Bozotti, Director</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8,746</w:t>
            </w:r>
          </w:p>
        </w:tc>
        <w:tc>
          <w:tcPr>
            <w:tcW w:w="1120" w:type="dxa"/>
            <w:vAlign w:val="bottom"/>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8,746</w:t>
            </w:r>
          </w:p>
        </w:tc>
        <w:tc>
          <w:tcPr>
            <w:tcW w:w="82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Michael A. Bradley, Director</w:t>
            </w:r>
          </w:p>
        </w:tc>
        <w:tc>
          <w:tcPr>
            <w:tcW w:w="1060" w:type="dxa"/>
            <w:vAlign w:val="bottom"/>
            <w:shd w:val="clear" w:color="auto" w:fill="CCEDD4"/>
          </w:tcPr>
          <w:p>
            <w:pPr>
              <w:jc w:val="right"/>
              <w:ind w:right="8"/>
              <w:spacing w:after="0" w:line="203" w:lineRule="exact"/>
              <w:rPr>
                <w:sz w:val="20"/>
                <w:szCs w:val="20"/>
                <w:color w:val="auto"/>
              </w:rPr>
            </w:pPr>
            <w:r>
              <w:rPr>
                <w:rFonts w:ascii="Arial" w:cs="Arial" w:eastAsia="Arial" w:hAnsi="Arial"/>
                <w:sz w:val="14"/>
                <w:szCs w:val="14"/>
                <w:color w:val="auto"/>
              </w:rPr>
              <w:t>33,411</w:t>
            </w:r>
            <w:r>
              <w:rPr>
                <w:rFonts w:ascii="Arial" w:cs="Arial" w:eastAsia="Arial" w:hAnsi="Arial"/>
                <w:sz w:val="21"/>
                <w:szCs w:val="21"/>
                <w:color w:val="auto"/>
                <w:vertAlign w:val="superscript"/>
              </w:rPr>
              <w:t>(5)</w:t>
            </w:r>
          </w:p>
        </w:tc>
        <w:tc>
          <w:tcPr>
            <w:tcW w:w="1120" w:type="dxa"/>
            <w:vAlign w:val="bottom"/>
            <w:shd w:val="clear" w:color="auto" w:fill="CCEDD4"/>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b w:val="1"/>
                <w:bCs w:val="1"/>
                <w:color w:val="auto"/>
              </w:rPr>
              <w:t>33,411</w:t>
            </w:r>
          </w:p>
        </w:tc>
        <w:tc>
          <w:tcPr>
            <w:tcW w:w="820" w:type="dxa"/>
            <w:vAlign w:val="bottom"/>
            <w:shd w:val="clear" w:color="auto" w:fill="CCEDD4"/>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Brenda L. Freeman, Director</w:t>
            </w:r>
          </w:p>
        </w:tc>
        <w:tc>
          <w:tcPr>
            <w:tcW w:w="1060" w:type="dxa"/>
            <w:vAlign w:val="bottom"/>
          </w:tcPr>
          <w:p>
            <w:pPr>
              <w:jc w:val="right"/>
              <w:ind w:right="8"/>
              <w:spacing w:after="0" w:line="203" w:lineRule="exact"/>
              <w:rPr>
                <w:sz w:val="20"/>
                <w:szCs w:val="20"/>
                <w:color w:val="auto"/>
              </w:rPr>
            </w:pPr>
            <w:r>
              <w:rPr>
                <w:rFonts w:ascii="Arial" w:cs="Arial" w:eastAsia="Arial" w:hAnsi="Arial"/>
                <w:sz w:val="14"/>
                <w:szCs w:val="14"/>
                <w:color w:val="auto"/>
              </w:rPr>
              <w:t>13,722</w:t>
            </w:r>
            <w:r>
              <w:rPr>
                <w:rFonts w:ascii="Arial" w:cs="Arial" w:eastAsia="Arial" w:hAnsi="Arial"/>
                <w:sz w:val="21"/>
                <w:szCs w:val="21"/>
                <w:color w:val="auto"/>
                <w:vertAlign w:val="superscript"/>
              </w:rPr>
              <w:t>(6)</w:t>
            </w:r>
          </w:p>
        </w:tc>
        <w:tc>
          <w:tcPr>
            <w:tcW w:w="1120" w:type="dxa"/>
            <w:vAlign w:val="bottom"/>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13,722</w:t>
            </w:r>
          </w:p>
        </w:tc>
        <w:tc>
          <w:tcPr>
            <w:tcW w:w="82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Jo Ann Jenkins, Director</w:t>
            </w:r>
          </w:p>
        </w:tc>
        <w:tc>
          <w:tcPr>
            <w:tcW w:w="1060" w:type="dxa"/>
            <w:vAlign w:val="bottom"/>
            <w:shd w:val="clear" w:color="auto" w:fill="CCEDD4"/>
          </w:tcPr>
          <w:p>
            <w:pPr>
              <w:jc w:val="right"/>
              <w:ind w:right="148"/>
              <w:spacing w:after="0"/>
              <w:rPr>
                <w:sz w:val="20"/>
                <w:szCs w:val="20"/>
                <w:color w:val="auto"/>
              </w:rPr>
            </w:pPr>
            <w:r>
              <w:rPr>
                <w:rFonts w:ascii="Arial" w:cs="Arial" w:eastAsia="Arial" w:hAnsi="Arial"/>
                <w:sz w:val="14"/>
                <w:szCs w:val="14"/>
                <w:color w:val="auto"/>
              </w:rPr>
              <w:t>13,804</w:t>
            </w:r>
          </w:p>
        </w:tc>
        <w:tc>
          <w:tcPr>
            <w:tcW w:w="1120" w:type="dxa"/>
            <w:vAlign w:val="bottom"/>
            <w:shd w:val="clear" w:color="auto" w:fill="CCEDD4"/>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b w:val="1"/>
                <w:bCs w:val="1"/>
                <w:color w:val="auto"/>
              </w:rPr>
              <w:t>13,804</w:t>
            </w:r>
          </w:p>
        </w:tc>
        <w:tc>
          <w:tcPr>
            <w:tcW w:w="820" w:type="dxa"/>
            <w:vAlign w:val="bottom"/>
            <w:shd w:val="clear" w:color="auto" w:fill="CCEDD4"/>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Oleg Khaykin, Director</w:t>
            </w:r>
          </w:p>
        </w:tc>
        <w:tc>
          <w:tcPr>
            <w:tcW w:w="1060" w:type="dxa"/>
            <w:vAlign w:val="bottom"/>
          </w:tcPr>
          <w:p>
            <w:pPr>
              <w:jc w:val="right"/>
              <w:ind w:right="8"/>
              <w:spacing w:after="0" w:line="203" w:lineRule="exact"/>
              <w:rPr>
                <w:sz w:val="20"/>
                <w:szCs w:val="20"/>
                <w:color w:val="auto"/>
              </w:rPr>
            </w:pPr>
            <w:r>
              <w:rPr>
                <w:rFonts w:ascii="Arial" w:cs="Arial" w:eastAsia="Arial" w:hAnsi="Arial"/>
                <w:sz w:val="14"/>
                <w:szCs w:val="14"/>
                <w:color w:val="auto"/>
              </w:rPr>
              <w:t>29,302</w:t>
            </w:r>
            <w:r>
              <w:rPr>
                <w:rFonts w:ascii="Arial" w:cs="Arial" w:eastAsia="Arial" w:hAnsi="Arial"/>
                <w:sz w:val="21"/>
                <w:szCs w:val="21"/>
                <w:color w:val="auto"/>
                <w:vertAlign w:val="superscript"/>
              </w:rPr>
              <w:t>(7)</w:t>
            </w:r>
          </w:p>
        </w:tc>
        <w:tc>
          <w:tcPr>
            <w:tcW w:w="1120" w:type="dxa"/>
            <w:vAlign w:val="bottom"/>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29,302</w:t>
            </w:r>
          </w:p>
        </w:tc>
        <w:tc>
          <w:tcPr>
            <w:tcW w:w="82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James A. Lawrence, Director</w:t>
            </w:r>
          </w:p>
        </w:tc>
        <w:tc>
          <w:tcPr>
            <w:tcW w:w="1060" w:type="dxa"/>
            <w:vAlign w:val="bottom"/>
            <w:shd w:val="clear" w:color="auto" w:fill="CCEDD4"/>
          </w:tcPr>
          <w:p>
            <w:pPr>
              <w:jc w:val="right"/>
              <w:ind w:right="148"/>
              <w:spacing w:after="0"/>
              <w:rPr>
                <w:sz w:val="20"/>
                <w:szCs w:val="20"/>
                <w:color w:val="auto"/>
              </w:rPr>
            </w:pPr>
            <w:r>
              <w:rPr>
                <w:rFonts w:ascii="Arial" w:cs="Arial" w:eastAsia="Arial" w:hAnsi="Arial"/>
                <w:sz w:val="14"/>
                <w:szCs w:val="14"/>
                <w:color w:val="auto"/>
              </w:rPr>
              <w:t>218,728</w:t>
            </w:r>
          </w:p>
        </w:tc>
        <w:tc>
          <w:tcPr>
            <w:tcW w:w="1120" w:type="dxa"/>
            <w:vAlign w:val="bottom"/>
            <w:shd w:val="clear" w:color="auto" w:fill="CCEDD4"/>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b w:val="1"/>
                <w:bCs w:val="1"/>
                <w:color w:val="auto"/>
              </w:rPr>
              <w:t>218,728</w:t>
            </w:r>
          </w:p>
        </w:tc>
        <w:tc>
          <w:tcPr>
            <w:tcW w:w="820" w:type="dxa"/>
            <w:vAlign w:val="bottom"/>
            <w:shd w:val="clear" w:color="auto" w:fill="CCEDD4"/>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Ernest E. Maddock, Director</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1,409</w:t>
            </w:r>
          </w:p>
        </w:tc>
        <w:tc>
          <w:tcPr>
            <w:tcW w:w="1120" w:type="dxa"/>
            <w:vAlign w:val="bottom"/>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1409</w:t>
            </w: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Avid Modjtabai, Director</w:t>
            </w:r>
          </w:p>
        </w:tc>
        <w:tc>
          <w:tcPr>
            <w:tcW w:w="1060" w:type="dxa"/>
            <w:vAlign w:val="bottom"/>
            <w:shd w:val="clear" w:color="auto" w:fill="CCEDD4"/>
          </w:tcPr>
          <w:p>
            <w:pPr>
              <w:jc w:val="right"/>
              <w:ind w:right="148"/>
              <w:spacing w:after="0"/>
              <w:rPr>
                <w:sz w:val="20"/>
                <w:szCs w:val="20"/>
                <w:color w:val="auto"/>
              </w:rPr>
            </w:pPr>
            <w:r>
              <w:rPr>
                <w:rFonts w:ascii="Arial" w:cs="Arial" w:eastAsia="Arial" w:hAnsi="Arial"/>
                <w:sz w:val="14"/>
                <w:szCs w:val="14"/>
                <w:color w:val="auto"/>
              </w:rPr>
              <w:t>26,425</w:t>
            </w:r>
          </w:p>
        </w:tc>
        <w:tc>
          <w:tcPr>
            <w:tcW w:w="1120" w:type="dxa"/>
            <w:vAlign w:val="bottom"/>
            <w:shd w:val="clear" w:color="auto" w:fill="CCEDD4"/>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b w:val="1"/>
                <w:bCs w:val="1"/>
                <w:color w:val="auto"/>
              </w:rPr>
              <w:t>26,425</w:t>
            </w:r>
          </w:p>
        </w:tc>
        <w:tc>
          <w:tcPr>
            <w:tcW w:w="820" w:type="dxa"/>
            <w:vAlign w:val="bottom"/>
            <w:shd w:val="clear" w:color="auto" w:fill="CCEDD4"/>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Adalio T. Sanchez, Director</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8,746</w:t>
            </w:r>
          </w:p>
        </w:tc>
        <w:tc>
          <w:tcPr>
            <w:tcW w:w="1120" w:type="dxa"/>
            <w:vAlign w:val="bottom"/>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8,746</w:t>
            </w:r>
          </w:p>
        </w:tc>
        <w:tc>
          <w:tcPr>
            <w:tcW w:w="82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William H. Schumann, III, Director</w:t>
            </w:r>
          </w:p>
        </w:tc>
        <w:tc>
          <w:tcPr>
            <w:tcW w:w="1060" w:type="dxa"/>
            <w:vAlign w:val="bottom"/>
            <w:shd w:val="clear" w:color="auto" w:fill="CCEDD4"/>
          </w:tcPr>
          <w:p>
            <w:pPr>
              <w:jc w:val="right"/>
              <w:ind w:right="8"/>
              <w:spacing w:after="0" w:line="203" w:lineRule="exact"/>
              <w:rPr>
                <w:sz w:val="20"/>
                <w:szCs w:val="20"/>
                <w:color w:val="auto"/>
              </w:rPr>
            </w:pPr>
            <w:r>
              <w:rPr>
                <w:rFonts w:ascii="Arial" w:cs="Arial" w:eastAsia="Arial" w:hAnsi="Arial"/>
                <w:sz w:val="14"/>
                <w:szCs w:val="14"/>
                <w:color w:val="auto"/>
              </w:rPr>
              <w:t>45,922</w:t>
            </w:r>
            <w:r>
              <w:rPr>
                <w:rFonts w:ascii="Arial" w:cs="Arial" w:eastAsia="Arial" w:hAnsi="Arial"/>
                <w:sz w:val="21"/>
                <w:szCs w:val="21"/>
                <w:color w:val="auto"/>
                <w:vertAlign w:val="superscript"/>
              </w:rPr>
              <w:t>(6)</w:t>
            </w:r>
          </w:p>
        </w:tc>
        <w:tc>
          <w:tcPr>
            <w:tcW w:w="1120" w:type="dxa"/>
            <w:vAlign w:val="bottom"/>
            <w:shd w:val="clear" w:color="auto" w:fill="CCEDD4"/>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b w:val="1"/>
                <w:bCs w:val="1"/>
                <w:color w:val="auto"/>
              </w:rPr>
              <w:t>45,922</w:t>
            </w:r>
          </w:p>
        </w:tc>
        <w:tc>
          <w:tcPr>
            <w:tcW w:w="820" w:type="dxa"/>
            <w:vAlign w:val="bottom"/>
            <w:shd w:val="clear" w:color="auto" w:fill="CCEDD4"/>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167"/>
        </w:trPr>
        <w:tc>
          <w:tcPr>
            <w:tcW w:w="980" w:type="dxa"/>
            <w:vAlign w:val="bottom"/>
          </w:tcPr>
          <w:p>
            <w:pPr>
              <w:spacing w:after="0"/>
              <w:rPr>
                <w:sz w:val="14"/>
                <w:szCs w:val="14"/>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Philip R. Gallagher, Chief Executive Officer, President, Electronic</w:t>
            </w:r>
          </w:p>
        </w:tc>
        <w:tc>
          <w:tcPr>
            <w:tcW w:w="1060" w:type="dxa"/>
            <w:vAlign w:val="bottom"/>
          </w:tcPr>
          <w:p>
            <w:pPr>
              <w:jc w:val="right"/>
              <w:ind w:right="8"/>
              <w:spacing w:after="0" w:line="167" w:lineRule="exact"/>
              <w:rPr>
                <w:sz w:val="20"/>
                <w:szCs w:val="20"/>
                <w:color w:val="auto"/>
              </w:rPr>
            </w:pPr>
            <w:r>
              <w:rPr>
                <w:rFonts w:ascii="Arial" w:cs="Arial" w:eastAsia="Arial" w:hAnsi="Arial"/>
                <w:sz w:val="13"/>
                <w:szCs w:val="13"/>
                <w:color w:val="auto"/>
              </w:rPr>
              <w:t>184,260</w:t>
            </w:r>
            <w:r>
              <w:rPr>
                <w:rFonts w:ascii="Arial" w:cs="Arial" w:eastAsia="Arial" w:hAnsi="Arial"/>
                <w:sz w:val="19"/>
                <w:szCs w:val="19"/>
                <w:color w:val="auto"/>
                <w:vertAlign w:val="superscript"/>
              </w:rPr>
              <w:t>(8)</w:t>
            </w:r>
          </w:p>
        </w:tc>
        <w:tc>
          <w:tcPr>
            <w:tcW w:w="1120" w:type="dxa"/>
            <w:vAlign w:val="bottom"/>
          </w:tcPr>
          <w:p>
            <w:pPr>
              <w:jc w:val="right"/>
              <w:ind w:right="290"/>
              <w:spacing w:after="0"/>
              <w:rPr>
                <w:sz w:val="20"/>
                <w:szCs w:val="20"/>
                <w:color w:val="auto"/>
              </w:rPr>
            </w:pPr>
            <w:r>
              <w:rPr>
                <w:rFonts w:ascii="Arial" w:cs="Arial" w:eastAsia="Arial" w:hAnsi="Arial"/>
                <w:sz w:val="14"/>
                <w:szCs w:val="14"/>
                <w:color w:val="auto"/>
              </w:rPr>
              <w:t>111,230</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295,490</w:t>
            </w:r>
          </w:p>
        </w:tc>
        <w:tc>
          <w:tcPr>
            <w:tcW w:w="82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4"/>
                <w:szCs w:val="14"/>
                <w:color w:val="auto"/>
              </w:rPr>
            </w:pPr>
          </w:p>
        </w:tc>
      </w:tr>
      <w:tr>
        <w:trPr>
          <w:trHeight w:val="178"/>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Components and Director</w:t>
            </w: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8"/>
        </w:trPr>
        <w:tc>
          <w:tcPr>
            <w:tcW w:w="980" w:type="dxa"/>
            <w:vAlign w:val="bottom"/>
          </w:tcPr>
          <w:p>
            <w:pPr>
              <w:spacing w:after="0"/>
              <w:rPr>
                <w:sz w:val="18"/>
                <w:szCs w:val="18"/>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Thomas Liguori, Chief Financial Officer</w:t>
            </w:r>
          </w:p>
        </w:tc>
        <w:tc>
          <w:tcPr>
            <w:tcW w:w="1060" w:type="dxa"/>
            <w:vAlign w:val="bottom"/>
            <w:shd w:val="clear" w:color="auto" w:fill="CCEDD4"/>
          </w:tcPr>
          <w:p>
            <w:pPr>
              <w:jc w:val="right"/>
              <w:ind w:right="8"/>
              <w:spacing w:after="0" w:line="209" w:lineRule="exact"/>
              <w:rPr>
                <w:sz w:val="20"/>
                <w:szCs w:val="20"/>
                <w:color w:val="auto"/>
              </w:rPr>
            </w:pPr>
            <w:r>
              <w:rPr>
                <w:rFonts w:ascii="Arial" w:cs="Arial" w:eastAsia="Arial" w:hAnsi="Arial"/>
                <w:sz w:val="14"/>
                <w:szCs w:val="14"/>
                <w:color w:val="auto"/>
              </w:rPr>
              <w:t>115,200</w:t>
            </w:r>
            <w:r>
              <w:rPr>
                <w:rFonts w:ascii="Arial" w:cs="Arial" w:eastAsia="Arial" w:hAnsi="Arial"/>
                <w:sz w:val="21"/>
                <w:szCs w:val="21"/>
                <w:color w:val="auto"/>
                <w:vertAlign w:val="superscript"/>
              </w:rPr>
              <w:t>(9)</w:t>
            </w:r>
          </w:p>
        </w:tc>
        <w:tc>
          <w:tcPr>
            <w:tcW w:w="1120" w:type="dxa"/>
            <w:vAlign w:val="bottom"/>
            <w:shd w:val="clear" w:color="auto" w:fill="CCEDD4"/>
          </w:tcPr>
          <w:p>
            <w:pPr>
              <w:jc w:val="right"/>
              <w:ind w:right="290"/>
              <w:spacing w:after="0"/>
              <w:rPr>
                <w:sz w:val="20"/>
                <w:szCs w:val="20"/>
                <w:color w:val="auto"/>
              </w:rPr>
            </w:pPr>
            <w:r>
              <w:rPr>
                <w:rFonts w:ascii="Arial" w:cs="Arial" w:eastAsia="Arial" w:hAnsi="Arial"/>
                <w:sz w:val="14"/>
                <w:szCs w:val="14"/>
                <w:color w:val="auto"/>
              </w:rPr>
              <w:t>41,857</w:t>
            </w: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b w:val="1"/>
                <w:bCs w:val="1"/>
                <w:color w:val="auto"/>
              </w:rPr>
              <w:t>157,057</w:t>
            </w:r>
          </w:p>
        </w:tc>
        <w:tc>
          <w:tcPr>
            <w:tcW w:w="820" w:type="dxa"/>
            <w:vAlign w:val="bottom"/>
            <w:shd w:val="clear" w:color="auto" w:fill="CCEDD4"/>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Ken E. Arnold, SVP, Chief People Officer</w:t>
            </w:r>
          </w:p>
        </w:tc>
        <w:tc>
          <w:tcPr>
            <w:tcW w:w="1060" w:type="dxa"/>
            <w:vAlign w:val="bottom"/>
          </w:tcPr>
          <w:p>
            <w:pPr>
              <w:jc w:val="right"/>
              <w:spacing w:after="0" w:line="203" w:lineRule="exact"/>
              <w:rPr>
                <w:sz w:val="20"/>
                <w:szCs w:val="20"/>
                <w:color w:val="auto"/>
              </w:rPr>
            </w:pPr>
            <w:r>
              <w:rPr>
                <w:rFonts w:ascii="Arial" w:cs="Arial" w:eastAsia="Arial" w:hAnsi="Arial"/>
                <w:sz w:val="14"/>
                <w:szCs w:val="14"/>
                <w:color w:val="auto"/>
              </w:rPr>
              <w:t>25,440</w:t>
            </w:r>
            <w:r>
              <w:rPr>
                <w:rFonts w:ascii="Arial" w:cs="Arial" w:eastAsia="Arial" w:hAnsi="Arial"/>
                <w:sz w:val="21"/>
                <w:szCs w:val="21"/>
                <w:color w:val="auto"/>
                <w:vertAlign w:val="superscript"/>
              </w:rPr>
              <w:t>(10)</w:t>
            </w:r>
          </w:p>
        </w:tc>
        <w:tc>
          <w:tcPr>
            <w:tcW w:w="1120" w:type="dxa"/>
            <w:vAlign w:val="bottom"/>
          </w:tcPr>
          <w:p>
            <w:pPr>
              <w:jc w:val="right"/>
              <w:ind w:right="290"/>
              <w:spacing w:after="0"/>
              <w:rPr>
                <w:sz w:val="20"/>
                <w:szCs w:val="20"/>
                <w:color w:val="auto"/>
              </w:rPr>
            </w:pPr>
            <w:r>
              <w:rPr>
                <w:rFonts w:ascii="Arial" w:cs="Arial" w:eastAsia="Arial" w:hAnsi="Arial"/>
                <w:sz w:val="14"/>
                <w:szCs w:val="14"/>
                <w:color w:val="auto"/>
              </w:rPr>
              <w:t>10,156</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35,596</w:t>
            </w:r>
          </w:p>
        </w:tc>
        <w:tc>
          <w:tcPr>
            <w:tcW w:w="82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Michael R. McCoy, SVP, General Counsel</w:t>
            </w:r>
          </w:p>
        </w:tc>
        <w:tc>
          <w:tcPr>
            <w:tcW w:w="1060" w:type="dxa"/>
            <w:vAlign w:val="bottom"/>
            <w:shd w:val="clear" w:color="auto" w:fill="CCEDD4"/>
          </w:tcPr>
          <w:p>
            <w:pPr>
              <w:jc w:val="right"/>
              <w:spacing w:after="0" w:line="203" w:lineRule="exact"/>
              <w:rPr>
                <w:sz w:val="20"/>
                <w:szCs w:val="20"/>
                <w:color w:val="auto"/>
              </w:rPr>
            </w:pPr>
            <w:r>
              <w:rPr>
                <w:rFonts w:ascii="Arial" w:cs="Arial" w:eastAsia="Arial" w:hAnsi="Arial"/>
                <w:sz w:val="14"/>
                <w:szCs w:val="14"/>
                <w:color w:val="auto"/>
              </w:rPr>
              <w:t>32,691</w:t>
            </w:r>
            <w:r>
              <w:rPr>
                <w:rFonts w:ascii="Arial" w:cs="Arial" w:eastAsia="Arial" w:hAnsi="Arial"/>
                <w:sz w:val="21"/>
                <w:szCs w:val="21"/>
                <w:color w:val="auto"/>
                <w:vertAlign w:val="superscript"/>
              </w:rPr>
              <w:t>(11)</w:t>
            </w:r>
          </w:p>
        </w:tc>
        <w:tc>
          <w:tcPr>
            <w:tcW w:w="1120" w:type="dxa"/>
            <w:vAlign w:val="bottom"/>
            <w:shd w:val="clear" w:color="auto" w:fill="CCEDD4"/>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b w:val="1"/>
                <w:bCs w:val="1"/>
                <w:color w:val="auto"/>
              </w:rPr>
              <w:t>32,691</w:t>
            </w:r>
          </w:p>
        </w:tc>
        <w:tc>
          <w:tcPr>
            <w:tcW w:w="820" w:type="dxa"/>
            <w:vAlign w:val="bottom"/>
            <w:shd w:val="clear" w:color="auto" w:fill="CCEDD4"/>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Leng Jin (Max) Chan, Chief Information Officer</w:t>
            </w:r>
          </w:p>
        </w:tc>
        <w:tc>
          <w:tcPr>
            <w:tcW w:w="1060" w:type="dxa"/>
            <w:vAlign w:val="bottom"/>
          </w:tcPr>
          <w:p>
            <w:pPr>
              <w:jc w:val="right"/>
              <w:spacing w:after="0" w:line="203" w:lineRule="exact"/>
              <w:rPr>
                <w:sz w:val="20"/>
                <w:szCs w:val="20"/>
                <w:color w:val="auto"/>
              </w:rPr>
            </w:pPr>
            <w:r>
              <w:rPr>
                <w:rFonts w:ascii="Arial" w:cs="Arial" w:eastAsia="Arial" w:hAnsi="Arial"/>
                <w:sz w:val="14"/>
                <w:szCs w:val="14"/>
                <w:color w:val="auto"/>
              </w:rPr>
              <w:t>28,650</w:t>
            </w:r>
            <w:r>
              <w:rPr>
                <w:rFonts w:ascii="Arial" w:cs="Arial" w:eastAsia="Arial" w:hAnsi="Arial"/>
                <w:sz w:val="21"/>
                <w:szCs w:val="21"/>
                <w:color w:val="auto"/>
                <w:vertAlign w:val="superscript"/>
              </w:rPr>
              <w:t>(12)</w:t>
            </w:r>
          </w:p>
        </w:tc>
        <w:tc>
          <w:tcPr>
            <w:tcW w:w="1120" w:type="dxa"/>
            <w:vAlign w:val="bottom"/>
          </w:tcPr>
          <w:p>
            <w:pPr>
              <w:jc w:val="right"/>
              <w:ind w:right="290"/>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28,650</w:t>
            </w:r>
          </w:p>
        </w:tc>
        <w:tc>
          <w:tcPr>
            <w:tcW w:w="82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2"/>
        </w:trPr>
        <w:tc>
          <w:tcPr>
            <w:tcW w:w="980" w:type="dxa"/>
            <w:vAlign w:val="bottom"/>
          </w:tcPr>
          <w:p>
            <w:pPr>
              <w:spacing w:after="0"/>
              <w:rPr>
                <w:sz w:val="17"/>
                <w:szCs w:val="17"/>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MaryAnn G. Miller, Former SVP, Chief Administrative Officer</w:t>
            </w:r>
          </w:p>
        </w:tc>
        <w:tc>
          <w:tcPr>
            <w:tcW w:w="1060" w:type="dxa"/>
            <w:vAlign w:val="bottom"/>
            <w:shd w:val="clear" w:color="auto" w:fill="CCEDD4"/>
          </w:tcPr>
          <w:p>
            <w:pPr>
              <w:jc w:val="right"/>
              <w:spacing w:after="0" w:line="203" w:lineRule="exact"/>
              <w:rPr>
                <w:sz w:val="20"/>
                <w:szCs w:val="20"/>
                <w:color w:val="auto"/>
              </w:rPr>
            </w:pPr>
            <w:r>
              <w:rPr>
                <w:rFonts w:ascii="Arial" w:cs="Arial" w:eastAsia="Arial" w:hAnsi="Arial"/>
                <w:sz w:val="14"/>
                <w:szCs w:val="14"/>
                <w:color w:val="auto"/>
              </w:rPr>
              <w:t>33,900</w:t>
            </w:r>
            <w:r>
              <w:rPr>
                <w:rFonts w:ascii="Arial" w:cs="Arial" w:eastAsia="Arial" w:hAnsi="Arial"/>
                <w:sz w:val="21"/>
                <w:szCs w:val="21"/>
                <w:color w:val="auto"/>
                <w:vertAlign w:val="superscript"/>
              </w:rPr>
              <w:t>(13)</w:t>
            </w:r>
          </w:p>
        </w:tc>
        <w:tc>
          <w:tcPr>
            <w:tcW w:w="1120" w:type="dxa"/>
            <w:vAlign w:val="bottom"/>
            <w:shd w:val="clear" w:color="auto" w:fill="CCEDD4"/>
          </w:tcPr>
          <w:p>
            <w:pPr>
              <w:jc w:val="right"/>
              <w:ind w:right="290"/>
              <w:spacing w:after="0"/>
              <w:rPr>
                <w:sz w:val="20"/>
                <w:szCs w:val="20"/>
                <w:color w:val="auto"/>
              </w:rPr>
            </w:pPr>
            <w:r>
              <w:rPr>
                <w:rFonts w:ascii="Arial" w:cs="Arial" w:eastAsia="Arial" w:hAnsi="Arial"/>
                <w:sz w:val="14"/>
                <w:szCs w:val="14"/>
                <w:color w:val="auto"/>
              </w:rPr>
              <w:t>145,476</w:t>
            </w: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color w:val="auto"/>
              </w:rPr>
              <w:t>179,376</w:t>
            </w:r>
          </w:p>
        </w:tc>
        <w:tc>
          <w:tcPr>
            <w:tcW w:w="820" w:type="dxa"/>
            <w:vAlign w:val="bottom"/>
            <w:shd w:val="clear" w:color="auto" w:fill="CCEDD4"/>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William J. Amelio, Former Chief Executive Officer and Former Director</w:t>
            </w:r>
          </w:p>
        </w:tc>
        <w:tc>
          <w:tcPr>
            <w:tcW w:w="1060" w:type="dxa"/>
            <w:vAlign w:val="bottom"/>
          </w:tcPr>
          <w:p>
            <w:pPr>
              <w:jc w:val="right"/>
              <w:spacing w:after="0" w:line="203" w:lineRule="exact"/>
              <w:rPr>
                <w:sz w:val="20"/>
                <w:szCs w:val="20"/>
                <w:color w:val="auto"/>
              </w:rPr>
            </w:pPr>
            <w:r>
              <w:rPr>
                <w:rFonts w:ascii="Arial" w:cs="Arial" w:eastAsia="Arial" w:hAnsi="Arial"/>
                <w:sz w:val="14"/>
                <w:szCs w:val="14"/>
                <w:color w:val="auto"/>
              </w:rPr>
              <w:t>93,826</w:t>
            </w:r>
            <w:r>
              <w:rPr>
                <w:rFonts w:ascii="Arial" w:cs="Arial" w:eastAsia="Arial" w:hAnsi="Arial"/>
                <w:sz w:val="21"/>
                <w:szCs w:val="21"/>
                <w:color w:val="auto"/>
                <w:vertAlign w:val="superscript"/>
              </w:rPr>
              <w:t>(14)</w:t>
            </w:r>
          </w:p>
        </w:tc>
        <w:tc>
          <w:tcPr>
            <w:tcW w:w="1120" w:type="dxa"/>
            <w:vAlign w:val="bottom"/>
          </w:tcPr>
          <w:p>
            <w:pPr>
              <w:jc w:val="right"/>
              <w:ind w:right="110"/>
              <w:spacing w:after="0" w:line="202" w:lineRule="exact"/>
              <w:rPr>
                <w:sz w:val="20"/>
                <w:szCs w:val="20"/>
                <w:color w:val="auto"/>
              </w:rPr>
            </w:pPr>
            <w:r>
              <w:rPr>
                <w:rFonts w:ascii="Arial" w:cs="Arial" w:eastAsia="Arial" w:hAnsi="Arial"/>
                <w:sz w:val="23"/>
                <w:szCs w:val="23"/>
                <w:color w:val="auto"/>
                <w:vertAlign w:val="subscript"/>
              </w:rPr>
              <w:t>0</w:t>
            </w:r>
            <w:r>
              <w:rPr>
                <w:rFonts w:ascii="Arial" w:cs="Arial" w:eastAsia="Arial" w:hAnsi="Arial"/>
                <w:sz w:val="10"/>
                <w:szCs w:val="10"/>
                <w:color w:val="auto"/>
              </w:rPr>
              <w:t>(14)</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93,826</w:t>
            </w:r>
          </w:p>
        </w:tc>
        <w:tc>
          <w:tcPr>
            <w:tcW w:w="82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620" w:type="dxa"/>
            <w:vAlign w:val="bottom"/>
            <w:gridSpan w:val="2"/>
            <w:shd w:val="clear" w:color="auto" w:fill="CCEDD4"/>
          </w:tcPr>
          <w:p>
            <w:pPr>
              <w:ind w:left="60"/>
              <w:spacing w:after="0"/>
              <w:rPr>
                <w:sz w:val="20"/>
                <w:szCs w:val="20"/>
                <w:color w:val="auto"/>
              </w:rPr>
            </w:pPr>
            <w:r>
              <w:rPr>
                <w:rFonts w:ascii="Arial" w:cs="Arial" w:eastAsia="Arial" w:hAnsi="Arial"/>
                <w:sz w:val="14"/>
                <w:szCs w:val="14"/>
                <w:color w:val="auto"/>
              </w:rPr>
              <w:t>Peter G. Bartolotta, Former President, Business Transformation</w:t>
            </w:r>
          </w:p>
        </w:tc>
        <w:tc>
          <w:tcPr>
            <w:tcW w:w="1060" w:type="dxa"/>
            <w:vAlign w:val="bottom"/>
            <w:shd w:val="clear" w:color="auto" w:fill="CCEDD4"/>
          </w:tcPr>
          <w:p>
            <w:pPr>
              <w:jc w:val="right"/>
              <w:spacing w:after="0" w:line="203" w:lineRule="exact"/>
              <w:rPr>
                <w:sz w:val="20"/>
                <w:szCs w:val="20"/>
                <w:color w:val="auto"/>
              </w:rPr>
            </w:pPr>
            <w:r>
              <w:rPr>
                <w:rFonts w:ascii="Arial" w:cs="Arial" w:eastAsia="Arial" w:hAnsi="Arial"/>
                <w:sz w:val="14"/>
                <w:szCs w:val="14"/>
                <w:color w:val="auto"/>
              </w:rPr>
              <w:t>10,877</w:t>
            </w:r>
            <w:r>
              <w:rPr>
                <w:rFonts w:ascii="Arial" w:cs="Arial" w:eastAsia="Arial" w:hAnsi="Arial"/>
                <w:sz w:val="21"/>
                <w:szCs w:val="21"/>
                <w:color w:val="auto"/>
                <w:vertAlign w:val="superscript"/>
              </w:rPr>
              <w:t>(15)</w:t>
            </w:r>
          </w:p>
        </w:tc>
        <w:tc>
          <w:tcPr>
            <w:tcW w:w="1120" w:type="dxa"/>
            <w:vAlign w:val="bottom"/>
            <w:shd w:val="clear" w:color="auto" w:fill="CCEDD4"/>
          </w:tcPr>
          <w:p>
            <w:pPr>
              <w:jc w:val="right"/>
              <w:ind w:right="110"/>
              <w:spacing w:after="0" w:line="202" w:lineRule="exact"/>
              <w:rPr>
                <w:sz w:val="20"/>
                <w:szCs w:val="20"/>
                <w:color w:val="auto"/>
              </w:rPr>
            </w:pPr>
            <w:r>
              <w:rPr>
                <w:rFonts w:ascii="Arial" w:cs="Arial" w:eastAsia="Arial" w:hAnsi="Arial"/>
                <w:sz w:val="23"/>
                <w:szCs w:val="23"/>
                <w:color w:val="auto"/>
                <w:vertAlign w:val="subscript"/>
              </w:rPr>
              <w:t>0</w:t>
            </w:r>
            <w:r>
              <w:rPr>
                <w:rFonts w:ascii="Arial" w:cs="Arial" w:eastAsia="Arial" w:hAnsi="Arial"/>
                <w:sz w:val="10"/>
                <w:szCs w:val="10"/>
                <w:color w:val="auto"/>
              </w:rPr>
              <w:t>(15)</w:t>
            </w:r>
          </w:p>
        </w:tc>
        <w:tc>
          <w:tcPr>
            <w:tcW w:w="1140" w:type="dxa"/>
            <w:vAlign w:val="bottom"/>
            <w:shd w:val="clear" w:color="auto" w:fill="CCEDD4"/>
          </w:tcPr>
          <w:p>
            <w:pPr>
              <w:jc w:val="right"/>
              <w:ind w:right="128"/>
              <w:spacing w:after="0"/>
              <w:rPr>
                <w:sz w:val="20"/>
                <w:szCs w:val="20"/>
                <w:color w:val="auto"/>
              </w:rPr>
            </w:pPr>
            <w:r>
              <w:rPr>
                <w:rFonts w:ascii="Arial" w:cs="Arial" w:eastAsia="Arial" w:hAnsi="Arial"/>
                <w:sz w:val="14"/>
                <w:szCs w:val="14"/>
                <w:color w:val="auto"/>
              </w:rPr>
              <w:t>10,877</w:t>
            </w:r>
          </w:p>
        </w:tc>
        <w:tc>
          <w:tcPr>
            <w:tcW w:w="820" w:type="dxa"/>
            <w:vAlign w:val="bottom"/>
            <w:shd w:val="clear" w:color="auto" w:fill="CCEDD4"/>
          </w:tcPr>
          <w:p>
            <w:pPr>
              <w:jc w:val="right"/>
              <w:ind w:right="14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r>
      <w:tr>
        <w:trPr>
          <w:trHeight w:val="149"/>
        </w:trPr>
        <w:tc>
          <w:tcPr>
            <w:tcW w:w="980" w:type="dxa"/>
            <w:vAlign w:val="bottom"/>
          </w:tcPr>
          <w:p>
            <w:pPr>
              <w:spacing w:after="0"/>
              <w:rPr>
                <w:sz w:val="12"/>
                <w:szCs w:val="12"/>
                <w:color w:val="auto"/>
              </w:rPr>
            </w:pPr>
          </w:p>
        </w:tc>
        <w:tc>
          <w:tcPr>
            <w:tcW w:w="4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All Directors and named executive officers as a group</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42"/>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(19 persons)</w:t>
            </w:r>
            <w:r>
              <w:rPr>
                <w:rFonts w:ascii="Arial" w:cs="Arial" w:eastAsia="Arial" w:hAnsi="Arial"/>
                <w:sz w:val="17"/>
                <w:szCs w:val="17"/>
                <w:b w:val="1"/>
                <w:bCs w:val="1"/>
                <w:color w:val="auto"/>
                <w:vertAlign w:val="superscript"/>
              </w:rPr>
              <w:t>(16)</w:t>
            </w: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rPr>
              <w:t>950,028</w:t>
            </w:r>
          </w:p>
        </w:tc>
        <w:tc>
          <w:tcPr>
            <w:tcW w:w="1120" w:type="dxa"/>
            <w:vAlign w:val="bottom"/>
          </w:tcPr>
          <w:p>
            <w:pPr>
              <w:jc w:val="right"/>
              <w:ind w:right="290"/>
              <w:spacing w:after="0"/>
              <w:rPr>
                <w:sz w:val="20"/>
                <w:szCs w:val="20"/>
                <w:color w:val="auto"/>
              </w:rPr>
            </w:pPr>
            <w:r>
              <w:rPr>
                <w:rFonts w:ascii="Arial" w:cs="Arial" w:eastAsia="Arial" w:hAnsi="Arial"/>
                <w:sz w:val="14"/>
                <w:szCs w:val="14"/>
                <w:b w:val="1"/>
                <w:bCs w:val="1"/>
                <w:color w:val="auto"/>
              </w:rPr>
              <w:t>163,243</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1,113,271</w:t>
            </w:r>
          </w:p>
        </w:tc>
        <w:tc>
          <w:tcPr>
            <w:tcW w:w="820" w:type="dxa"/>
            <w:vAlign w:val="bottom"/>
          </w:tcPr>
          <w:p>
            <w:pPr>
              <w:jc w:val="right"/>
              <w:ind w:right="87"/>
              <w:spacing w:after="0"/>
              <w:rPr>
                <w:sz w:val="20"/>
                <w:szCs w:val="20"/>
                <w:color w:val="auto"/>
              </w:rPr>
            </w:pPr>
            <w:r>
              <w:rPr>
                <w:rFonts w:ascii="Arial" w:cs="Arial" w:eastAsia="Arial" w:hAnsi="Arial"/>
                <w:sz w:val="14"/>
                <w:szCs w:val="14"/>
                <w:b w:val="1"/>
                <w:bCs w:val="1"/>
                <w:color w:val="auto"/>
              </w:rPr>
              <w:t>1.1%</w:t>
            </w:r>
          </w:p>
        </w:tc>
        <w:tc>
          <w:tcPr>
            <w:tcW w:w="980" w:type="dxa"/>
            <w:vAlign w:val="bottom"/>
          </w:tcPr>
          <w:p>
            <w:pPr>
              <w:spacing w:after="0"/>
              <w:rPr>
                <w:sz w:val="21"/>
                <w:szCs w:val="21"/>
                <w:color w:val="auto"/>
              </w:rPr>
            </w:pPr>
          </w:p>
        </w:tc>
      </w:tr>
      <w:tr>
        <w:trPr>
          <w:trHeight w:val="48"/>
        </w:trPr>
        <w:tc>
          <w:tcPr>
            <w:tcW w:w="980" w:type="dxa"/>
            <w:vAlign w:val="bottom"/>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4460" w:type="dxa"/>
            <w:vAlign w:val="bottom"/>
            <w:tcBorders>
              <w:bottom w:val="single" w:sz="8" w:color="56C271"/>
            </w:tcBorders>
          </w:tcPr>
          <w:p>
            <w:pPr>
              <w:spacing w:after="0"/>
              <w:rPr>
                <w:sz w:val="4"/>
                <w:szCs w:val="4"/>
                <w:color w:val="auto"/>
              </w:rPr>
            </w:pPr>
          </w:p>
        </w:tc>
        <w:tc>
          <w:tcPr>
            <w:tcW w:w="1060" w:type="dxa"/>
            <w:vAlign w:val="bottom"/>
            <w:tcBorders>
              <w:bottom w:val="single" w:sz="8" w:color="56C271"/>
            </w:tcBorders>
          </w:tcPr>
          <w:p>
            <w:pPr>
              <w:spacing w:after="0"/>
              <w:rPr>
                <w:sz w:val="4"/>
                <w:szCs w:val="4"/>
                <w:color w:val="auto"/>
              </w:rPr>
            </w:pPr>
          </w:p>
        </w:tc>
        <w:tc>
          <w:tcPr>
            <w:tcW w:w="1120" w:type="dxa"/>
            <w:vAlign w:val="bottom"/>
            <w:tcBorders>
              <w:bottom w:val="single" w:sz="8" w:color="56C271"/>
            </w:tcBorders>
          </w:tcPr>
          <w:p>
            <w:pPr>
              <w:spacing w:after="0"/>
              <w:rPr>
                <w:sz w:val="4"/>
                <w:szCs w:val="4"/>
                <w:color w:val="auto"/>
              </w:rPr>
            </w:pPr>
          </w:p>
        </w:tc>
        <w:tc>
          <w:tcPr>
            <w:tcW w:w="1140" w:type="dxa"/>
            <w:vAlign w:val="bottom"/>
            <w:tcBorders>
              <w:bottom w:val="single" w:sz="8" w:color="56C271"/>
            </w:tcBorders>
          </w:tcPr>
          <w:p>
            <w:pPr>
              <w:spacing w:after="0"/>
              <w:rPr>
                <w:sz w:val="4"/>
                <w:szCs w:val="4"/>
                <w:color w:val="auto"/>
              </w:rPr>
            </w:pPr>
          </w:p>
        </w:tc>
        <w:tc>
          <w:tcPr>
            <w:tcW w:w="820" w:type="dxa"/>
            <w:vAlign w:val="bottom"/>
            <w:tcBorders>
              <w:bottom w:val="single" w:sz="8" w:color="56C271"/>
            </w:tcBorders>
          </w:tcPr>
          <w:p>
            <w:pPr>
              <w:spacing w:after="0"/>
              <w:rPr>
                <w:sz w:val="4"/>
                <w:szCs w:val="4"/>
                <w:color w:val="auto"/>
              </w:rPr>
            </w:pPr>
          </w:p>
        </w:tc>
        <w:tc>
          <w:tcPr>
            <w:tcW w:w="980" w:type="dxa"/>
            <w:vAlign w:val="bottom"/>
          </w:tcPr>
          <w:p>
            <w:pPr>
              <w:spacing w:after="0"/>
              <w:rPr>
                <w:sz w:val="4"/>
                <w:szCs w:val="4"/>
                <w:color w:val="auto"/>
              </w:rPr>
            </w:pPr>
          </w:p>
        </w:tc>
      </w:tr>
      <w:tr>
        <w:trPr>
          <w:trHeight w:val="285"/>
        </w:trPr>
        <w:tc>
          <w:tcPr>
            <w:tcW w:w="980" w:type="dxa"/>
            <w:vAlign w:val="bottom"/>
          </w:tcPr>
          <w:p>
            <w:pPr>
              <w:spacing w:after="0"/>
              <w:rPr>
                <w:sz w:val="24"/>
                <w:szCs w:val="24"/>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4460" w:type="dxa"/>
            <w:vAlign w:val="bottom"/>
          </w:tcPr>
          <w:p>
            <w:pPr>
              <w:ind w:left="640"/>
              <w:spacing w:after="0"/>
              <w:rPr>
                <w:sz w:val="20"/>
                <w:szCs w:val="20"/>
                <w:color w:val="auto"/>
              </w:rPr>
            </w:pPr>
            <w:r>
              <w:rPr>
                <w:rFonts w:ascii="Arial" w:cs="Arial" w:eastAsia="Arial" w:hAnsi="Arial"/>
                <w:sz w:val="14"/>
                <w:szCs w:val="14"/>
                <w:color w:val="auto"/>
              </w:rPr>
              <w:t>Represents less than 1%.</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06"/>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980" w:type="dxa"/>
            <w:vAlign w:val="bottom"/>
          </w:tcPr>
          <w:p>
            <w:pPr>
              <w:spacing w:after="0"/>
              <w:rPr>
                <w:sz w:val="24"/>
                <w:szCs w:val="24"/>
                <w:color w:val="auto"/>
              </w:rPr>
            </w:pPr>
          </w:p>
        </w:tc>
      </w:tr>
      <w:tr>
        <w:trPr>
          <w:trHeight w:val="479"/>
        </w:trPr>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-591185</wp:posOffset>
            </wp:positionV>
            <wp:extent cx="1482725" cy="2997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82725" cy="29972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Security Ownership of Certain Beneficial Owners and Management</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7" w:lineRule="exact"/>
        <w:rPr>
          <w:sz w:val="20"/>
          <w:szCs w:val="20"/>
          <w:color w:val="auto"/>
        </w:rPr>
      </w:pPr>
    </w:p>
    <w:p>
      <w:pPr>
        <w:ind w:left="1780" w:right="499" w:hanging="718"/>
        <w:spacing w:after="0" w:line="278" w:lineRule="auto"/>
        <w:tabs>
          <w:tab w:leader="none" w:pos="1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This column includes Restricted Stock Units allocated but not yet delivered to each executive officer and Phantom Stock Units owned by non-employee Directors.</w:t>
      </w:r>
    </w:p>
    <w:p>
      <w:pPr>
        <w:spacing w:after="0" w:line="113" w:lineRule="exact"/>
        <w:rPr>
          <w:rFonts w:ascii="Arial" w:cs="Arial" w:eastAsia="Arial" w:hAnsi="Arial"/>
          <w:sz w:val="14"/>
          <w:szCs w:val="14"/>
          <w:color w:val="auto"/>
        </w:rPr>
      </w:pPr>
    </w:p>
    <w:p>
      <w:pPr>
        <w:ind w:left="1780" w:hanging="718"/>
        <w:spacing w:after="0"/>
        <w:tabs>
          <w:tab w:leader="none" w:pos="1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99,561,952 shares of Common Stock outstanding (net of treasury shares) at September 1, 2021.</w:t>
      </w:r>
    </w:p>
    <w:p>
      <w:pPr>
        <w:spacing w:after="0" w:line="163" w:lineRule="exact"/>
        <w:rPr>
          <w:sz w:val="20"/>
          <w:szCs w:val="20"/>
          <w:color w:val="auto"/>
        </w:rPr>
      </w:pPr>
    </w:p>
    <w:p>
      <w:pPr>
        <w:ind w:left="1780" w:right="299" w:hanging="718"/>
        <w:spacing w:after="0" w:line="270" w:lineRule="auto"/>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information is based solely on information provided in Amendment No. 13 to a Schedule 13G filed with the SEC on January 29, 2021 by BlackRock, Inc., which reports sole voting power with respect to 8,285,565 shares and sole dispositive power with respect to 8,285,565 shares.</w:t>
      </w:r>
    </w:p>
    <w:p>
      <w:pPr>
        <w:spacing w:after="0" w:line="131" w:lineRule="exact"/>
        <w:rPr>
          <w:rFonts w:ascii="Arial" w:cs="Arial" w:eastAsia="Arial" w:hAnsi="Arial"/>
          <w:sz w:val="14"/>
          <w:szCs w:val="14"/>
          <w:color w:val="auto"/>
        </w:rPr>
      </w:pPr>
    </w:p>
    <w:p>
      <w:pPr>
        <w:jc w:val="both"/>
        <w:ind w:left="1780" w:right="599" w:hanging="718"/>
        <w:spacing w:after="0" w:line="270" w:lineRule="auto"/>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information is based solely on information provided in Amendment No. 4 to a Schedule 13G filed with the SEC on January 29, 2021 by Pzena Investment Management, LLC, which reports sole voting power with respect to 10,757,576 shares and sole dispositive power with respect to 12,561,805 shares.</w:t>
      </w:r>
    </w:p>
    <w:p>
      <w:pPr>
        <w:spacing w:after="0" w:line="118" w:lineRule="exact"/>
        <w:rPr>
          <w:rFonts w:ascii="Arial" w:cs="Arial" w:eastAsia="Arial" w:hAnsi="Arial"/>
          <w:sz w:val="14"/>
          <w:szCs w:val="14"/>
          <w:color w:val="auto"/>
        </w:rPr>
      </w:pPr>
    </w:p>
    <w:p>
      <w:pPr>
        <w:ind w:left="1780" w:right="319" w:hanging="718"/>
        <w:spacing w:after="0" w:line="267" w:lineRule="auto"/>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information is based solely on information provided in Amendment No. 10 to a Schedule 13G filed with the SEC on February 10, 2021, by The Vanguard Group, which reports sole voting power with respect to 0 shares, shared voting power with respect to 73,798 shares, sole dispositive power with respect to 10,524,468 shares and shared dispositive power with respect to 156,172 shares.</w:t>
      </w:r>
    </w:p>
    <w:p>
      <w:pPr>
        <w:spacing w:after="0" w:line="134"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Adkins’ ownership includes 4,768 Phantom Stock Units.</w:t>
      </w:r>
    </w:p>
    <w:p>
      <w:pPr>
        <w:spacing w:after="0" w:line="163"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Bradley’s information consists of Common Stock owned by the Michael A. Bradley 2009 Revocable Trust.</w:t>
      </w:r>
    </w:p>
    <w:p>
      <w:pPr>
        <w:spacing w:after="0" w:line="149"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Ownership consists solely of Phantom Stock Units.</w:t>
      </w:r>
    </w:p>
    <w:p>
      <w:pPr>
        <w:spacing w:after="0" w:line="163"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Khaykin’s ownership includes 20,302 Phantom Stock Units.</w:t>
      </w:r>
    </w:p>
    <w:p>
      <w:pPr>
        <w:spacing w:after="0" w:line="163" w:lineRule="exact"/>
        <w:rPr>
          <w:rFonts w:ascii="Arial" w:cs="Arial" w:eastAsia="Arial" w:hAnsi="Arial"/>
          <w:sz w:val="14"/>
          <w:szCs w:val="14"/>
          <w:color w:val="auto"/>
        </w:rPr>
      </w:pPr>
    </w:p>
    <w:p>
      <w:pPr>
        <w:ind w:left="1780" w:right="279" w:hanging="718"/>
        <w:spacing w:after="0" w:line="278" w:lineRule="auto"/>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Gallagher’s information consists of 53,562 Common Stock owned by the Gallagher Family Trust and 113,756 Restricted Stock Units allocated but not yet vested.</w:t>
      </w:r>
    </w:p>
    <w:p>
      <w:pPr>
        <w:spacing w:after="0" w:line="113"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Liguori’s ownership includes of 62,758 Restricted Stock Units allocated but not yet vested.</w:t>
      </w:r>
    </w:p>
    <w:p>
      <w:pPr>
        <w:spacing w:after="0" w:line="163"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Arnold’s ownership includes 21,374 Restricted Stock Units allocated but not yet vested.</w:t>
      </w:r>
    </w:p>
    <w:p>
      <w:pPr>
        <w:spacing w:after="0" w:line="163"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McCoy’s ownership includes 25,605 Restricted Stock Units allocated but not yet vested.</w:t>
      </w:r>
    </w:p>
    <w:p>
      <w:pPr>
        <w:spacing w:after="0" w:line="149"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Chan’s ownership includes 22,714 Restricted Stock Units allocated but not yet vested.</w:t>
      </w:r>
    </w:p>
    <w:p>
      <w:pPr>
        <w:spacing w:after="0" w:line="163"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Ms. Miller’s information includes 20,821 Restricted Stock Units allocated but not yet vested.</w:t>
      </w:r>
    </w:p>
    <w:p>
      <w:pPr>
        <w:spacing w:after="0" w:line="163"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Amelio’s information is as of July 31, 2020, when he ceased to be the Chief Executive Officer.</w:t>
      </w:r>
    </w:p>
    <w:p>
      <w:pPr>
        <w:spacing w:after="0" w:line="149"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Bartolotta’s information is as of October 1, 2020, when he ceased to be an officer of the Company.</w:t>
      </w:r>
    </w:p>
    <w:p>
      <w:pPr>
        <w:spacing w:after="0" w:line="163" w:lineRule="exact"/>
        <w:rPr>
          <w:rFonts w:ascii="Arial" w:cs="Arial" w:eastAsia="Arial" w:hAnsi="Arial"/>
          <w:sz w:val="14"/>
          <w:szCs w:val="14"/>
          <w:color w:val="auto"/>
        </w:rPr>
      </w:pPr>
    </w:p>
    <w:p>
      <w:pPr>
        <w:ind w:left="1780" w:hanging="718"/>
        <w:spacing w:after="0"/>
        <w:tabs>
          <w:tab w:leader="none" w:pos="1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representations by Directors and current Officers, none of the shares have been pledged as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2517775</wp:posOffset>
            </wp:positionV>
            <wp:extent cx="1482725" cy="300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80"/>
        <w:spacing w:after="0"/>
        <w:rPr>
          <w:sz w:val="20"/>
          <w:szCs w:val="20"/>
          <w:color w:val="auto"/>
        </w:rPr>
      </w:pPr>
      <w:r>
        <w:rPr>
          <w:rFonts w:ascii="Arial" w:cs="Arial" w:eastAsia="Arial" w:hAnsi="Arial"/>
          <w:sz w:val="40"/>
          <w:szCs w:val="40"/>
          <w:b w:val="1"/>
          <w:bCs w:val="1"/>
          <w:color w:val="FEFEFE"/>
        </w:rPr>
        <w:t>DELINQUENT SECTION 16(a) REPORTS</w:t>
      </w:r>
    </w:p>
    <w:p>
      <w:pPr>
        <w:spacing w:after="0" w:line="366" w:lineRule="exact"/>
        <w:rPr>
          <w:sz w:val="20"/>
          <w:szCs w:val="20"/>
          <w:color w:val="auto"/>
        </w:rPr>
      </w:pPr>
    </w:p>
    <w:p>
      <w:pPr>
        <w:ind w:left="1000" w:right="219"/>
        <w:spacing w:after="0" w:line="252" w:lineRule="auto"/>
        <w:rPr>
          <w:sz w:val="20"/>
          <w:szCs w:val="20"/>
          <w:color w:val="auto"/>
        </w:rPr>
      </w:pPr>
      <w:r>
        <w:rPr>
          <w:rFonts w:ascii="Arial" w:cs="Arial" w:eastAsia="Arial" w:hAnsi="Arial"/>
          <w:sz w:val="18"/>
          <w:szCs w:val="18"/>
          <w:color w:val="auto"/>
        </w:rPr>
        <w:t>Section 16(a) of the Exchange Act (“Section 16(a)”) requires that the Directors and executive officers of the Company and holders of more than 10% of the Company’s equity securities file with the SEC, within specified due dates, initial reports of beneficial ownership of the Company’s equity securities on Form 3; reports of changes in ownership of the Company’s equity securities on Form 4; and annual reports of changes in ownership of the Company’s equity securities on Form 5. As a matter of practice, the Company’s administrative staff assists the Directors and executive officers with these reporting requirements. The Company is required to disclose whether it has knowledge that any person required to file such reports may have failed to do so in a timely manner.</w:t>
      </w:r>
    </w:p>
    <w:p>
      <w:pPr>
        <w:spacing w:after="0" w:line="138" w:lineRule="exact"/>
        <w:rPr>
          <w:sz w:val="20"/>
          <w:szCs w:val="20"/>
          <w:color w:val="auto"/>
        </w:rPr>
      </w:pPr>
    </w:p>
    <w:p>
      <w:pPr>
        <w:ind w:left="1000" w:right="259"/>
        <w:spacing w:after="0" w:line="270" w:lineRule="auto"/>
        <w:rPr>
          <w:sz w:val="20"/>
          <w:szCs w:val="20"/>
          <w:color w:val="auto"/>
        </w:rPr>
      </w:pPr>
      <w:r>
        <w:rPr>
          <w:rFonts w:ascii="Arial" w:cs="Arial" w:eastAsia="Arial" w:hAnsi="Arial"/>
          <w:sz w:val="17"/>
          <w:szCs w:val="17"/>
          <w:color w:val="auto"/>
        </w:rPr>
        <w:t>Based solely on a review of the copies of the fiscal year 2021 Section 16(a) reports in the Company’s possession and on written representations from the Company’s Directors and executive officers that no other reports were required during the year ended July 3, 2021, the Company believes that during the fiscal year ended July 3, 2021, all Section 16(a) filings were timely filed with the exception of four Form 4 reports (each for one transaction relating to the issuance of Phantom Stock Units in lieu of the quarterly cash dividend) for Directors Ms. Freeman and Messrs. Adkins, Khaykin and Schumann, which were filed one business day 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139700</wp:posOffset>
            </wp:positionV>
            <wp:extent cx="5554980" cy="3257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40"/>
          <w:szCs w:val="40"/>
          <w:b w:val="1"/>
          <w:bCs w:val="1"/>
          <w:color w:val="FEFEFE"/>
        </w:rPr>
        <w:t>RELATED PERSON TRANSACTIONS</w:t>
      </w:r>
    </w:p>
    <w:p>
      <w:pPr>
        <w:spacing w:after="0" w:line="366" w:lineRule="exact"/>
        <w:rPr>
          <w:sz w:val="20"/>
          <w:szCs w:val="20"/>
          <w:color w:val="auto"/>
        </w:rPr>
      </w:pPr>
    </w:p>
    <w:p>
      <w:pPr>
        <w:ind w:left="1000" w:right="259"/>
        <w:spacing w:after="0" w:line="253" w:lineRule="auto"/>
        <w:rPr>
          <w:sz w:val="20"/>
          <w:szCs w:val="20"/>
          <w:color w:val="auto"/>
        </w:rPr>
      </w:pPr>
      <w:r>
        <w:rPr>
          <w:rFonts w:ascii="Arial" w:cs="Arial" w:eastAsia="Arial" w:hAnsi="Arial"/>
          <w:sz w:val="18"/>
          <w:szCs w:val="18"/>
          <w:color w:val="auto"/>
        </w:rPr>
        <w:t>The Company has a variety of policies and procedures for the identification and review of related person transactions. The SEC rules generally define a related person transaction as any transaction, arrangement or relationship involving more than $120,000 in which the Company or any of its subsidiaries was, is or will be a party to and in which a Director, executive officer or their immediate family members has a material direct or indirect interest.</w:t>
      </w:r>
    </w:p>
    <w:p>
      <w:pPr>
        <w:spacing w:after="0" w:line="138" w:lineRule="exact"/>
        <w:rPr>
          <w:sz w:val="20"/>
          <w:szCs w:val="20"/>
          <w:color w:val="auto"/>
        </w:rPr>
      </w:pPr>
    </w:p>
    <w:p>
      <w:pPr>
        <w:ind w:left="1000" w:right="299"/>
        <w:spacing w:after="0" w:line="254" w:lineRule="auto"/>
        <w:rPr>
          <w:sz w:val="20"/>
          <w:szCs w:val="20"/>
          <w:color w:val="auto"/>
        </w:rPr>
      </w:pPr>
      <w:r>
        <w:rPr>
          <w:rFonts w:ascii="Arial" w:cs="Arial" w:eastAsia="Arial" w:hAnsi="Arial"/>
          <w:sz w:val="18"/>
          <w:szCs w:val="18"/>
          <w:color w:val="auto"/>
        </w:rPr>
        <w:t>The Company’s Code of Conduct and the Conflicts of Interest Policy generally prohibit and require the disclosure of any potential conflict of interest, including when the person will have a direct or indirect financial interest in a business with which the Company may have dealings. Exceptions to the policy’s prohibition are required to be pre-approved in writing.</w:t>
      </w:r>
    </w:p>
    <w:p>
      <w:pPr>
        <w:spacing w:after="0" w:line="136" w:lineRule="exact"/>
        <w:rPr>
          <w:sz w:val="20"/>
          <w:szCs w:val="20"/>
          <w:color w:val="auto"/>
        </w:rPr>
      </w:pPr>
    </w:p>
    <w:p>
      <w:pPr>
        <w:ind w:left="1000" w:right="179"/>
        <w:spacing w:after="0" w:line="252" w:lineRule="auto"/>
        <w:rPr>
          <w:sz w:val="20"/>
          <w:szCs w:val="20"/>
          <w:color w:val="auto"/>
        </w:rPr>
      </w:pPr>
      <w:r>
        <w:rPr>
          <w:rFonts w:ascii="Arial" w:cs="Arial" w:eastAsia="Arial" w:hAnsi="Arial"/>
          <w:sz w:val="18"/>
          <w:szCs w:val="18"/>
          <w:color w:val="auto"/>
        </w:rPr>
        <w:t>As part of the process for its quarterly reporting obligations pursuant to Section 13(a) or 15(d) of the Exchange Act, the disclosure committee reviews whether there are any related person transactions that should be disclosed in the Company’s SEC filings. In addition, the executive officers and Directors each complete a Director and Officers’ Questionnaire annually and Director nominees complete a New Director Questionnaire before election, which requests information regarding related person transactions. The Audit Committee reviews and approves or recommends to the Board to approve, as appropriate, certain related party transactions.</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Corporate Governance Guidelines also specify the standards for independence of Directors.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685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580" w:right="280"/>
        <w:spacing w:after="0" w:line="308" w:lineRule="auto"/>
        <w:rPr>
          <w:sz w:val="20"/>
          <w:szCs w:val="20"/>
          <w:color w:val="auto"/>
        </w:rPr>
      </w:pPr>
      <w:r>
        <w:rPr>
          <w:rFonts w:ascii="Arial" w:cs="Arial" w:eastAsia="Arial" w:hAnsi="Arial"/>
          <w:sz w:val="38"/>
          <w:szCs w:val="38"/>
          <w:b w:val="1"/>
          <w:bCs w:val="1"/>
          <w:color w:val="FEFEFE"/>
        </w:rPr>
        <w:t>PROPOSAL 2: ADVISORY VOTE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164465</wp:posOffset>
            </wp:positionV>
            <wp:extent cx="5554980" cy="7715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29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EFEFE"/>
        </w:rPr>
        <w:t>RECOMMENDATION OF THE BOARD</w:t>
      </w:r>
    </w:p>
    <w:p>
      <w:pPr>
        <w:spacing w:after="0" w:line="306" w:lineRule="exact"/>
        <w:rPr>
          <w:sz w:val="20"/>
          <w:szCs w:val="20"/>
          <w:color w:val="auto"/>
        </w:rPr>
      </w:pPr>
    </w:p>
    <w:p>
      <w:pPr>
        <w:ind w:left="2260" w:right="519"/>
        <w:spacing w:after="0" w:line="318" w:lineRule="auto"/>
        <w:rPr>
          <w:sz w:val="20"/>
          <w:szCs w:val="20"/>
          <w:color w:val="auto"/>
        </w:rPr>
      </w:pPr>
      <w:r>
        <w:rPr>
          <w:rFonts w:ascii="Arial" w:cs="Arial" w:eastAsia="Arial" w:hAnsi="Arial"/>
          <w:sz w:val="17"/>
          <w:szCs w:val="17"/>
          <w:b w:val="1"/>
          <w:bCs w:val="1"/>
          <w:color w:val="auto"/>
        </w:rPr>
        <w:t xml:space="preserve">The Board recommends that shareholders vote </w:t>
      </w:r>
      <w:r>
        <w:rPr>
          <w:rFonts w:ascii="Arial" w:cs="Arial" w:eastAsia="Arial" w:hAnsi="Arial"/>
          <w:sz w:val="17"/>
          <w:szCs w:val="17"/>
          <w:b w:val="1"/>
          <w:bCs w:val="1"/>
          <w:color w:val="56C271"/>
        </w:rPr>
        <w:t>FOR</w:t>
      </w:r>
      <w:r>
        <w:rPr>
          <w:rFonts w:ascii="Arial" w:cs="Arial" w:eastAsia="Arial" w:hAnsi="Arial"/>
          <w:sz w:val="17"/>
          <w:szCs w:val="17"/>
          <w:b w:val="1"/>
          <w:bCs w:val="1"/>
          <w:color w:val="auto"/>
        </w:rPr>
        <w:t xml:space="preserve"> the advisory vote on the compensation of the Named Executive Officers as disclosed in this Proxy Statement.</w:t>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Description of Proposal</w:t>
      </w:r>
    </w:p>
    <w:p>
      <w:pPr>
        <w:spacing w:after="0" w:line="157" w:lineRule="exact"/>
        <w:rPr>
          <w:sz w:val="20"/>
          <w:szCs w:val="20"/>
          <w:color w:val="auto"/>
        </w:rPr>
      </w:pPr>
    </w:p>
    <w:p>
      <w:pPr>
        <w:ind w:left="1000" w:right="199"/>
        <w:spacing w:after="0" w:line="252" w:lineRule="auto"/>
        <w:rPr>
          <w:sz w:val="20"/>
          <w:szCs w:val="20"/>
          <w:color w:val="auto"/>
        </w:rPr>
      </w:pPr>
      <w:r>
        <w:rPr>
          <w:rFonts w:ascii="Arial" w:cs="Arial" w:eastAsia="Arial" w:hAnsi="Arial"/>
          <w:sz w:val="18"/>
          <w:szCs w:val="18"/>
          <w:color w:val="auto"/>
        </w:rPr>
        <w:t>As part of the Company’s commitment to high standards of governance and as required by Section 14A of the Exchange Act, the Board of Directors is requesting that the shareholders approve, on a non-binding advisory basis, the compensation of the Company’s Named Executive Officers (“NEOs”) as disclosed in this Proxy Statement. This proposal, commonly known as a “say on pay” proposal, gives shareholders the opportunity to express their views on the compensation of the NEOs. It is not intended to address any specific item of compensation, but rather the overall compensation of the NEOs and the philosophy, policies and practices described in this Proxy Statement.</w:t>
      </w:r>
    </w:p>
    <w:p>
      <w:pPr>
        <w:spacing w:after="0" w:line="112" w:lineRule="exact"/>
        <w:rPr>
          <w:sz w:val="20"/>
          <w:szCs w:val="20"/>
          <w:color w:val="auto"/>
        </w:rPr>
      </w:pPr>
    </w:p>
    <w:p>
      <w:pPr>
        <w:ind w:left="1000" w:right="159"/>
        <w:spacing w:after="0" w:line="255" w:lineRule="auto"/>
        <w:rPr>
          <w:sz w:val="20"/>
          <w:szCs w:val="20"/>
          <w:color w:val="auto"/>
        </w:rPr>
      </w:pPr>
      <w:r>
        <w:rPr>
          <w:rFonts w:ascii="Arial" w:cs="Arial" w:eastAsia="Arial" w:hAnsi="Arial"/>
          <w:sz w:val="20"/>
          <w:szCs w:val="20"/>
          <w:b w:val="1"/>
          <w:bCs w:val="1"/>
          <w:color w:val="auto"/>
        </w:rPr>
        <w:t>Shareholders are urged to read the section titled “Compensation Discussion and Analysis” section below along with the compensation tables and narrative discussion that follows, which discuss how the compensation program is implemented with respect to the NEOs.</w:t>
      </w:r>
    </w:p>
    <w:p>
      <w:pPr>
        <w:spacing w:after="0" w:line="131" w:lineRule="exact"/>
        <w:rPr>
          <w:sz w:val="20"/>
          <w:szCs w:val="20"/>
          <w:color w:val="auto"/>
        </w:rPr>
      </w:pPr>
    </w:p>
    <w:p>
      <w:pPr>
        <w:ind w:left="1000" w:right="239"/>
        <w:spacing w:after="0" w:line="261" w:lineRule="auto"/>
        <w:rPr>
          <w:sz w:val="20"/>
          <w:szCs w:val="20"/>
          <w:color w:val="auto"/>
        </w:rPr>
      </w:pPr>
      <w:r>
        <w:rPr>
          <w:rFonts w:ascii="Arial" w:cs="Arial" w:eastAsia="Arial" w:hAnsi="Arial"/>
          <w:sz w:val="18"/>
          <w:szCs w:val="18"/>
          <w:color w:val="auto"/>
        </w:rPr>
        <w:t>The Board believes that the compensation of the NEOs as described in this Proxy Statement was appropriate and recommends a vote “FOR” the following resolution:</w:t>
      </w:r>
    </w:p>
    <w:p>
      <w:pPr>
        <w:spacing w:after="0" w:line="117" w:lineRule="exact"/>
        <w:rPr>
          <w:sz w:val="20"/>
          <w:szCs w:val="20"/>
          <w:color w:val="auto"/>
        </w:rPr>
      </w:pPr>
    </w:p>
    <w:p>
      <w:pPr>
        <w:ind w:left="1360" w:right="319"/>
        <w:spacing w:after="0" w:line="273" w:lineRule="auto"/>
        <w:rPr>
          <w:sz w:val="20"/>
          <w:szCs w:val="20"/>
          <w:color w:val="auto"/>
        </w:rPr>
      </w:pPr>
      <w:r>
        <w:rPr>
          <w:rFonts w:ascii="Arial" w:cs="Arial" w:eastAsia="Arial" w:hAnsi="Arial"/>
          <w:sz w:val="17"/>
          <w:szCs w:val="17"/>
          <w:color w:val="auto"/>
        </w:rPr>
        <w:t>RESOLVED, that the Company’s shareholders hereby approve, on a non-binding advisory basis, the compensation paid to the Company’s Named Executive Officers as disclosed in the Proxy Statement for the 2021 Annual Meeting of Shareholders, pursuant to the compensation disclosure rules of the SEC, including the Compensation Discussion and Analysis, compensation tables and narrative discussion.</w:t>
      </w:r>
    </w:p>
    <w:p>
      <w:pPr>
        <w:spacing w:after="0" w:line="123" w:lineRule="exact"/>
        <w:rPr>
          <w:sz w:val="20"/>
          <w:szCs w:val="20"/>
          <w:color w:val="auto"/>
        </w:rPr>
      </w:pPr>
    </w:p>
    <w:p>
      <w:pPr>
        <w:ind w:left="1000" w:right="179"/>
        <w:spacing w:after="0" w:line="252" w:lineRule="auto"/>
        <w:rPr>
          <w:sz w:val="20"/>
          <w:szCs w:val="20"/>
          <w:color w:val="auto"/>
        </w:rPr>
      </w:pPr>
      <w:r>
        <w:rPr>
          <w:rFonts w:ascii="Arial" w:cs="Arial" w:eastAsia="Arial" w:hAnsi="Arial"/>
          <w:sz w:val="18"/>
          <w:szCs w:val="18"/>
          <w:color w:val="auto"/>
        </w:rPr>
        <w:t>Although the vote is non-binding, the Compensation and Leadership Development Committee and the Board of Directors value the opinions of the shareholders. To the extent there is a significant number of votes against the compensation of the NEOs as disclosed in this Proxy Statement, the Board and Compensation and Leadership Development Committee will consider the shareholders’ concerns, evaluate what actions are necessary to address those concerns and take such concerns into account in future determinations concerning the executive compensation program.</w:t>
      </w:r>
    </w:p>
    <w:p>
      <w:pPr>
        <w:spacing w:after="0" w:line="141" w:lineRule="exact"/>
        <w:rPr>
          <w:sz w:val="20"/>
          <w:szCs w:val="20"/>
          <w:color w:val="auto"/>
        </w:rPr>
      </w:pPr>
    </w:p>
    <w:p>
      <w:pPr>
        <w:ind w:left="1000" w:right="279"/>
        <w:spacing w:after="0" w:line="261" w:lineRule="auto"/>
        <w:rPr>
          <w:sz w:val="20"/>
          <w:szCs w:val="20"/>
          <w:color w:val="auto"/>
        </w:rPr>
      </w:pPr>
      <w:r>
        <w:rPr>
          <w:rFonts w:ascii="Arial" w:cs="Arial" w:eastAsia="Arial" w:hAnsi="Arial"/>
          <w:sz w:val="18"/>
          <w:szCs w:val="18"/>
          <w:color w:val="auto"/>
        </w:rPr>
        <w:t>The Company currently conducts an annual advisory vote on NEO compensation and expects to conduct the next advisory vote at the 2022 Annual Meeting of Shareholders.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Vote Required for Approval</w:t>
      </w:r>
    </w:p>
    <w:p>
      <w:pPr>
        <w:spacing w:after="0" w:line="157" w:lineRule="exact"/>
        <w:rPr>
          <w:sz w:val="20"/>
          <w:szCs w:val="20"/>
          <w:color w:val="auto"/>
        </w:rPr>
      </w:pPr>
    </w:p>
    <w:p>
      <w:pPr>
        <w:ind w:left="1000" w:right="259"/>
        <w:spacing w:after="0" w:line="252" w:lineRule="auto"/>
        <w:rPr>
          <w:sz w:val="20"/>
          <w:szCs w:val="20"/>
          <w:color w:val="auto"/>
        </w:rPr>
      </w:pPr>
      <w:r>
        <w:rPr>
          <w:rFonts w:ascii="Arial" w:cs="Arial" w:eastAsia="Arial" w:hAnsi="Arial"/>
          <w:sz w:val="18"/>
          <w:szCs w:val="18"/>
          <w:color w:val="auto"/>
        </w:rPr>
        <w:t>For approval, this proposal requires the affirmative vote of a majority of the votes cast by the shareholders present in person or by proxy, provided a quorum is present,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114935</wp:posOffset>
            </wp:positionV>
            <wp:extent cx="1482725" cy="291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285115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2: Advisory Vote on Named Executive Officer Compensation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Proxy</w:t>
      </w:r>
    </w:p>
    <w:p>
      <w:pPr>
        <w:spacing w:after="0" w:line="157" w:lineRule="exact"/>
        <w:rPr>
          <w:sz w:val="20"/>
          <w:szCs w:val="20"/>
          <w:color w:val="auto"/>
        </w:rPr>
      </w:pPr>
    </w:p>
    <w:p>
      <w:pPr>
        <w:ind w:left="1000" w:right="299"/>
        <w:spacing w:after="0" w:line="256" w:lineRule="auto"/>
        <w:rPr>
          <w:sz w:val="20"/>
          <w:szCs w:val="20"/>
          <w:color w:val="auto"/>
        </w:rPr>
      </w:pPr>
      <w:r>
        <w:rPr>
          <w:rFonts w:ascii="Arial" w:cs="Arial" w:eastAsia="Arial" w:hAnsi="Arial"/>
          <w:sz w:val="18"/>
          <w:szCs w:val="18"/>
          <w:color w:val="auto"/>
        </w:rPr>
        <w:t>Unless otherwise directed by the shareholder, it is the intention of the persons named as proxies in the proxy card to vote each properly signed and returned proxy card FOR the approval of the compensation of the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685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60"/>
        <w:spacing w:after="0"/>
        <w:rPr>
          <w:sz w:val="20"/>
          <w:szCs w:val="20"/>
          <w:color w:val="auto"/>
        </w:rPr>
      </w:pPr>
      <w:r>
        <w:rPr>
          <w:rFonts w:ascii="Arial" w:cs="Arial" w:eastAsia="Arial" w:hAnsi="Arial"/>
          <w:sz w:val="38"/>
          <w:szCs w:val="38"/>
          <w:b w:val="1"/>
          <w:bCs w:val="1"/>
          <w:color w:val="FEFEFE"/>
        </w:rPr>
        <w:t>COMPENSATION DISCUSSION AND</w:t>
      </w:r>
    </w:p>
    <w:p>
      <w:pPr>
        <w:spacing w:after="0" w:line="86"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FEFEFE"/>
        </w:rPr>
        <w:t>ANALYSIS</w:t>
      </w:r>
    </w:p>
    <w:p>
      <w:pPr>
        <w:sectPr>
          <w:pgSz w:w="11900" w:h="16838" w:orient="portrait"/>
          <w:cols w:equalWidth="0" w:num="1">
            <w:col w:w="9879"/>
          </w:cols>
          <w:pgMar w:left="580" w:top="132" w:right="1440" w:bottom="1440" w:gutter="0" w:footer="0" w:header="0"/>
        </w:sectPr>
      </w:pPr>
    </w:p>
    <w:p>
      <w:pPr>
        <w:spacing w:after="0" w:line="290" w:lineRule="exact"/>
        <w:rPr>
          <w:sz w:val="20"/>
          <w:szCs w:val="20"/>
          <w:color w:val="auto"/>
        </w:rPr>
      </w:pPr>
    </w:p>
    <w:tbl>
      <w:tblPr>
        <w:tblLayout w:type="fixed"/>
        <w:tblInd w:w="990" w:type="dxa"/>
        <w:tblCellMar>
          <w:top w:w="0" w:type="dxa"/>
          <w:left w:w="0" w:type="dxa"/>
          <w:bottom w:w="0" w:type="dxa"/>
          <w:right w:w="0" w:type="dxa"/>
        </w:tblCellMar>
      </w:tblPr>
      <w:tr>
        <w:trPr>
          <w:trHeight w:val="270"/>
        </w:trPr>
        <w:tc>
          <w:tcPr>
            <w:tcW w:w="2380" w:type="dxa"/>
            <w:vAlign w:val="bottom"/>
            <w:tcBorders>
              <w:left w:val="single" w:sz="8" w:color="56C271"/>
            </w:tcBorders>
            <w:gridSpan w:val="17"/>
            <w:shd w:val="clear" w:color="auto" w:fill="56C271"/>
          </w:tcPr>
          <w:p>
            <w:pPr>
              <w:ind w:left="120"/>
              <w:spacing w:after="0"/>
              <w:rPr>
                <w:sz w:val="20"/>
                <w:szCs w:val="20"/>
                <w:color w:val="auto"/>
              </w:rPr>
            </w:pPr>
            <w:r>
              <w:rPr>
                <w:rFonts w:ascii="Arial" w:cs="Arial" w:eastAsia="Arial" w:hAnsi="Arial"/>
                <w:sz w:val="20"/>
                <w:szCs w:val="20"/>
                <w:b w:val="1"/>
                <w:bCs w:val="1"/>
                <w:color w:val="FFFFFF"/>
              </w:rPr>
              <w:t>Table of Contents</w:t>
            </w:r>
          </w:p>
        </w:tc>
        <w:tc>
          <w:tcPr>
            <w:tcW w:w="260" w:type="dxa"/>
            <w:vAlign w:val="bottom"/>
            <w:shd w:val="clear" w:color="auto" w:fill="56C271"/>
          </w:tcPr>
          <w:p>
            <w:pPr>
              <w:spacing w:after="0"/>
              <w:rPr>
                <w:sz w:val="23"/>
                <w:szCs w:val="23"/>
                <w:color w:val="auto"/>
              </w:rPr>
            </w:pPr>
          </w:p>
        </w:tc>
        <w:tc>
          <w:tcPr>
            <w:tcW w:w="20" w:type="dxa"/>
            <w:vAlign w:val="bottom"/>
            <w:shd w:val="clear" w:color="auto" w:fill="56C271"/>
          </w:tcPr>
          <w:p>
            <w:pPr>
              <w:spacing w:after="0"/>
              <w:rPr>
                <w:sz w:val="23"/>
                <w:szCs w:val="23"/>
                <w:color w:val="auto"/>
              </w:rPr>
            </w:pPr>
          </w:p>
        </w:tc>
        <w:tc>
          <w:tcPr>
            <w:tcW w:w="20" w:type="dxa"/>
            <w:vAlign w:val="bottom"/>
            <w:shd w:val="clear" w:color="auto" w:fill="56C271"/>
          </w:tcPr>
          <w:p>
            <w:pPr>
              <w:spacing w:after="0"/>
              <w:rPr>
                <w:sz w:val="23"/>
                <w:szCs w:val="23"/>
                <w:color w:val="auto"/>
              </w:rPr>
            </w:pPr>
          </w:p>
        </w:tc>
        <w:tc>
          <w:tcPr>
            <w:tcW w:w="40" w:type="dxa"/>
            <w:vAlign w:val="bottom"/>
            <w:shd w:val="clear" w:color="auto" w:fill="56C271"/>
          </w:tcPr>
          <w:p>
            <w:pPr>
              <w:spacing w:after="0"/>
              <w:rPr>
                <w:sz w:val="23"/>
                <w:szCs w:val="23"/>
                <w:color w:val="auto"/>
              </w:rPr>
            </w:pPr>
          </w:p>
        </w:tc>
        <w:tc>
          <w:tcPr>
            <w:tcW w:w="60" w:type="dxa"/>
            <w:vAlign w:val="bottom"/>
            <w:shd w:val="clear" w:color="auto" w:fill="56C271"/>
          </w:tcPr>
          <w:p>
            <w:pPr>
              <w:spacing w:after="0"/>
              <w:rPr>
                <w:sz w:val="23"/>
                <w:szCs w:val="23"/>
                <w:color w:val="auto"/>
              </w:rPr>
            </w:pPr>
          </w:p>
        </w:tc>
        <w:tc>
          <w:tcPr>
            <w:tcW w:w="160" w:type="dxa"/>
            <w:vAlign w:val="bottom"/>
            <w:shd w:val="clear" w:color="auto" w:fill="56C271"/>
          </w:tcPr>
          <w:p>
            <w:pPr>
              <w:spacing w:after="0"/>
              <w:rPr>
                <w:sz w:val="23"/>
                <w:szCs w:val="23"/>
                <w:color w:val="auto"/>
              </w:rPr>
            </w:pPr>
          </w:p>
        </w:tc>
        <w:tc>
          <w:tcPr>
            <w:tcW w:w="20" w:type="dxa"/>
            <w:vAlign w:val="bottom"/>
            <w:shd w:val="clear" w:color="auto" w:fill="56C271"/>
          </w:tcPr>
          <w:p>
            <w:pPr>
              <w:spacing w:after="0"/>
              <w:rPr>
                <w:sz w:val="23"/>
                <w:szCs w:val="23"/>
                <w:color w:val="auto"/>
              </w:rPr>
            </w:pPr>
          </w:p>
        </w:tc>
        <w:tc>
          <w:tcPr>
            <w:tcW w:w="120" w:type="dxa"/>
            <w:vAlign w:val="bottom"/>
            <w:shd w:val="clear" w:color="auto" w:fill="56C271"/>
          </w:tcPr>
          <w:p>
            <w:pPr>
              <w:spacing w:after="0"/>
              <w:rPr>
                <w:sz w:val="23"/>
                <w:szCs w:val="23"/>
                <w:color w:val="auto"/>
              </w:rPr>
            </w:pPr>
          </w:p>
        </w:tc>
        <w:tc>
          <w:tcPr>
            <w:tcW w:w="80" w:type="dxa"/>
            <w:vAlign w:val="bottom"/>
            <w:shd w:val="clear" w:color="auto" w:fill="56C271"/>
          </w:tcPr>
          <w:p>
            <w:pPr>
              <w:spacing w:after="0"/>
              <w:rPr>
                <w:sz w:val="23"/>
                <w:szCs w:val="23"/>
                <w:color w:val="auto"/>
              </w:rPr>
            </w:pPr>
          </w:p>
        </w:tc>
        <w:tc>
          <w:tcPr>
            <w:tcW w:w="300" w:type="dxa"/>
            <w:vAlign w:val="bottom"/>
            <w:shd w:val="clear" w:color="auto" w:fill="56C271"/>
          </w:tcPr>
          <w:p>
            <w:pPr>
              <w:spacing w:after="0"/>
              <w:rPr>
                <w:sz w:val="23"/>
                <w:szCs w:val="23"/>
                <w:color w:val="auto"/>
              </w:rPr>
            </w:pPr>
          </w:p>
        </w:tc>
        <w:tc>
          <w:tcPr>
            <w:tcW w:w="40" w:type="dxa"/>
            <w:vAlign w:val="bottom"/>
            <w:shd w:val="clear" w:color="auto" w:fill="56C271"/>
          </w:tcPr>
          <w:p>
            <w:pPr>
              <w:spacing w:after="0"/>
              <w:rPr>
                <w:sz w:val="23"/>
                <w:szCs w:val="23"/>
                <w:color w:val="auto"/>
              </w:rPr>
            </w:pPr>
          </w:p>
        </w:tc>
        <w:tc>
          <w:tcPr>
            <w:tcW w:w="100" w:type="dxa"/>
            <w:vAlign w:val="bottom"/>
            <w:shd w:val="clear" w:color="auto" w:fill="56C271"/>
          </w:tcPr>
          <w:p>
            <w:pPr>
              <w:spacing w:after="0"/>
              <w:rPr>
                <w:sz w:val="23"/>
                <w:szCs w:val="23"/>
                <w:color w:val="auto"/>
              </w:rPr>
            </w:pPr>
          </w:p>
        </w:tc>
        <w:tc>
          <w:tcPr>
            <w:tcW w:w="680" w:type="dxa"/>
            <w:vAlign w:val="bottom"/>
            <w:tcBorders>
              <w:right w:val="single" w:sz="8" w:color="56C271"/>
            </w:tcBorders>
            <w:gridSpan w:val="2"/>
            <w:shd w:val="clear" w:color="auto" w:fill="56C271"/>
          </w:tcPr>
          <w:p>
            <w:pPr>
              <w:jc w:val="right"/>
              <w:spacing w:after="0"/>
              <w:rPr>
                <w:sz w:val="20"/>
                <w:szCs w:val="20"/>
                <w:color w:val="auto"/>
              </w:rPr>
            </w:pPr>
            <w:r>
              <w:rPr>
                <w:rFonts w:ascii="Arial" w:cs="Arial" w:eastAsia="Arial" w:hAnsi="Arial"/>
                <w:sz w:val="16"/>
                <w:szCs w:val="16"/>
                <w:b w:val="1"/>
                <w:bCs w:val="1"/>
                <w:color w:val="FFFFFF"/>
              </w:rPr>
              <w:t>Page</w:t>
            </w:r>
          </w:p>
        </w:tc>
      </w:tr>
      <w:tr>
        <w:trPr>
          <w:trHeight w:val="176"/>
        </w:trPr>
        <w:tc>
          <w:tcPr>
            <w:tcW w:w="120" w:type="dxa"/>
            <w:vAlign w:val="bottom"/>
            <w:tcBorders>
              <w:left w:val="single" w:sz="8" w:color="56C271"/>
            </w:tcBorders>
            <w:shd w:val="clear" w:color="auto" w:fill="CCEDD4"/>
          </w:tcPr>
          <w:p>
            <w:pPr>
              <w:spacing w:after="0"/>
              <w:rPr>
                <w:sz w:val="15"/>
                <w:szCs w:val="15"/>
                <w:color w:val="auto"/>
              </w:rPr>
            </w:pPr>
          </w:p>
        </w:tc>
        <w:tc>
          <w:tcPr>
            <w:tcW w:w="2260" w:type="dxa"/>
            <w:vAlign w:val="bottom"/>
            <w:gridSpan w:val="16"/>
            <w:shd w:val="clear" w:color="auto" w:fill="CCEDD4"/>
          </w:tcPr>
          <w:p>
            <w:pPr>
              <w:spacing w:after="0" w:line="175" w:lineRule="exact"/>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Executive Summary</w:t>
              </w:r>
            </w:hyperlink>
          </w:p>
        </w:tc>
        <w:tc>
          <w:tcPr>
            <w:tcW w:w="260" w:type="dxa"/>
            <w:vAlign w:val="bottom"/>
            <w:shd w:val="clear" w:color="auto" w:fill="CCEDD4"/>
          </w:tcPr>
          <w:p>
            <w:pPr>
              <w:spacing w:after="0"/>
              <w:rPr>
                <w:sz w:val="15"/>
                <w:szCs w:val="15"/>
                <w:color w:val="auto"/>
              </w:rPr>
            </w:pPr>
          </w:p>
        </w:tc>
        <w:tc>
          <w:tcPr>
            <w:tcW w:w="20" w:type="dxa"/>
            <w:vAlign w:val="bottom"/>
            <w:shd w:val="clear" w:color="auto" w:fill="CCEDD4"/>
          </w:tcPr>
          <w:p>
            <w:pPr>
              <w:spacing w:after="0"/>
              <w:rPr>
                <w:sz w:val="15"/>
                <w:szCs w:val="15"/>
                <w:color w:val="auto"/>
              </w:rPr>
            </w:pPr>
          </w:p>
        </w:tc>
        <w:tc>
          <w:tcPr>
            <w:tcW w:w="20" w:type="dxa"/>
            <w:vAlign w:val="bottom"/>
            <w:shd w:val="clear" w:color="auto" w:fill="CCEDD4"/>
          </w:tcPr>
          <w:p>
            <w:pPr>
              <w:spacing w:after="0"/>
              <w:rPr>
                <w:sz w:val="15"/>
                <w:szCs w:val="15"/>
                <w:color w:val="auto"/>
              </w:rPr>
            </w:pPr>
          </w:p>
        </w:tc>
        <w:tc>
          <w:tcPr>
            <w:tcW w:w="40" w:type="dxa"/>
            <w:vAlign w:val="bottom"/>
            <w:shd w:val="clear" w:color="auto" w:fill="CCEDD4"/>
          </w:tcPr>
          <w:p>
            <w:pPr>
              <w:spacing w:after="0"/>
              <w:rPr>
                <w:sz w:val="15"/>
                <w:szCs w:val="15"/>
                <w:color w:val="auto"/>
              </w:rPr>
            </w:pPr>
          </w:p>
        </w:tc>
        <w:tc>
          <w:tcPr>
            <w:tcW w:w="60" w:type="dxa"/>
            <w:vAlign w:val="bottom"/>
            <w:shd w:val="clear" w:color="auto" w:fill="CCEDD4"/>
          </w:tcPr>
          <w:p>
            <w:pPr>
              <w:spacing w:after="0"/>
              <w:rPr>
                <w:sz w:val="15"/>
                <w:szCs w:val="15"/>
                <w:color w:val="auto"/>
              </w:rPr>
            </w:pPr>
          </w:p>
        </w:tc>
        <w:tc>
          <w:tcPr>
            <w:tcW w:w="160" w:type="dxa"/>
            <w:vAlign w:val="bottom"/>
            <w:shd w:val="clear" w:color="auto" w:fill="CCEDD4"/>
          </w:tcPr>
          <w:p>
            <w:pPr>
              <w:spacing w:after="0"/>
              <w:rPr>
                <w:sz w:val="15"/>
                <w:szCs w:val="15"/>
                <w:color w:val="auto"/>
              </w:rPr>
            </w:pPr>
          </w:p>
        </w:tc>
        <w:tc>
          <w:tcPr>
            <w:tcW w:w="20" w:type="dxa"/>
            <w:vAlign w:val="bottom"/>
            <w:shd w:val="clear" w:color="auto" w:fill="CCEDD4"/>
          </w:tcPr>
          <w:p>
            <w:pPr>
              <w:spacing w:after="0"/>
              <w:rPr>
                <w:sz w:val="15"/>
                <w:szCs w:val="15"/>
                <w:color w:val="auto"/>
              </w:rPr>
            </w:pPr>
          </w:p>
        </w:tc>
        <w:tc>
          <w:tcPr>
            <w:tcW w:w="120" w:type="dxa"/>
            <w:vAlign w:val="bottom"/>
            <w:shd w:val="clear" w:color="auto" w:fill="CCEDD4"/>
          </w:tcPr>
          <w:p>
            <w:pPr>
              <w:spacing w:after="0"/>
              <w:rPr>
                <w:sz w:val="15"/>
                <w:szCs w:val="15"/>
                <w:color w:val="auto"/>
              </w:rPr>
            </w:pPr>
          </w:p>
        </w:tc>
        <w:tc>
          <w:tcPr>
            <w:tcW w:w="80" w:type="dxa"/>
            <w:vAlign w:val="bottom"/>
            <w:shd w:val="clear" w:color="auto" w:fill="CCEDD4"/>
          </w:tcPr>
          <w:p>
            <w:pPr>
              <w:spacing w:after="0"/>
              <w:rPr>
                <w:sz w:val="15"/>
                <w:szCs w:val="15"/>
                <w:color w:val="auto"/>
              </w:rPr>
            </w:pPr>
          </w:p>
        </w:tc>
        <w:tc>
          <w:tcPr>
            <w:tcW w:w="300" w:type="dxa"/>
            <w:vAlign w:val="bottom"/>
            <w:shd w:val="clear" w:color="auto" w:fill="CCEDD4"/>
          </w:tcPr>
          <w:p>
            <w:pPr>
              <w:spacing w:after="0"/>
              <w:rPr>
                <w:sz w:val="15"/>
                <w:szCs w:val="15"/>
                <w:color w:val="auto"/>
              </w:rPr>
            </w:pPr>
          </w:p>
        </w:tc>
        <w:tc>
          <w:tcPr>
            <w:tcW w:w="40" w:type="dxa"/>
            <w:vAlign w:val="bottom"/>
            <w:shd w:val="clear" w:color="auto" w:fill="CCEDD4"/>
          </w:tcPr>
          <w:p>
            <w:pPr>
              <w:spacing w:after="0"/>
              <w:rPr>
                <w:sz w:val="15"/>
                <w:szCs w:val="15"/>
                <w:color w:val="auto"/>
              </w:rPr>
            </w:pPr>
          </w:p>
        </w:tc>
        <w:tc>
          <w:tcPr>
            <w:tcW w:w="100" w:type="dxa"/>
            <w:vAlign w:val="bottom"/>
            <w:shd w:val="clear" w:color="auto" w:fill="CCEDD4"/>
          </w:tcPr>
          <w:p>
            <w:pPr>
              <w:spacing w:after="0"/>
              <w:rPr>
                <w:sz w:val="15"/>
                <w:szCs w:val="15"/>
                <w:color w:val="auto"/>
              </w:rPr>
            </w:pPr>
          </w:p>
        </w:tc>
        <w:tc>
          <w:tcPr>
            <w:tcW w:w="680" w:type="dxa"/>
            <w:vAlign w:val="bottom"/>
            <w:tcBorders>
              <w:right w:val="single" w:sz="8" w:color="56C271"/>
            </w:tcBorders>
            <w:gridSpan w:val="2"/>
            <w:shd w:val="clear" w:color="auto" w:fill="CCEDD4"/>
          </w:tcPr>
          <w:p>
            <w:pPr>
              <w:jc w:val="right"/>
              <w:spacing w:after="0" w:line="175" w:lineRule="exact"/>
              <w:rPr>
                <w:rFonts w:ascii="Arial" w:cs="Arial" w:eastAsia="Arial" w:hAnsi="Arial"/>
                <w:sz w:val="16"/>
                <w:szCs w:val="16"/>
                <w:color w:val="0000EE"/>
              </w:rPr>
            </w:pPr>
            <w:hyperlink w:anchor="page44">
              <w:r>
                <w:rPr>
                  <w:rFonts w:ascii="Arial" w:cs="Arial" w:eastAsia="Arial" w:hAnsi="Arial"/>
                  <w:sz w:val="16"/>
                  <w:szCs w:val="16"/>
                  <w:color w:val="0000EE"/>
                </w:rPr>
                <w:t>40</w:t>
              </w:r>
            </w:hyperlink>
          </w:p>
        </w:tc>
      </w:tr>
      <w:tr>
        <w:trPr>
          <w:trHeight w:val="20"/>
        </w:trPr>
        <w:tc>
          <w:tcPr>
            <w:tcW w:w="120" w:type="dxa"/>
            <w:vAlign w:val="bottom"/>
            <w:tcBorders>
              <w:left w:val="single" w:sz="8" w:color="56C271"/>
            </w:tcBorders>
            <w:shd w:val="clear" w:color="auto" w:fill="CCEDD4"/>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CCEDD4"/>
            </w:tcBorders>
            <w:shd w:val="clear" w:color="auto" w:fill="0000EE"/>
          </w:tcPr>
          <w:p>
            <w:pPr>
              <w:spacing w:after="0" w:line="20" w:lineRule="exact"/>
              <w:rPr>
                <w:sz w:val="1"/>
                <w:szCs w:val="1"/>
                <w:color w:val="auto"/>
              </w:rPr>
            </w:pPr>
          </w:p>
        </w:tc>
        <w:tc>
          <w:tcPr>
            <w:tcW w:w="120" w:type="dxa"/>
            <w:vAlign w:val="bottom"/>
            <w:shd w:val="clear" w:color="auto" w:fill="CCEDD4"/>
          </w:tcPr>
          <w:p>
            <w:pPr>
              <w:spacing w:after="0" w:line="20" w:lineRule="exact"/>
              <w:rPr>
                <w:sz w:val="1"/>
                <w:szCs w:val="1"/>
                <w:color w:val="auto"/>
              </w:rPr>
            </w:pPr>
          </w:p>
        </w:tc>
        <w:tc>
          <w:tcPr>
            <w:tcW w:w="120" w:type="dxa"/>
            <w:vAlign w:val="bottom"/>
            <w:tcBorders>
              <w:right w:val="single" w:sz="8" w:color="CCEDD4"/>
            </w:tcBorders>
            <w:shd w:val="clear" w:color="auto" w:fill="CCEDD4"/>
          </w:tcPr>
          <w:p>
            <w:pPr>
              <w:spacing w:after="0" w:line="20" w:lineRule="exact"/>
              <w:rPr>
                <w:sz w:val="1"/>
                <w:szCs w:val="1"/>
                <w:color w:val="auto"/>
              </w:rPr>
            </w:pPr>
          </w:p>
        </w:tc>
        <w:tc>
          <w:tcPr>
            <w:tcW w:w="8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60" w:type="dxa"/>
            <w:vAlign w:val="bottom"/>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80" w:type="dxa"/>
            <w:vAlign w:val="bottom"/>
            <w:shd w:val="clear" w:color="auto" w:fill="CCEDD4"/>
          </w:tcPr>
          <w:p>
            <w:pPr>
              <w:spacing w:after="0" w:line="20" w:lineRule="exact"/>
              <w:rPr>
                <w:sz w:val="1"/>
                <w:szCs w:val="1"/>
                <w:color w:val="auto"/>
              </w:rPr>
            </w:pPr>
          </w:p>
        </w:tc>
        <w:tc>
          <w:tcPr>
            <w:tcW w:w="26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60" w:type="dxa"/>
            <w:vAlign w:val="bottom"/>
            <w:shd w:val="clear" w:color="auto" w:fill="CCEDD4"/>
          </w:tcPr>
          <w:p>
            <w:pPr>
              <w:spacing w:after="0" w:line="20" w:lineRule="exact"/>
              <w:rPr>
                <w:sz w:val="1"/>
                <w:szCs w:val="1"/>
                <w:color w:val="auto"/>
              </w:rPr>
            </w:pPr>
          </w:p>
        </w:tc>
        <w:tc>
          <w:tcPr>
            <w:tcW w:w="16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120" w:type="dxa"/>
            <w:vAlign w:val="bottom"/>
            <w:shd w:val="clear" w:color="auto" w:fill="CCEDD4"/>
          </w:tcPr>
          <w:p>
            <w:pPr>
              <w:spacing w:after="0" w:line="20" w:lineRule="exact"/>
              <w:rPr>
                <w:sz w:val="1"/>
                <w:szCs w:val="1"/>
                <w:color w:val="auto"/>
              </w:rPr>
            </w:pPr>
          </w:p>
        </w:tc>
        <w:tc>
          <w:tcPr>
            <w:tcW w:w="80" w:type="dxa"/>
            <w:vAlign w:val="bottom"/>
            <w:shd w:val="clear" w:color="auto" w:fill="CCEDD4"/>
          </w:tcPr>
          <w:p>
            <w:pPr>
              <w:spacing w:after="0" w:line="20" w:lineRule="exact"/>
              <w:rPr>
                <w:sz w:val="1"/>
                <w:szCs w:val="1"/>
                <w:color w:val="auto"/>
              </w:rPr>
            </w:pPr>
          </w:p>
        </w:tc>
        <w:tc>
          <w:tcPr>
            <w:tcW w:w="30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420" w:type="dxa"/>
            <w:vAlign w:val="bottom"/>
            <w:shd w:val="clear" w:color="auto" w:fill="CCEDD4"/>
          </w:tcPr>
          <w:p>
            <w:pPr>
              <w:spacing w:after="0" w:line="20" w:lineRule="exact"/>
              <w:rPr>
                <w:sz w:val="1"/>
                <w:szCs w:val="1"/>
                <w:color w:val="auto"/>
              </w:rPr>
            </w:pPr>
          </w:p>
        </w:tc>
        <w:tc>
          <w:tcPr>
            <w:tcW w:w="260" w:type="dxa"/>
            <w:vAlign w:val="bottom"/>
            <w:tcBorders>
              <w:right w:val="single" w:sz="8" w:color="56C271"/>
            </w:tcBorders>
            <w:shd w:val="clear" w:color="auto" w:fill="0000EE"/>
          </w:tcPr>
          <w:p>
            <w:pPr>
              <w:spacing w:after="0" w:line="20" w:lineRule="exact"/>
              <w:rPr>
                <w:sz w:val="1"/>
                <w:szCs w:val="1"/>
                <w:color w:val="auto"/>
              </w:rPr>
            </w:pPr>
          </w:p>
        </w:tc>
      </w:tr>
      <w:tr>
        <w:trPr>
          <w:trHeight w:val="209"/>
        </w:trPr>
        <w:tc>
          <w:tcPr>
            <w:tcW w:w="120" w:type="dxa"/>
            <w:vAlign w:val="bottom"/>
            <w:tcBorders>
              <w:left w:val="single" w:sz="8" w:color="56C271"/>
            </w:tcBorders>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3320" w:type="dxa"/>
            <w:vAlign w:val="bottom"/>
            <w:gridSpan w:val="27"/>
            <w:shd w:val="clear" w:color="auto" w:fill="CCEDD4"/>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Named Executive Officers (NEOs)</w:t>
              </w:r>
            </w:hyperlink>
          </w:p>
        </w:tc>
        <w:tc>
          <w:tcPr>
            <w:tcW w:w="680" w:type="dxa"/>
            <w:vAlign w:val="bottom"/>
            <w:tcBorders>
              <w:right w:val="single" w:sz="8" w:color="56C271"/>
            </w:tcBorders>
            <w:gridSpan w:val="2"/>
            <w:shd w:val="clear" w:color="auto" w:fill="CCEDD4"/>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40</w:t>
              </w:r>
            </w:hyperlink>
          </w:p>
        </w:tc>
      </w:tr>
      <w:tr>
        <w:trPr>
          <w:trHeight w:val="210"/>
        </w:trPr>
        <w:tc>
          <w:tcPr>
            <w:tcW w:w="120" w:type="dxa"/>
            <w:vAlign w:val="bottom"/>
            <w:tcBorders>
              <w:top w:val="single" w:sz="8" w:color="CCEDD4"/>
              <w:left w:val="single" w:sz="8" w:color="56C271"/>
            </w:tcBorders>
            <w:shd w:val="clear" w:color="auto" w:fill="CCEDD4"/>
          </w:tcPr>
          <w:p>
            <w:pPr>
              <w:spacing w:after="0"/>
              <w:rPr>
                <w:sz w:val="18"/>
                <w:szCs w:val="18"/>
                <w:color w:val="auto"/>
              </w:rPr>
            </w:pPr>
          </w:p>
        </w:tc>
        <w:tc>
          <w:tcPr>
            <w:tcW w:w="160" w:type="dxa"/>
            <w:vAlign w:val="bottom"/>
            <w:tcBorders>
              <w:top w:val="single" w:sz="8" w:color="CCEDD4"/>
            </w:tcBorders>
            <w:shd w:val="clear" w:color="auto" w:fill="CCEDD4"/>
          </w:tcPr>
          <w:p>
            <w:pPr>
              <w:spacing w:after="0"/>
              <w:rPr>
                <w:sz w:val="18"/>
                <w:szCs w:val="18"/>
                <w:color w:val="auto"/>
              </w:rPr>
            </w:pPr>
          </w:p>
        </w:tc>
        <w:tc>
          <w:tcPr>
            <w:tcW w:w="2100" w:type="dxa"/>
            <w:vAlign w:val="bottom"/>
            <w:tcBorders>
              <w:top w:val="single" w:sz="8" w:color="0000EE"/>
            </w:tcBorders>
            <w:gridSpan w:val="15"/>
            <w:shd w:val="clear" w:color="auto" w:fill="CCEDD4"/>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Business Performance</w:t>
              </w:r>
            </w:hyperlink>
          </w:p>
        </w:tc>
        <w:tc>
          <w:tcPr>
            <w:tcW w:w="260" w:type="dxa"/>
            <w:vAlign w:val="bottom"/>
            <w:tcBorders>
              <w:top w:val="single" w:sz="8" w:color="0000EE"/>
            </w:tcBorders>
            <w:shd w:val="clear" w:color="auto" w:fill="CCEDD4"/>
          </w:tcPr>
          <w:p>
            <w:pPr>
              <w:spacing w:after="0"/>
              <w:rPr>
                <w:sz w:val="18"/>
                <w:szCs w:val="18"/>
                <w:color w:val="auto"/>
              </w:rPr>
            </w:pPr>
          </w:p>
        </w:tc>
        <w:tc>
          <w:tcPr>
            <w:tcW w:w="20" w:type="dxa"/>
            <w:vAlign w:val="bottom"/>
            <w:tcBorders>
              <w:top w:val="single" w:sz="8" w:color="0000EE"/>
            </w:tcBorders>
            <w:shd w:val="clear" w:color="auto" w:fill="CCEDD4"/>
          </w:tcPr>
          <w:p>
            <w:pPr>
              <w:spacing w:after="0"/>
              <w:rPr>
                <w:sz w:val="18"/>
                <w:szCs w:val="18"/>
                <w:color w:val="auto"/>
              </w:rPr>
            </w:pPr>
          </w:p>
        </w:tc>
        <w:tc>
          <w:tcPr>
            <w:tcW w:w="20" w:type="dxa"/>
            <w:vAlign w:val="bottom"/>
            <w:tcBorders>
              <w:top w:val="single" w:sz="8" w:color="0000EE"/>
            </w:tcBorders>
            <w:shd w:val="clear" w:color="auto" w:fill="CCEDD4"/>
          </w:tcPr>
          <w:p>
            <w:pPr>
              <w:spacing w:after="0"/>
              <w:rPr>
                <w:sz w:val="18"/>
                <w:szCs w:val="18"/>
                <w:color w:val="auto"/>
              </w:rPr>
            </w:pPr>
          </w:p>
        </w:tc>
        <w:tc>
          <w:tcPr>
            <w:tcW w:w="40" w:type="dxa"/>
            <w:vAlign w:val="bottom"/>
            <w:tcBorders>
              <w:top w:val="single" w:sz="8" w:color="0000EE"/>
            </w:tcBorders>
            <w:shd w:val="clear" w:color="auto" w:fill="CCEDD4"/>
          </w:tcPr>
          <w:p>
            <w:pPr>
              <w:spacing w:after="0"/>
              <w:rPr>
                <w:sz w:val="18"/>
                <w:szCs w:val="18"/>
                <w:color w:val="auto"/>
              </w:rPr>
            </w:pPr>
          </w:p>
        </w:tc>
        <w:tc>
          <w:tcPr>
            <w:tcW w:w="60" w:type="dxa"/>
            <w:vAlign w:val="bottom"/>
            <w:tcBorders>
              <w:top w:val="single" w:sz="8" w:color="CCEDD4"/>
            </w:tcBorders>
            <w:shd w:val="clear" w:color="auto" w:fill="CCEDD4"/>
          </w:tcPr>
          <w:p>
            <w:pPr>
              <w:spacing w:after="0"/>
              <w:rPr>
                <w:sz w:val="18"/>
                <w:szCs w:val="18"/>
                <w:color w:val="auto"/>
              </w:rPr>
            </w:pPr>
          </w:p>
        </w:tc>
        <w:tc>
          <w:tcPr>
            <w:tcW w:w="160" w:type="dxa"/>
            <w:vAlign w:val="bottom"/>
            <w:tcBorders>
              <w:top w:val="single" w:sz="8" w:color="CCEDD4"/>
            </w:tcBorders>
            <w:shd w:val="clear" w:color="auto" w:fill="CCEDD4"/>
          </w:tcPr>
          <w:p>
            <w:pPr>
              <w:spacing w:after="0"/>
              <w:rPr>
                <w:sz w:val="18"/>
                <w:szCs w:val="18"/>
                <w:color w:val="auto"/>
              </w:rPr>
            </w:pPr>
          </w:p>
        </w:tc>
        <w:tc>
          <w:tcPr>
            <w:tcW w:w="20" w:type="dxa"/>
            <w:vAlign w:val="bottom"/>
            <w:tcBorders>
              <w:top w:val="single" w:sz="8" w:color="CCEDD4"/>
            </w:tcBorders>
            <w:shd w:val="clear" w:color="auto" w:fill="CCEDD4"/>
          </w:tcPr>
          <w:p>
            <w:pPr>
              <w:spacing w:after="0"/>
              <w:rPr>
                <w:sz w:val="18"/>
                <w:szCs w:val="18"/>
                <w:color w:val="auto"/>
              </w:rPr>
            </w:pPr>
          </w:p>
        </w:tc>
        <w:tc>
          <w:tcPr>
            <w:tcW w:w="120" w:type="dxa"/>
            <w:vAlign w:val="bottom"/>
            <w:tcBorders>
              <w:top w:val="single" w:sz="8" w:color="CCEDD4"/>
            </w:tcBorders>
            <w:shd w:val="clear" w:color="auto" w:fill="CCEDD4"/>
          </w:tcPr>
          <w:p>
            <w:pPr>
              <w:spacing w:after="0"/>
              <w:rPr>
                <w:sz w:val="18"/>
                <w:szCs w:val="18"/>
                <w:color w:val="auto"/>
              </w:rPr>
            </w:pPr>
          </w:p>
        </w:tc>
        <w:tc>
          <w:tcPr>
            <w:tcW w:w="80" w:type="dxa"/>
            <w:vAlign w:val="bottom"/>
            <w:tcBorders>
              <w:top w:val="single" w:sz="8" w:color="CCEDD4"/>
            </w:tcBorders>
            <w:shd w:val="clear" w:color="auto" w:fill="CCEDD4"/>
          </w:tcPr>
          <w:p>
            <w:pPr>
              <w:spacing w:after="0"/>
              <w:rPr>
                <w:sz w:val="18"/>
                <w:szCs w:val="18"/>
                <w:color w:val="auto"/>
              </w:rPr>
            </w:pPr>
          </w:p>
        </w:tc>
        <w:tc>
          <w:tcPr>
            <w:tcW w:w="300" w:type="dxa"/>
            <w:vAlign w:val="bottom"/>
            <w:tcBorders>
              <w:top w:val="single" w:sz="8" w:color="CCEDD4"/>
            </w:tcBorders>
            <w:shd w:val="clear" w:color="auto" w:fill="CCEDD4"/>
          </w:tcPr>
          <w:p>
            <w:pPr>
              <w:spacing w:after="0"/>
              <w:rPr>
                <w:sz w:val="18"/>
                <w:szCs w:val="18"/>
                <w:color w:val="auto"/>
              </w:rPr>
            </w:pPr>
          </w:p>
        </w:tc>
        <w:tc>
          <w:tcPr>
            <w:tcW w:w="40" w:type="dxa"/>
            <w:vAlign w:val="bottom"/>
            <w:tcBorders>
              <w:top w:val="single" w:sz="8" w:color="CCEDD4"/>
            </w:tcBorders>
            <w:shd w:val="clear" w:color="auto" w:fill="CCEDD4"/>
          </w:tcPr>
          <w:p>
            <w:pPr>
              <w:spacing w:after="0"/>
              <w:rPr>
                <w:sz w:val="18"/>
                <w:szCs w:val="18"/>
                <w:color w:val="auto"/>
              </w:rPr>
            </w:pPr>
          </w:p>
        </w:tc>
        <w:tc>
          <w:tcPr>
            <w:tcW w:w="100" w:type="dxa"/>
            <w:vAlign w:val="bottom"/>
            <w:tcBorders>
              <w:top w:val="single" w:sz="8" w:color="CCEDD4"/>
            </w:tcBorders>
            <w:shd w:val="clear" w:color="auto" w:fill="CCEDD4"/>
          </w:tcPr>
          <w:p>
            <w:pPr>
              <w:spacing w:after="0"/>
              <w:rPr>
                <w:sz w:val="18"/>
                <w:szCs w:val="18"/>
                <w:color w:val="auto"/>
              </w:rPr>
            </w:pPr>
          </w:p>
        </w:tc>
        <w:tc>
          <w:tcPr>
            <w:tcW w:w="420" w:type="dxa"/>
            <w:vAlign w:val="bottom"/>
            <w:tcBorders>
              <w:top w:val="single" w:sz="8" w:color="CCEDD4"/>
            </w:tcBorders>
            <w:shd w:val="clear" w:color="auto" w:fill="CCEDD4"/>
          </w:tcPr>
          <w:p>
            <w:pPr>
              <w:spacing w:after="0"/>
              <w:rPr>
                <w:sz w:val="18"/>
                <w:szCs w:val="18"/>
                <w:color w:val="auto"/>
              </w:rPr>
            </w:pPr>
          </w:p>
        </w:tc>
        <w:tc>
          <w:tcPr>
            <w:tcW w:w="260" w:type="dxa"/>
            <w:vAlign w:val="bottom"/>
            <w:tcBorders>
              <w:top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45">
              <w:r>
                <w:rPr>
                  <w:rFonts w:ascii="Arial" w:cs="Arial" w:eastAsia="Arial" w:hAnsi="Arial"/>
                  <w:sz w:val="16"/>
                  <w:szCs w:val="16"/>
                  <w:color w:val="0000EE"/>
                  <w:w w:val="89"/>
                </w:rPr>
                <w:t>41</w:t>
              </w:r>
            </w:hyperlink>
          </w:p>
        </w:tc>
      </w:tr>
      <w:tr>
        <w:trPr>
          <w:trHeight w:val="20"/>
        </w:trPr>
        <w:tc>
          <w:tcPr>
            <w:tcW w:w="120" w:type="dxa"/>
            <w:vAlign w:val="bottom"/>
            <w:tcBorders>
              <w:left w:val="single" w:sz="8" w:color="56C271"/>
            </w:tcBorders>
            <w:shd w:val="clear" w:color="auto" w:fill="CCEDD4"/>
          </w:tcPr>
          <w:p>
            <w:pPr>
              <w:spacing w:after="0" w:line="20" w:lineRule="exact"/>
              <w:rPr>
                <w:sz w:val="1"/>
                <w:szCs w:val="1"/>
                <w:color w:val="auto"/>
              </w:rPr>
            </w:pPr>
          </w:p>
        </w:tc>
        <w:tc>
          <w:tcPr>
            <w:tcW w:w="160" w:type="dxa"/>
            <w:vAlign w:val="bottom"/>
            <w:shd w:val="clear" w:color="auto" w:fill="CCEDD4"/>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60" w:type="dxa"/>
            <w:vAlign w:val="bottom"/>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80" w:type="dxa"/>
            <w:vAlign w:val="bottom"/>
            <w:shd w:val="clear" w:color="auto" w:fill="CCEDD4"/>
          </w:tcPr>
          <w:p>
            <w:pPr>
              <w:spacing w:after="0" w:line="20" w:lineRule="exact"/>
              <w:rPr>
                <w:sz w:val="1"/>
                <w:szCs w:val="1"/>
                <w:color w:val="auto"/>
              </w:rPr>
            </w:pPr>
          </w:p>
        </w:tc>
        <w:tc>
          <w:tcPr>
            <w:tcW w:w="26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60" w:type="dxa"/>
            <w:vAlign w:val="bottom"/>
            <w:shd w:val="clear" w:color="auto" w:fill="CCEDD4"/>
          </w:tcPr>
          <w:p>
            <w:pPr>
              <w:spacing w:after="0" w:line="20" w:lineRule="exact"/>
              <w:rPr>
                <w:sz w:val="1"/>
                <w:szCs w:val="1"/>
                <w:color w:val="auto"/>
              </w:rPr>
            </w:pPr>
          </w:p>
        </w:tc>
        <w:tc>
          <w:tcPr>
            <w:tcW w:w="16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120" w:type="dxa"/>
            <w:vAlign w:val="bottom"/>
            <w:shd w:val="clear" w:color="auto" w:fill="CCEDD4"/>
          </w:tcPr>
          <w:p>
            <w:pPr>
              <w:spacing w:after="0" w:line="20" w:lineRule="exact"/>
              <w:rPr>
                <w:sz w:val="1"/>
                <w:szCs w:val="1"/>
                <w:color w:val="auto"/>
              </w:rPr>
            </w:pPr>
          </w:p>
        </w:tc>
        <w:tc>
          <w:tcPr>
            <w:tcW w:w="80" w:type="dxa"/>
            <w:vAlign w:val="bottom"/>
            <w:shd w:val="clear" w:color="auto" w:fill="CCEDD4"/>
          </w:tcPr>
          <w:p>
            <w:pPr>
              <w:spacing w:after="0" w:line="20" w:lineRule="exact"/>
              <w:rPr>
                <w:sz w:val="1"/>
                <w:szCs w:val="1"/>
                <w:color w:val="auto"/>
              </w:rPr>
            </w:pPr>
          </w:p>
        </w:tc>
        <w:tc>
          <w:tcPr>
            <w:tcW w:w="30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420" w:type="dxa"/>
            <w:vAlign w:val="bottom"/>
            <w:shd w:val="clear" w:color="auto" w:fill="CCEDD4"/>
          </w:tcPr>
          <w:p>
            <w:pPr>
              <w:spacing w:after="0" w:line="20" w:lineRule="exact"/>
              <w:rPr>
                <w:sz w:val="1"/>
                <w:szCs w:val="1"/>
                <w:color w:val="auto"/>
              </w:rPr>
            </w:pPr>
          </w:p>
        </w:tc>
        <w:tc>
          <w:tcPr>
            <w:tcW w:w="260" w:type="dxa"/>
            <w:vAlign w:val="bottom"/>
            <w:tcBorders>
              <w:right w:val="single" w:sz="8" w:color="56C271"/>
            </w:tcBorders>
            <w:shd w:val="clear" w:color="auto" w:fill="0000EE"/>
          </w:tcPr>
          <w:p>
            <w:pPr>
              <w:spacing w:after="0" w:line="20" w:lineRule="exact"/>
              <w:rPr>
                <w:sz w:val="1"/>
                <w:szCs w:val="1"/>
                <w:color w:val="auto"/>
              </w:rPr>
            </w:pPr>
          </w:p>
        </w:tc>
      </w:tr>
      <w:tr>
        <w:trPr>
          <w:trHeight w:val="209"/>
        </w:trPr>
        <w:tc>
          <w:tcPr>
            <w:tcW w:w="120" w:type="dxa"/>
            <w:vAlign w:val="bottom"/>
            <w:tcBorders>
              <w:left w:val="single" w:sz="8" w:color="56C271"/>
            </w:tcBorders>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3320" w:type="dxa"/>
            <w:vAlign w:val="bottom"/>
            <w:gridSpan w:val="27"/>
            <w:shd w:val="clear" w:color="auto" w:fill="CCEDD4"/>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Summary of Incentive Compensation Design</w:t>
              </w:r>
            </w:hyperlink>
          </w:p>
        </w:tc>
        <w:tc>
          <w:tcPr>
            <w:tcW w:w="420" w:type="dxa"/>
            <w:vAlign w:val="bottom"/>
            <w:shd w:val="clear" w:color="auto" w:fill="CCEDD4"/>
          </w:tcPr>
          <w:p>
            <w:pPr>
              <w:spacing w:after="0"/>
              <w:rPr>
                <w:sz w:val="18"/>
                <w:szCs w:val="18"/>
                <w:color w:val="auto"/>
              </w:rPr>
            </w:pPr>
          </w:p>
        </w:tc>
        <w:tc>
          <w:tcPr>
            <w:tcW w:w="260" w:type="dxa"/>
            <w:vAlign w:val="bottom"/>
            <w:tcBorders>
              <w:right w:val="single" w:sz="8" w:color="56C271"/>
            </w:tcBorders>
            <w:shd w:val="clear" w:color="auto" w:fill="CCEDD4"/>
          </w:tcPr>
          <w:p>
            <w:pPr>
              <w:spacing w:after="0"/>
              <w:rPr>
                <w:sz w:val="18"/>
                <w:szCs w:val="18"/>
                <w:color w:val="auto"/>
              </w:rPr>
            </w:pPr>
          </w:p>
        </w:tc>
      </w:tr>
      <w:tr>
        <w:trPr>
          <w:trHeight w:val="169"/>
        </w:trPr>
        <w:tc>
          <w:tcPr>
            <w:tcW w:w="120" w:type="dxa"/>
            <w:vAlign w:val="bottom"/>
            <w:tcBorders>
              <w:top w:val="single" w:sz="8" w:color="CCEDD4"/>
              <w:left w:val="single" w:sz="8" w:color="56C271"/>
              <w:bottom w:val="single" w:sz="8" w:color="CCEDD4"/>
            </w:tcBorders>
            <w:shd w:val="clear" w:color="auto" w:fill="CCEDD4"/>
          </w:tcPr>
          <w:p>
            <w:pPr>
              <w:spacing w:after="0"/>
              <w:rPr>
                <w:sz w:val="14"/>
                <w:szCs w:val="14"/>
                <w:color w:val="auto"/>
              </w:rPr>
            </w:pPr>
          </w:p>
        </w:tc>
        <w:tc>
          <w:tcPr>
            <w:tcW w:w="160" w:type="dxa"/>
            <w:vAlign w:val="bottom"/>
            <w:tcBorders>
              <w:top w:val="single" w:sz="8" w:color="CCEDD4"/>
              <w:bottom w:val="single" w:sz="8" w:color="CCEDD4"/>
            </w:tcBorders>
            <w:shd w:val="clear" w:color="auto" w:fill="CCEDD4"/>
          </w:tcPr>
          <w:p>
            <w:pPr>
              <w:spacing w:after="0"/>
              <w:rPr>
                <w:sz w:val="14"/>
                <w:szCs w:val="14"/>
                <w:color w:val="auto"/>
              </w:rPr>
            </w:pPr>
          </w:p>
        </w:tc>
        <w:tc>
          <w:tcPr>
            <w:tcW w:w="2000" w:type="dxa"/>
            <w:vAlign w:val="bottom"/>
            <w:tcBorders>
              <w:top w:val="single" w:sz="8" w:color="0000EE"/>
              <w:bottom w:val="single" w:sz="8" w:color="0000EE"/>
            </w:tcBorders>
            <w:gridSpan w:val="13"/>
            <w:shd w:val="clear" w:color="auto" w:fill="CCEDD4"/>
          </w:tcPr>
          <w:p>
            <w:pPr>
              <w:spacing w:after="0" w:line="169" w:lineRule="exact"/>
              <w:rPr>
                <w:rFonts w:ascii="Arial" w:cs="Arial" w:eastAsia="Arial" w:hAnsi="Arial"/>
                <w:sz w:val="16"/>
                <w:szCs w:val="16"/>
                <w:color w:val="0000EE"/>
                <w:w w:val="99"/>
              </w:rPr>
            </w:pPr>
            <w:hyperlink w:anchor="page46">
              <w:r>
                <w:rPr>
                  <w:rFonts w:ascii="Arial" w:cs="Arial" w:eastAsia="Arial" w:hAnsi="Arial"/>
                  <w:sz w:val="16"/>
                  <w:szCs w:val="16"/>
                  <w:color w:val="0000EE"/>
                  <w:w w:val="99"/>
                </w:rPr>
                <w:t>and Payouts for Fiscal 2021</w:t>
              </w:r>
            </w:hyperlink>
          </w:p>
        </w:tc>
        <w:tc>
          <w:tcPr>
            <w:tcW w:w="100" w:type="dxa"/>
            <w:vAlign w:val="bottom"/>
            <w:tcBorders>
              <w:top w:val="single" w:sz="8" w:color="0000EE"/>
              <w:bottom w:val="single" w:sz="8" w:color="CCEDD4"/>
            </w:tcBorders>
            <w:gridSpan w:val="2"/>
            <w:shd w:val="clear" w:color="auto" w:fill="CCEDD4"/>
          </w:tcPr>
          <w:p>
            <w:pPr>
              <w:spacing w:after="0"/>
              <w:rPr>
                <w:sz w:val="14"/>
                <w:szCs w:val="14"/>
                <w:color w:val="auto"/>
              </w:rPr>
            </w:pPr>
          </w:p>
        </w:tc>
        <w:tc>
          <w:tcPr>
            <w:tcW w:w="260" w:type="dxa"/>
            <w:vAlign w:val="bottom"/>
            <w:tcBorders>
              <w:top w:val="single" w:sz="8" w:color="0000EE"/>
              <w:bottom w:val="single" w:sz="8" w:color="CCEDD4"/>
            </w:tcBorders>
            <w:shd w:val="clear" w:color="auto" w:fill="CCEDD4"/>
          </w:tcPr>
          <w:p>
            <w:pPr>
              <w:spacing w:after="0"/>
              <w:rPr>
                <w:sz w:val="14"/>
                <w:szCs w:val="14"/>
                <w:color w:val="auto"/>
              </w:rPr>
            </w:pPr>
          </w:p>
        </w:tc>
        <w:tc>
          <w:tcPr>
            <w:tcW w:w="20" w:type="dxa"/>
            <w:vAlign w:val="bottom"/>
            <w:tcBorders>
              <w:top w:val="single" w:sz="8" w:color="0000EE"/>
              <w:bottom w:val="single" w:sz="8" w:color="CCEDD4"/>
            </w:tcBorders>
            <w:shd w:val="clear" w:color="auto" w:fill="CCEDD4"/>
          </w:tcPr>
          <w:p>
            <w:pPr>
              <w:spacing w:after="0"/>
              <w:rPr>
                <w:sz w:val="14"/>
                <w:szCs w:val="14"/>
                <w:color w:val="auto"/>
              </w:rPr>
            </w:pPr>
          </w:p>
        </w:tc>
        <w:tc>
          <w:tcPr>
            <w:tcW w:w="20" w:type="dxa"/>
            <w:vAlign w:val="bottom"/>
            <w:tcBorders>
              <w:top w:val="single" w:sz="8" w:color="0000EE"/>
              <w:bottom w:val="single" w:sz="8" w:color="CCEDD4"/>
            </w:tcBorders>
            <w:shd w:val="clear" w:color="auto" w:fill="CCEDD4"/>
          </w:tcPr>
          <w:p>
            <w:pPr>
              <w:spacing w:after="0"/>
              <w:rPr>
                <w:sz w:val="14"/>
                <w:szCs w:val="14"/>
                <w:color w:val="auto"/>
              </w:rPr>
            </w:pPr>
          </w:p>
        </w:tc>
        <w:tc>
          <w:tcPr>
            <w:tcW w:w="40" w:type="dxa"/>
            <w:vAlign w:val="bottom"/>
            <w:tcBorders>
              <w:top w:val="single" w:sz="8" w:color="0000EE"/>
              <w:bottom w:val="single" w:sz="8" w:color="CCEDD4"/>
            </w:tcBorders>
            <w:shd w:val="clear" w:color="auto" w:fill="CCEDD4"/>
          </w:tcPr>
          <w:p>
            <w:pPr>
              <w:spacing w:after="0"/>
              <w:rPr>
                <w:sz w:val="14"/>
                <w:szCs w:val="14"/>
                <w:color w:val="auto"/>
              </w:rPr>
            </w:pPr>
          </w:p>
        </w:tc>
        <w:tc>
          <w:tcPr>
            <w:tcW w:w="60" w:type="dxa"/>
            <w:vAlign w:val="bottom"/>
            <w:tcBorders>
              <w:top w:val="single" w:sz="8" w:color="0000EE"/>
              <w:bottom w:val="single" w:sz="8" w:color="CCEDD4"/>
            </w:tcBorders>
            <w:shd w:val="clear" w:color="auto" w:fill="CCEDD4"/>
          </w:tcPr>
          <w:p>
            <w:pPr>
              <w:spacing w:after="0"/>
              <w:rPr>
                <w:sz w:val="14"/>
                <w:szCs w:val="14"/>
                <w:color w:val="auto"/>
              </w:rPr>
            </w:pPr>
          </w:p>
        </w:tc>
        <w:tc>
          <w:tcPr>
            <w:tcW w:w="160" w:type="dxa"/>
            <w:vAlign w:val="bottom"/>
            <w:tcBorders>
              <w:top w:val="single" w:sz="8" w:color="0000EE"/>
              <w:bottom w:val="single" w:sz="8" w:color="CCEDD4"/>
            </w:tcBorders>
            <w:shd w:val="clear" w:color="auto" w:fill="CCEDD4"/>
          </w:tcPr>
          <w:p>
            <w:pPr>
              <w:spacing w:after="0"/>
              <w:rPr>
                <w:sz w:val="14"/>
                <w:szCs w:val="14"/>
                <w:color w:val="auto"/>
              </w:rPr>
            </w:pPr>
          </w:p>
        </w:tc>
        <w:tc>
          <w:tcPr>
            <w:tcW w:w="20" w:type="dxa"/>
            <w:vAlign w:val="bottom"/>
            <w:tcBorders>
              <w:top w:val="single" w:sz="8" w:color="0000EE"/>
              <w:bottom w:val="single" w:sz="8" w:color="CCEDD4"/>
            </w:tcBorders>
            <w:shd w:val="clear" w:color="auto" w:fill="CCEDD4"/>
          </w:tcPr>
          <w:p>
            <w:pPr>
              <w:spacing w:after="0"/>
              <w:rPr>
                <w:sz w:val="14"/>
                <w:szCs w:val="14"/>
                <w:color w:val="auto"/>
              </w:rPr>
            </w:pPr>
          </w:p>
        </w:tc>
        <w:tc>
          <w:tcPr>
            <w:tcW w:w="120" w:type="dxa"/>
            <w:vAlign w:val="bottom"/>
            <w:tcBorders>
              <w:top w:val="single" w:sz="8" w:color="0000EE"/>
              <w:bottom w:val="single" w:sz="8" w:color="CCEDD4"/>
            </w:tcBorders>
            <w:shd w:val="clear" w:color="auto" w:fill="CCEDD4"/>
          </w:tcPr>
          <w:p>
            <w:pPr>
              <w:spacing w:after="0"/>
              <w:rPr>
                <w:sz w:val="14"/>
                <w:szCs w:val="14"/>
                <w:color w:val="auto"/>
              </w:rPr>
            </w:pPr>
          </w:p>
        </w:tc>
        <w:tc>
          <w:tcPr>
            <w:tcW w:w="80" w:type="dxa"/>
            <w:vAlign w:val="bottom"/>
            <w:tcBorders>
              <w:top w:val="single" w:sz="8" w:color="0000EE"/>
              <w:bottom w:val="single" w:sz="8" w:color="CCEDD4"/>
            </w:tcBorders>
            <w:shd w:val="clear" w:color="auto" w:fill="CCEDD4"/>
          </w:tcPr>
          <w:p>
            <w:pPr>
              <w:spacing w:after="0"/>
              <w:rPr>
                <w:sz w:val="14"/>
                <w:szCs w:val="14"/>
                <w:color w:val="auto"/>
              </w:rPr>
            </w:pPr>
          </w:p>
        </w:tc>
        <w:tc>
          <w:tcPr>
            <w:tcW w:w="300" w:type="dxa"/>
            <w:vAlign w:val="bottom"/>
            <w:tcBorders>
              <w:top w:val="single" w:sz="8" w:color="0000EE"/>
              <w:bottom w:val="single" w:sz="8" w:color="CCEDD4"/>
            </w:tcBorders>
            <w:shd w:val="clear" w:color="auto" w:fill="CCEDD4"/>
          </w:tcPr>
          <w:p>
            <w:pPr>
              <w:spacing w:after="0"/>
              <w:rPr>
                <w:sz w:val="14"/>
                <w:szCs w:val="14"/>
                <w:color w:val="auto"/>
              </w:rPr>
            </w:pPr>
          </w:p>
        </w:tc>
        <w:tc>
          <w:tcPr>
            <w:tcW w:w="40" w:type="dxa"/>
            <w:vAlign w:val="bottom"/>
            <w:tcBorders>
              <w:top w:val="single" w:sz="8" w:color="CCEDD4"/>
              <w:bottom w:val="single" w:sz="8" w:color="CCEDD4"/>
            </w:tcBorders>
            <w:shd w:val="clear" w:color="auto" w:fill="CCEDD4"/>
          </w:tcPr>
          <w:p>
            <w:pPr>
              <w:spacing w:after="0"/>
              <w:rPr>
                <w:sz w:val="14"/>
                <w:szCs w:val="14"/>
                <w:color w:val="auto"/>
              </w:rPr>
            </w:pPr>
          </w:p>
        </w:tc>
        <w:tc>
          <w:tcPr>
            <w:tcW w:w="100" w:type="dxa"/>
            <w:vAlign w:val="bottom"/>
            <w:tcBorders>
              <w:top w:val="single" w:sz="8" w:color="CCEDD4"/>
              <w:bottom w:val="single" w:sz="8" w:color="CCEDD4"/>
            </w:tcBorders>
            <w:shd w:val="clear" w:color="auto" w:fill="CCEDD4"/>
          </w:tcPr>
          <w:p>
            <w:pPr>
              <w:spacing w:after="0"/>
              <w:rPr>
                <w:sz w:val="14"/>
                <w:szCs w:val="14"/>
                <w:color w:val="auto"/>
              </w:rPr>
            </w:pPr>
          </w:p>
        </w:tc>
        <w:tc>
          <w:tcPr>
            <w:tcW w:w="420" w:type="dxa"/>
            <w:vAlign w:val="bottom"/>
            <w:tcBorders>
              <w:top w:val="single" w:sz="8" w:color="CCEDD4"/>
              <w:bottom w:val="single" w:sz="8" w:color="CCEDD4"/>
            </w:tcBorders>
            <w:shd w:val="clear" w:color="auto" w:fill="CCEDD4"/>
          </w:tcPr>
          <w:p>
            <w:pPr>
              <w:spacing w:after="0"/>
              <w:rPr>
                <w:sz w:val="14"/>
                <w:szCs w:val="14"/>
                <w:color w:val="auto"/>
              </w:rPr>
            </w:pPr>
          </w:p>
        </w:tc>
        <w:tc>
          <w:tcPr>
            <w:tcW w:w="260" w:type="dxa"/>
            <w:vAlign w:val="bottom"/>
            <w:tcBorders>
              <w:top w:val="single" w:sz="8" w:color="CCEDD4"/>
              <w:bottom w:val="single" w:sz="8" w:color="0000EE"/>
              <w:right w:val="single" w:sz="8" w:color="56C271"/>
            </w:tcBorders>
            <w:shd w:val="clear" w:color="auto" w:fill="CCEDD4"/>
          </w:tcPr>
          <w:p>
            <w:pPr>
              <w:jc w:val="right"/>
              <w:spacing w:after="0" w:line="169" w:lineRule="exact"/>
              <w:rPr>
                <w:rFonts w:ascii="Arial" w:cs="Arial" w:eastAsia="Arial" w:hAnsi="Arial"/>
                <w:sz w:val="16"/>
                <w:szCs w:val="16"/>
                <w:color w:val="0000EE"/>
                <w:w w:val="89"/>
              </w:rPr>
            </w:pPr>
            <w:hyperlink w:anchor="page46">
              <w:r>
                <w:rPr>
                  <w:rFonts w:ascii="Arial" w:cs="Arial" w:eastAsia="Arial" w:hAnsi="Arial"/>
                  <w:sz w:val="16"/>
                  <w:szCs w:val="16"/>
                  <w:color w:val="0000EE"/>
                  <w:w w:val="89"/>
                </w:rPr>
                <w:t>42</w:t>
              </w:r>
            </w:hyperlink>
          </w:p>
        </w:tc>
      </w:tr>
      <w:tr>
        <w:trPr>
          <w:trHeight w:val="209"/>
        </w:trPr>
        <w:tc>
          <w:tcPr>
            <w:tcW w:w="120" w:type="dxa"/>
            <w:vAlign w:val="bottom"/>
            <w:tcBorders>
              <w:left w:val="single" w:sz="8" w:color="56C271"/>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1900" w:type="dxa"/>
            <w:vAlign w:val="bottom"/>
            <w:tcBorders>
              <w:bottom w:val="single" w:sz="8" w:color="0000EE"/>
            </w:tcBorders>
            <w:gridSpan w:val="12"/>
            <w:shd w:val="clear" w:color="auto" w:fill="CCEDD4"/>
          </w:tcPr>
          <w:p>
            <w:pPr>
              <w:spacing w:after="0"/>
              <w:rPr>
                <w:rFonts w:ascii="Arial" w:cs="Arial" w:eastAsia="Arial" w:hAnsi="Arial"/>
                <w:sz w:val="16"/>
                <w:szCs w:val="16"/>
                <w:color w:val="0000EE"/>
                <w:w w:val="99"/>
              </w:rPr>
            </w:pPr>
            <w:hyperlink w:anchor="page46">
              <w:r>
                <w:rPr>
                  <w:rFonts w:ascii="Arial" w:cs="Arial" w:eastAsia="Arial" w:hAnsi="Arial"/>
                  <w:sz w:val="16"/>
                  <w:szCs w:val="16"/>
                  <w:color w:val="0000EE"/>
                  <w:w w:val="99"/>
                </w:rPr>
                <w:t>Philosophy and Objectives</w:t>
              </w:r>
            </w:hyperlink>
          </w:p>
        </w:tc>
        <w:tc>
          <w:tcPr>
            <w:tcW w:w="200" w:type="dxa"/>
            <w:vAlign w:val="bottom"/>
            <w:tcBorders>
              <w:bottom w:val="single" w:sz="8" w:color="CCEDD4"/>
            </w:tcBorders>
            <w:gridSpan w:val="3"/>
            <w:shd w:val="clear" w:color="auto" w:fill="CCEDD4"/>
          </w:tcPr>
          <w:p>
            <w:pPr>
              <w:spacing w:after="0"/>
              <w:rPr>
                <w:sz w:val="18"/>
                <w:szCs w:val="18"/>
                <w:color w:val="auto"/>
              </w:rPr>
            </w:pPr>
          </w:p>
        </w:tc>
        <w:tc>
          <w:tcPr>
            <w:tcW w:w="2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60" w:type="dxa"/>
            <w:vAlign w:val="bottom"/>
            <w:tcBorders>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20" w:type="dxa"/>
            <w:vAlign w:val="bottom"/>
            <w:tcBorders>
              <w:bottom w:val="single" w:sz="8" w:color="CCEDD4"/>
            </w:tcBorders>
            <w:shd w:val="clear" w:color="auto" w:fill="CCEDD4"/>
          </w:tcPr>
          <w:p>
            <w:pPr>
              <w:spacing w:after="0"/>
              <w:rPr>
                <w:sz w:val="18"/>
                <w:szCs w:val="18"/>
                <w:color w:val="auto"/>
              </w:rPr>
            </w:pPr>
          </w:p>
        </w:tc>
        <w:tc>
          <w:tcPr>
            <w:tcW w:w="80" w:type="dxa"/>
            <w:vAlign w:val="bottom"/>
            <w:tcBorders>
              <w:bottom w:val="single" w:sz="8" w:color="CCEDD4"/>
            </w:tcBorders>
            <w:shd w:val="clear" w:color="auto" w:fill="CCEDD4"/>
          </w:tcPr>
          <w:p>
            <w:pPr>
              <w:spacing w:after="0"/>
              <w:rPr>
                <w:sz w:val="18"/>
                <w:szCs w:val="18"/>
                <w:color w:val="auto"/>
              </w:rPr>
            </w:pPr>
          </w:p>
        </w:tc>
        <w:tc>
          <w:tcPr>
            <w:tcW w:w="30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420" w:type="dxa"/>
            <w:vAlign w:val="bottom"/>
            <w:tcBorders>
              <w:bottom w:val="single" w:sz="8" w:color="CCEDD4"/>
            </w:tcBorders>
            <w:shd w:val="clear" w:color="auto" w:fill="CCEDD4"/>
          </w:tcPr>
          <w:p>
            <w:pPr>
              <w:spacing w:after="0"/>
              <w:rPr>
                <w:sz w:val="18"/>
                <w:szCs w:val="18"/>
                <w:color w:val="auto"/>
              </w:rPr>
            </w:pPr>
          </w:p>
        </w:tc>
        <w:tc>
          <w:tcPr>
            <w:tcW w:w="260" w:type="dxa"/>
            <w:vAlign w:val="bottom"/>
            <w:tcBorders>
              <w:bottom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46">
              <w:r>
                <w:rPr>
                  <w:rFonts w:ascii="Arial" w:cs="Arial" w:eastAsia="Arial" w:hAnsi="Arial"/>
                  <w:sz w:val="16"/>
                  <w:szCs w:val="16"/>
                  <w:color w:val="0000EE"/>
                  <w:w w:val="89"/>
                </w:rPr>
                <w:t>42</w:t>
              </w:r>
            </w:hyperlink>
          </w:p>
        </w:tc>
      </w:tr>
      <w:tr>
        <w:trPr>
          <w:trHeight w:val="209"/>
        </w:trPr>
        <w:tc>
          <w:tcPr>
            <w:tcW w:w="120" w:type="dxa"/>
            <w:vAlign w:val="bottom"/>
            <w:tcBorders>
              <w:left w:val="single" w:sz="8" w:color="56C271"/>
            </w:tcBorders>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3320" w:type="dxa"/>
            <w:vAlign w:val="bottom"/>
            <w:gridSpan w:val="27"/>
            <w:shd w:val="clear" w:color="auto" w:fill="CCEDD4"/>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2020 Advisory Vote on Executive</w:t>
              </w:r>
            </w:hyperlink>
          </w:p>
        </w:tc>
        <w:tc>
          <w:tcPr>
            <w:tcW w:w="420" w:type="dxa"/>
            <w:vAlign w:val="bottom"/>
            <w:shd w:val="clear" w:color="auto" w:fill="CCEDD4"/>
          </w:tcPr>
          <w:p>
            <w:pPr>
              <w:spacing w:after="0"/>
              <w:rPr>
                <w:sz w:val="18"/>
                <w:szCs w:val="18"/>
                <w:color w:val="auto"/>
              </w:rPr>
            </w:pPr>
          </w:p>
        </w:tc>
        <w:tc>
          <w:tcPr>
            <w:tcW w:w="260" w:type="dxa"/>
            <w:vAlign w:val="bottom"/>
            <w:tcBorders>
              <w:right w:val="single" w:sz="8" w:color="56C271"/>
            </w:tcBorders>
            <w:shd w:val="clear" w:color="auto" w:fill="CCEDD4"/>
          </w:tcPr>
          <w:p>
            <w:pPr>
              <w:spacing w:after="0"/>
              <w:rPr>
                <w:sz w:val="18"/>
                <w:szCs w:val="18"/>
                <w:color w:val="auto"/>
              </w:rPr>
            </w:pPr>
          </w:p>
        </w:tc>
      </w:tr>
      <w:tr>
        <w:trPr>
          <w:trHeight w:val="169"/>
        </w:trPr>
        <w:tc>
          <w:tcPr>
            <w:tcW w:w="120" w:type="dxa"/>
            <w:vAlign w:val="bottom"/>
            <w:tcBorders>
              <w:top w:val="single" w:sz="8" w:color="CCEDD4"/>
              <w:left w:val="single" w:sz="8" w:color="56C271"/>
              <w:bottom w:val="single" w:sz="8" w:color="CCEDD4"/>
            </w:tcBorders>
            <w:shd w:val="clear" w:color="auto" w:fill="CCEDD4"/>
          </w:tcPr>
          <w:p>
            <w:pPr>
              <w:spacing w:after="0"/>
              <w:rPr>
                <w:sz w:val="14"/>
                <w:szCs w:val="14"/>
                <w:color w:val="auto"/>
              </w:rPr>
            </w:pPr>
          </w:p>
        </w:tc>
        <w:tc>
          <w:tcPr>
            <w:tcW w:w="160" w:type="dxa"/>
            <w:vAlign w:val="bottom"/>
            <w:tcBorders>
              <w:top w:val="single" w:sz="8" w:color="CCEDD4"/>
              <w:bottom w:val="single" w:sz="8" w:color="CCEDD4"/>
            </w:tcBorders>
            <w:shd w:val="clear" w:color="auto" w:fill="CCEDD4"/>
          </w:tcPr>
          <w:p>
            <w:pPr>
              <w:spacing w:after="0"/>
              <w:rPr>
                <w:sz w:val="14"/>
                <w:szCs w:val="14"/>
                <w:color w:val="auto"/>
              </w:rPr>
            </w:pPr>
          </w:p>
        </w:tc>
        <w:tc>
          <w:tcPr>
            <w:tcW w:w="1060" w:type="dxa"/>
            <w:vAlign w:val="bottom"/>
            <w:tcBorders>
              <w:top w:val="single" w:sz="8" w:color="0000EE"/>
              <w:bottom w:val="single" w:sz="8" w:color="0000EE"/>
            </w:tcBorders>
            <w:gridSpan w:val="5"/>
            <w:shd w:val="clear" w:color="auto" w:fill="CCEDD4"/>
          </w:tcPr>
          <w:p>
            <w:pPr>
              <w:spacing w:after="0" w:line="169" w:lineRule="exact"/>
              <w:rPr>
                <w:rFonts w:ascii="Arial" w:cs="Arial" w:eastAsia="Arial" w:hAnsi="Arial"/>
                <w:sz w:val="16"/>
                <w:szCs w:val="16"/>
                <w:color w:val="0000EE"/>
              </w:rPr>
            </w:pPr>
            <w:hyperlink w:anchor="page47">
              <w:r>
                <w:rPr>
                  <w:rFonts w:ascii="Arial" w:cs="Arial" w:eastAsia="Arial" w:hAnsi="Arial"/>
                  <w:sz w:val="16"/>
                  <w:szCs w:val="16"/>
                  <w:color w:val="0000EE"/>
                </w:rPr>
                <w:t>Compensation</w:t>
              </w:r>
            </w:hyperlink>
          </w:p>
        </w:tc>
        <w:tc>
          <w:tcPr>
            <w:tcW w:w="1040" w:type="dxa"/>
            <w:vAlign w:val="bottom"/>
            <w:tcBorders>
              <w:top w:val="single" w:sz="8" w:color="0000EE"/>
              <w:bottom w:val="single" w:sz="8" w:color="CCEDD4"/>
            </w:tcBorders>
            <w:gridSpan w:val="10"/>
            <w:shd w:val="clear" w:color="auto" w:fill="CCEDD4"/>
          </w:tcPr>
          <w:p>
            <w:pPr>
              <w:spacing w:after="0"/>
              <w:rPr>
                <w:sz w:val="14"/>
                <w:szCs w:val="14"/>
                <w:color w:val="auto"/>
              </w:rPr>
            </w:pPr>
          </w:p>
        </w:tc>
        <w:tc>
          <w:tcPr>
            <w:tcW w:w="260" w:type="dxa"/>
            <w:vAlign w:val="bottom"/>
            <w:tcBorders>
              <w:top w:val="single" w:sz="8" w:color="0000EE"/>
              <w:bottom w:val="single" w:sz="8" w:color="CCEDD4"/>
            </w:tcBorders>
            <w:shd w:val="clear" w:color="auto" w:fill="CCEDD4"/>
          </w:tcPr>
          <w:p>
            <w:pPr>
              <w:spacing w:after="0"/>
              <w:rPr>
                <w:sz w:val="14"/>
                <w:szCs w:val="14"/>
                <w:color w:val="auto"/>
              </w:rPr>
            </w:pPr>
          </w:p>
        </w:tc>
        <w:tc>
          <w:tcPr>
            <w:tcW w:w="20" w:type="dxa"/>
            <w:vAlign w:val="bottom"/>
            <w:tcBorders>
              <w:top w:val="single" w:sz="8" w:color="CCEDD4"/>
              <w:bottom w:val="single" w:sz="8" w:color="CCEDD4"/>
            </w:tcBorders>
            <w:shd w:val="clear" w:color="auto" w:fill="CCEDD4"/>
          </w:tcPr>
          <w:p>
            <w:pPr>
              <w:spacing w:after="0"/>
              <w:rPr>
                <w:sz w:val="14"/>
                <w:szCs w:val="14"/>
                <w:color w:val="auto"/>
              </w:rPr>
            </w:pPr>
          </w:p>
        </w:tc>
        <w:tc>
          <w:tcPr>
            <w:tcW w:w="20" w:type="dxa"/>
            <w:vAlign w:val="bottom"/>
            <w:tcBorders>
              <w:top w:val="single" w:sz="8" w:color="CCEDD4"/>
              <w:bottom w:val="single" w:sz="8" w:color="CCEDD4"/>
            </w:tcBorders>
            <w:shd w:val="clear" w:color="auto" w:fill="CCEDD4"/>
          </w:tcPr>
          <w:p>
            <w:pPr>
              <w:spacing w:after="0"/>
              <w:rPr>
                <w:sz w:val="14"/>
                <w:szCs w:val="14"/>
                <w:color w:val="auto"/>
              </w:rPr>
            </w:pPr>
          </w:p>
        </w:tc>
        <w:tc>
          <w:tcPr>
            <w:tcW w:w="40" w:type="dxa"/>
            <w:vAlign w:val="bottom"/>
            <w:tcBorders>
              <w:top w:val="single" w:sz="8" w:color="CCEDD4"/>
              <w:bottom w:val="single" w:sz="8" w:color="CCEDD4"/>
            </w:tcBorders>
            <w:shd w:val="clear" w:color="auto" w:fill="CCEDD4"/>
          </w:tcPr>
          <w:p>
            <w:pPr>
              <w:spacing w:after="0"/>
              <w:rPr>
                <w:sz w:val="14"/>
                <w:szCs w:val="14"/>
                <w:color w:val="auto"/>
              </w:rPr>
            </w:pPr>
          </w:p>
        </w:tc>
        <w:tc>
          <w:tcPr>
            <w:tcW w:w="60" w:type="dxa"/>
            <w:vAlign w:val="bottom"/>
            <w:tcBorders>
              <w:top w:val="single" w:sz="8" w:color="CCEDD4"/>
              <w:bottom w:val="single" w:sz="8" w:color="CCEDD4"/>
            </w:tcBorders>
            <w:shd w:val="clear" w:color="auto" w:fill="CCEDD4"/>
          </w:tcPr>
          <w:p>
            <w:pPr>
              <w:spacing w:after="0"/>
              <w:rPr>
                <w:sz w:val="14"/>
                <w:szCs w:val="14"/>
                <w:color w:val="auto"/>
              </w:rPr>
            </w:pPr>
          </w:p>
        </w:tc>
        <w:tc>
          <w:tcPr>
            <w:tcW w:w="160" w:type="dxa"/>
            <w:vAlign w:val="bottom"/>
            <w:tcBorders>
              <w:top w:val="single" w:sz="8" w:color="CCEDD4"/>
              <w:bottom w:val="single" w:sz="8" w:color="CCEDD4"/>
            </w:tcBorders>
            <w:shd w:val="clear" w:color="auto" w:fill="CCEDD4"/>
          </w:tcPr>
          <w:p>
            <w:pPr>
              <w:spacing w:after="0"/>
              <w:rPr>
                <w:sz w:val="14"/>
                <w:szCs w:val="14"/>
                <w:color w:val="auto"/>
              </w:rPr>
            </w:pPr>
          </w:p>
        </w:tc>
        <w:tc>
          <w:tcPr>
            <w:tcW w:w="20" w:type="dxa"/>
            <w:vAlign w:val="bottom"/>
            <w:tcBorders>
              <w:top w:val="single" w:sz="8" w:color="CCEDD4"/>
              <w:bottom w:val="single" w:sz="8" w:color="CCEDD4"/>
            </w:tcBorders>
            <w:shd w:val="clear" w:color="auto" w:fill="CCEDD4"/>
          </w:tcPr>
          <w:p>
            <w:pPr>
              <w:spacing w:after="0"/>
              <w:rPr>
                <w:sz w:val="14"/>
                <w:szCs w:val="14"/>
                <w:color w:val="auto"/>
              </w:rPr>
            </w:pPr>
          </w:p>
        </w:tc>
        <w:tc>
          <w:tcPr>
            <w:tcW w:w="120" w:type="dxa"/>
            <w:vAlign w:val="bottom"/>
            <w:tcBorders>
              <w:top w:val="single" w:sz="8" w:color="CCEDD4"/>
              <w:bottom w:val="single" w:sz="8" w:color="CCEDD4"/>
            </w:tcBorders>
            <w:shd w:val="clear" w:color="auto" w:fill="CCEDD4"/>
          </w:tcPr>
          <w:p>
            <w:pPr>
              <w:spacing w:after="0"/>
              <w:rPr>
                <w:sz w:val="14"/>
                <w:szCs w:val="14"/>
                <w:color w:val="auto"/>
              </w:rPr>
            </w:pPr>
          </w:p>
        </w:tc>
        <w:tc>
          <w:tcPr>
            <w:tcW w:w="80" w:type="dxa"/>
            <w:vAlign w:val="bottom"/>
            <w:tcBorders>
              <w:top w:val="single" w:sz="8" w:color="CCEDD4"/>
              <w:bottom w:val="single" w:sz="8" w:color="CCEDD4"/>
            </w:tcBorders>
            <w:shd w:val="clear" w:color="auto" w:fill="CCEDD4"/>
          </w:tcPr>
          <w:p>
            <w:pPr>
              <w:spacing w:after="0"/>
              <w:rPr>
                <w:sz w:val="14"/>
                <w:szCs w:val="14"/>
                <w:color w:val="auto"/>
              </w:rPr>
            </w:pPr>
          </w:p>
        </w:tc>
        <w:tc>
          <w:tcPr>
            <w:tcW w:w="300" w:type="dxa"/>
            <w:vAlign w:val="bottom"/>
            <w:tcBorders>
              <w:top w:val="single" w:sz="8" w:color="CCEDD4"/>
              <w:bottom w:val="single" w:sz="8" w:color="CCEDD4"/>
            </w:tcBorders>
            <w:shd w:val="clear" w:color="auto" w:fill="CCEDD4"/>
          </w:tcPr>
          <w:p>
            <w:pPr>
              <w:spacing w:after="0"/>
              <w:rPr>
                <w:sz w:val="14"/>
                <w:szCs w:val="14"/>
                <w:color w:val="auto"/>
              </w:rPr>
            </w:pPr>
          </w:p>
        </w:tc>
        <w:tc>
          <w:tcPr>
            <w:tcW w:w="40" w:type="dxa"/>
            <w:vAlign w:val="bottom"/>
            <w:tcBorders>
              <w:top w:val="single" w:sz="8" w:color="CCEDD4"/>
              <w:bottom w:val="single" w:sz="8" w:color="CCEDD4"/>
            </w:tcBorders>
            <w:shd w:val="clear" w:color="auto" w:fill="CCEDD4"/>
          </w:tcPr>
          <w:p>
            <w:pPr>
              <w:spacing w:after="0"/>
              <w:rPr>
                <w:sz w:val="14"/>
                <w:szCs w:val="14"/>
                <w:color w:val="auto"/>
              </w:rPr>
            </w:pPr>
          </w:p>
        </w:tc>
        <w:tc>
          <w:tcPr>
            <w:tcW w:w="100" w:type="dxa"/>
            <w:vAlign w:val="bottom"/>
            <w:tcBorders>
              <w:top w:val="single" w:sz="8" w:color="CCEDD4"/>
              <w:bottom w:val="single" w:sz="8" w:color="CCEDD4"/>
            </w:tcBorders>
            <w:shd w:val="clear" w:color="auto" w:fill="CCEDD4"/>
          </w:tcPr>
          <w:p>
            <w:pPr>
              <w:spacing w:after="0"/>
              <w:rPr>
                <w:sz w:val="14"/>
                <w:szCs w:val="14"/>
                <w:color w:val="auto"/>
              </w:rPr>
            </w:pPr>
          </w:p>
        </w:tc>
        <w:tc>
          <w:tcPr>
            <w:tcW w:w="420" w:type="dxa"/>
            <w:vAlign w:val="bottom"/>
            <w:tcBorders>
              <w:top w:val="single" w:sz="8" w:color="CCEDD4"/>
              <w:bottom w:val="single" w:sz="8" w:color="CCEDD4"/>
            </w:tcBorders>
            <w:shd w:val="clear" w:color="auto" w:fill="CCEDD4"/>
          </w:tcPr>
          <w:p>
            <w:pPr>
              <w:spacing w:after="0"/>
              <w:rPr>
                <w:sz w:val="14"/>
                <w:szCs w:val="14"/>
                <w:color w:val="auto"/>
              </w:rPr>
            </w:pPr>
          </w:p>
        </w:tc>
        <w:tc>
          <w:tcPr>
            <w:tcW w:w="260" w:type="dxa"/>
            <w:vAlign w:val="bottom"/>
            <w:tcBorders>
              <w:top w:val="single" w:sz="8" w:color="CCEDD4"/>
              <w:bottom w:val="single" w:sz="8" w:color="0000EE"/>
              <w:right w:val="single" w:sz="8" w:color="56C271"/>
            </w:tcBorders>
            <w:shd w:val="clear" w:color="auto" w:fill="CCEDD4"/>
          </w:tcPr>
          <w:p>
            <w:pPr>
              <w:jc w:val="right"/>
              <w:spacing w:after="0" w:line="169" w:lineRule="exact"/>
              <w:rPr>
                <w:rFonts w:ascii="Arial" w:cs="Arial" w:eastAsia="Arial" w:hAnsi="Arial"/>
                <w:sz w:val="16"/>
                <w:szCs w:val="16"/>
                <w:color w:val="0000EE"/>
                <w:w w:val="89"/>
              </w:rPr>
            </w:pPr>
            <w:hyperlink w:anchor="page47">
              <w:r>
                <w:rPr>
                  <w:rFonts w:ascii="Arial" w:cs="Arial" w:eastAsia="Arial" w:hAnsi="Arial"/>
                  <w:sz w:val="16"/>
                  <w:szCs w:val="16"/>
                  <w:color w:val="0000EE"/>
                  <w:w w:val="89"/>
                </w:rPr>
                <w:t>43</w:t>
              </w:r>
            </w:hyperlink>
          </w:p>
        </w:tc>
      </w:tr>
      <w:tr>
        <w:trPr>
          <w:trHeight w:val="210"/>
        </w:trPr>
        <w:tc>
          <w:tcPr>
            <w:tcW w:w="120" w:type="dxa"/>
            <w:vAlign w:val="bottom"/>
            <w:tcBorders>
              <w:left w:val="single" w:sz="8" w:color="56C271"/>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100" w:type="dxa"/>
            <w:vAlign w:val="bottom"/>
            <w:tcBorders>
              <w:bottom w:val="single" w:sz="8" w:color="0000EE"/>
            </w:tcBorders>
            <w:gridSpan w:val="15"/>
            <w:shd w:val="clear" w:color="auto" w:fill="CCEDD4"/>
          </w:tcPr>
          <w:p>
            <w:pPr>
              <w:spacing w:after="0"/>
              <w:rPr>
                <w:rFonts w:ascii="Arial" w:cs="Arial" w:eastAsia="Arial" w:hAnsi="Arial"/>
                <w:sz w:val="16"/>
                <w:szCs w:val="16"/>
                <w:color w:val="0000EE"/>
                <w:w w:val="99"/>
              </w:rPr>
            </w:pPr>
            <w:hyperlink w:anchor="page47">
              <w:r>
                <w:rPr>
                  <w:rFonts w:ascii="Arial" w:cs="Arial" w:eastAsia="Arial" w:hAnsi="Arial"/>
                  <w:sz w:val="16"/>
                  <w:szCs w:val="16"/>
                  <w:color w:val="0000EE"/>
                  <w:w w:val="99"/>
                </w:rPr>
                <w:t>Shareholder Outreach Efforts</w:t>
              </w:r>
            </w:hyperlink>
          </w:p>
        </w:tc>
        <w:tc>
          <w:tcPr>
            <w:tcW w:w="2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60" w:type="dxa"/>
            <w:vAlign w:val="bottom"/>
            <w:tcBorders>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20" w:type="dxa"/>
            <w:vAlign w:val="bottom"/>
            <w:tcBorders>
              <w:bottom w:val="single" w:sz="8" w:color="CCEDD4"/>
            </w:tcBorders>
            <w:shd w:val="clear" w:color="auto" w:fill="CCEDD4"/>
          </w:tcPr>
          <w:p>
            <w:pPr>
              <w:spacing w:after="0"/>
              <w:rPr>
                <w:sz w:val="18"/>
                <w:szCs w:val="18"/>
                <w:color w:val="auto"/>
              </w:rPr>
            </w:pPr>
          </w:p>
        </w:tc>
        <w:tc>
          <w:tcPr>
            <w:tcW w:w="80" w:type="dxa"/>
            <w:vAlign w:val="bottom"/>
            <w:tcBorders>
              <w:bottom w:val="single" w:sz="8" w:color="CCEDD4"/>
            </w:tcBorders>
            <w:shd w:val="clear" w:color="auto" w:fill="CCEDD4"/>
          </w:tcPr>
          <w:p>
            <w:pPr>
              <w:spacing w:after="0"/>
              <w:rPr>
                <w:sz w:val="18"/>
                <w:szCs w:val="18"/>
                <w:color w:val="auto"/>
              </w:rPr>
            </w:pPr>
          </w:p>
        </w:tc>
        <w:tc>
          <w:tcPr>
            <w:tcW w:w="30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420" w:type="dxa"/>
            <w:vAlign w:val="bottom"/>
            <w:tcBorders>
              <w:bottom w:val="single" w:sz="8" w:color="CCEDD4"/>
            </w:tcBorders>
            <w:shd w:val="clear" w:color="auto" w:fill="CCEDD4"/>
          </w:tcPr>
          <w:p>
            <w:pPr>
              <w:spacing w:after="0"/>
              <w:rPr>
                <w:sz w:val="18"/>
                <w:szCs w:val="18"/>
                <w:color w:val="auto"/>
              </w:rPr>
            </w:pPr>
          </w:p>
        </w:tc>
        <w:tc>
          <w:tcPr>
            <w:tcW w:w="260" w:type="dxa"/>
            <w:vAlign w:val="bottom"/>
            <w:tcBorders>
              <w:bottom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43</w:t>
              </w:r>
            </w:hyperlink>
          </w:p>
        </w:tc>
      </w:tr>
      <w:tr>
        <w:trPr>
          <w:trHeight w:val="209"/>
        </w:trPr>
        <w:tc>
          <w:tcPr>
            <w:tcW w:w="120" w:type="dxa"/>
            <w:vAlign w:val="bottom"/>
            <w:tcBorders>
              <w:left w:val="single" w:sz="8" w:color="56C271"/>
            </w:tcBorders>
            <w:shd w:val="clear" w:color="auto" w:fill="CCEDD4"/>
          </w:tcPr>
          <w:p>
            <w:pPr>
              <w:spacing w:after="0"/>
              <w:rPr>
                <w:sz w:val="18"/>
                <w:szCs w:val="18"/>
                <w:color w:val="auto"/>
              </w:rPr>
            </w:pPr>
          </w:p>
        </w:tc>
        <w:tc>
          <w:tcPr>
            <w:tcW w:w="3480" w:type="dxa"/>
            <w:vAlign w:val="bottom"/>
            <w:gridSpan w:val="28"/>
            <w:shd w:val="clear" w:color="auto" w:fill="CCEDD4"/>
          </w:tcPr>
          <w:p>
            <w:pPr>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Compensation Governance and Process</w:t>
              </w:r>
            </w:hyperlink>
          </w:p>
        </w:tc>
        <w:tc>
          <w:tcPr>
            <w:tcW w:w="680" w:type="dxa"/>
            <w:vAlign w:val="bottom"/>
            <w:tcBorders>
              <w:right w:val="single" w:sz="8" w:color="56C271"/>
            </w:tcBorders>
            <w:gridSpan w:val="2"/>
            <w:shd w:val="clear" w:color="auto" w:fill="CCEDD4"/>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43</w:t>
              </w:r>
            </w:hyperlink>
          </w:p>
        </w:tc>
      </w:tr>
      <w:tr>
        <w:trPr>
          <w:trHeight w:val="209"/>
        </w:trPr>
        <w:tc>
          <w:tcPr>
            <w:tcW w:w="120" w:type="dxa"/>
            <w:vAlign w:val="bottom"/>
            <w:tcBorders>
              <w:top w:val="single" w:sz="8" w:color="CCEDD4"/>
              <w:left w:val="single" w:sz="8" w:color="56C271"/>
              <w:bottom w:val="single" w:sz="8" w:color="CCEDD4"/>
            </w:tcBorders>
            <w:shd w:val="clear" w:color="auto" w:fill="CCEDD4"/>
          </w:tcPr>
          <w:p>
            <w:pPr>
              <w:spacing w:after="0"/>
              <w:rPr>
                <w:sz w:val="18"/>
                <w:szCs w:val="18"/>
                <w:color w:val="auto"/>
              </w:rPr>
            </w:pPr>
          </w:p>
        </w:tc>
        <w:tc>
          <w:tcPr>
            <w:tcW w:w="160" w:type="dxa"/>
            <w:vAlign w:val="bottom"/>
            <w:tcBorders>
              <w:top w:val="single" w:sz="8" w:color="0000EE"/>
              <w:bottom w:val="single" w:sz="8" w:color="CCEDD4"/>
            </w:tcBorders>
            <w:shd w:val="clear" w:color="auto" w:fill="CCEDD4"/>
          </w:tcPr>
          <w:p>
            <w:pPr>
              <w:spacing w:after="0"/>
              <w:rPr>
                <w:sz w:val="18"/>
                <w:szCs w:val="18"/>
                <w:color w:val="auto"/>
              </w:rPr>
            </w:pPr>
          </w:p>
        </w:tc>
        <w:tc>
          <w:tcPr>
            <w:tcW w:w="2400" w:type="dxa"/>
            <w:vAlign w:val="bottom"/>
            <w:tcBorders>
              <w:top w:val="single" w:sz="8" w:color="0000EE"/>
              <w:bottom w:val="single" w:sz="8" w:color="0000EE"/>
            </w:tcBorders>
            <w:gridSpan w:val="18"/>
            <w:shd w:val="clear" w:color="auto" w:fill="CCEDD4"/>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Role of the Committee and Board</w:t>
              </w:r>
            </w:hyperlink>
          </w:p>
        </w:tc>
        <w:tc>
          <w:tcPr>
            <w:tcW w:w="480" w:type="dxa"/>
            <w:vAlign w:val="bottom"/>
            <w:tcBorders>
              <w:top w:val="single" w:sz="8" w:color="0000EE"/>
              <w:bottom w:val="single" w:sz="8" w:color="CCEDD4"/>
            </w:tcBorders>
            <w:gridSpan w:val="6"/>
            <w:shd w:val="clear" w:color="auto" w:fill="CCEDD4"/>
          </w:tcPr>
          <w:p>
            <w:pPr>
              <w:spacing w:after="0"/>
              <w:rPr>
                <w:sz w:val="18"/>
                <w:szCs w:val="18"/>
                <w:color w:val="auto"/>
              </w:rPr>
            </w:pPr>
          </w:p>
        </w:tc>
        <w:tc>
          <w:tcPr>
            <w:tcW w:w="440" w:type="dxa"/>
            <w:vAlign w:val="bottom"/>
            <w:tcBorders>
              <w:top w:val="single" w:sz="8" w:color="CCEDD4"/>
              <w:bottom w:val="single" w:sz="8" w:color="CCEDD4"/>
            </w:tcBorders>
            <w:gridSpan w:val="3"/>
            <w:shd w:val="clear" w:color="auto" w:fill="CCEDD4"/>
          </w:tcPr>
          <w:p>
            <w:pPr>
              <w:spacing w:after="0"/>
              <w:rPr>
                <w:sz w:val="18"/>
                <w:szCs w:val="18"/>
                <w:color w:val="auto"/>
              </w:rPr>
            </w:pPr>
          </w:p>
        </w:tc>
        <w:tc>
          <w:tcPr>
            <w:tcW w:w="420" w:type="dxa"/>
            <w:vAlign w:val="bottom"/>
            <w:tcBorders>
              <w:top w:val="single" w:sz="8" w:color="CCEDD4"/>
              <w:bottom w:val="single" w:sz="8" w:color="CCEDD4"/>
            </w:tcBorders>
            <w:shd w:val="clear" w:color="auto" w:fill="CCEDD4"/>
          </w:tcPr>
          <w:p>
            <w:pPr>
              <w:spacing w:after="0"/>
              <w:rPr>
                <w:sz w:val="18"/>
                <w:szCs w:val="18"/>
                <w:color w:val="auto"/>
              </w:rPr>
            </w:pPr>
          </w:p>
        </w:tc>
        <w:tc>
          <w:tcPr>
            <w:tcW w:w="260" w:type="dxa"/>
            <w:vAlign w:val="bottom"/>
            <w:tcBorders>
              <w:top w:val="single" w:sz="8" w:color="0000EE"/>
              <w:bottom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43</w:t>
              </w:r>
            </w:hyperlink>
          </w:p>
        </w:tc>
      </w:tr>
      <w:tr>
        <w:trPr>
          <w:trHeight w:val="210"/>
        </w:trPr>
        <w:tc>
          <w:tcPr>
            <w:tcW w:w="120" w:type="dxa"/>
            <w:vAlign w:val="bottom"/>
            <w:tcBorders>
              <w:left w:val="single" w:sz="8" w:color="56C271"/>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1500" w:type="dxa"/>
            <w:vAlign w:val="bottom"/>
            <w:tcBorders>
              <w:bottom w:val="single" w:sz="8" w:color="0000EE"/>
            </w:tcBorders>
            <w:gridSpan w:val="7"/>
            <w:shd w:val="clear" w:color="auto" w:fill="CCEDD4"/>
          </w:tcPr>
          <w:p>
            <w:pPr>
              <w:spacing w:after="0"/>
              <w:rPr>
                <w:rFonts w:ascii="Arial" w:cs="Arial" w:eastAsia="Arial" w:hAnsi="Arial"/>
                <w:sz w:val="16"/>
                <w:szCs w:val="16"/>
                <w:color w:val="0000EE"/>
                <w:w w:val="99"/>
              </w:rPr>
            </w:pPr>
            <w:hyperlink w:anchor="page48">
              <w:r>
                <w:rPr>
                  <w:rFonts w:ascii="Arial" w:cs="Arial" w:eastAsia="Arial" w:hAnsi="Arial"/>
                  <w:sz w:val="16"/>
                  <w:szCs w:val="16"/>
                  <w:color w:val="0000EE"/>
                  <w:w w:val="99"/>
                </w:rPr>
                <w:t>Role of Management</w:t>
              </w:r>
            </w:hyperlink>
          </w:p>
        </w:tc>
        <w:tc>
          <w:tcPr>
            <w:tcW w:w="600" w:type="dxa"/>
            <w:vAlign w:val="bottom"/>
            <w:tcBorders>
              <w:bottom w:val="single" w:sz="8" w:color="CCEDD4"/>
            </w:tcBorders>
            <w:gridSpan w:val="8"/>
            <w:shd w:val="clear" w:color="auto" w:fill="CCEDD4"/>
          </w:tcPr>
          <w:p>
            <w:pPr>
              <w:spacing w:after="0"/>
              <w:rPr>
                <w:sz w:val="18"/>
                <w:szCs w:val="18"/>
                <w:color w:val="auto"/>
              </w:rPr>
            </w:pPr>
          </w:p>
        </w:tc>
        <w:tc>
          <w:tcPr>
            <w:tcW w:w="2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60" w:type="dxa"/>
            <w:vAlign w:val="bottom"/>
            <w:tcBorders>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20" w:type="dxa"/>
            <w:vAlign w:val="bottom"/>
            <w:tcBorders>
              <w:bottom w:val="single" w:sz="8" w:color="CCEDD4"/>
            </w:tcBorders>
            <w:shd w:val="clear" w:color="auto" w:fill="CCEDD4"/>
          </w:tcPr>
          <w:p>
            <w:pPr>
              <w:spacing w:after="0"/>
              <w:rPr>
                <w:sz w:val="18"/>
                <w:szCs w:val="18"/>
                <w:color w:val="auto"/>
              </w:rPr>
            </w:pPr>
          </w:p>
        </w:tc>
        <w:tc>
          <w:tcPr>
            <w:tcW w:w="80" w:type="dxa"/>
            <w:vAlign w:val="bottom"/>
            <w:tcBorders>
              <w:bottom w:val="single" w:sz="8" w:color="CCEDD4"/>
            </w:tcBorders>
            <w:shd w:val="clear" w:color="auto" w:fill="CCEDD4"/>
          </w:tcPr>
          <w:p>
            <w:pPr>
              <w:spacing w:after="0"/>
              <w:rPr>
                <w:sz w:val="18"/>
                <w:szCs w:val="18"/>
                <w:color w:val="auto"/>
              </w:rPr>
            </w:pPr>
          </w:p>
        </w:tc>
        <w:tc>
          <w:tcPr>
            <w:tcW w:w="30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420" w:type="dxa"/>
            <w:vAlign w:val="bottom"/>
            <w:tcBorders>
              <w:bottom w:val="single" w:sz="8" w:color="CCEDD4"/>
            </w:tcBorders>
            <w:shd w:val="clear" w:color="auto" w:fill="CCEDD4"/>
          </w:tcPr>
          <w:p>
            <w:pPr>
              <w:spacing w:after="0"/>
              <w:rPr>
                <w:sz w:val="18"/>
                <w:szCs w:val="18"/>
                <w:color w:val="auto"/>
              </w:rPr>
            </w:pPr>
          </w:p>
        </w:tc>
        <w:tc>
          <w:tcPr>
            <w:tcW w:w="260" w:type="dxa"/>
            <w:vAlign w:val="bottom"/>
            <w:tcBorders>
              <w:bottom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44</w:t>
              </w:r>
            </w:hyperlink>
          </w:p>
        </w:tc>
      </w:tr>
      <w:tr>
        <w:trPr>
          <w:trHeight w:val="209"/>
        </w:trPr>
        <w:tc>
          <w:tcPr>
            <w:tcW w:w="120" w:type="dxa"/>
            <w:vAlign w:val="bottom"/>
            <w:tcBorders>
              <w:left w:val="single" w:sz="8" w:color="56C271"/>
            </w:tcBorders>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3320" w:type="dxa"/>
            <w:vAlign w:val="bottom"/>
            <w:gridSpan w:val="27"/>
            <w:shd w:val="clear" w:color="auto" w:fill="CCEDD4"/>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Role of the Independent Compensation</w:t>
              </w:r>
            </w:hyperlink>
          </w:p>
        </w:tc>
        <w:tc>
          <w:tcPr>
            <w:tcW w:w="420" w:type="dxa"/>
            <w:vAlign w:val="bottom"/>
            <w:shd w:val="clear" w:color="auto" w:fill="CCEDD4"/>
          </w:tcPr>
          <w:p>
            <w:pPr>
              <w:spacing w:after="0"/>
              <w:rPr>
                <w:sz w:val="18"/>
                <w:szCs w:val="18"/>
                <w:color w:val="auto"/>
              </w:rPr>
            </w:pPr>
          </w:p>
        </w:tc>
        <w:tc>
          <w:tcPr>
            <w:tcW w:w="260" w:type="dxa"/>
            <w:vAlign w:val="bottom"/>
            <w:tcBorders>
              <w:right w:val="single" w:sz="8" w:color="56C271"/>
            </w:tcBorders>
            <w:shd w:val="clear" w:color="auto" w:fill="CCEDD4"/>
          </w:tcPr>
          <w:p>
            <w:pPr>
              <w:spacing w:after="0"/>
              <w:rPr>
                <w:sz w:val="18"/>
                <w:szCs w:val="18"/>
                <w:color w:val="auto"/>
              </w:rPr>
            </w:pPr>
          </w:p>
        </w:tc>
      </w:tr>
      <w:tr>
        <w:trPr>
          <w:trHeight w:val="169"/>
        </w:trPr>
        <w:tc>
          <w:tcPr>
            <w:tcW w:w="120" w:type="dxa"/>
            <w:vAlign w:val="bottom"/>
            <w:tcBorders>
              <w:top w:val="single" w:sz="8" w:color="CCEDD4"/>
              <w:left w:val="single" w:sz="8" w:color="56C271"/>
              <w:bottom w:val="single" w:sz="8" w:color="CCEDD4"/>
            </w:tcBorders>
            <w:shd w:val="clear" w:color="auto" w:fill="CCEDD4"/>
          </w:tcPr>
          <w:p>
            <w:pPr>
              <w:spacing w:after="0"/>
              <w:rPr>
                <w:sz w:val="14"/>
                <w:szCs w:val="14"/>
                <w:color w:val="auto"/>
              </w:rPr>
            </w:pPr>
          </w:p>
        </w:tc>
        <w:tc>
          <w:tcPr>
            <w:tcW w:w="160" w:type="dxa"/>
            <w:vAlign w:val="bottom"/>
            <w:tcBorders>
              <w:top w:val="single" w:sz="8" w:color="CCEDD4"/>
              <w:bottom w:val="single" w:sz="8" w:color="CCEDD4"/>
            </w:tcBorders>
            <w:shd w:val="clear" w:color="auto" w:fill="CCEDD4"/>
          </w:tcPr>
          <w:p>
            <w:pPr>
              <w:spacing w:after="0"/>
              <w:rPr>
                <w:sz w:val="14"/>
                <w:szCs w:val="14"/>
                <w:color w:val="auto"/>
              </w:rPr>
            </w:pPr>
          </w:p>
        </w:tc>
        <w:tc>
          <w:tcPr>
            <w:tcW w:w="780" w:type="dxa"/>
            <w:vAlign w:val="bottom"/>
            <w:tcBorders>
              <w:top w:val="single" w:sz="8" w:color="0000EE"/>
              <w:bottom w:val="single" w:sz="8" w:color="0000EE"/>
            </w:tcBorders>
            <w:gridSpan w:val="2"/>
            <w:shd w:val="clear" w:color="auto" w:fill="CCEDD4"/>
          </w:tcPr>
          <w:p>
            <w:pPr>
              <w:spacing w:after="0" w:line="169" w:lineRule="exact"/>
              <w:rPr>
                <w:rFonts w:ascii="Arial" w:cs="Arial" w:eastAsia="Arial" w:hAnsi="Arial"/>
                <w:sz w:val="16"/>
                <w:szCs w:val="16"/>
                <w:color w:val="0000EE"/>
                <w:w w:val="99"/>
              </w:rPr>
            </w:pPr>
            <w:hyperlink w:anchor="page48">
              <w:r>
                <w:rPr>
                  <w:rFonts w:ascii="Arial" w:cs="Arial" w:eastAsia="Arial" w:hAnsi="Arial"/>
                  <w:sz w:val="16"/>
                  <w:szCs w:val="16"/>
                  <w:color w:val="0000EE"/>
                  <w:w w:val="99"/>
                </w:rPr>
                <w:t>Consultant</w:t>
              </w:r>
            </w:hyperlink>
          </w:p>
        </w:tc>
        <w:tc>
          <w:tcPr>
            <w:tcW w:w="1320" w:type="dxa"/>
            <w:vAlign w:val="bottom"/>
            <w:tcBorders>
              <w:top w:val="single" w:sz="8" w:color="0000EE"/>
              <w:bottom w:val="single" w:sz="8" w:color="CCEDD4"/>
            </w:tcBorders>
            <w:gridSpan w:val="13"/>
            <w:shd w:val="clear" w:color="auto" w:fill="CCEDD4"/>
          </w:tcPr>
          <w:p>
            <w:pPr>
              <w:spacing w:after="0"/>
              <w:rPr>
                <w:sz w:val="14"/>
                <w:szCs w:val="14"/>
                <w:color w:val="auto"/>
              </w:rPr>
            </w:pPr>
          </w:p>
        </w:tc>
        <w:tc>
          <w:tcPr>
            <w:tcW w:w="260" w:type="dxa"/>
            <w:vAlign w:val="bottom"/>
            <w:tcBorders>
              <w:top w:val="single" w:sz="8" w:color="0000EE"/>
              <w:bottom w:val="single" w:sz="8" w:color="CCEDD4"/>
            </w:tcBorders>
            <w:shd w:val="clear" w:color="auto" w:fill="CCEDD4"/>
          </w:tcPr>
          <w:p>
            <w:pPr>
              <w:spacing w:after="0"/>
              <w:rPr>
                <w:sz w:val="14"/>
                <w:szCs w:val="14"/>
                <w:color w:val="auto"/>
              </w:rPr>
            </w:pPr>
          </w:p>
        </w:tc>
        <w:tc>
          <w:tcPr>
            <w:tcW w:w="20" w:type="dxa"/>
            <w:vAlign w:val="bottom"/>
            <w:tcBorders>
              <w:top w:val="single" w:sz="8" w:color="0000EE"/>
              <w:bottom w:val="single" w:sz="8" w:color="CCEDD4"/>
            </w:tcBorders>
            <w:shd w:val="clear" w:color="auto" w:fill="CCEDD4"/>
          </w:tcPr>
          <w:p>
            <w:pPr>
              <w:spacing w:after="0"/>
              <w:rPr>
                <w:sz w:val="14"/>
                <w:szCs w:val="14"/>
                <w:color w:val="auto"/>
              </w:rPr>
            </w:pPr>
          </w:p>
        </w:tc>
        <w:tc>
          <w:tcPr>
            <w:tcW w:w="20" w:type="dxa"/>
            <w:vAlign w:val="bottom"/>
            <w:tcBorders>
              <w:top w:val="single" w:sz="8" w:color="0000EE"/>
              <w:bottom w:val="single" w:sz="8" w:color="CCEDD4"/>
            </w:tcBorders>
            <w:shd w:val="clear" w:color="auto" w:fill="CCEDD4"/>
          </w:tcPr>
          <w:p>
            <w:pPr>
              <w:spacing w:after="0"/>
              <w:rPr>
                <w:sz w:val="14"/>
                <w:szCs w:val="14"/>
                <w:color w:val="auto"/>
              </w:rPr>
            </w:pPr>
          </w:p>
        </w:tc>
        <w:tc>
          <w:tcPr>
            <w:tcW w:w="40" w:type="dxa"/>
            <w:vAlign w:val="bottom"/>
            <w:tcBorders>
              <w:top w:val="single" w:sz="8" w:color="0000EE"/>
              <w:bottom w:val="single" w:sz="8" w:color="CCEDD4"/>
            </w:tcBorders>
            <w:shd w:val="clear" w:color="auto" w:fill="CCEDD4"/>
          </w:tcPr>
          <w:p>
            <w:pPr>
              <w:spacing w:after="0"/>
              <w:rPr>
                <w:sz w:val="14"/>
                <w:szCs w:val="14"/>
                <w:color w:val="auto"/>
              </w:rPr>
            </w:pPr>
          </w:p>
        </w:tc>
        <w:tc>
          <w:tcPr>
            <w:tcW w:w="60" w:type="dxa"/>
            <w:vAlign w:val="bottom"/>
            <w:tcBorders>
              <w:top w:val="single" w:sz="8" w:color="0000EE"/>
              <w:bottom w:val="single" w:sz="8" w:color="CCEDD4"/>
            </w:tcBorders>
            <w:shd w:val="clear" w:color="auto" w:fill="CCEDD4"/>
          </w:tcPr>
          <w:p>
            <w:pPr>
              <w:spacing w:after="0"/>
              <w:rPr>
                <w:sz w:val="14"/>
                <w:szCs w:val="14"/>
                <w:color w:val="auto"/>
              </w:rPr>
            </w:pPr>
          </w:p>
        </w:tc>
        <w:tc>
          <w:tcPr>
            <w:tcW w:w="160" w:type="dxa"/>
            <w:vAlign w:val="bottom"/>
            <w:tcBorders>
              <w:top w:val="single" w:sz="8" w:color="0000EE"/>
              <w:bottom w:val="single" w:sz="8" w:color="CCEDD4"/>
            </w:tcBorders>
            <w:shd w:val="clear" w:color="auto" w:fill="CCEDD4"/>
          </w:tcPr>
          <w:p>
            <w:pPr>
              <w:spacing w:after="0"/>
              <w:rPr>
                <w:sz w:val="14"/>
                <w:szCs w:val="14"/>
                <w:color w:val="auto"/>
              </w:rPr>
            </w:pPr>
          </w:p>
        </w:tc>
        <w:tc>
          <w:tcPr>
            <w:tcW w:w="20" w:type="dxa"/>
            <w:vAlign w:val="bottom"/>
            <w:tcBorders>
              <w:top w:val="single" w:sz="8" w:color="0000EE"/>
              <w:bottom w:val="single" w:sz="8" w:color="CCEDD4"/>
            </w:tcBorders>
            <w:shd w:val="clear" w:color="auto" w:fill="CCEDD4"/>
          </w:tcPr>
          <w:p>
            <w:pPr>
              <w:spacing w:after="0"/>
              <w:rPr>
                <w:sz w:val="14"/>
                <w:szCs w:val="14"/>
                <w:color w:val="auto"/>
              </w:rPr>
            </w:pPr>
          </w:p>
        </w:tc>
        <w:tc>
          <w:tcPr>
            <w:tcW w:w="120" w:type="dxa"/>
            <w:vAlign w:val="bottom"/>
            <w:tcBorders>
              <w:top w:val="single" w:sz="8" w:color="0000EE"/>
              <w:bottom w:val="single" w:sz="8" w:color="CCEDD4"/>
            </w:tcBorders>
            <w:shd w:val="clear" w:color="auto" w:fill="CCEDD4"/>
          </w:tcPr>
          <w:p>
            <w:pPr>
              <w:spacing w:after="0"/>
              <w:rPr>
                <w:sz w:val="14"/>
                <w:szCs w:val="14"/>
                <w:color w:val="auto"/>
              </w:rPr>
            </w:pPr>
          </w:p>
        </w:tc>
        <w:tc>
          <w:tcPr>
            <w:tcW w:w="80" w:type="dxa"/>
            <w:vAlign w:val="bottom"/>
            <w:tcBorders>
              <w:top w:val="single" w:sz="8" w:color="CCEDD4"/>
              <w:bottom w:val="single" w:sz="8" w:color="CCEDD4"/>
            </w:tcBorders>
            <w:shd w:val="clear" w:color="auto" w:fill="CCEDD4"/>
          </w:tcPr>
          <w:p>
            <w:pPr>
              <w:spacing w:after="0"/>
              <w:rPr>
                <w:sz w:val="14"/>
                <w:szCs w:val="14"/>
                <w:color w:val="auto"/>
              </w:rPr>
            </w:pPr>
          </w:p>
        </w:tc>
        <w:tc>
          <w:tcPr>
            <w:tcW w:w="300" w:type="dxa"/>
            <w:vAlign w:val="bottom"/>
            <w:tcBorders>
              <w:top w:val="single" w:sz="8" w:color="CCEDD4"/>
              <w:bottom w:val="single" w:sz="8" w:color="CCEDD4"/>
            </w:tcBorders>
            <w:shd w:val="clear" w:color="auto" w:fill="CCEDD4"/>
          </w:tcPr>
          <w:p>
            <w:pPr>
              <w:spacing w:after="0"/>
              <w:rPr>
                <w:sz w:val="14"/>
                <w:szCs w:val="14"/>
                <w:color w:val="auto"/>
              </w:rPr>
            </w:pPr>
          </w:p>
        </w:tc>
        <w:tc>
          <w:tcPr>
            <w:tcW w:w="40" w:type="dxa"/>
            <w:vAlign w:val="bottom"/>
            <w:tcBorders>
              <w:top w:val="single" w:sz="8" w:color="CCEDD4"/>
              <w:bottom w:val="single" w:sz="8" w:color="CCEDD4"/>
            </w:tcBorders>
            <w:shd w:val="clear" w:color="auto" w:fill="CCEDD4"/>
          </w:tcPr>
          <w:p>
            <w:pPr>
              <w:spacing w:after="0"/>
              <w:rPr>
                <w:sz w:val="14"/>
                <w:szCs w:val="14"/>
                <w:color w:val="auto"/>
              </w:rPr>
            </w:pPr>
          </w:p>
        </w:tc>
        <w:tc>
          <w:tcPr>
            <w:tcW w:w="100" w:type="dxa"/>
            <w:vAlign w:val="bottom"/>
            <w:tcBorders>
              <w:top w:val="single" w:sz="8" w:color="CCEDD4"/>
              <w:bottom w:val="single" w:sz="8" w:color="CCEDD4"/>
            </w:tcBorders>
            <w:shd w:val="clear" w:color="auto" w:fill="CCEDD4"/>
          </w:tcPr>
          <w:p>
            <w:pPr>
              <w:spacing w:after="0"/>
              <w:rPr>
                <w:sz w:val="14"/>
                <w:szCs w:val="14"/>
                <w:color w:val="auto"/>
              </w:rPr>
            </w:pPr>
          </w:p>
        </w:tc>
        <w:tc>
          <w:tcPr>
            <w:tcW w:w="420" w:type="dxa"/>
            <w:vAlign w:val="bottom"/>
            <w:tcBorders>
              <w:top w:val="single" w:sz="8" w:color="CCEDD4"/>
              <w:bottom w:val="single" w:sz="8" w:color="CCEDD4"/>
            </w:tcBorders>
            <w:shd w:val="clear" w:color="auto" w:fill="CCEDD4"/>
          </w:tcPr>
          <w:p>
            <w:pPr>
              <w:spacing w:after="0"/>
              <w:rPr>
                <w:sz w:val="14"/>
                <w:szCs w:val="14"/>
                <w:color w:val="auto"/>
              </w:rPr>
            </w:pPr>
          </w:p>
        </w:tc>
        <w:tc>
          <w:tcPr>
            <w:tcW w:w="260" w:type="dxa"/>
            <w:vAlign w:val="bottom"/>
            <w:tcBorders>
              <w:top w:val="single" w:sz="8" w:color="CCEDD4"/>
              <w:bottom w:val="single" w:sz="8" w:color="0000EE"/>
              <w:right w:val="single" w:sz="8" w:color="56C271"/>
            </w:tcBorders>
            <w:shd w:val="clear" w:color="auto" w:fill="CCEDD4"/>
          </w:tcPr>
          <w:p>
            <w:pPr>
              <w:jc w:val="right"/>
              <w:spacing w:after="0" w:line="169" w:lineRule="exact"/>
              <w:rPr>
                <w:rFonts w:ascii="Arial" w:cs="Arial" w:eastAsia="Arial" w:hAnsi="Arial"/>
                <w:sz w:val="16"/>
                <w:szCs w:val="16"/>
                <w:color w:val="0000EE"/>
                <w:w w:val="89"/>
              </w:rPr>
            </w:pPr>
            <w:hyperlink w:anchor="page48">
              <w:r>
                <w:rPr>
                  <w:rFonts w:ascii="Arial" w:cs="Arial" w:eastAsia="Arial" w:hAnsi="Arial"/>
                  <w:sz w:val="16"/>
                  <w:szCs w:val="16"/>
                  <w:color w:val="0000EE"/>
                  <w:w w:val="89"/>
                </w:rPr>
                <w:t>44</w:t>
              </w:r>
            </w:hyperlink>
          </w:p>
        </w:tc>
      </w:tr>
      <w:tr>
        <w:trPr>
          <w:trHeight w:val="209"/>
        </w:trPr>
        <w:tc>
          <w:tcPr>
            <w:tcW w:w="120" w:type="dxa"/>
            <w:vAlign w:val="bottom"/>
            <w:tcBorders>
              <w:left w:val="single" w:sz="8" w:color="56C271"/>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1040" w:type="dxa"/>
            <w:vAlign w:val="bottom"/>
            <w:tcBorders>
              <w:bottom w:val="single" w:sz="8" w:color="0000EE"/>
            </w:tcBorders>
            <w:gridSpan w:val="4"/>
            <w:shd w:val="clear" w:color="auto" w:fill="CCEDD4"/>
          </w:tcPr>
          <w:p>
            <w:pPr>
              <w:spacing w:after="0"/>
              <w:rPr>
                <w:rFonts w:ascii="Arial" w:cs="Arial" w:eastAsia="Arial" w:hAnsi="Arial"/>
                <w:sz w:val="16"/>
                <w:szCs w:val="16"/>
                <w:color w:val="0000EE"/>
                <w:w w:val="99"/>
              </w:rPr>
            </w:pPr>
            <w:hyperlink w:anchor="page49">
              <w:r>
                <w:rPr>
                  <w:rFonts w:ascii="Arial" w:cs="Arial" w:eastAsia="Arial" w:hAnsi="Arial"/>
                  <w:sz w:val="16"/>
                  <w:szCs w:val="16"/>
                  <w:color w:val="0000EE"/>
                  <w:w w:val="99"/>
                </w:rPr>
                <w:t>Benchmarking</w:t>
              </w:r>
            </w:hyperlink>
          </w:p>
        </w:tc>
        <w:tc>
          <w:tcPr>
            <w:tcW w:w="1060" w:type="dxa"/>
            <w:vAlign w:val="bottom"/>
            <w:tcBorders>
              <w:bottom w:val="single" w:sz="8" w:color="CCEDD4"/>
            </w:tcBorders>
            <w:gridSpan w:val="11"/>
            <w:shd w:val="clear" w:color="auto" w:fill="CCEDD4"/>
          </w:tcPr>
          <w:p>
            <w:pPr>
              <w:spacing w:after="0"/>
              <w:rPr>
                <w:sz w:val="18"/>
                <w:szCs w:val="18"/>
                <w:color w:val="auto"/>
              </w:rPr>
            </w:pPr>
          </w:p>
        </w:tc>
        <w:tc>
          <w:tcPr>
            <w:tcW w:w="2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60" w:type="dxa"/>
            <w:vAlign w:val="bottom"/>
            <w:tcBorders>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20" w:type="dxa"/>
            <w:vAlign w:val="bottom"/>
            <w:tcBorders>
              <w:bottom w:val="single" w:sz="8" w:color="CCEDD4"/>
            </w:tcBorders>
            <w:shd w:val="clear" w:color="auto" w:fill="CCEDD4"/>
          </w:tcPr>
          <w:p>
            <w:pPr>
              <w:spacing w:after="0"/>
              <w:rPr>
                <w:sz w:val="18"/>
                <w:szCs w:val="18"/>
                <w:color w:val="auto"/>
              </w:rPr>
            </w:pPr>
          </w:p>
        </w:tc>
        <w:tc>
          <w:tcPr>
            <w:tcW w:w="80" w:type="dxa"/>
            <w:vAlign w:val="bottom"/>
            <w:tcBorders>
              <w:bottom w:val="single" w:sz="8" w:color="CCEDD4"/>
            </w:tcBorders>
            <w:shd w:val="clear" w:color="auto" w:fill="CCEDD4"/>
          </w:tcPr>
          <w:p>
            <w:pPr>
              <w:spacing w:after="0"/>
              <w:rPr>
                <w:sz w:val="18"/>
                <w:szCs w:val="18"/>
                <w:color w:val="auto"/>
              </w:rPr>
            </w:pPr>
          </w:p>
        </w:tc>
        <w:tc>
          <w:tcPr>
            <w:tcW w:w="30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420" w:type="dxa"/>
            <w:vAlign w:val="bottom"/>
            <w:tcBorders>
              <w:bottom w:val="single" w:sz="8" w:color="CCEDD4"/>
            </w:tcBorders>
            <w:shd w:val="clear" w:color="auto" w:fill="CCEDD4"/>
          </w:tcPr>
          <w:p>
            <w:pPr>
              <w:spacing w:after="0"/>
              <w:rPr>
                <w:sz w:val="18"/>
                <w:szCs w:val="18"/>
                <w:color w:val="auto"/>
              </w:rPr>
            </w:pPr>
          </w:p>
        </w:tc>
        <w:tc>
          <w:tcPr>
            <w:tcW w:w="260" w:type="dxa"/>
            <w:vAlign w:val="bottom"/>
            <w:tcBorders>
              <w:bottom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45</w:t>
              </w:r>
            </w:hyperlink>
          </w:p>
        </w:tc>
      </w:tr>
      <w:tr>
        <w:trPr>
          <w:trHeight w:val="209"/>
        </w:trPr>
        <w:tc>
          <w:tcPr>
            <w:tcW w:w="120" w:type="dxa"/>
            <w:vAlign w:val="bottom"/>
            <w:tcBorders>
              <w:left w:val="single" w:sz="8" w:color="56C271"/>
            </w:tcBorders>
            <w:shd w:val="clear" w:color="auto" w:fill="CCEDD4"/>
          </w:tcPr>
          <w:p>
            <w:pPr>
              <w:spacing w:after="0"/>
              <w:rPr>
                <w:sz w:val="18"/>
                <w:szCs w:val="18"/>
                <w:color w:val="auto"/>
              </w:rPr>
            </w:pPr>
          </w:p>
        </w:tc>
        <w:tc>
          <w:tcPr>
            <w:tcW w:w="2260" w:type="dxa"/>
            <w:vAlign w:val="bottom"/>
            <w:gridSpan w:val="16"/>
            <w:shd w:val="clear" w:color="auto" w:fill="CCEDD4"/>
          </w:tcPr>
          <w:p>
            <w:pPr>
              <w:spacing w:after="0"/>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Overview of Pay Programs</w:t>
              </w:r>
            </w:hyperlink>
          </w:p>
        </w:tc>
        <w:tc>
          <w:tcPr>
            <w:tcW w:w="260" w:type="dxa"/>
            <w:vAlign w:val="bottom"/>
            <w:shd w:val="clear" w:color="auto" w:fill="CCEDD4"/>
          </w:tcPr>
          <w:p>
            <w:pPr>
              <w:spacing w:after="0"/>
              <w:rPr>
                <w:sz w:val="18"/>
                <w:szCs w:val="18"/>
                <w:color w:val="auto"/>
              </w:rPr>
            </w:pPr>
          </w:p>
        </w:tc>
        <w:tc>
          <w:tcPr>
            <w:tcW w:w="20" w:type="dxa"/>
            <w:vAlign w:val="bottom"/>
            <w:shd w:val="clear" w:color="auto" w:fill="CCEDD4"/>
          </w:tcPr>
          <w:p>
            <w:pPr>
              <w:spacing w:after="0"/>
              <w:rPr>
                <w:sz w:val="18"/>
                <w:szCs w:val="18"/>
                <w:color w:val="auto"/>
              </w:rPr>
            </w:pPr>
          </w:p>
        </w:tc>
        <w:tc>
          <w:tcPr>
            <w:tcW w:w="20" w:type="dxa"/>
            <w:vAlign w:val="bottom"/>
            <w:shd w:val="clear" w:color="auto" w:fill="CCEDD4"/>
          </w:tcPr>
          <w:p>
            <w:pPr>
              <w:spacing w:after="0"/>
              <w:rPr>
                <w:sz w:val="18"/>
                <w:szCs w:val="18"/>
                <w:color w:val="auto"/>
              </w:rPr>
            </w:pPr>
          </w:p>
        </w:tc>
        <w:tc>
          <w:tcPr>
            <w:tcW w:w="40" w:type="dxa"/>
            <w:vAlign w:val="bottom"/>
            <w:shd w:val="clear" w:color="auto" w:fill="CCEDD4"/>
          </w:tcPr>
          <w:p>
            <w:pPr>
              <w:spacing w:after="0"/>
              <w:rPr>
                <w:sz w:val="18"/>
                <w:szCs w:val="18"/>
                <w:color w:val="auto"/>
              </w:rPr>
            </w:pPr>
          </w:p>
        </w:tc>
        <w:tc>
          <w:tcPr>
            <w:tcW w:w="60" w:type="dxa"/>
            <w:vAlign w:val="bottom"/>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20" w:type="dxa"/>
            <w:vAlign w:val="bottom"/>
            <w:shd w:val="clear" w:color="auto" w:fill="CCEDD4"/>
          </w:tcPr>
          <w:p>
            <w:pPr>
              <w:spacing w:after="0"/>
              <w:rPr>
                <w:sz w:val="18"/>
                <w:szCs w:val="18"/>
                <w:color w:val="auto"/>
              </w:rPr>
            </w:pPr>
          </w:p>
        </w:tc>
        <w:tc>
          <w:tcPr>
            <w:tcW w:w="120" w:type="dxa"/>
            <w:vAlign w:val="bottom"/>
            <w:shd w:val="clear" w:color="auto" w:fill="CCEDD4"/>
          </w:tcPr>
          <w:p>
            <w:pPr>
              <w:spacing w:after="0"/>
              <w:rPr>
                <w:sz w:val="18"/>
                <w:szCs w:val="18"/>
                <w:color w:val="auto"/>
              </w:rPr>
            </w:pPr>
          </w:p>
        </w:tc>
        <w:tc>
          <w:tcPr>
            <w:tcW w:w="80" w:type="dxa"/>
            <w:vAlign w:val="bottom"/>
            <w:shd w:val="clear" w:color="auto" w:fill="CCEDD4"/>
          </w:tcPr>
          <w:p>
            <w:pPr>
              <w:spacing w:after="0"/>
              <w:rPr>
                <w:sz w:val="18"/>
                <w:szCs w:val="18"/>
                <w:color w:val="auto"/>
              </w:rPr>
            </w:pPr>
          </w:p>
        </w:tc>
        <w:tc>
          <w:tcPr>
            <w:tcW w:w="300" w:type="dxa"/>
            <w:vAlign w:val="bottom"/>
            <w:shd w:val="clear" w:color="auto" w:fill="CCEDD4"/>
          </w:tcPr>
          <w:p>
            <w:pPr>
              <w:spacing w:after="0"/>
              <w:rPr>
                <w:sz w:val="18"/>
                <w:szCs w:val="18"/>
                <w:color w:val="auto"/>
              </w:rPr>
            </w:pPr>
          </w:p>
        </w:tc>
        <w:tc>
          <w:tcPr>
            <w:tcW w:w="40" w:type="dxa"/>
            <w:vAlign w:val="bottom"/>
            <w:shd w:val="clear" w:color="auto" w:fill="CCEDD4"/>
          </w:tcPr>
          <w:p>
            <w:pPr>
              <w:spacing w:after="0"/>
              <w:rPr>
                <w:sz w:val="18"/>
                <w:szCs w:val="18"/>
                <w:color w:val="auto"/>
              </w:rPr>
            </w:pPr>
          </w:p>
        </w:tc>
        <w:tc>
          <w:tcPr>
            <w:tcW w:w="100" w:type="dxa"/>
            <w:vAlign w:val="bottom"/>
            <w:shd w:val="clear" w:color="auto" w:fill="CCEDD4"/>
          </w:tcPr>
          <w:p>
            <w:pPr>
              <w:spacing w:after="0"/>
              <w:rPr>
                <w:sz w:val="18"/>
                <w:szCs w:val="18"/>
                <w:color w:val="auto"/>
              </w:rPr>
            </w:pPr>
          </w:p>
        </w:tc>
        <w:tc>
          <w:tcPr>
            <w:tcW w:w="680" w:type="dxa"/>
            <w:vAlign w:val="bottom"/>
            <w:tcBorders>
              <w:right w:val="single" w:sz="8" w:color="56C271"/>
            </w:tcBorders>
            <w:gridSpan w:val="2"/>
            <w:shd w:val="clear" w:color="auto" w:fill="CCEDD4"/>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46</w:t>
              </w:r>
            </w:hyperlink>
          </w:p>
        </w:tc>
      </w:tr>
      <w:tr>
        <w:trPr>
          <w:trHeight w:val="210"/>
        </w:trPr>
        <w:tc>
          <w:tcPr>
            <w:tcW w:w="120" w:type="dxa"/>
            <w:vAlign w:val="bottom"/>
            <w:tcBorders>
              <w:top w:val="single" w:sz="8" w:color="CCEDD4"/>
              <w:left w:val="single" w:sz="8" w:color="56C271"/>
              <w:bottom w:val="single" w:sz="8" w:color="CCEDD4"/>
            </w:tcBorders>
            <w:shd w:val="clear" w:color="auto" w:fill="CCEDD4"/>
          </w:tcPr>
          <w:p>
            <w:pPr>
              <w:spacing w:after="0"/>
              <w:rPr>
                <w:sz w:val="18"/>
                <w:szCs w:val="18"/>
                <w:color w:val="auto"/>
              </w:rPr>
            </w:pPr>
          </w:p>
        </w:tc>
        <w:tc>
          <w:tcPr>
            <w:tcW w:w="160" w:type="dxa"/>
            <w:vAlign w:val="bottom"/>
            <w:tcBorders>
              <w:top w:val="single" w:sz="8" w:color="0000EE"/>
              <w:bottom w:val="single" w:sz="8" w:color="CCEDD4"/>
            </w:tcBorders>
            <w:shd w:val="clear" w:color="auto" w:fill="CCEDD4"/>
          </w:tcPr>
          <w:p>
            <w:pPr>
              <w:spacing w:after="0"/>
              <w:rPr>
                <w:sz w:val="18"/>
                <w:szCs w:val="18"/>
                <w:color w:val="auto"/>
              </w:rPr>
            </w:pPr>
          </w:p>
        </w:tc>
        <w:tc>
          <w:tcPr>
            <w:tcW w:w="580" w:type="dxa"/>
            <w:vAlign w:val="bottom"/>
            <w:tcBorders>
              <w:top w:val="single" w:sz="8" w:color="0000EE"/>
              <w:bottom w:val="single" w:sz="8" w:color="0000EE"/>
            </w:tcBorders>
            <w:shd w:val="clear" w:color="auto" w:fill="CCEDD4"/>
          </w:tcPr>
          <w:p>
            <w:pPr>
              <w:spacing w:after="0"/>
              <w:rPr>
                <w:rFonts w:ascii="Arial" w:cs="Arial" w:eastAsia="Arial" w:hAnsi="Arial"/>
                <w:sz w:val="16"/>
                <w:szCs w:val="16"/>
                <w:color w:val="0000EE"/>
                <w:w w:val="98"/>
              </w:rPr>
            </w:pPr>
            <w:hyperlink w:anchor="page51">
              <w:r>
                <w:rPr>
                  <w:rFonts w:ascii="Arial" w:cs="Arial" w:eastAsia="Arial" w:hAnsi="Arial"/>
                  <w:sz w:val="16"/>
                  <w:szCs w:val="16"/>
                  <w:color w:val="0000EE"/>
                  <w:w w:val="98"/>
                </w:rPr>
                <w:t>Pay Mix</w:t>
              </w:r>
            </w:hyperlink>
          </w:p>
        </w:tc>
        <w:tc>
          <w:tcPr>
            <w:tcW w:w="1260" w:type="dxa"/>
            <w:vAlign w:val="bottom"/>
            <w:tcBorders>
              <w:top w:val="single" w:sz="8" w:color="0000EE"/>
              <w:bottom w:val="single" w:sz="8" w:color="CCEDD4"/>
            </w:tcBorders>
            <w:gridSpan w:val="10"/>
            <w:shd w:val="clear" w:color="auto" w:fill="CCEDD4"/>
          </w:tcPr>
          <w:p>
            <w:pPr>
              <w:spacing w:after="0"/>
              <w:rPr>
                <w:sz w:val="18"/>
                <w:szCs w:val="18"/>
                <w:color w:val="auto"/>
              </w:rPr>
            </w:pPr>
          </w:p>
        </w:tc>
        <w:tc>
          <w:tcPr>
            <w:tcW w:w="260" w:type="dxa"/>
            <w:vAlign w:val="bottom"/>
            <w:tcBorders>
              <w:top w:val="single" w:sz="8" w:color="CCEDD4"/>
              <w:bottom w:val="single" w:sz="8" w:color="CCEDD4"/>
            </w:tcBorders>
            <w:gridSpan w:val="4"/>
            <w:shd w:val="clear" w:color="auto" w:fill="CCEDD4"/>
          </w:tcPr>
          <w:p>
            <w:pPr>
              <w:spacing w:after="0"/>
              <w:rPr>
                <w:sz w:val="18"/>
                <w:szCs w:val="18"/>
                <w:color w:val="auto"/>
              </w:rPr>
            </w:pPr>
          </w:p>
        </w:tc>
        <w:tc>
          <w:tcPr>
            <w:tcW w:w="260" w:type="dxa"/>
            <w:vAlign w:val="bottom"/>
            <w:tcBorders>
              <w:top w:val="single" w:sz="8" w:color="CCEDD4"/>
              <w:bottom w:val="single" w:sz="8" w:color="CCEDD4"/>
            </w:tcBorders>
            <w:shd w:val="clear" w:color="auto" w:fill="CCEDD4"/>
          </w:tcPr>
          <w:p>
            <w:pPr>
              <w:spacing w:after="0"/>
              <w:rPr>
                <w:sz w:val="18"/>
                <w:szCs w:val="18"/>
                <w:color w:val="auto"/>
              </w:rPr>
            </w:pPr>
          </w:p>
        </w:tc>
        <w:tc>
          <w:tcPr>
            <w:tcW w:w="20" w:type="dxa"/>
            <w:vAlign w:val="bottom"/>
            <w:tcBorders>
              <w:top w:val="single" w:sz="8" w:color="CCEDD4"/>
              <w:bottom w:val="single" w:sz="8" w:color="CCEDD4"/>
            </w:tcBorders>
            <w:shd w:val="clear" w:color="auto" w:fill="CCEDD4"/>
          </w:tcPr>
          <w:p>
            <w:pPr>
              <w:spacing w:after="0"/>
              <w:rPr>
                <w:sz w:val="18"/>
                <w:szCs w:val="18"/>
                <w:color w:val="auto"/>
              </w:rPr>
            </w:pPr>
          </w:p>
        </w:tc>
        <w:tc>
          <w:tcPr>
            <w:tcW w:w="20" w:type="dxa"/>
            <w:vAlign w:val="bottom"/>
            <w:tcBorders>
              <w:top w:val="single" w:sz="8" w:color="CCEDD4"/>
              <w:bottom w:val="single" w:sz="8" w:color="CCEDD4"/>
            </w:tcBorders>
            <w:shd w:val="clear" w:color="auto" w:fill="CCEDD4"/>
          </w:tcPr>
          <w:p>
            <w:pPr>
              <w:spacing w:after="0"/>
              <w:rPr>
                <w:sz w:val="18"/>
                <w:szCs w:val="18"/>
                <w:color w:val="auto"/>
              </w:rPr>
            </w:pPr>
          </w:p>
        </w:tc>
        <w:tc>
          <w:tcPr>
            <w:tcW w:w="40" w:type="dxa"/>
            <w:vAlign w:val="bottom"/>
            <w:tcBorders>
              <w:top w:val="single" w:sz="8" w:color="CCEDD4"/>
              <w:bottom w:val="single" w:sz="8" w:color="CCEDD4"/>
            </w:tcBorders>
            <w:shd w:val="clear" w:color="auto" w:fill="CCEDD4"/>
          </w:tcPr>
          <w:p>
            <w:pPr>
              <w:spacing w:after="0"/>
              <w:rPr>
                <w:sz w:val="18"/>
                <w:szCs w:val="18"/>
                <w:color w:val="auto"/>
              </w:rPr>
            </w:pPr>
          </w:p>
        </w:tc>
        <w:tc>
          <w:tcPr>
            <w:tcW w:w="60" w:type="dxa"/>
            <w:vAlign w:val="bottom"/>
            <w:tcBorders>
              <w:top w:val="single" w:sz="8" w:color="CCEDD4"/>
              <w:bottom w:val="single" w:sz="8" w:color="CCEDD4"/>
            </w:tcBorders>
            <w:shd w:val="clear" w:color="auto" w:fill="CCEDD4"/>
          </w:tcPr>
          <w:p>
            <w:pPr>
              <w:spacing w:after="0"/>
              <w:rPr>
                <w:sz w:val="18"/>
                <w:szCs w:val="18"/>
                <w:color w:val="auto"/>
              </w:rPr>
            </w:pPr>
          </w:p>
        </w:tc>
        <w:tc>
          <w:tcPr>
            <w:tcW w:w="160" w:type="dxa"/>
            <w:vAlign w:val="bottom"/>
            <w:tcBorders>
              <w:top w:val="single" w:sz="8" w:color="CCEDD4"/>
              <w:bottom w:val="single" w:sz="8" w:color="CCEDD4"/>
            </w:tcBorders>
            <w:shd w:val="clear" w:color="auto" w:fill="CCEDD4"/>
          </w:tcPr>
          <w:p>
            <w:pPr>
              <w:spacing w:after="0"/>
              <w:rPr>
                <w:sz w:val="18"/>
                <w:szCs w:val="18"/>
                <w:color w:val="auto"/>
              </w:rPr>
            </w:pPr>
          </w:p>
        </w:tc>
        <w:tc>
          <w:tcPr>
            <w:tcW w:w="20" w:type="dxa"/>
            <w:vAlign w:val="bottom"/>
            <w:tcBorders>
              <w:top w:val="single" w:sz="8" w:color="CCEDD4"/>
              <w:bottom w:val="single" w:sz="8" w:color="CCEDD4"/>
            </w:tcBorders>
            <w:shd w:val="clear" w:color="auto" w:fill="CCEDD4"/>
          </w:tcPr>
          <w:p>
            <w:pPr>
              <w:spacing w:after="0"/>
              <w:rPr>
                <w:sz w:val="18"/>
                <w:szCs w:val="18"/>
                <w:color w:val="auto"/>
              </w:rPr>
            </w:pPr>
          </w:p>
        </w:tc>
        <w:tc>
          <w:tcPr>
            <w:tcW w:w="120" w:type="dxa"/>
            <w:vAlign w:val="bottom"/>
            <w:tcBorders>
              <w:top w:val="single" w:sz="8" w:color="CCEDD4"/>
              <w:bottom w:val="single" w:sz="8" w:color="CCEDD4"/>
            </w:tcBorders>
            <w:shd w:val="clear" w:color="auto" w:fill="CCEDD4"/>
          </w:tcPr>
          <w:p>
            <w:pPr>
              <w:spacing w:after="0"/>
              <w:rPr>
                <w:sz w:val="18"/>
                <w:szCs w:val="18"/>
                <w:color w:val="auto"/>
              </w:rPr>
            </w:pPr>
          </w:p>
        </w:tc>
        <w:tc>
          <w:tcPr>
            <w:tcW w:w="80" w:type="dxa"/>
            <w:vAlign w:val="bottom"/>
            <w:tcBorders>
              <w:top w:val="single" w:sz="8" w:color="CCEDD4"/>
              <w:bottom w:val="single" w:sz="8" w:color="CCEDD4"/>
            </w:tcBorders>
            <w:shd w:val="clear" w:color="auto" w:fill="CCEDD4"/>
          </w:tcPr>
          <w:p>
            <w:pPr>
              <w:spacing w:after="0"/>
              <w:rPr>
                <w:sz w:val="18"/>
                <w:szCs w:val="18"/>
                <w:color w:val="auto"/>
              </w:rPr>
            </w:pPr>
          </w:p>
        </w:tc>
        <w:tc>
          <w:tcPr>
            <w:tcW w:w="300" w:type="dxa"/>
            <w:vAlign w:val="bottom"/>
            <w:tcBorders>
              <w:top w:val="single" w:sz="8" w:color="CCEDD4"/>
              <w:bottom w:val="single" w:sz="8" w:color="CCEDD4"/>
            </w:tcBorders>
            <w:shd w:val="clear" w:color="auto" w:fill="CCEDD4"/>
          </w:tcPr>
          <w:p>
            <w:pPr>
              <w:spacing w:after="0"/>
              <w:rPr>
                <w:sz w:val="18"/>
                <w:szCs w:val="18"/>
                <w:color w:val="auto"/>
              </w:rPr>
            </w:pPr>
          </w:p>
        </w:tc>
        <w:tc>
          <w:tcPr>
            <w:tcW w:w="40" w:type="dxa"/>
            <w:vAlign w:val="bottom"/>
            <w:tcBorders>
              <w:top w:val="single" w:sz="8" w:color="CCEDD4"/>
              <w:bottom w:val="single" w:sz="8" w:color="CCEDD4"/>
            </w:tcBorders>
            <w:shd w:val="clear" w:color="auto" w:fill="CCEDD4"/>
          </w:tcPr>
          <w:p>
            <w:pPr>
              <w:spacing w:after="0"/>
              <w:rPr>
                <w:sz w:val="18"/>
                <w:szCs w:val="18"/>
                <w:color w:val="auto"/>
              </w:rPr>
            </w:pPr>
          </w:p>
        </w:tc>
        <w:tc>
          <w:tcPr>
            <w:tcW w:w="100" w:type="dxa"/>
            <w:vAlign w:val="bottom"/>
            <w:tcBorders>
              <w:top w:val="single" w:sz="8" w:color="CCEDD4"/>
              <w:bottom w:val="single" w:sz="8" w:color="CCEDD4"/>
            </w:tcBorders>
            <w:shd w:val="clear" w:color="auto" w:fill="CCEDD4"/>
          </w:tcPr>
          <w:p>
            <w:pPr>
              <w:spacing w:after="0"/>
              <w:rPr>
                <w:sz w:val="18"/>
                <w:szCs w:val="18"/>
                <w:color w:val="auto"/>
              </w:rPr>
            </w:pPr>
          </w:p>
        </w:tc>
        <w:tc>
          <w:tcPr>
            <w:tcW w:w="420" w:type="dxa"/>
            <w:vAlign w:val="bottom"/>
            <w:tcBorders>
              <w:top w:val="single" w:sz="8" w:color="CCEDD4"/>
              <w:bottom w:val="single" w:sz="8" w:color="CCEDD4"/>
            </w:tcBorders>
            <w:shd w:val="clear" w:color="auto" w:fill="CCEDD4"/>
          </w:tcPr>
          <w:p>
            <w:pPr>
              <w:spacing w:after="0"/>
              <w:rPr>
                <w:sz w:val="18"/>
                <w:szCs w:val="18"/>
                <w:color w:val="auto"/>
              </w:rPr>
            </w:pPr>
          </w:p>
        </w:tc>
        <w:tc>
          <w:tcPr>
            <w:tcW w:w="260" w:type="dxa"/>
            <w:vAlign w:val="bottom"/>
            <w:tcBorders>
              <w:top w:val="single" w:sz="8" w:color="0000EE"/>
              <w:bottom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47</w:t>
              </w:r>
            </w:hyperlink>
          </w:p>
        </w:tc>
      </w:tr>
      <w:tr>
        <w:trPr>
          <w:trHeight w:val="210"/>
        </w:trPr>
        <w:tc>
          <w:tcPr>
            <w:tcW w:w="120" w:type="dxa"/>
            <w:vAlign w:val="bottom"/>
            <w:tcBorders>
              <w:left w:val="single" w:sz="8" w:color="56C271"/>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680" w:type="dxa"/>
            <w:vAlign w:val="bottom"/>
            <w:tcBorders>
              <w:bottom w:val="single" w:sz="8" w:color="0000EE"/>
            </w:tcBorders>
            <w:gridSpan w:val="22"/>
            <w:shd w:val="clear" w:color="auto" w:fill="CCEDD4"/>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Compensation Governance Practices</w:t>
              </w:r>
            </w:hyperlink>
          </w:p>
        </w:tc>
        <w:tc>
          <w:tcPr>
            <w:tcW w:w="640" w:type="dxa"/>
            <w:vAlign w:val="bottom"/>
            <w:tcBorders>
              <w:bottom w:val="single" w:sz="8" w:color="CCEDD4"/>
            </w:tcBorders>
            <w:gridSpan w:val="5"/>
            <w:shd w:val="clear" w:color="auto" w:fill="CCEDD4"/>
          </w:tcPr>
          <w:p>
            <w:pPr>
              <w:spacing w:after="0"/>
              <w:rPr>
                <w:sz w:val="18"/>
                <w:szCs w:val="18"/>
                <w:color w:val="auto"/>
              </w:rPr>
            </w:pPr>
          </w:p>
        </w:tc>
        <w:tc>
          <w:tcPr>
            <w:tcW w:w="420" w:type="dxa"/>
            <w:vAlign w:val="bottom"/>
            <w:tcBorders>
              <w:bottom w:val="single" w:sz="8" w:color="CCEDD4"/>
            </w:tcBorders>
            <w:shd w:val="clear" w:color="auto" w:fill="CCEDD4"/>
          </w:tcPr>
          <w:p>
            <w:pPr>
              <w:spacing w:after="0"/>
              <w:rPr>
                <w:sz w:val="18"/>
                <w:szCs w:val="18"/>
                <w:color w:val="auto"/>
              </w:rPr>
            </w:pPr>
          </w:p>
        </w:tc>
        <w:tc>
          <w:tcPr>
            <w:tcW w:w="260" w:type="dxa"/>
            <w:vAlign w:val="bottom"/>
            <w:tcBorders>
              <w:bottom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48</w:t>
              </w:r>
            </w:hyperlink>
          </w:p>
        </w:tc>
      </w:tr>
      <w:tr>
        <w:trPr>
          <w:trHeight w:val="210"/>
        </w:trPr>
        <w:tc>
          <w:tcPr>
            <w:tcW w:w="120" w:type="dxa"/>
            <w:vAlign w:val="bottom"/>
            <w:tcBorders>
              <w:left w:val="single" w:sz="8" w:color="56C271"/>
            </w:tcBorders>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3320" w:type="dxa"/>
            <w:vAlign w:val="bottom"/>
            <w:gridSpan w:val="27"/>
            <w:shd w:val="clear" w:color="auto" w:fill="CCEDD4"/>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Compensation Risk Management</w:t>
              </w:r>
            </w:hyperlink>
          </w:p>
        </w:tc>
        <w:tc>
          <w:tcPr>
            <w:tcW w:w="680" w:type="dxa"/>
            <w:vAlign w:val="bottom"/>
            <w:tcBorders>
              <w:right w:val="single" w:sz="8" w:color="56C271"/>
            </w:tcBorders>
            <w:gridSpan w:val="2"/>
            <w:shd w:val="clear" w:color="auto" w:fill="CCEDD4"/>
          </w:tcPr>
          <w:p>
            <w:pPr>
              <w:jc w:val="right"/>
              <w:spacing w:after="0"/>
              <w:rPr>
                <w:rFonts w:ascii="Arial" w:cs="Arial" w:eastAsia="Arial" w:hAnsi="Arial"/>
                <w:sz w:val="16"/>
                <w:szCs w:val="16"/>
                <w:color w:val="0000EE"/>
              </w:rPr>
            </w:pPr>
            <w:hyperlink w:anchor="page53">
              <w:r>
                <w:rPr>
                  <w:rFonts w:ascii="Arial" w:cs="Arial" w:eastAsia="Arial" w:hAnsi="Arial"/>
                  <w:sz w:val="16"/>
                  <w:szCs w:val="16"/>
                  <w:color w:val="0000EE"/>
                </w:rPr>
                <w:t>49</w:t>
              </w:r>
            </w:hyperlink>
          </w:p>
        </w:tc>
      </w:tr>
      <w:tr>
        <w:trPr>
          <w:trHeight w:val="20"/>
        </w:trPr>
        <w:tc>
          <w:tcPr>
            <w:tcW w:w="280" w:type="dxa"/>
            <w:vAlign w:val="bottom"/>
            <w:tcBorders>
              <w:left w:val="single" w:sz="8" w:color="56C271"/>
            </w:tcBorders>
            <w:gridSpan w:val="2"/>
            <w:shd w:val="clear" w:color="auto" w:fill="CCEDD4"/>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CCEDD4"/>
          </w:tcPr>
          <w:p>
            <w:pPr>
              <w:spacing w:after="0" w:line="20" w:lineRule="exact"/>
              <w:rPr>
                <w:sz w:val="1"/>
                <w:szCs w:val="1"/>
                <w:color w:val="auto"/>
              </w:rPr>
            </w:pPr>
          </w:p>
        </w:tc>
        <w:tc>
          <w:tcPr>
            <w:tcW w:w="160" w:type="dxa"/>
            <w:vAlign w:val="bottom"/>
            <w:shd w:val="clear" w:color="auto" w:fill="CCEDD4"/>
          </w:tcPr>
          <w:p>
            <w:pPr>
              <w:spacing w:after="0" w:line="20" w:lineRule="exact"/>
              <w:rPr>
                <w:sz w:val="1"/>
                <w:szCs w:val="1"/>
                <w:color w:val="auto"/>
              </w:rPr>
            </w:pPr>
          </w:p>
        </w:tc>
        <w:tc>
          <w:tcPr>
            <w:tcW w:w="560" w:type="dxa"/>
            <w:vAlign w:val="bottom"/>
            <w:gridSpan w:val="5"/>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420" w:type="dxa"/>
            <w:vAlign w:val="bottom"/>
            <w:shd w:val="clear" w:color="auto" w:fill="CCEDD4"/>
          </w:tcPr>
          <w:p>
            <w:pPr>
              <w:spacing w:after="0" w:line="20" w:lineRule="exact"/>
              <w:rPr>
                <w:sz w:val="1"/>
                <w:szCs w:val="1"/>
                <w:color w:val="auto"/>
              </w:rPr>
            </w:pPr>
          </w:p>
        </w:tc>
        <w:tc>
          <w:tcPr>
            <w:tcW w:w="260" w:type="dxa"/>
            <w:vAlign w:val="bottom"/>
            <w:tcBorders>
              <w:right w:val="single" w:sz="8" w:color="56C271"/>
            </w:tcBorders>
            <w:shd w:val="clear" w:color="auto" w:fill="0000EE"/>
          </w:tcPr>
          <w:p>
            <w:pPr>
              <w:spacing w:after="0" w:line="20" w:lineRule="exact"/>
              <w:rPr>
                <w:sz w:val="1"/>
                <w:szCs w:val="1"/>
                <w:color w:val="auto"/>
              </w:rPr>
            </w:pPr>
          </w:p>
        </w:tc>
      </w:tr>
      <w:tr>
        <w:trPr>
          <w:trHeight w:val="209"/>
        </w:trPr>
        <w:tc>
          <w:tcPr>
            <w:tcW w:w="120" w:type="dxa"/>
            <w:vAlign w:val="bottom"/>
            <w:tcBorders>
              <w:left w:val="single" w:sz="8" w:color="56C271"/>
            </w:tcBorders>
            <w:shd w:val="clear" w:color="auto" w:fill="CCEDD4"/>
          </w:tcPr>
          <w:p>
            <w:pPr>
              <w:spacing w:after="0"/>
              <w:rPr>
                <w:sz w:val="18"/>
                <w:szCs w:val="18"/>
                <w:color w:val="auto"/>
              </w:rPr>
            </w:pPr>
          </w:p>
        </w:tc>
        <w:tc>
          <w:tcPr>
            <w:tcW w:w="3480" w:type="dxa"/>
            <w:vAlign w:val="bottom"/>
            <w:gridSpan w:val="28"/>
            <w:shd w:val="clear" w:color="auto" w:fill="CCEDD4"/>
          </w:tcPr>
          <w:p>
            <w:pPr>
              <w:spacing w:after="0"/>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Elements of Executive Compensation</w:t>
              </w:r>
            </w:hyperlink>
          </w:p>
        </w:tc>
        <w:tc>
          <w:tcPr>
            <w:tcW w:w="680" w:type="dxa"/>
            <w:vAlign w:val="bottom"/>
            <w:tcBorders>
              <w:right w:val="single" w:sz="8" w:color="56C271"/>
            </w:tcBorders>
            <w:gridSpan w:val="2"/>
            <w:shd w:val="clear" w:color="auto" w:fill="CCEDD4"/>
          </w:tcPr>
          <w:p>
            <w:pPr>
              <w:jc w:val="right"/>
              <w:spacing w:after="0"/>
              <w:rPr>
                <w:rFonts w:ascii="Arial" w:cs="Arial" w:eastAsia="Arial" w:hAnsi="Arial"/>
                <w:sz w:val="16"/>
                <w:szCs w:val="16"/>
                <w:color w:val="0000EE"/>
              </w:rPr>
            </w:pPr>
            <w:hyperlink w:anchor="page53">
              <w:r>
                <w:rPr>
                  <w:rFonts w:ascii="Arial" w:cs="Arial" w:eastAsia="Arial" w:hAnsi="Arial"/>
                  <w:sz w:val="16"/>
                  <w:szCs w:val="16"/>
                  <w:color w:val="0000EE"/>
                </w:rPr>
                <w:t>49</w:t>
              </w:r>
            </w:hyperlink>
          </w:p>
        </w:tc>
      </w:tr>
      <w:tr>
        <w:trPr>
          <w:trHeight w:val="210"/>
        </w:trPr>
        <w:tc>
          <w:tcPr>
            <w:tcW w:w="120" w:type="dxa"/>
            <w:vAlign w:val="bottom"/>
            <w:tcBorders>
              <w:top w:val="single" w:sz="8" w:color="CCEDD4"/>
              <w:left w:val="single" w:sz="8" w:color="56C271"/>
            </w:tcBorders>
            <w:shd w:val="clear" w:color="auto" w:fill="CCEDD4"/>
          </w:tcPr>
          <w:p>
            <w:pPr>
              <w:spacing w:after="0"/>
              <w:rPr>
                <w:sz w:val="18"/>
                <w:szCs w:val="18"/>
                <w:color w:val="auto"/>
              </w:rPr>
            </w:pPr>
          </w:p>
        </w:tc>
        <w:tc>
          <w:tcPr>
            <w:tcW w:w="160" w:type="dxa"/>
            <w:vAlign w:val="bottom"/>
            <w:tcBorders>
              <w:top w:val="single" w:sz="8" w:color="0000EE"/>
            </w:tcBorders>
            <w:shd w:val="clear" w:color="auto" w:fill="CCEDD4"/>
          </w:tcPr>
          <w:p>
            <w:pPr>
              <w:spacing w:after="0"/>
              <w:rPr>
                <w:sz w:val="18"/>
                <w:szCs w:val="18"/>
                <w:color w:val="auto"/>
              </w:rPr>
            </w:pPr>
          </w:p>
        </w:tc>
        <w:tc>
          <w:tcPr>
            <w:tcW w:w="2100" w:type="dxa"/>
            <w:vAlign w:val="bottom"/>
            <w:tcBorders>
              <w:top w:val="single" w:sz="8" w:color="0000EE"/>
            </w:tcBorders>
            <w:gridSpan w:val="15"/>
            <w:shd w:val="clear" w:color="auto" w:fill="CCEDD4"/>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Base Salary</w:t>
              </w:r>
            </w:hyperlink>
          </w:p>
        </w:tc>
        <w:tc>
          <w:tcPr>
            <w:tcW w:w="260" w:type="dxa"/>
            <w:vAlign w:val="bottom"/>
            <w:tcBorders>
              <w:top w:val="single" w:sz="8" w:color="0000EE"/>
            </w:tcBorders>
            <w:shd w:val="clear" w:color="auto" w:fill="CCEDD4"/>
          </w:tcPr>
          <w:p>
            <w:pPr>
              <w:spacing w:after="0"/>
              <w:rPr>
                <w:sz w:val="18"/>
                <w:szCs w:val="18"/>
                <w:color w:val="auto"/>
              </w:rPr>
            </w:pPr>
          </w:p>
        </w:tc>
        <w:tc>
          <w:tcPr>
            <w:tcW w:w="20" w:type="dxa"/>
            <w:vAlign w:val="bottom"/>
            <w:tcBorders>
              <w:top w:val="single" w:sz="8" w:color="0000EE"/>
            </w:tcBorders>
            <w:shd w:val="clear" w:color="auto" w:fill="CCEDD4"/>
          </w:tcPr>
          <w:p>
            <w:pPr>
              <w:spacing w:after="0"/>
              <w:rPr>
                <w:sz w:val="18"/>
                <w:szCs w:val="18"/>
                <w:color w:val="auto"/>
              </w:rPr>
            </w:pPr>
          </w:p>
        </w:tc>
        <w:tc>
          <w:tcPr>
            <w:tcW w:w="20" w:type="dxa"/>
            <w:vAlign w:val="bottom"/>
            <w:tcBorders>
              <w:top w:val="single" w:sz="8" w:color="0000EE"/>
            </w:tcBorders>
            <w:shd w:val="clear" w:color="auto" w:fill="CCEDD4"/>
          </w:tcPr>
          <w:p>
            <w:pPr>
              <w:spacing w:after="0"/>
              <w:rPr>
                <w:sz w:val="18"/>
                <w:szCs w:val="18"/>
                <w:color w:val="auto"/>
              </w:rPr>
            </w:pPr>
          </w:p>
        </w:tc>
        <w:tc>
          <w:tcPr>
            <w:tcW w:w="40" w:type="dxa"/>
            <w:vAlign w:val="bottom"/>
            <w:tcBorders>
              <w:top w:val="single" w:sz="8" w:color="0000EE"/>
            </w:tcBorders>
            <w:shd w:val="clear" w:color="auto" w:fill="CCEDD4"/>
          </w:tcPr>
          <w:p>
            <w:pPr>
              <w:spacing w:after="0"/>
              <w:rPr>
                <w:sz w:val="18"/>
                <w:szCs w:val="18"/>
                <w:color w:val="auto"/>
              </w:rPr>
            </w:pPr>
          </w:p>
        </w:tc>
        <w:tc>
          <w:tcPr>
            <w:tcW w:w="60" w:type="dxa"/>
            <w:vAlign w:val="bottom"/>
            <w:tcBorders>
              <w:top w:val="single" w:sz="8" w:color="0000EE"/>
            </w:tcBorders>
            <w:shd w:val="clear" w:color="auto" w:fill="CCEDD4"/>
          </w:tcPr>
          <w:p>
            <w:pPr>
              <w:spacing w:after="0"/>
              <w:rPr>
                <w:sz w:val="18"/>
                <w:szCs w:val="18"/>
                <w:color w:val="auto"/>
              </w:rPr>
            </w:pPr>
          </w:p>
        </w:tc>
        <w:tc>
          <w:tcPr>
            <w:tcW w:w="160" w:type="dxa"/>
            <w:vAlign w:val="bottom"/>
            <w:tcBorders>
              <w:top w:val="single" w:sz="8" w:color="0000EE"/>
            </w:tcBorders>
            <w:shd w:val="clear" w:color="auto" w:fill="CCEDD4"/>
          </w:tcPr>
          <w:p>
            <w:pPr>
              <w:spacing w:after="0"/>
              <w:rPr>
                <w:sz w:val="18"/>
                <w:szCs w:val="18"/>
                <w:color w:val="auto"/>
              </w:rPr>
            </w:pPr>
          </w:p>
        </w:tc>
        <w:tc>
          <w:tcPr>
            <w:tcW w:w="20" w:type="dxa"/>
            <w:vAlign w:val="bottom"/>
            <w:tcBorders>
              <w:top w:val="single" w:sz="8" w:color="CCEDD4"/>
            </w:tcBorders>
            <w:shd w:val="clear" w:color="auto" w:fill="CCEDD4"/>
          </w:tcPr>
          <w:p>
            <w:pPr>
              <w:spacing w:after="0"/>
              <w:rPr>
                <w:sz w:val="18"/>
                <w:szCs w:val="18"/>
                <w:color w:val="auto"/>
              </w:rPr>
            </w:pPr>
          </w:p>
        </w:tc>
        <w:tc>
          <w:tcPr>
            <w:tcW w:w="120" w:type="dxa"/>
            <w:vAlign w:val="bottom"/>
            <w:tcBorders>
              <w:top w:val="single" w:sz="8" w:color="CCEDD4"/>
            </w:tcBorders>
            <w:shd w:val="clear" w:color="auto" w:fill="CCEDD4"/>
          </w:tcPr>
          <w:p>
            <w:pPr>
              <w:spacing w:after="0"/>
              <w:rPr>
                <w:sz w:val="18"/>
                <w:szCs w:val="18"/>
                <w:color w:val="auto"/>
              </w:rPr>
            </w:pPr>
          </w:p>
        </w:tc>
        <w:tc>
          <w:tcPr>
            <w:tcW w:w="80" w:type="dxa"/>
            <w:vAlign w:val="bottom"/>
            <w:tcBorders>
              <w:top w:val="single" w:sz="8" w:color="CCEDD4"/>
            </w:tcBorders>
            <w:shd w:val="clear" w:color="auto" w:fill="CCEDD4"/>
          </w:tcPr>
          <w:p>
            <w:pPr>
              <w:spacing w:after="0"/>
              <w:rPr>
                <w:sz w:val="18"/>
                <w:szCs w:val="18"/>
                <w:color w:val="auto"/>
              </w:rPr>
            </w:pPr>
          </w:p>
        </w:tc>
        <w:tc>
          <w:tcPr>
            <w:tcW w:w="300" w:type="dxa"/>
            <w:vAlign w:val="bottom"/>
            <w:tcBorders>
              <w:top w:val="single" w:sz="8" w:color="CCEDD4"/>
            </w:tcBorders>
            <w:shd w:val="clear" w:color="auto" w:fill="CCEDD4"/>
          </w:tcPr>
          <w:p>
            <w:pPr>
              <w:spacing w:after="0"/>
              <w:rPr>
                <w:sz w:val="18"/>
                <w:szCs w:val="18"/>
                <w:color w:val="auto"/>
              </w:rPr>
            </w:pPr>
          </w:p>
        </w:tc>
        <w:tc>
          <w:tcPr>
            <w:tcW w:w="40" w:type="dxa"/>
            <w:vAlign w:val="bottom"/>
            <w:tcBorders>
              <w:top w:val="single" w:sz="8" w:color="CCEDD4"/>
            </w:tcBorders>
            <w:shd w:val="clear" w:color="auto" w:fill="CCEDD4"/>
          </w:tcPr>
          <w:p>
            <w:pPr>
              <w:spacing w:after="0"/>
              <w:rPr>
                <w:sz w:val="18"/>
                <w:szCs w:val="18"/>
                <w:color w:val="auto"/>
              </w:rPr>
            </w:pPr>
          </w:p>
        </w:tc>
        <w:tc>
          <w:tcPr>
            <w:tcW w:w="100" w:type="dxa"/>
            <w:vAlign w:val="bottom"/>
            <w:tcBorders>
              <w:top w:val="single" w:sz="8" w:color="CCEDD4"/>
            </w:tcBorders>
            <w:shd w:val="clear" w:color="auto" w:fill="CCEDD4"/>
          </w:tcPr>
          <w:p>
            <w:pPr>
              <w:spacing w:after="0"/>
              <w:rPr>
                <w:sz w:val="18"/>
                <w:szCs w:val="18"/>
                <w:color w:val="auto"/>
              </w:rPr>
            </w:pPr>
          </w:p>
        </w:tc>
        <w:tc>
          <w:tcPr>
            <w:tcW w:w="420" w:type="dxa"/>
            <w:vAlign w:val="bottom"/>
            <w:tcBorders>
              <w:top w:val="single" w:sz="8" w:color="CCEDD4"/>
            </w:tcBorders>
            <w:shd w:val="clear" w:color="auto" w:fill="CCEDD4"/>
          </w:tcPr>
          <w:p>
            <w:pPr>
              <w:spacing w:after="0"/>
              <w:rPr>
                <w:sz w:val="18"/>
                <w:szCs w:val="18"/>
                <w:color w:val="auto"/>
              </w:rPr>
            </w:pPr>
          </w:p>
        </w:tc>
        <w:tc>
          <w:tcPr>
            <w:tcW w:w="260" w:type="dxa"/>
            <w:vAlign w:val="bottom"/>
            <w:tcBorders>
              <w:top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53">
              <w:r>
                <w:rPr>
                  <w:rFonts w:ascii="Arial" w:cs="Arial" w:eastAsia="Arial" w:hAnsi="Arial"/>
                  <w:sz w:val="16"/>
                  <w:szCs w:val="16"/>
                  <w:color w:val="0000EE"/>
                  <w:w w:val="89"/>
                </w:rPr>
                <w:t>49</w:t>
              </w:r>
            </w:hyperlink>
          </w:p>
        </w:tc>
      </w:tr>
      <w:tr>
        <w:trPr>
          <w:trHeight w:val="20"/>
        </w:trPr>
        <w:tc>
          <w:tcPr>
            <w:tcW w:w="120" w:type="dxa"/>
            <w:vAlign w:val="bottom"/>
            <w:tcBorders>
              <w:left w:val="single" w:sz="8" w:color="56C271"/>
            </w:tcBorders>
            <w:shd w:val="clear" w:color="auto" w:fill="CCEDD4"/>
          </w:tcPr>
          <w:p>
            <w:pPr>
              <w:spacing w:after="0" w:line="20" w:lineRule="exact"/>
              <w:rPr>
                <w:sz w:val="1"/>
                <w:szCs w:val="1"/>
                <w:color w:val="auto"/>
              </w:rPr>
            </w:pPr>
          </w:p>
        </w:tc>
        <w:tc>
          <w:tcPr>
            <w:tcW w:w="160" w:type="dxa"/>
            <w:vAlign w:val="bottom"/>
            <w:shd w:val="clear" w:color="auto" w:fill="CCEDD4"/>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CCEDD4"/>
            </w:tcBorders>
            <w:gridSpan w:val="3"/>
            <w:shd w:val="clear" w:color="auto" w:fill="CCEDD4"/>
          </w:tcPr>
          <w:p>
            <w:pPr>
              <w:spacing w:after="0" w:line="20" w:lineRule="exact"/>
              <w:rPr>
                <w:sz w:val="1"/>
                <w:szCs w:val="1"/>
                <w:color w:val="auto"/>
              </w:rPr>
            </w:pPr>
          </w:p>
        </w:tc>
        <w:tc>
          <w:tcPr>
            <w:tcW w:w="240" w:type="dxa"/>
            <w:vAlign w:val="bottom"/>
            <w:tcBorders>
              <w:right w:val="single" w:sz="8" w:color="CCEDD4"/>
            </w:tcBorders>
            <w:gridSpan w:val="2"/>
            <w:shd w:val="clear" w:color="auto" w:fill="CCEDD4"/>
          </w:tcPr>
          <w:p>
            <w:pPr>
              <w:spacing w:after="0" w:line="20" w:lineRule="exact"/>
              <w:rPr>
                <w:sz w:val="1"/>
                <w:szCs w:val="1"/>
                <w:color w:val="auto"/>
              </w:rPr>
            </w:pPr>
          </w:p>
        </w:tc>
        <w:tc>
          <w:tcPr>
            <w:tcW w:w="8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280" w:type="dxa"/>
            <w:vAlign w:val="bottom"/>
            <w:gridSpan w:val="4"/>
            <w:shd w:val="clear" w:color="auto" w:fill="CCEDD4"/>
          </w:tcPr>
          <w:p>
            <w:pPr>
              <w:spacing w:after="0" w:line="20" w:lineRule="exact"/>
              <w:rPr>
                <w:sz w:val="1"/>
                <w:szCs w:val="1"/>
                <w:color w:val="auto"/>
              </w:rPr>
            </w:pPr>
          </w:p>
        </w:tc>
        <w:tc>
          <w:tcPr>
            <w:tcW w:w="80" w:type="dxa"/>
            <w:vAlign w:val="bottom"/>
            <w:shd w:val="clear" w:color="auto" w:fill="CCEDD4"/>
          </w:tcPr>
          <w:p>
            <w:pPr>
              <w:spacing w:after="0" w:line="20" w:lineRule="exact"/>
              <w:rPr>
                <w:sz w:val="1"/>
                <w:szCs w:val="1"/>
                <w:color w:val="auto"/>
              </w:rPr>
            </w:pPr>
          </w:p>
        </w:tc>
        <w:tc>
          <w:tcPr>
            <w:tcW w:w="26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60" w:type="dxa"/>
            <w:vAlign w:val="bottom"/>
            <w:shd w:val="clear" w:color="auto" w:fill="CCEDD4"/>
          </w:tcPr>
          <w:p>
            <w:pPr>
              <w:spacing w:after="0" w:line="20" w:lineRule="exact"/>
              <w:rPr>
                <w:sz w:val="1"/>
                <w:szCs w:val="1"/>
                <w:color w:val="auto"/>
              </w:rPr>
            </w:pPr>
          </w:p>
        </w:tc>
        <w:tc>
          <w:tcPr>
            <w:tcW w:w="16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120" w:type="dxa"/>
            <w:vAlign w:val="bottom"/>
            <w:shd w:val="clear" w:color="auto" w:fill="CCEDD4"/>
          </w:tcPr>
          <w:p>
            <w:pPr>
              <w:spacing w:after="0" w:line="20" w:lineRule="exact"/>
              <w:rPr>
                <w:sz w:val="1"/>
                <w:szCs w:val="1"/>
                <w:color w:val="auto"/>
              </w:rPr>
            </w:pPr>
          </w:p>
        </w:tc>
        <w:tc>
          <w:tcPr>
            <w:tcW w:w="80" w:type="dxa"/>
            <w:vAlign w:val="bottom"/>
            <w:shd w:val="clear" w:color="auto" w:fill="CCEDD4"/>
          </w:tcPr>
          <w:p>
            <w:pPr>
              <w:spacing w:after="0" w:line="20" w:lineRule="exact"/>
              <w:rPr>
                <w:sz w:val="1"/>
                <w:szCs w:val="1"/>
                <w:color w:val="auto"/>
              </w:rPr>
            </w:pPr>
          </w:p>
        </w:tc>
        <w:tc>
          <w:tcPr>
            <w:tcW w:w="30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420" w:type="dxa"/>
            <w:vAlign w:val="bottom"/>
            <w:shd w:val="clear" w:color="auto" w:fill="CCEDD4"/>
          </w:tcPr>
          <w:p>
            <w:pPr>
              <w:spacing w:after="0" w:line="20" w:lineRule="exact"/>
              <w:rPr>
                <w:sz w:val="1"/>
                <w:szCs w:val="1"/>
                <w:color w:val="auto"/>
              </w:rPr>
            </w:pPr>
          </w:p>
        </w:tc>
        <w:tc>
          <w:tcPr>
            <w:tcW w:w="260" w:type="dxa"/>
            <w:vAlign w:val="bottom"/>
            <w:tcBorders>
              <w:right w:val="single" w:sz="8" w:color="56C271"/>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1700" w:type="dxa"/>
            <w:vAlign w:val="bottom"/>
            <w:tcBorders>
              <w:bottom w:val="single" w:sz="8" w:color="0000EE"/>
            </w:tcBorders>
            <w:gridSpan w:val="9"/>
            <w:shd w:val="clear" w:color="auto" w:fill="CCEDD4"/>
          </w:tcPr>
          <w:p>
            <w:pPr>
              <w:spacing w:after="0"/>
              <w:rPr>
                <w:rFonts w:ascii="Arial" w:cs="Arial" w:eastAsia="Arial" w:hAnsi="Arial"/>
                <w:sz w:val="16"/>
                <w:szCs w:val="16"/>
                <w:color w:val="0000EE"/>
                <w:w w:val="99"/>
              </w:rPr>
            </w:pPr>
            <w:hyperlink w:anchor="page54">
              <w:r>
                <w:rPr>
                  <w:rFonts w:ascii="Arial" w:cs="Arial" w:eastAsia="Arial" w:hAnsi="Arial"/>
                  <w:sz w:val="16"/>
                  <w:szCs w:val="16"/>
                  <w:color w:val="0000EE"/>
                  <w:w w:val="99"/>
                </w:rPr>
                <w:t>Annual Cash Incentives</w:t>
              </w:r>
            </w:hyperlink>
          </w:p>
        </w:tc>
        <w:tc>
          <w:tcPr>
            <w:tcW w:w="400" w:type="dxa"/>
            <w:vAlign w:val="bottom"/>
            <w:tcBorders>
              <w:bottom w:val="single" w:sz="8" w:color="CCEDD4"/>
            </w:tcBorders>
            <w:gridSpan w:val="6"/>
            <w:shd w:val="clear" w:color="auto" w:fill="CCEDD4"/>
          </w:tcPr>
          <w:p>
            <w:pPr>
              <w:spacing w:after="0"/>
              <w:rPr>
                <w:sz w:val="18"/>
                <w:szCs w:val="18"/>
                <w:color w:val="auto"/>
              </w:rPr>
            </w:pPr>
          </w:p>
        </w:tc>
        <w:tc>
          <w:tcPr>
            <w:tcW w:w="2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60" w:type="dxa"/>
            <w:vAlign w:val="bottom"/>
            <w:tcBorders>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20" w:type="dxa"/>
            <w:vAlign w:val="bottom"/>
            <w:tcBorders>
              <w:bottom w:val="single" w:sz="8" w:color="CCEDD4"/>
            </w:tcBorders>
            <w:shd w:val="clear" w:color="auto" w:fill="CCEDD4"/>
          </w:tcPr>
          <w:p>
            <w:pPr>
              <w:spacing w:after="0"/>
              <w:rPr>
                <w:sz w:val="18"/>
                <w:szCs w:val="18"/>
                <w:color w:val="auto"/>
              </w:rPr>
            </w:pPr>
          </w:p>
        </w:tc>
        <w:tc>
          <w:tcPr>
            <w:tcW w:w="80" w:type="dxa"/>
            <w:vAlign w:val="bottom"/>
            <w:tcBorders>
              <w:bottom w:val="single" w:sz="8" w:color="CCEDD4"/>
            </w:tcBorders>
            <w:shd w:val="clear" w:color="auto" w:fill="CCEDD4"/>
          </w:tcPr>
          <w:p>
            <w:pPr>
              <w:spacing w:after="0"/>
              <w:rPr>
                <w:sz w:val="18"/>
                <w:szCs w:val="18"/>
                <w:color w:val="auto"/>
              </w:rPr>
            </w:pPr>
          </w:p>
        </w:tc>
        <w:tc>
          <w:tcPr>
            <w:tcW w:w="30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420" w:type="dxa"/>
            <w:vAlign w:val="bottom"/>
            <w:tcBorders>
              <w:bottom w:val="single" w:sz="8" w:color="CCEDD4"/>
            </w:tcBorders>
            <w:shd w:val="clear" w:color="auto" w:fill="CCEDD4"/>
          </w:tcPr>
          <w:p>
            <w:pPr>
              <w:spacing w:after="0"/>
              <w:rPr>
                <w:sz w:val="18"/>
                <w:szCs w:val="18"/>
                <w:color w:val="auto"/>
              </w:rPr>
            </w:pPr>
          </w:p>
        </w:tc>
        <w:tc>
          <w:tcPr>
            <w:tcW w:w="260" w:type="dxa"/>
            <w:vAlign w:val="bottom"/>
            <w:tcBorders>
              <w:bottom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50</w:t>
              </w:r>
            </w:hyperlink>
          </w:p>
        </w:tc>
      </w:tr>
      <w:tr>
        <w:trPr>
          <w:trHeight w:val="210"/>
        </w:trPr>
        <w:tc>
          <w:tcPr>
            <w:tcW w:w="120" w:type="dxa"/>
            <w:vAlign w:val="bottom"/>
            <w:tcBorders>
              <w:left w:val="single" w:sz="8" w:color="56C271"/>
            </w:tcBorders>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2100" w:type="dxa"/>
            <w:vAlign w:val="bottom"/>
            <w:gridSpan w:val="15"/>
            <w:shd w:val="clear" w:color="auto" w:fill="CCEDD4"/>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Long-Term Incentives</w:t>
              </w:r>
            </w:hyperlink>
          </w:p>
        </w:tc>
        <w:tc>
          <w:tcPr>
            <w:tcW w:w="260" w:type="dxa"/>
            <w:vAlign w:val="bottom"/>
            <w:shd w:val="clear" w:color="auto" w:fill="CCEDD4"/>
          </w:tcPr>
          <w:p>
            <w:pPr>
              <w:spacing w:after="0"/>
              <w:rPr>
                <w:sz w:val="18"/>
                <w:szCs w:val="18"/>
                <w:color w:val="auto"/>
              </w:rPr>
            </w:pPr>
          </w:p>
        </w:tc>
        <w:tc>
          <w:tcPr>
            <w:tcW w:w="20" w:type="dxa"/>
            <w:vAlign w:val="bottom"/>
            <w:shd w:val="clear" w:color="auto" w:fill="CCEDD4"/>
          </w:tcPr>
          <w:p>
            <w:pPr>
              <w:spacing w:after="0"/>
              <w:rPr>
                <w:sz w:val="18"/>
                <w:szCs w:val="18"/>
                <w:color w:val="auto"/>
              </w:rPr>
            </w:pPr>
          </w:p>
        </w:tc>
        <w:tc>
          <w:tcPr>
            <w:tcW w:w="20" w:type="dxa"/>
            <w:vAlign w:val="bottom"/>
            <w:shd w:val="clear" w:color="auto" w:fill="CCEDD4"/>
          </w:tcPr>
          <w:p>
            <w:pPr>
              <w:spacing w:after="0"/>
              <w:rPr>
                <w:sz w:val="18"/>
                <w:szCs w:val="18"/>
                <w:color w:val="auto"/>
              </w:rPr>
            </w:pPr>
          </w:p>
        </w:tc>
        <w:tc>
          <w:tcPr>
            <w:tcW w:w="40" w:type="dxa"/>
            <w:vAlign w:val="bottom"/>
            <w:shd w:val="clear" w:color="auto" w:fill="CCEDD4"/>
          </w:tcPr>
          <w:p>
            <w:pPr>
              <w:spacing w:after="0"/>
              <w:rPr>
                <w:sz w:val="18"/>
                <w:szCs w:val="18"/>
                <w:color w:val="auto"/>
              </w:rPr>
            </w:pPr>
          </w:p>
        </w:tc>
        <w:tc>
          <w:tcPr>
            <w:tcW w:w="60" w:type="dxa"/>
            <w:vAlign w:val="bottom"/>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20" w:type="dxa"/>
            <w:vAlign w:val="bottom"/>
            <w:shd w:val="clear" w:color="auto" w:fill="CCEDD4"/>
          </w:tcPr>
          <w:p>
            <w:pPr>
              <w:spacing w:after="0"/>
              <w:rPr>
                <w:sz w:val="18"/>
                <w:szCs w:val="18"/>
                <w:color w:val="auto"/>
              </w:rPr>
            </w:pPr>
          </w:p>
        </w:tc>
        <w:tc>
          <w:tcPr>
            <w:tcW w:w="120" w:type="dxa"/>
            <w:vAlign w:val="bottom"/>
            <w:shd w:val="clear" w:color="auto" w:fill="CCEDD4"/>
          </w:tcPr>
          <w:p>
            <w:pPr>
              <w:spacing w:after="0"/>
              <w:rPr>
                <w:sz w:val="18"/>
                <w:szCs w:val="18"/>
                <w:color w:val="auto"/>
              </w:rPr>
            </w:pPr>
          </w:p>
        </w:tc>
        <w:tc>
          <w:tcPr>
            <w:tcW w:w="80" w:type="dxa"/>
            <w:vAlign w:val="bottom"/>
            <w:shd w:val="clear" w:color="auto" w:fill="CCEDD4"/>
          </w:tcPr>
          <w:p>
            <w:pPr>
              <w:spacing w:after="0"/>
              <w:rPr>
                <w:sz w:val="18"/>
                <w:szCs w:val="18"/>
                <w:color w:val="auto"/>
              </w:rPr>
            </w:pPr>
          </w:p>
        </w:tc>
        <w:tc>
          <w:tcPr>
            <w:tcW w:w="300" w:type="dxa"/>
            <w:vAlign w:val="bottom"/>
            <w:shd w:val="clear" w:color="auto" w:fill="CCEDD4"/>
          </w:tcPr>
          <w:p>
            <w:pPr>
              <w:spacing w:after="0"/>
              <w:rPr>
                <w:sz w:val="18"/>
                <w:szCs w:val="18"/>
                <w:color w:val="auto"/>
              </w:rPr>
            </w:pPr>
          </w:p>
        </w:tc>
        <w:tc>
          <w:tcPr>
            <w:tcW w:w="40" w:type="dxa"/>
            <w:vAlign w:val="bottom"/>
            <w:shd w:val="clear" w:color="auto" w:fill="CCEDD4"/>
          </w:tcPr>
          <w:p>
            <w:pPr>
              <w:spacing w:after="0"/>
              <w:rPr>
                <w:sz w:val="18"/>
                <w:szCs w:val="18"/>
                <w:color w:val="auto"/>
              </w:rPr>
            </w:pPr>
          </w:p>
        </w:tc>
        <w:tc>
          <w:tcPr>
            <w:tcW w:w="100" w:type="dxa"/>
            <w:vAlign w:val="bottom"/>
            <w:shd w:val="clear" w:color="auto" w:fill="CCEDD4"/>
          </w:tcPr>
          <w:p>
            <w:pPr>
              <w:spacing w:after="0"/>
              <w:rPr>
                <w:sz w:val="18"/>
                <w:szCs w:val="18"/>
                <w:color w:val="auto"/>
              </w:rPr>
            </w:pPr>
          </w:p>
        </w:tc>
        <w:tc>
          <w:tcPr>
            <w:tcW w:w="680" w:type="dxa"/>
            <w:vAlign w:val="bottom"/>
            <w:tcBorders>
              <w:right w:val="single" w:sz="8" w:color="56C271"/>
            </w:tcBorders>
            <w:gridSpan w:val="2"/>
            <w:shd w:val="clear" w:color="auto" w:fill="CCEDD4"/>
          </w:tcPr>
          <w:p>
            <w:pPr>
              <w:jc w:val="right"/>
              <w:spacing w:after="0"/>
              <w:rPr>
                <w:rFonts w:ascii="Arial" w:cs="Arial" w:eastAsia="Arial" w:hAnsi="Arial"/>
                <w:sz w:val="16"/>
                <w:szCs w:val="16"/>
                <w:color w:val="0000EE"/>
              </w:rPr>
            </w:pPr>
            <w:hyperlink w:anchor="page58">
              <w:r>
                <w:rPr>
                  <w:rFonts w:ascii="Arial" w:cs="Arial" w:eastAsia="Arial" w:hAnsi="Arial"/>
                  <w:sz w:val="16"/>
                  <w:szCs w:val="16"/>
                  <w:color w:val="0000EE"/>
                </w:rPr>
                <w:t>54</w:t>
              </w:r>
            </w:hyperlink>
          </w:p>
        </w:tc>
      </w:tr>
      <w:tr>
        <w:trPr>
          <w:trHeight w:val="20"/>
        </w:trPr>
        <w:tc>
          <w:tcPr>
            <w:tcW w:w="120" w:type="dxa"/>
            <w:vAlign w:val="bottom"/>
            <w:tcBorders>
              <w:left w:val="single" w:sz="8" w:color="56C271"/>
            </w:tcBorders>
            <w:shd w:val="clear" w:color="auto" w:fill="CCEDD4"/>
          </w:tcPr>
          <w:p>
            <w:pPr>
              <w:spacing w:after="0" w:line="20" w:lineRule="exact"/>
              <w:rPr>
                <w:sz w:val="1"/>
                <w:szCs w:val="1"/>
                <w:color w:val="auto"/>
              </w:rPr>
            </w:pPr>
          </w:p>
        </w:tc>
        <w:tc>
          <w:tcPr>
            <w:tcW w:w="160" w:type="dxa"/>
            <w:vAlign w:val="bottom"/>
            <w:shd w:val="clear" w:color="auto" w:fill="CCEDD4"/>
          </w:tcPr>
          <w:p>
            <w:pPr>
              <w:spacing w:after="0" w:line="20" w:lineRule="exact"/>
              <w:rPr>
                <w:sz w:val="1"/>
                <w:szCs w:val="1"/>
                <w:color w:val="auto"/>
              </w:rPr>
            </w:pPr>
          </w:p>
        </w:tc>
        <w:tc>
          <w:tcPr>
            <w:tcW w:w="138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tcBorders>
              <w:right w:val="single" w:sz="8" w:color="CCEDD4"/>
            </w:tcBorders>
            <w:gridSpan w:val="2"/>
            <w:shd w:val="clear" w:color="auto" w:fill="0000EE"/>
          </w:tcPr>
          <w:p>
            <w:pPr>
              <w:spacing w:after="0" w:line="20" w:lineRule="exact"/>
              <w:rPr>
                <w:sz w:val="1"/>
                <w:szCs w:val="1"/>
                <w:color w:val="auto"/>
              </w:rPr>
            </w:pPr>
          </w:p>
        </w:tc>
        <w:tc>
          <w:tcPr>
            <w:tcW w:w="120" w:type="dxa"/>
            <w:vAlign w:val="bottom"/>
            <w:gridSpan w:val="2"/>
            <w:shd w:val="clear" w:color="auto" w:fill="CCEDD4"/>
          </w:tcPr>
          <w:p>
            <w:pPr>
              <w:spacing w:after="0" w:line="20" w:lineRule="exact"/>
              <w:rPr>
                <w:sz w:val="1"/>
                <w:szCs w:val="1"/>
                <w:color w:val="auto"/>
              </w:rPr>
            </w:pPr>
          </w:p>
        </w:tc>
        <w:tc>
          <w:tcPr>
            <w:tcW w:w="280" w:type="dxa"/>
            <w:vAlign w:val="bottom"/>
            <w:gridSpan w:val="4"/>
            <w:shd w:val="clear" w:color="auto" w:fill="CCEDD4"/>
          </w:tcPr>
          <w:p>
            <w:pPr>
              <w:spacing w:after="0" w:line="20" w:lineRule="exact"/>
              <w:rPr>
                <w:sz w:val="1"/>
                <w:szCs w:val="1"/>
                <w:color w:val="auto"/>
              </w:rPr>
            </w:pPr>
          </w:p>
        </w:tc>
        <w:tc>
          <w:tcPr>
            <w:tcW w:w="480" w:type="dxa"/>
            <w:vAlign w:val="bottom"/>
            <w:gridSpan w:val="6"/>
            <w:shd w:val="clear" w:color="auto" w:fill="CCEDD4"/>
          </w:tcPr>
          <w:p>
            <w:pPr>
              <w:spacing w:after="0" w:line="20" w:lineRule="exact"/>
              <w:rPr>
                <w:sz w:val="1"/>
                <w:szCs w:val="1"/>
                <w:color w:val="auto"/>
              </w:rPr>
            </w:pPr>
          </w:p>
        </w:tc>
        <w:tc>
          <w:tcPr>
            <w:tcW w:w="720" w:type="dxa"/>
            <w:vAlign w:val="bottom"/>
            <w:gridSpan w:val="6"/>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420" w:type="dxa"/>
            <w:vAlign w:val="bottom"/>
            <w:shd w:val="clear" w:color="auto" w:fill="CCEDD4"/>
          </w:tcPr>
          <w:p>
            <w:pPr>
              <w:spacing w:after="0" w:line="20" w:lineRule="exact"/>
              <w:rPr>
                <w:sz w:val="1"/>
                <w:szCs w:val="1"/>
                <w:color w:val="auto"/>
              </w:rPr>
            </w:pPr>
          </w:p>
        </w:tc>
        <w:tc>
          <w:tcPr>
            <w:tcW w:w="260" w:type="dxa"/>
            <w:vAlign w:val="bottom"/>
            <w:tcBorders>
              <w:right w:val="single" w:sz="8" w:color="56C271"/>
            </w:tcBorders>
            <w:shd w:val="clear" w:color="auto" w:fill="0000EE"/>
          </w:tcPr>
          <w:p>
            <w:pPr>
              <w:spacing w:after="0" w:line="20" w:lineRule="exact"/>
              <w:rPr>
                <w:sz w:val="1"/>
                <w:szCs w:val="1"/>
                <w:color w:val="auto"/>
              </w:rPr>
            </w:pPr>
          </w:p>
        </w:tc>
      </w:tr>
      <w:tr>
        <w:trPr>
          <w:trHeight w:val="209"/>
        </w:trPr>
        <w:tc>
          <w:tcPr>
            <w:tcW w:w="120" w:type="dxa"/>
            <w:vAlign w:val="bottom"/>
            <w:tcBorders>
              <w:left w:val="single" w:sz="8" w:color="56C271"/>
            </w:tcBorders>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3320" w:type="dxa"/>
            <w:vAlign w:val="bottom"/>
            <w:gridSpan w:val="27"/>
            <w:shd w:val="clear" w:color="auto" w:fill="CCEDD4"/>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Additional Compensation Elements</w:t>
              </w:r>
            </w:hyperlink>
          </w:p>
        </w:tc>
        <w:tc>
          <w:tcPr>
            <w:tcW w:w="680" w:type="dxa"/>
            <w:vAlign w:val="bottom"/>
            <w:tcBorders>
              <w:right w:val="single" w:sz="8" w:color="56C271"/>
            </w:tcBorders>
            <w:gridSpan w:val="2"/>
            <w:shd w:val="clear" w:color="auto" w:fill="CCEDD4"/>
          </w:tcPr>
          <w:p>
            <w:pPr>
              <w:jc w:val="right"/>
              <w:spacing w:after="0"/>
              <w:rPr>
                <w:rFonts w:ascii="Arial" w:cs="Arial" w:eastAsia="Arial" w:hAnsi="Arial"/>
                <w:sz w:val="16"/>
                <w:szCs w:val="16"/>
                <w:color w:val="0000EE"/>
              </w:rPr>
            </w:pPr>
            <w:hyperlink w:anchor="page60">
              <w:r>
                <w:rPr>
                  <w:rFonts w:ascii="Arial" w:cs="Arial" w:eastAsia="Arial" w:hAnsi="Arial"/>
                  <w:sz w:val="16"/>
                  <w:szCs w:val="16"/>
                  <w:color w:val="0000EE"/>
                </w:rPr>
                <w:t>56</w:t>
              </w:r>
            </w:hyperlink>
          </w:p>
        </w:tc>
      </w:tr>
      <w:tr>
        <w:trPr>
          <w:trHeight w:val="20"/>
        </w:trPr>
        <w:tc>
          <w:tcPr>
            <w:tcW w:w="280" w:type="dxa"/>
            <w:vAlign w:val="bottom"/>
            <w:tcBorders>
              <w:left w:val="single" w:sz="8" w:color="56C271"/>
            </w:tcBorders>
            <w:gridSpan w:val="2"/>
            <w:shd w:val="clear" w:color="auto" w:fill="CCEDD4"/>
          </w:tcPr>
          <w:p>
            <w:pPr>
              <w:spacing w:after="0" w:line="20" w:lineRule="exact"/>
              <w:rPr>
                <w:sz w:val="1"/>
                <w:szCs w:val="1"/>
                <w:color w:val="auto"/>
              </w:rPr>
            </w:pPr>
          </w:p>
        </w:tc>
        <w:tc>
          <w:tcPr>
            <w:tcW w:w="138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720" w:type="dxa"/>
            <w:vAlign w:val="bottom"/>
            <w:gridSpan w:val="6"/>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420" w:type="dxa"/>
            <w:vAlign w:val="bottom"/>
            <w:shd w:val="clear" w:color="auto" w:fill="CCEDD4"/>
          </w:tcPr>
          <w:p>
            <w:pPr>
              <w:spacing w:after="0" w:line="20" w:lineRule="exact"/>
              <w:rPr>
                <w:sz w:val="1"/>
                <w:szCs w:val="1"/>
                <w:color w:val="auto"/>
              </w:rPr>
            </w:pPr>
          </w:p>
        </w:tc>
        <w:tc>
          <w:tcPr>
            <w:tcW w:w="260" w:type="dxa"/>
            <w:vAlign w:val="bottom"/>
            <w:tcBorders>
              <w:right w:val="single" w:sz="8" w:color="56C271"/>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6C271"/>
            </w:tcBorders>
            <w:shd w:val="clear" w:color="auto" w:fill="CCEDD4"/>
          </w:tcPr>
          <w:p>
            <w:pPr>
              <w:spacing w:after="0"/>
              <w:rPr>
                <w:sz w:val="18"/>
                <w:szCs w:val="18"/>
                <w:color w:val="auto"/>
              </w:rPr>
            </w:pPr>
          </w:p>
        </w:tc>
        <w:tc>
          <w:tcPr>
            <w:tcW w:w="3480" w:type="dxa"/>
            <w:vAlign w:val="bottom"/>
            <w:gridSpan w:val="28"/>
            <w:shd w:val="clear" w:color="auto" w:fill="CCEDD4"/>
          </w:tcPr>
          <w:p>
            <w:pPr>
              <w:spacing w:after="0"/>
              <w:rPr>
                <w:rFonts w:ascii="Arial" w:cs="Arial" w:eastAsia="Arial" w:hAnsi="Arial"/>
                <w:sz w:val="16"/>
                <w:szCs w:val="16"/>
                <w:b w:val="1"/>
                <w:bCs w:val="1"/>
                <w:color w:val="0000EE"/>
              </w:rPr>
            </w:pPr>
            <w:hyperlink w:anchor="page62">
              <w:r>
                <w:rPr>
                  <w:rFonts w:ascii="Arial" w:cs="Arial" w:eastAsia="Arial" w:hAnsi="Arial"/>
                  <w:sz w:val="16"/>
                  <w:szCs w:val="16"/>
                  <w:b w:val="1"/>
                  <w:bCs w:val="1"/>
                  <w:color w:val="0000EE"/>
                </w:rPr>
                <w:t>Additional Practices, Policies and Guidelines</w:t>
              </w:r>
            </w:hyperlink>
          </w:p>
        </w:tc>
        <w:tc>
          <w:tcPr>
            <w:tcW w:w="680" w:type="dxa"/>
            <w:vAlign w:val="bottom"/>
            <w:tcBorders>
              <w:right w:val="single" w:sz="8" w:color="56C271"/>
            </w:tcBorders>
            <w:gridSpan w:val="2"/>
            <w:shd w:val="clear" w:color="auto" w:fill="CCEDD4"/>
          </w:tcPr>
          <w:p>
            <w:pPr>
              <w:jc w:val="right"/>
              <w:spacing w:after="0"/>
              <w:rPr>
                <w:rFonts w:ascii="Arial" w:cs="Arial" w:eastAsia="Arial" w:hAnsi="Arial"/>
                <w:sz w:val="16"/>
                <w:szCs w:val="16"/>
                <w:color w:val="0000EE"/>
              </w:rPr>
            </w:pPr>
            <w:hyperlink w:anchor="page62">
              <w:r>
                <w:rPr>
                  <w:rFonts w:ascii="Arial" w:cs="Arial" w:eastAsia="Arial" w:hAnsi="Arial"/>
                  <w:sz w:val="16"/>
                  <w:szCs w:val="16"/>
                  <w:color w:val="0000EE"/>
                </w:rPr>
                <w:t>58</w:t>
              </w:r>
            </w:hyperlink>
          </w:p>
        </w:tc>
      </w:tr>
      <w:tr>
        <w:trPr>
          <w:trHeight w:val="210"/>
        </w:trPr>
        <w:tc>
          <w:tcPr>
            <w:tcW w:w="120" w:type="dxa"/>
            <w:vAlign w:val="bottom"/>
            <w:tcBorders>
              <w:top w:val="single" w:sz="8" w:color="CCEDD4"/>
              <w:left w:val="single" w:sz="8" w:color="56C271"/>
            </w:tcBorders>
            <w:shd w:val="clear" w:color="auto" w:fill="CCEDD4"/>
          </w:tcPr>
          <w:p>
            <w:pPr>
              <w:spacing w:after="0"/>
              <w:rPr>
                <w:sz w:val="18"/>
                <w:szCs w:val="18"/>
                <w:color w:val="auto"/>
              </w:rPr>
            </w:pPr>
          </w:p>
        </w:tc>
        <w:tc>
          <w:tcPr>
            <w:tcW w:w="160" w:type="dxa"/>
            <w:vAlign w:val="bottom"/>
            <w:tcBorders>
              <w:top w:val="single" w:sz="8" w:color="0000EE"/>
            </w:tcBorders>
            <w:shd w:val="clear" w:color="auto" w:fill="CCEDD4"/>
          </w:tcPr>
          <w:p>
            <w:pPr>
              <w:spacing w:after="0"/>
              <w:rPr>
                <w:sz w:val="18"/>
                <w:szCs w:val="18"/>
                <w:color w:val="auto"/>
              </w:rPr>
            </w:pPr>
          </w:p>
        </w:tc>
        <w:tc>
          <w:tcPr>
            <w:tcW w:w="2100" w:type="dxa"/>
            <w:vAlign w:val="bottom"/>
            <w:tcBorders>
              <w:top w:val="single" w:sz="8" w:color="0000EE"/>
            </w:tcBorders>
            <w:gridSpan w:val="15"/>
            <w:shd w:val="clear" w:color="auto" w:fill="CCEDD4"/>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Stock Ownership Guidelines</w:t>
              </w:r>
            </w:hyperlink>
          </w:p>
        </w:tc>
        <w:tc>
          <w:tcPr>
            <w:tcW w:w="260" w:type="dxa"/>
            <w:vAlign w:val="bottom"/>
            <w:tcBorders>
              <w:top w:val="single" w:sz="8" w:color="0000EE"/>
            </w:tcBorders>
            <w:shd w:val="clear" w:color="auto" w:fill="CCEDD4"/>
          </w:tcPr>
          <w:p>
            <w:pPr>
              <w:spacing w:after="0"/>
              <w:rPr>
                <w:sz w:val="18"/>
                <w:szCs w:val="18"/>
                <w:color w:val="auto"/>
              </w:rPr>
            </w:pPr>
          </w:p>
        </w:tc>
        <w:tc>
          <w:tcPr>
            <w:tcW w:w="20" w:type="dxa"/>
            <w:vAlign w:val="bottom"/>
            <w:tcBorders>
              <w:top w:val="single" w:sz="8" w:color="0000EE"/>
            </w:tcBorders>
            <w:shd w:val="clear" w:color="auto" w:fill="CCEDD4"/>
          </w:tcPr>
          <w:p>
            <w:pPr>
              <w:spacing w:after="0"/>
              <w:rPr>
                <w:sz w:val="18"/>
                <w:szCs w:val="18"/>
                <w:color w:val="auto"/>
              </w:rPr>
            </w:pPr>
          </w:p>
        </w:tc>
        <w:tc>
          <w:tcPr>
            <w:tcW w:w="20" w:type="dxa"/>
            <w:vAlign w:val="bottom"/>
            <w:tcBorders>
              <w:top w:val="single" w:sz="8" w:color="0000EE"/>
            </w:tcBorders>
            <w:shd w:val="clear" w:color="auto" w:fill="CCEDD4"/>
          </w:tcPr>
          <w:p>
            <w:pPr>
              <w:spacing w:after="0"/>
              <w:rPr>
                <w:sz w:val="18"/>
                <w:szCs w:val="18"/>
                <w:color w:val="auto"/>
              </w:rPr>
            </w:pPr>
          </w:p>
        </w:tc>
        <w:tc>
          <w:tcPr>
            <w:tcW w:w="40" w:type="dxa"/>
            <w:vAlign w:val="bottom"/>
            <w:tcBorders>
              <w:top w:val="single" w:sz="8" w:color="0000EE"/>
            </w:tcBorders>
            <w:shd w:val="clear" w:color="auto" w:fill="CCEDD4"/>
          </w:tcPr>
          <w:p>
            <w:pPr>
              <w:spacing w:after="0"/>
              <w:rPr>
                <w:sz w:val="18"/>
                <w:szCs w:val="18"/>
                <w:color w:val="auto"/>
              </w:rPr>
            </w:pPr>
          </w:p>
        </w:tc>
        <w:tc>
          <w:tcPr>
            <w:tcW w:w="60" w:type="dxa"/>
            <w:vAlign w:val="bottom"/>
            <w:tcBorders>
              <w:top w:val="single" w:sz="8" w:color="0000EE"/>
            </w:tcBorders>
            <w:shd w:val="clear" w:color="auto" w:fill="CCEDD4"/>
          </w:tcPr>
          <w:p>
            <w:pPr>
              <w:spacing w:after="0"/>
              <w:rPr>
                <w:sz w:val="18"/>
                <w:szCs w:val="18"/>
                <w:color w:val="auto"/>
              </w:rPr>
            </w:pPr>
          </w:p>
        </w:tc>
        <w:tc>
          <w:tcPr>
            <w:tcW w:w="160" w:type="dxa"/>
            <w:vAlign w:val="bottom"/>
            <w:tcBorders>
              <w:top w:val="single" w:sz="8" w:color="0000EE"/>
            </w:tcBorders>
            <w:shd w:val="clear" w:color="auto" w:fill="CCEDD4"/>
          </w:tcPr>
          <w:p>
            <w:pPr>
              <w:spacing w:after="0"/>
              <w:rPr>
                <w:sz w:val="18"/>
                <w:szCs w:val="18"/>
                <w:color w:val="auto"/>
              </w:rPr>
            </w:pPr>
          </w:p>
        </w:tc>
        <w:tc>
          <w:tcPr>
            <w:tcW w:w="20" w:type="dxa"/>
            <w:vAlign w:val="bottom"/>
            <w:tcBorders>
              <w:top w:val="single" w:sz="8" w:color="0000EE"/>
            </w:tcBorders>
            <w:shd w:val="clear" w:color="auto" w:fill="CCEDD4"/>
          </w:tcPr>
          <w:p>
            <w:pPr>
              <w:spacing w:after="0"/>
              <w:rPr>
                <w:sz w:val="18"/>
                <w:szCs w:val="18"/>
                <w:color w:val="auto"/>
              </w:rPr>
            </w:pPr>
          </w:p>
        </w:tc>
        <w:tc>
          <w:tcPr>
            <w:tcW w:w="120" w:type="dxa"/>
            <w:vAlign w:val="bottom"/>
            <w:tcBorders>
              <w:top w:val="single" w:sz="8" w:color="0000EE"/>
            </w:tcBorders>
            <w:shd w:val="clear" w:color="auto" w:fill="CCEDD4"/>
          </w:tcPr>
          <w:p>
            <w:pPr>
              <w:spacing w:after="0"/>
              <w:rPr>
                <w:sz w:val="18"/>
                <w:szCs w:val="18"/>
                <w:color w:val="auto"/>
              </w:rPr>
            </w:pPr>
          </w:p>
        </w:tc>
        <w:tc>
          <w:tcPr>
            <w:tcW w:w="80" w:type="dxa"/>
            <w:vAlign w:val="bottom"/>
            <w:tcBorders>
              <w:top w:val="single" w:sz="8" w:color="0000EE"/>
            </w:tcBorders>
            <w:shd w:val="clear" w:color="auto" w:fill="CCEDD4"/>
          </w:tcPr>
          <w:p>
            <w:pPr>
              <w:spacing w:after="0"/>
              <w:rPr>
                <w:sz w:val="18"/>
                <w:szCs w:val="18"/>
                <w:color w:val="auto"/>
              </w:rPr>
            </w:pPr>
          </w:p>
        </w:tc>
        <w:tc>
          <w:tcPr>
            <w:tcW w:w="300" w:type="dxa"/>
            <w:vAlign w:val="bottom"/>
            <w:tcBorders>
              <w:top w:val="single" w:sz="8" w:color="0000EE"/>
            </w:tcBorders>
            <w:shd w:val="clear" w:color="auto" w:fill="CCEDD4"/>
          </w:tcPr>
          <w:p>
            <w:pPr>
              <w:spacing w:after="0"/>
              <w:rPr>
                <w:sz w:val="18"/>
                <w:szCs w:val="18"/>
                <w:color w:val="auto"/>
              </w:rPr>
            </w:pPr>
          </w:p>
        </w:tc>
        <w:tc>
          <w:tcPr>
            <w:tcW w:w="40" w:type="dxa"/>
            <w:vAlign w:val="bottom"/>
            <w:tcBorders>
              <w:top w:val="single" w:sz="8" w:color="0000EE"/>
            </w:tcBorders>
            <w:shd w:val="clear" w:color="auto" w:fill="CCEDD4"/>
          </w:tcPr>
          <w:p>
            <w:pPr>
              <w:spacing w:after="0"/>
              <w:rPr>
                <w:sz w:val="18"/>
                <w:szCs w:val="18"/>
                <w:color w:val="auto"/>
              </w:rPr>
            </w:pPr>
          </w:p>
        </w:tc>
        <w:tc>
          <w:tcPr>
            <w:tcW w:w="100" w:type="dxa"/>
            <w:vAlign w:val="bottom"/>
            <w:tcBorders>
              <w:top w:val="single" w:sz="8" w:color="CCEDD4"/>
            </w:tcBorders>
            <w:shd w:val="clear" w:color="auto" w:fill="CCEDD4"/>
          </w:tcPr>
          <w:p>
            <w:pPr>
              <w:spacing w:after="0"/>
              <w:rPr>
                <w:sz w:val="18"/>
                <w:szCs w:val="18"/>
                <w:color w:val="auto"/>
              </w:rPr>
            </w:pPr>
          </w:p>
        </w:tc>
        <w:tc>
          <w:tcPr>
            <w:tcW w:w="420" w:type="dxa"/>
            <w:vAlign w:val="bottom"/>
            <w:tcBorders>
              <w:top w:val="single" w:sz="8" w:color="CCEDD4"/>
            </w:tcBorders>
            <w:shd w:val="clear" w:color="auto" w:fill="CCEDD4"/>
          </w:tcPr>
          <w:p>
            <w:pPr>
              <w:spacing w:after="0"/>
              <w:rPr>
                <w:sz w:val="18"/>
                <w:szCs w:val="18"/>
                <w:color w:val="auto"/>
              </w:rPr>
            </w:pPr>
          </w:p>
        </w:tc>
        <w:tc>
          <w:tcPr>
            <w:tcW w:w="260" w:type="dxa"/>
            <w:vAlign w:val="bottom"/>
            <w:tcBorders>
              <w:top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58</w:t>
              </w:r>
            </w:hyperlink>
          </w:p>
        </w:tc>
      </w:tr>
      <w:tr>
        <w:trPr>
          <w:trHeight w:val="210"/>
        </w:trPr>
        <w:tc>
          <w:tcPr>
            <w:tcW w:w="120" w:type="dxa"/>
            <w:vAlign w:val="bottom"/>
            <w:tcBorders>
              <w:top w:val="single" w:sz="8" w:color="CCEDD4"/>
              <w:left w:val="single" w:sz="8" w:color="56C271"/>
            </w:tcBorders>
            <w:shd w:val="clear" w:color="auto" w:fill="CCEDD4"/>
          </w:tcPr>
          <w:p>
            <w:pPr>
              <w:spacing w:after="0"/>
              <w:rPr>
                <w:sz w:val="18"/>
                <w:szCs w:val="18"/>
                <w:color w:val="auto"/>
              </w:rPr>
            </w:pPr>
          </w:p>
        </w:tc>
        <w:tc>
          <w:tcPr>
            <w:tcW w:w="160" w:type="dxa"/>
            <w:vAlign w:val="bottom"/>
            <w:tcBorders>
              <w:top w:val="single" w:sz="8" w:color="CCEDD4"/>
            </w:tcBorders>
            <w:shd w:val="clear" w:color="auto" w:fill="CCEDD4"/>
          </w:tcPr>
          <w:p>
            <w:pPr>
              <w:spacing w:after="0"/>
              <w:rPr>
                <w:sz w:val="18"/>
                <w:szCs w:val="18"/>
                <w:color w:val="auto"/>
              </w:rPr>
            </w:pPr>
          </w:p>
        </w:tc>
        <w:tc>
          <w:tcPr>
            <w:tcW w:w="2020" w:type="dxa"/>
            <w:vAlign w:val="bottom"/>
            <w:tcBorders>
              <w:top w:val="single" w:sz="8" w:color="0000EE"/>
            </w:tcBorders>
            <w:gridSpan w:val="14"/>
            <w:shd w:val="clear" w:color="auto" w:fill="CCEDD4"/>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Hedging/Pledging Policy</w:t>
              </w:r>
            </w:hyperlink>
          </w:p>
        </w:tc>
        <w:tc>
          <w:tcPr>
            <w:tcW w:w="80" w:type="dxa"/>
            <w:vAlign w:val="bottom"/>
            <w:tcBorders>
              <w:top w:val="single" w:sz="8" w:color="CCEDD4"/>
            </w:tcBorders>
            <w:shd w:val="clear" w:color="auto" w:fill="CCEDD4"/>
          </w:tcPr>
          <w:p>
            <w:pPr>
              <w:spacing w:after="0"/>
              <w:rPr>
                <w:sz w:val="18"/>
                <w:szCs w:val="18"/>
                <w:color w:val="auto"/>
              </w:rPr>
            </w:pPr>
          </w:p>
        </w:tc>
        <w:tc>
          <w:tcPr>
            <w:tcW w:w="260" w:type="dxa"/>
            <w:vAlign w:val="bottom"/>
            <w:tcBorders>
              <w:top w:val="single" w:sz="8" w:color="CCEDD4"/>
            </w:tcBorders>
            <w:shd w:val="clear" w:color="auto" w:fill="CCEDD4"/>
          </w:tcPr>
          <w:p>
            <w:pPr>
              <w:spacing w:after="0"/>
              <w:rPr>
                <w:sz w:val="18"/>
                <w:szCs w:val="18"/>
                <w:color w:val="auto"/>
              </w:rPr>
            </w:pPr>
          </w:p>
        </w:tc>
        <w:tc>
          <w:tcPr>
            <w:tcW w:w="20" w:type="dxa"/>
            <w:vAlign w:val="bottom"/>
            <w:tcBorders>
              <w:top w:val="single" w:sz="8" w:color="CCEDD4"/>
            </w:tcBorders>
            <w:shd w:val="clear" w:color="auto" w:fill="CCEDD4"/>
          </w:tcPr>
          <w:p>
            <w:pPr>
              <w:spacing w:after="0"/>
              <w:rPr>
                <w:sz w:val="18"/>
                <w:szCs w:val="18"/>
                <w:color w:val="auto"/>
              </w:rPr>
            </w:pPr>
          </w:p>
        </w:tc>
        <w:tc>
          <w:tcPr>
            <w:tcW w:w="20" w:type="dxa"/>
            <w:vAlign w:val="bottom"/>
            <w:tcBorders>
              <w:top w:val="single" w:sz="8" w:color="CCEDD4"/>
            </w:tcBorders>
            <w:shd w:val="clear" w:color="auto" w:fill="CCEDD4"/>
          </w:tcPr>
          <w:p>
            <w:pPr>
              <w:spacing w:after="0"/>
              <w:rPr>
                <w:sz w:val="18"/>
                <w:szCs w:val="18"/>
                <w:color w:val="auto"/>
              </w:rPr>
            </w:pPr>
          </w:p>
        </w:tc>
        <w:tc>
          <w:tcPr>
            <w:tcW w:w="40" w:type="dxa"/>
            <w:vAlign w:val="bottom"/>
            <w:tcBorders>
              <w:top w:val="single" w:sz="8" w:color="CCEDD4"/>
            </w:tcBorders>
            <w:shd w:val="clear" w:color="auto" w:fill="CCEDD4"/>
          </w:tcPr>
          <w:p>
            <w:pPr>
              <w:spacing w:after="0"/>
              <w:rPr>
                <w:sz w:val="18"/>
                <w:szCs w:val="18"/>
                <w:color w:val="auto"/>
              </w:rPr>
            </w:pPr>
          </w:p>
        </w:tc>
        <w:tc>
          <w:tcPr>
            <w:tcW w:w="60" w:type="dxa"/>
            <w:vAlign w:val="bottom"/>
            <w:tcBorders>
              <w:top w:val="single" w:sz="8" w:color="CCEDD4"/>
            </w:tcBorders>
            <w:shd w:val="clear" w:color="auto" w:fill="CCEDD4"/>
          </w:tcPr>
          <w:p>
            <w:pPr>
              <w:spacing w:after="0"/>
              <w:rPr>
                <w:sz w:val="18"/>
                <w:szCs w:val="18"/>
                <w:color w:val="auto"/>
              </w:rPr>
            </w:pPr>
          </w:p>
        </w:tc>
        <w:tc>
          <w:tcPr>
            <w:tcW w:w="160" w:type="dxa"/>
            <w:vAlign w:val="bottom"/>
            <w:tcBorders>
              <w:top w:val="single" w:sz="8" w:color="CCEDD4"/>
            </w:tcBorders>
            <w:shd w:val="clear" w:color="auto" w:fill="CCEDD4"/>
          </w:tcPr>
          <w:p>
            <w:pPr>
              <w:spacing w:after="0"/>
              <w:rPr>
                <w:sz w:val="18"/>
                <w:szCs w:val="18"/>
                <w:color w:val="auto"/>
              </w:rPr>
            </w:pPr>
          </w:p>
        </w:tc>
        <w:tc>
          <w:tcPr>
            <w:tcW w:w="20" w:type="dxa"/>
            <w:vAlign w:val="bottom"/>
            <w:tcBorders>
              <w:top w:val="single" w:sz="8" w:color="CCEDD4"/>
            </w:tcBorders>
            <w:shd w:val="clear" w:color="auto" w:fill="CCEDD4"/>
          </w:tcPr>
          <w:p>
            <w:pPr>
              <w:spacing w:after="0"/>
              <w:rPr>
                <w:sz w:val="18"/>
                <w:szCs w:val="18"/>
                <w:color w:val="auto"/>
              </w:rPr>
            </w:pPr>
          </w:p>
        </w:tc>
        <w:tc>
          <w:tcPr>
            <w:tcW w:w="120" w:type="dxa"/>
            <w:vAlign w:val="bottom"/>
            <w:tcBorders>
              <w:top w:val="single" w:sz="8" w:color="CCEDD4"/>
            </w:tcBorders>
            <w:shd w:val="clear" w:color="auto" w:fill="CCEDD4"/>
          </w:tcPr>
          <w:p>
            <w:pPr>
              <w:spacing w:after="0"/>
              <w:rPr>
                <w:sz w:val="18"/>
                <w:szCs w:val="18"/>
                <w:color w:val="auto"/>
              </w:rPr>
            </w:pPr>
          </w:p>
        </w:tc>
        <w:tc>
          <w:tcPr>
            <w:tcW w:w="80" w:type="dxa"/>
            <w:vAlign w:val="bottom"/>
            <w:tcBorders>
              <w:top w:val="single" w:sz="8" w:color="CCEDD4"/>
            </w:tcBorders>
            <w:shd w:val="clear" w:color="auto" w:fill="CCEDD4"/>
          </w:tcPr>
          <w:p>
            <w:pPr>
              <w:spacing w:after="0"/>
              <w:rPr>
                <w:sz w:val="18"/>
                <w:szCs w:val="18"/>
                <w:color w:val="auto"/>
              </w:rPr>
            </w:pPr>
          </w:p>
        </w:tc>
        <w:tc>
          <w:tcPr>
            <w:tcW w:w="300" w:type="dxa"/>
            <w:vAlign w:val="bottom"/>
            <w:tcBorders>
              <w:top w:val="single" w:sz="8" w:color="CCEDD4"/>
            </w:tcBorders>
            <w:shd w:val="clear" w:color="auto" w:fill="CCEDD4"/>
          </w:tcPr>
          <w:p>
            <w:pPr>
              <w:spacing w:after="0"/>
              <w:rPr>
                <w:sz w:val="18"/>
                <w:szCs w:val="18"/>
                <w:color w:val="auto"/>
              </w:rPr>
            </w:pPr>
          </w:p>
        </w:tc>
        <w:tc>
          <w:tcPr>
            <w:tcW w:w="40" w:type="dxa"/>
            <w:vAlign w:val="bottom"/>
            <w:tcBorders>
              <w:top w:val="single" w:sz="8" w:color="CCEDD4"/>
            </w:tcBorders>
            <w:shd w:val="clear" w:color="auto" w:fill="CCEDD4"/>
          </w:tcPr>
          <w:p>
            <w:pPr>
              <w:spacing w:after="0"/>
              <w:rPr>
                <w:sz w:val="18"/>
                <w:szCs w:val="18"/>
                <w:color w:val="auto"/>
              </w:rPr>
            </w:pPr>
          </w:p>
        </w:tc>
        <w:tc>
          <w:tcPr>
            <w:tcW w:w="100" w:type="dxa"/>
            <w:vAlign w:val="bottom"/>
            <w:tcBorders>
              <w:top w:val="single" w:sz="8" w:color="CCEDD4"/>
            </w:tcBorders>
            <w:shd w:val="clear" w:color="auto" w:fill="CCEDD4"/>
          </w:tcPr>
          <w:p>
            <w:pPr>
              <w:spacing w:after="0"/>
              <w:rPr>
                <w:sz w:val="18"/>
                <w:szCs w:val="18"/>
                <w:color w:val="auto"/>
              </w:rPr>
            </w:pPr>
          </w:p>
        </w:tc>
        <w:tc>
          <w:tcPr>
            <w:tcW w:w="420" w:type="dxa"/>
            <w:vAlign w:val="bottom"/>
            <w:tcBorders>
              <w:top w:val="single" w:sz="8" w:color="CCEDD4"/>
            </w:tcBorders>
            <w:shd w:val="clear" w:color="auto" w:fill="CCEDD4"/>
          </w:tcPr>
          <w:p>
            <w:pPr>
              <w:spacing w:after="0"/>
              <w:rPr>
                <w:sz w:val="18"/>
                <w:szCs w:val="18"/>
                <w:color w:val="auto"/>
              </w:rPr>
            </w:pPr>
          </w:p>
        </w:tc>
        <w:tc>
          <w:tcPr>
            <w:tcW w:w="260" w:type="dxa"/>
            <w:vAlign w:val="bottom"/>
            <w:tcBorders>
              <w:top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58</w:t>
              </w:r>
            </w:hyperlink>
          </w:p>
        </w:tc>
      </w:tr>
      <w:tr>
        <w:trPr>
          <w:trHeight w:val="209"/>
        </w:trPr>
        <w:tc>
          <w:tcPr>
            <w:tcW w:w="120" w:type="dxa"/>
            <w:vAlign w:val="bottom"/>
            <w:tcBorders>
              <w:top w:val="single" w:sz="8" w:color="CCEDD4"/>
              <w:left w:val="single" w:sz="8" w:color="56C271"/>
            </w:tcBorders>
            <w:shd w:val="clear" w:color="auto" w:fill="CCEDD4"/>
          </w:tcPr>
          <w:p>
            <w:pPr>
              <w:spacing w:after="0"/>
              <w:rPr>
                <w:sz w:val="18"/>
                <w:szCs w:val="18"/>
                <w:color w:val="auto"/>
              </w:rPr>
            </w:pPr>
          </w:p>
        </w:tc>
        <w:tc>
          <w:tcPr>
            <w:tcW w:w="160" w:type="dxa"/>
            <w:vAlign w:val="bottom"/>
            <w:tcBorders>
              <w:top w:val="single" w:sz="8" w:color="CCEDD4"/>
            </w:tcBorders>
            <w:shd w:val="clear" w:color="auto" w:fill="CCEDD4"/>
          </w:tcPr>
          <w:p>
            <w:pPr>
              <w:spacing w:after="0"/>
              <w:rPr>
                <w:sz w:val="18"/>
                <w:szCs w:val="18"/>
                <w:color w:val="auto"/>
              </w:rPr>
            </w:pPr>
          </w:p>
        </w:tc>
        <w:tc>
          <w:tcPr>
            <w:tcW w:w="1740" w:type="dxa"/>
            <w:vAlign w:val="bottom"/>
            <w:tcBorders>
              <w:top w:val="single" w:sz="8" w:color="0000EE"/>
            </w:tcBorders>
            <w:gridSpan w:val="10"/>
            <w:shd w:val="clear" w:color="auto" w:fill="CCEDD4"/>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Recoupment Policy</w:t>
              </w:r>
            </w:hyperlink>
          </w:p>
        </w:tc>
        <w:tc>
          <w:tcPr>
            <w:tcW w:w="360" w:type="dxa"/>
            <w:vAlign w:val="bottom"/>
            <w:tcBorders>
              <w:top w:val="single" w:sz="8" w:color="CCEDD4"/>
            </w:tcBorders>
            <w:gridSpan w:val="5"/>
            <w:shd w:val="clear" w:color="auto" w:fill="CCEDD4"/>
          </w:tcPr>
          <w:p>
            <w:pPr>
              <w:spacing w:after="0"/>
              <w:rPr>
                <w:sz w:val="18"/>
                <w:szCs w:val="18"/>
                <w:color w:val="auto"/>
              </w:rPr>
            </w:pPr>
          </w:p>
        </w:tc>
        <w:tc>
          <w:tcPr>
            <w:tcW w:w="260" w:type="dxa"/>
            <w:vAlign w:val="bottom"/>
            <w:tcBorders>
              <w:top w:val="single" w:sz="8" w:color="CCEDD4"/>
            </w:tcBorders>
            <w:shd w:val="clear" w:color="auto" w:fill="CCEDD4"/>
          </w:tcPr>
          <w:p>
            <w:pPr>
              <w:spacing w:after="0"/>
              <w:rPr>
                <w:sz w:val="18"/>
                <w:szCs w:val="18"/>
                <w:color w:val="auto"/>
              </w:rPr>
            </w:pPr>
          </w:p>
        </w:tc>
        <w:tc>
          <w:tcPr>
            <w:tcW w:w="20" w:type="dxa"/>
            <w:vAlign w:val="bottom"/>
            <w:tcBorders>
              <w:top w:val="single" w:sz="8" w:color="CCEDD4"/>
            </w:tcBorders>
            <w:shd w:val="clear" w:color="auto" w:fill="CCEDD4"/>
          </w:tcPr>
          <w:p>
            <w:pPr>
              <w:spacing w:after="0"/>
              <w:rPr>
                <w:sz w:val="18"/>
                <w:szCs w:val="18"/>
                <w:color w:val="auto"/>
              </w:rPr>
            </w:pPr>
          </w:p>
        </w:tc>
        <w:tc>
          <w:tcPr>
            <w:tcW w:w="20" w:type="dxa"/>
            <w:vAlign w:val="bottom"/>
            <w:tcBorders>
              <w:top w:val="single" w:sz="8" w:color="CCEDD4"/>
            </w:tcBorders>
            <w:shd w:val="clear" w:color="auto" w:fill="CCEDD4"/>
          </w:tcPr>
          <w:p>
            <w:pPr>
              <w:spacing w:after="0"/>
              <w:rPr>
                <w:sz w:val="18"/>
                <w:szCs w:val="18"/>
                <w:color w:val="auto"/>
              </w:rPr>
            </w:pPr>
          </w:p>
        </w:tc>
        <w:tc>
          <w:tcPr>
            <w:tcW w:w="40" w:type="dxa"/>
            <w:vAlign w:val="bottom"/>
            <w:tcBorders>
              <w:top w:val="single" w:sz="8" w:color="CCEDD4"/>
            </w:tcBorders>
            <w:shd w:val="clear" w:color="auto" w:fill="CCEDD4"/>
          </w:tcPr>
          <w:p>
            <w:pPr>
              <w:spacing w:after="0"/>
              <w:rPr>
                <w:sz w:val="18"/>
                <w:szCs w:val="18"/>
                <w:color w:val="auto"/>
              </w:rPr>
            </w:pPr>
          </w:p>
        </w:tc>
        <w:tc>
          <w:tcPr>
            <w:tcW w:w="60" w:type="dxa"/>
            <w:vAlign w:val="bottom"/>
            <w:tcBorders>
              <w:top w:val="single" w:sz="8" w:color="CCEDD4"/>
            </w:tcBorders>
            <w:shd w:val="clear" w:color="auto" w:fill="CCEDD4"/>
          </w:tcPr>
          <w:p>
            <w:pPr>
              <w:spacing w:after="0"/>
              <w:rPr>
                <w:sz w:val="18"/>
                <w:szCs w:val="18"/>
                <w:color w:val="auto"/>
              </w:rPr>
            </w:pPr>
          </w:p>
        </w:tc>
        <w:tc>
          <w:tcPr>
            <w:tcW w:w="160" w:type="dxa"/>
            <w:vAlign w:val="bottom"/>
            <w:tcBorders>
              <w:top w:val="single" w:sz="8" w:color="CCEDD4"/>
            </w:tcBorders>
            <w:shd w:val="clear" w:color="auto" w:fill="CCEDD4"/>
          </w:tcPr>
          <w:p>
            <w:pPr>
              <w:spacing w:after="0"/>
              <w:rPr>
                <w:sz w:val="18"/>
                <w:szCs w:val="18"/>
                <w:color w:val="auto"/>
              </w:rPr>
            </w:pPr>
          </w:p>
        </w:tc>
        <w:tc>
          <w:tcPr>
            <w:tcW w:w="20" w:type="dxa"/>
            <w:vAlign w:val="bottom"/>
            <w:tcBorders>
              <w:top w:val="single" w:sz="8" w:color="CCEDD4"/>
            </w:tcBorders>
            <w:shd w:val="clear" w:color="auto" w:fill="CCEDD4"/>
          </w:tcPr>
          <w:p>
            <w:pPr>
              <w:spacing w:after="0"/>
              <w:rPr>
                <w:sz w:val="18"/>
                <w:szCs w:val="18"/>
                <w:color w:val="auto"/>
              </w:rPr>
            </w:pPr>
          </w:p>
        </w:tc>
        <w:tc>
          <w:tcPr>
            <w:tcW w:w="120" w:type="dxa"/>
            <w:vAlign w:val="bottom"/>
            <w:tcBorders>
              <w:top w:val="single" w:sz="8" w:color="CCEDD4"/>
            </w:tcBorders>
            <w:shd w:val="clear" w:color="auto" w:fill="CCEDD4"/>
          </w:tcPr>
          <w:p>
            <w:pPr>
              <w:spacing w:after="0"/>
              <w:rPr>
                <w:sz w:val="18"/>
                <w:szCs w:val="18"/>
                <w:color w:val="auto"/>
              </w:rPr>
            </w:pPr>
          </w:p>
        </w:tc>
        <w:tc>
          <w:tcPr>
            <w:tcW w:w="80" w:type="dxa"/>
            <w:vAlign w:val="bottom"/>
            <w:tcBorders>
              <w:top w:val="single" w:sz="8" w:color="CCEDD4"/>
            </w:tcBorders>
            <w:shd w:val="clear" w:color="auto" w:fill="CCEDD4"/>
          </w:tcPr>
          <w:p>
            <w:pPr>
              <w:spacing w:after="0"/>
              <w:rPr>
                <w:sz w:val="18"/>
                <w:szCs w:val="18"/>
                <w:color w:val="auto"/>
              </w:rPr>
            </w:pPr>
          </w:p>
        </w:tc>
        <w:tc>
          <w:tcPr>
            <w:tcW w:w="300" w:type="dxa"/>
            <w:vAlign w:val="bottom"/>
            <w:tcBorders>
              <w:top w:val="single" w:sz="8" w:color="CCEDD4"/>
            </w:tcBorders>
            <w:shd w:val="clear" w:color="auto" w:fill="CCEDD4"/>
          </w:tcPr>
          <w:p>
            <w:pPr>
              <w:spacing w:after="0"/>
              <w:rPr>
                <w:sz w:val="18"/>
                <w:szCs w:val="18"/>
                <w:color w:val="auto"/>
              </w:rPr>
            </w:pPr>
          </w:p>
        </w:tc>
        <w:tc>
          <w:tcPr>
            <w:tcW w:w="40" w:type="dxa"/>
            <w:vAlign w:val="bottom"/>
            <w:tcBorders>
              <w:top w:val="single" w:sz="8" w:color="CCEDD4"/>
            </w:tcBorders>
            <w:shd w:val="clear" w:color="auto" w:fill="CCEDD4"/>
          </w:tcPr>
          <w:p>
            <w:pPr>
              <w:spacing w:after="0"/>
              <w:rPr>
                <w:sz w:val="18"/>
                <w:szCs w:val="18"/>
                <w:color w:val="auto"/>
              </w:rPr>
            </w:pPr>
          </w:p>
        </w:tc>
        <w:tc>
          <w:tcPr>
            <w:tcW w:w="100" w:type="dxa"/>
            <w:vAlign w:val="bottom"/>
            <w:tcBorders>
              <w:top w:val="single" w:sz="8" w:color="CCEDD4"/>
            </w:tcBorders>
            <w:shd w:val="clear" w:color="auto" w:fill="CCEDD4"/>
          </w:tcPr>
          <w:p>
            <w:pPr>
              <w:spacing w:after="0"/>
              <w:rPr>
                <w:sz w:val="18"/>
                <w:szCs w:val="18"/>
                <w:color w:val="auto"/>
              </w:rPr>
            </w:pPr>
          </w:p>
        </w:tc>
        <w:tc>
          <w:tcPr>
            <w:tcW w:w="420" w:type="dxa"/>
            <w:vAlign w:val="bottom"/>
            <w:tcBorders>
              <w:top w:val="single" w:sz="8" w:color="CCEDD4"/>
            </w:tcBorders>
            <w:shd w:val="clear" w:color="auto" w:fill="CCEDD4"/>
          </w:tcPr>
          <w:p>
            <w:pPr>
              <w:spacing w:after="0"/>
              <w:rPr>
                <w:sz w:val="18"/>
                <w:szCs w:val="18"/>
                <w:color w:val="auto"/>
              </w:rPr>
            </w:pPr>
          </w:p>
        </w:tc>
        <w:tc>
          <w:tcPr>
            <w:tcW w:w="260" w:type="dxa"/>
            <w:vAlign w:val="bottom"/>
            <w:tcBorders>
              <w:top w:val="single" w:sz="8" w:color="0000EE"/>
              <w:right w:val="single" w:sz="8" w:color="56C271"/>
            </w:tcBorders>
            <w:shd w:val="clear" w:color="auto" w:fill="CCEDD4"/>
          </w:tcPr>
          <w:p>
            <w:pPr>
              <w:jc w:val="right"/>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58</w:t>
              </w:r>
            </w:hyperlink>
          </w:p>
        </w:tc>
      </w:tr>
      <w:tr>
        <w:trPr>
          <w:trHeight w:val="20"/>
        </w:trPr>
        <w:tc>
          <w:tcPr>
            <w:tcW w:w="120" w:type="dxa"/>
            <w:vAlign w:val="bottom"/>
            <w:tcBorders>
              <w:left w:val="single" w:sz="8" w:color="56C271"/>
            </w:tcBorders>
            <w:shd w:val="clear" w:color="auto" w:fill="CCEDD4"/>
          </w:tcPr>
          <w:p>
            <w:pPr>
              <w:spacing w:after="0" w:line="20" w:lineRule="exact"/>
              <w:rPr>
                <w:sz w:val="1"/>
                <w:szCs w:val="1"/>
                <w:color w:val="auto"/>
              </w:rPr>
            </w:pPr>
          </w:p>
        </w:tc>
        <w:tc>
          <w:tcPr>
            <w:tcW w:w="160" w:type="dxa"/>
            <w:vAlign w:val="bottom"/>
            <w:shd w:val="clear" w:color="auto" w:fill="CCEDD4"/>
          </w:tcPr>
          <w:p>
            <w:pPr>
              <w:spacing w:after="0" w:line="20" w:lineRule="exact"/>
              <w:rPr>
                <w:sz w:val="1"/>
                <w:szCs w:val="1"/>
                <w:color w:val="auto"/>
              </w:rPr>
            </w:pPr>
          </w:p>
        </w:tc>
        <w:tc>
          <w:tcPr>
            <w:tcW w:w="138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tcBorders>
              <w:right w:val="single" w:sz="8" w:color="CCEDD4"/>
            </w:tcBorders>
            <w:gridSpan w:val="2"/>
            <w:shd w:val="clear" w:color="auto" w:fill="CCEDD4"/>
          </w:tcPr>
          <w:p>
            <w:pPr>
              <w:spacing w:after="0" w:line="20" w:lineRule="exact"/>
              <w:rPr>
                <w:sz w:val="1"/>
                <w:szCs w:val="1"/>
                <w:color w:val="auto"/>
              </w:rPr>
            </w:pPr>
          </w:p>
        </w:tc>
        <w:tc>
          <w:tcPr>
            <w:tcW w:w="480" w:type="dxa"/>
            <w:vAlign w:val="bottom"/>
            <w:gridSpan w:val="7"/>
            <w:shd w:val="clear" w:color="auto" w:fill="CCEDD4"/>
          </w:tcPr>
          <w:p>
            <w:pPr>
              <w:spacing w:after="0" w:line="20" w:lineRule="exact"/>
              <w:rPr>
                <w:sz w:val="1"/>
                <w:szCs w:val="1"/>
                <w:color w:val="auto"/>
              </w:rPr>
            </w:pPr>
          </w:p>
        </w:tc>
        <w:tc>
          <w:tcPr>
            <w:tcW w:w="26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60" w:type="dxa"/>
            <w:vAlign w:val="bottom"/>
            <w:shd w:val="clear" w:color="auto" w:fill="CCEDD4"/>
          </w:tcPr>
          <w:p>
            <w:pPr>
              <w:spacing w:after="0" w:line="20" w:lineRule="exact"/>
              <w:rPr>
                <w:sz w:val="1"/>
                <w:szCs w:val="1"/>
                <w:color w:val="auto"/>
              </w:rPr>
            </w:pPr>
          </w:p>
        </w:tc>
        <w:tc>
          <w:tcPr>
            <w:tcW w:w="160" w:type="dxa"/>
            <w:vAlign w:val="bottom"/>
            <w:shd w:val="clear" w:color="auto" w:fill="CCEDD4"/>
          </w:tcPr>
          <w:p>
            <w:pPr>
              <w:spacing w:after="0" w:line="20" w:lineRule="exact"/>
              <w:rPr>
                <w:sz w:val="1"/>
                <w:szCs w:val="1"/>
                <w:color w:val="auto"/>
              </w:rPr>
            </w:pPr>
          </w:p>
        </w:tc>
        <w:tc>
          <w:tcPr>
            <w:tcW w:w="20" w:type="dxa"/>
            <w:vAlign w:val="bottom"/>
            <w:shd w:val="clear" w:color="auto" w:fill="CCEDD4"/>
          </w:tcPr>
          <w:p>
            <w:pPr>
              <w:spacing w:after="0" w:line="20" w:lineRule="exact"/>
              <w:rPr>
                <w:sz w:val="1"/>
                <w:szCs w:val="1"/>
                <w:color w:val="auto"/>
              </w:rPr>
            </w:pPr>
          </w:p>
        </w:tc>
        <w:tc>
          <w:tcPr>
            <w:tcW w:w="120" w:type="dxa"/>
            <w:vAlign w:val="bottom"/>
            <w:shd w:val="clear" w:color="auto" w:fill="CCEDD4"/>
          </w:tcPr>
          <w:p>
            <w:pPr>
              <w:spacing w:after="0" w:line="20" w:lineRule="exact"/>
              <w:rPr>
                <w:sz w:val="1"/>
                <w:szCs w:val="1"/>
                <w:color w:val="auto"/>
              </w:rPr>
            </w:pPr>
          </w:p>
        </w:tc>
        <w:tc>
          <w:tcPr>
            <w:tcW w:w="80" w:type="dxa"/>
            <w:vAlign w:val="bottom"/>
            <w:shd w:val="clear" w:color="auto" w:fill="CCEDD4"/>
          </w:tcPr>
          <w:p>
            <w:pPr>
              <w:spacing w:after="0" w:line="20" w:lineRule="exact"/>
              <w:rPr>
                <w:sz w:val="1"/>
                <w:szCs w:val="1"/>
                <w:color w:val="auto"/>
              </w:rPr>
            </w:pPr>
          </w:p>
        </w:tc>
        <w:tc>
          <w:tcPr>
            <w:tcW w:w="300" w:type="dxa"/>
            <w:vAlign w:val="bottom"/>
            <w:shd w:val="clear" w:color="auto" w:fill="CCEDD4"/>
          </w:tcPr>
          <w:p>
            <w:pPr>
              <w:spacing w:after="0" w:line="20" w:lineRule="exact"/>
              <w:rPr>
                <w:sz w:val="1"/>
                <w:szCs w:val="1"/>
                <w:color w:val="auto"/>
              </w:rPr>
            </w:pPr>
          </w:p>
        </w:tc>
        <w:tc>
          <w:tcPr>
            <w:tcW w:w="40" w:type="dxa"/>
            <w:vAlign w:val="bottom"/>
            <w:shd w:val="clear" w:color="auto" w:fill="CCEDD4"/>
          </w:tcPr>
          <w:p>
            <w:pPr>
              <w:spacing w:after="0" w:line="20" w:lineRule="exact"/>
              <w:rPr>
                <w:sz w:val="1"/>
                <w:szCs w:val="1"/>
                <w:color w:val="auto"/>
              </w:rPr>
            </w:pPr>
          </w:p>
        </w:tc>
        <w:tc>
          <w:tcPr>
            <w:tcW w:w="100" w:type="dxa"/>
            <w:vAlign w:val="bottom"/>
            <w:shd w:val="clear" w:color="auto" w:fill="CCEDD4"/>
          </w:tcPr>
          <w:p>
            <w:pPr>
              <w:spacing w:after="0" w:line="20" w:lineRule="exact"/>
              <w:rPr>
                <w:sz w:val="1"/>
                <w:szCs w:val="1"/>
                <w:color w:val="auto"/>
              </w:rPr>
            </w:pPr>
          </w:p>
        </w:tc>
        <w:tc>
          <w:tcPr>
            <w:tcW w:w="420" w:type="dxa"/>
            <w:vAlign w:val="bottom"/>
            <w:shd w:val="clear" w:color="auto" w:fill="CCEDD4"/>
          </w:tcPr>
          <w:p>
            <w:pPr>
              <w:spacing w:after="0" w:line="20" w:lineRule="exact"/>
              <w:rPr>
                <w:sz w:val="1"/>
                <w:szCs w:val="1"/>
                <w:color w:val="auto"/>
              </w:rPr>
            </w:pPr>
          </w:p>
        </w:tc>
        <w:tc>
          <w:tcPr>
            <w:tcW w:w="260" w:type="dxa"/>
            <w:vAlign w:val="bottom"/>
            <w:tcBorders>
              <w:right w:val="single" w:sz="8" w:color="56C271"/>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6C271"/>
            </w:tcBorders>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2100" w:type="dxa"/>
            <w:vAlign w:val="bottom"/>
            <w:gridSpan w:val="15"/>
            <w:shd w:val="clear" w:color="auto" w:fill="CCEDD4"/>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Equity Grant Practices</w:t>
              </w:r>
            </w:hyperlink>
          </w:p>
        </w:tc>
        <w:tc>
          <w:tcPr>
            <w:tcW w:w="260" w:type="dxa"/>
            <w:vAlign w:val="bottom"/>
            <w:shd w:val="clear" w:color="auto" w:fill="CCEDD4"/>
          </w:tcPr>
          <w:p>
            <w:pPr>
              <w:spacing w:after="0"/>
              <w:rPr>
                <w:sz w:val="18"/>
                <w:szCs w:val="18"/>
                <w:color w:val="auto"/>
              </w:rPr>
            </w:pPr>
          </w:p>
        </w:tc>
        <w:tc>
          <w:tcPr>
            <w:tcW w:w="20" w:type="dxa"/>
            <w:vAlign w:val="bottom"/>
            <w:shd w:val="clear" w:color="auto" w:fill="CCEDD4"/>
          </w:tcPr>
          <w:p>
            <w:pPr>
              <w:spacing w:after="0"/>
              <w:rPr>
                <w:sz w:val="18"/>
                <w:szCs w:val="18"/>
                <w:color w:val="auto"/>
              </w:rPr>
            </w:pPr>
          </w:p>
        </w:tc>
        <w:tc>
          <w:tcPr>
            <w:tcW w:w="20" w:type="dxa"/>
            <w:vAlign w:val="bottom"/>
            <w:shd w:val="clear" w:color="auto" w:fill="CCEDD4"/>
          </w:tcPr>
          <w:p>
            <w:pPr>
              <w:spacing w:after="0"/>
              <w:rPr>
                <w:sz w:val="18"/>
                <w:szCs w:val="18"/>
                <w:color w:val="auto"/>
              </w:rPr>
            </w:pPr>
          </w:p>
        </w:tc>
        <w:tc>
          <w:tcPr>
            <w:tcW w:w="40" w:type="dxa"/>
            <w:vAlign w:val="bottom"/>
            <w:shd w:val="clear" w:color="auto" w:fill="CCEDD4"/>
          </w:tcPr>
          <w:p>
            <w:pPr>
              <w:spacing w:after="0"/>
              <w:rPr>
                <w:sz w:val="18"/>
                <w:szCs w:val="18"/>
                <w:color w:val="auto"/>
              </w:rPr>
            </w:pPr>
          </w:p>
        </w:tc>
        <w:tc>
          <w:tcPr>
            <w:tcW w:w="60" w:type="dxa"/>
            <w:vAlign w:val="bottom"/>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20" w:type="dxa"/>
            <w:vAlign w:val="bottom"/>
            <w:shd w:val="clear" w:color="auto" w:fill="CCEDD4"/>
          </w:tcPr>
          <w:p>
            <w:pPr>
              <w:spacing w:after="0"/>
              <w:rPr>
                <w:sz w:val="18"/>
                <w:szCs w:val="18"/>
                <w:color w:val="auto"/>
              </w:rPr>
            </w:pPr>
          </w:p>
        </w:tc>
        <w:tc>
          <w:tcPr>
            <w:tcW w:w="120" w:type="dxa"/>
            <w:vAlign w:val="bottom"/>
            <w:shd w:val="clear" w:color="auto" w:fill="CCEDD4"/>
          </w:tcPr>
          <w:p>
            <w:pPr>
              <w:spacing w:after="0"/>
              <w:rPr>
                <w:sz w:val="18"/>
                <w:szCs w:val="18"/>
                <w:color w:val="auto"/>
              </w:rPr>
            </w:pPr>
          </w:p>
        </w:tc>
        <w:tc>
          <w:tcPr>
            <w:tcW w:w="80" w:type="dxa"/>
            <w:vAlign w:val="bottom"/>
            <w:shd w:val="clear" w:color="auto" w:fill="CCEDD4"/>
          </w:tcPr>
          <w:p>
            <w:pPr>
              <w:spacing w:after="0"/>
              <w:rPr>
                <w:sz w:val="18"/>
                <w:szCs w:val="18"/>
                <w:color w:val="auto"/>
              </w:rPr>
            </w:pPr>
          </w:p>
        </w:tc>
        <w:tc>
          <w:tcPr>
            <w:tcW w:w="300" w:type="dxa"/>
            <w:vAlign w:val="bottom"/>
            <w:shd w:val="clear" w:color="auto" w:fill="CCEDD4"/>
          </w:tcPr>
          <w:p>
            <w:pPr>
              <w:spacing w:after="0"/>
              <w:rPr>
                <w:sz w:val="18"/>
                <w:szCs w:val="18"/>
                <w:color w:val="auto"/>
              </w:rPr>
            </w:pPr>
          </w:p>
        </w:tc>
        <w:tc>
          <w:tcPr>
            <w:tcW w:w="40" w:type="dxa"/>
            <w:vAlign w:val="bottom"/>
            <w:shd w:val="clear" w:color="auto" w:fill="CCEDD4"/>
          </w:tcPr>
          <w:p>
            <w:pPr>
              <w:spacing w:after="0"/>
              <w:rPr>
                <w:sz w:val="18"/>
                <w:szCs w:val="18"/>
                <w:color w:val="auto"/>
              </w:rPr>
            </w:pPr>
          </w:p>
        </w:tc>
        <w:tc>
          <w:tcPr>
            <w:tcW w:w="100" w:type="dxa"/>
            <w:vAlign w:val="bottom"/>
            <w:shd w:val="clear" w:color="auto" w:fill="CCEDD4"/>
          </w:tcPr>
          <w:p>
            <w:pPr>
              <w:spacing w:after="0"/>
              <w:rPr>
                <w:sz w:val="18"/>
                <w:szCs w:val="18"/>
                <w:color w:val="auto"/>
              </w:rPr>
            </w:pPr>
          </w:p>
        </w:tc>
        <w:tc>
          <w:tcPr>
            <w:tcW w:w="680" w:type="dxa"/>
            <w:vAlign w:val="bottom"/>
            <w:tcBorders>
              <w:right w:val="single" w:sz="8" w:color="56C271"/>
            </w:tcBorders>
            <w:gridSpan w:val="2"/>
            <w:shd w:val="clear" w:color="auto" w:fill="CCEDD4"/>
          </w:tcPr>
          <w:p>
            <w:pPr>
              <w:jc w:val="right"/>
              <w:spacing w:after="0"/>
              <w:rPr>
                <w:rFonts w:ascii="Arial" w:cs="Arial" w:eastAsia="Arial" w:hAnsi="Arial"/>
                <w:sz w:val="16"/>
                <w:szCs w:val="16"/>
                <w:color w:val="0000EE"/>
              </w:rPr>
            </w:pPr>
            <w:hyperlink w:anchor="page62">
              <w:r>
                <w:rPr>
                  <w:rFonts w:ascii="Arial" w:cs="Arial" w:eastAsia="Arial" w:hAnsi="Arial"/>
                  <w:sz w:val="16"/>
                  <w:szCs w:val="16"/>
                  <w:color w:val="0000EE"/>
                </w:rPr>
                <w:t>58</w:t>
              </w:r>
            </w:hyperlink>
          </w:p>
        </w:tc>
      </w:tr>
      <w:tr>
        <w:trPr>
          <w:trHeight w:val="61"/>
        </w:trPr>
        <w:tc>
          <w:tcPr>
            <w:tcW w:w="120" w:type="dxa"/>
            <w:vAlign w:val="bottom"/>
            <w:tcBorders>
              <w:top w:val="single" w:sz="8" w:color="CCEDD4"/>
              <w:left w:val="single" w:sz="8" w:color="56C271"/>
              <w:bottom w:val="single" w:sz="8" w:color="56C271"/>
            </w:tcBorders>
            <w:shd w:val="clear" w:color="auto" w:fill="CCEDD4"/>
          </w:tcPr>
          <w:p>
            <w:pPr>
              <w:spacing w:after="0"/>
              <w:rPr>
                <w:sz w:val="5"/>
                <w:szCs w:val="5"/>
                <w:color w:val="auto"/>
              </w:rPr>
            </w:pPr>
          </w:p>
        </w:tc>
        <w:tc>
          <w:tcPr>
            <w:tcW w:w="160" w:type="dxa"/>
            <w:vAlign w:val="bottom"/>
            <w:tcBorders>
              <w:top w:val="single" w:sz="8" w:color="CCEDD4"/>
              <w:bottom w:val="single" w:sz="8" w:color="56C271"/>
            </w:tcBorders>
            <w:shd w:val="clear" w:color="auto" w:fill="CCEDD4"/>
          </w:tcPr>
          <w:p>
            <w:pPr>
              <w:spacing w:after="0"/>
              <w:rPr>
                <w:sz w:val="5"/>
                <w:szCs w:val="5"/>
                <w:color w:val="auto"/>
              </w:rPr>
            </w:pPr>
          </w:p>
        </w:tc>
        <w:tc>
          <w:tcPr>
            <w:tcW w:w="580" w:type="dxa"/>
            <w:vAlign w:val="bottom"/>
            <w:tcBorders>
              <w:top w:val="single" w:sz="8" w:color="0000EE"/>
              <w:bottom w:val="single" w:sz="8" w:color="56C271"/>
            </w:tcBorders>
            <w:shd w:val="clear" w:color="auto" w:fill="CCEDD4"/>
          </w:tcPr>
          <w:p>
            <w:pPr>
              <w:spacing w:after="0"/>
              <w:rPr>
                <w:sz w:val="5"/>
                <w:szCs w:val="5"/>
                <w:color w:val="auto"/>
              </w:rPr>
            </w:pPr>
          </w:p>
        </w:tc>
        <w:tc>
          <w:tcPr>
            <w:tcW w:w="200" w:type="dxa"/>
            <w:vAlign w:val="bottom"/>
            <w:tcBorders>
              <w:top w:val="single" w:sz="8" w:color="0000EE"/>
              <w:bottom w:val="single" w:sz="8" w:color="56C271"/>
            </w:tcBorders>
            <w:shd w:val="clear" w:color="auto" w:fill="CCEDD4"/>
          </w:tcPr>
          <w:p>
            <w:pPr>
              <w:spacing w:after="0"/>
              <w:rPr>
                <w:sz w:val="5"/>
                <w:szCs w:val="5"/>
                <w:color w:val="auto"/>
              </w:rPr>
            </w:pPr>
          </w:p>
        </w:tc>
        <w:tc>
          <w:tcPr>
            <w:tcW w:w="80" w:type="dxa"/>
            <w:vAlign w:val="bottom"/>
            <w:tcBorders>
              <w:top w:val="single" w:sz="8" w:color="0000EE"/>
              <w:bottom w:val="single" w:sz="8" w:color="56C271"/>
            </w:tcBorders>
            <w:shd w:val="clear" w:color="auto" w:fill="CCEDD4"/>
          </w:tcPr>
          <w:p>
            <w:pPr>
              <w:spacing w:after="0"/>
              <w:rPr>
                <w:sz w:val="5"/>
                <w:szCs w:val="5"/>
                <w:color w:val="auto"/>
              </w:rPr>
            </w:pPr>
          </w:p>
        </w:tc>
        <w:tc>
          <w:tcPr>
            <w:tcW w:w="180" w:type="dxa"/>
            <w:vAlign w:val="bottom"/>
            <w:tcBorders>
              <w:top w:val="single" w:sz="8" w:color="0000EE"/>
              <w:bottom w:val="single" w:sz="8" w:color="56C271"/>
            </w:tcBorders>
            <w:shd w:val="clear" w:color="auto" w:fill="CCEDD4"/>
          </w:tcPr>
          <w:p>
            <w:pPr>
              <w:spacing w:after="0"/>
              <w:rPr>
                <w:sz w:val="5"/>
                <w:szCs w:val="5"/>
                <w:color w:val="auto"/>
              </w:rPr>
            </w:pPr>
          </w:p>
        </w:tc>
        <w:tc>
          <w:tcPr>
            <w:tcW w:w="20" w:type="dxa"/>
            <w:vAlign w:val="bottom"/>
            <w:tcBorders>
              <w:top w:val="single" w:sz="8" w:color="0000EE"/>
              <w:bottom w:val="single" w:sz="8" w:color="56C271"/>
            </w:tcBorders>
            <w:shd w:val="clear" w:color="auto" w:fill="CCEDD4"/>
          </w:tcPr>
          <w:p>
            <w:pPr>
              <w:spacing w:after="0"/>
              <w:rPr>
                <w:sz w:val="5"/>
                <w:szCs w:val="5"/>
                <w:color w:val="auto"/>
              </w:rPr>
            </w:pPr>
          </w:p>
        </w:tc>
        <w:tc>
          <w:tcPr>
            <w:tcW w:w="320" w:type="dxa"/>
            <w:vAlign w:val="bottom"/>
            <w:tcBorders>
              <w:top w:val="single" w:sz="8" w:color="0000EE"/>
              <w:bottom w:val="single" w:sz="8" w:color="56C271"/>
              <w:right w:val="single" w:sz="8" w:color="CCEDD4"/>
            </w:tcBorders>
            <w:shd w:val="clear" w:color="auto" w:fill="CCEDD4"/>
          </w:tcPr>
          <w:p>
            <w:pPr>
              <w:spacing w:after="0"/>
              <w:rPr>
                <w:sz w:val="5"/>
                <w:szCs w:val="5"/>
                <w:color w:val="auto"/>
              </w:rPr>
            </w:pPr>
          </w:p>
        </w:tc>
        <w:tc>
          <w:tcPr>
            <w:tcW w:w="120" w:type="dxa"/>
            <w:vAlign w:val="bottom"/>
            <w:tcBorders>
              <w:top w:val="single" w:sz="8" w:color="0000EE"/>
              <w:bottom w:val="single" w:sz="8" w:color="56C271"/>
            </w:tcBorders>
            <w:shd w:val="clear" w:color="auto" w:fill="CCEDD4"/>
          </w:tcPr>
          <w:p>
            <w:pPr>
              <w:spacing w:after="0"/>
              <w:rPr>
                <w:sz w:val="5"/>
                <w:szCs w:val="5"/>
                <w:color w:val="auto"/>
              </w:rPr>
            </w:pPr>
          </w:p>
        </w:tc>
        <w:tc>
          <w:tcPr>
            <w:tcW w:w="120" w:type="dxa"/>
            <w:vAlign w:val="bottom"/>
            <w:tcBorders>
              <w:top w:val="single" w:sz="8" w:color="0000EE"/>
              <w:bottom w:val="single" w:sz="8" w:color="56C271"/>
              <w:right w:val="single" w:sz="8" w:color="CCEDD4"/>
            </w:tcBorders>
            <w:shd w:val="clear" w:color="auto" w:fill="CCEDD4"/>
          </w:tcPr>
          <w:p>
            <w:pPr>
              <w:spacing w:after="0"/>
              <w:rPr>
                <w:sz w:val="5"/>
                <w:szCs w:val="5"/>
                <w:color w:val="auto"/>
              </w:rPr>
            </w:pPr>
          </w:p>
        </w:tc>
        <w:tc>
          <w:tcPr>
            <w:tcW w:w="80" w:type="dxa"/>
            <w:vAlign w:val="bottom"/>
            <w:tcBorders>
              <w:top w:val="single" w:sz="8" w:color="CCEDD4"/>
              <w:bottom w:val="single" w:sz="8" w:color="56C271"/>
            </w:tcBorders>
            <w:shd w:val="clear" w:color="auto" w:fill="CCEDD4"/>
          </w:tcPr>
          <w:p>
            <w:pPr>
              <w:spacing w:after="0"/>
              <w:rPr>
                <w:sz w:val="5"/>
                <w:szCs w:val="5"/>
                <w:color w:val="auto"/>
              </w:rPr>
            </w:pPr>
          </w:p>
        </w:tc>
        <w:tc>
          <w:tcPr>
            <w:tcW w:w="40" w:type="dxa"/>
            <w:vAlign w:val="bottom"/>
            <w:tcBorders>
              <w:top w:val="single" w:sz="8" w:color="CCEDD4"/>
              <w:bottom w:val="single" w:sz="8" w:color="56C271"/>
            </w:tcBorders>
            <w:shd w:val="clear" w:color="auto" w:fill="CCEDD4"/>
          </w:tcPr>
          <w:p>
            <w:pPr>
              <w:spacing w:after="0"/>
              <w:rPr>
                <w:sz w:val="5"/>
                <w:szCs w:val="5"/>
                <w:color w:val="auto"/>
              </w:rPr>
            </w:pPr>
          </w:p>
        </w:tc>
        <w:tc>
          <w:tcPr>
            <w:tcW w:w="100" w:type="dxa"/>
            <w:vAlign w:val="bottom"/>
            <w:tcBorders>
              <w:top w:val="single" w:sz="8" w:color="CCEDD4"/>
              <w:bottom w:val="single" w:sz="8" w:color="56C271"/>
            </w:tcBorders>
            <w:shd w:val="clear" w:color="auto" w:fill="CCEDD4"/>
          </w:tcPr>
          <w:p>
            <w:pPr>
              <w:spacing w:after="0"/>
              <w:rPr>
                <w:sz w:val="5"/>
                <w:szCs w:val="5"/>
                <w:color w:val="auto"/>
              </w:rPr>
            </w:pPr>
          </w:p>
        </w:tc>
        <w:tc>
          <w:tcPr>
            <w:tcW w:w="60" w:type="dxa"/>
            <w:vAlign w:val="bottom"/>
            <w:tcBorders>
              <w:top w:val="single" w:sz="8" w:color="CCEDD4"/>
              <w:bottom w:val="single" w:sz="8" w:color="56C271"/>
            </w:tcBorders>
            <w:shd w:val="clear" w:color="auto" w:fill="CCEDD4"/>
          </w:tcPr>
          <w:p>
            <w:pPr>
              <w:spacing w:after="0"/>
              <w:rPr>
                <w:sz w:val="5"/>
                <w:szCs w:val="5"/>
                <w:color w:val="auto"/>
              </w:rPr>
            </w:pPr>
          </w:p>
        </w:tc>
        <w:tc>
          <w:tcPr>
            <w:tcW w:w="100" w:type="dxa"/>
            <w:vAlign w:val="bottom"/>
            <w:tcBorders>
              <w:top w:val="single" w:sz="8" w:color="CCEDD4"/>
              <w:bottom w:val="single" w:sz="8" w:color="56C271"/>
            </w:tcBorders>
            <w:shd w:val="clear" w:color="auto" w:fill="CCEDD4"/>
          </w:tcPr>
          <w:p>
            <w:pPr>
              <w:spacing w:after="0"/>
              <w:rPr>
                <w:sz w:val="5"/>
                <w:szCs w:val="5"/>
                <w:color w:val="auto"/>
              </w:rPr>
            </w:pPr>
          </w:p>
        </w:tc>
        <w:tc>
          <w:tcPr>
            <w:tcW w:w="20" w:type="dxa"/>
            <w:vAlign w:val="bottom"/>
            <w:tcBorders>
              <w:top w:val="single" w:sz="8" w:color="CCEDD4"/>
              <w:bottom w:val="single" w:sz="8" w:color="56C271"/>
            </w:tcBorders>
            <w:shd w:val="clear" w:color="auto" w:fill="CCEDD4"/>
          </w:tcPr>
          <w:p>
            <w:pPr>
              <w:spacing w:after="0"/>
              <w:rPr>
                <w:sz w:val="5"/>
                <w:szCs w:val="5"/>
                <w:color w:val="auto"/>
              </w:rPr>
            </w:pPr>
          </w:p>
        </w:tc>
        <w:tc>
          <w:tcPr>
            <w:tcW w:w="80" w:type="dxa"/>
            <w:vAlign w:val="bottom"/>
            <w:tcBorders>
              <w:top w:val="single" w:sz="8" w:color="CCEDD4"/>
              <w:bottom w:val="single" w:sz="8" w:color="56C271"/>
            </w:tcBorders>
            <w:shd w:val="clear" w:color="auto" w:fill="CCEDD4"/>
          </w:tcPr>
          <w:p>
            <w:pPr>
              <w:spacing w:after="0"/>
              <w:rPr>
                <w:sz w:val="5"/>
                <w:szCs w:val="5"/>
                <w:color w:val="auto"/>
              </w:rPr>
            </w:pPr>
          </w:p>
        </w:tc>
        <w:tc>
          <w:tcPr>
            <w:tcW w:w="260" w:type="dxa"/>
            <w:vAlign w:val="bottom"/>
            <w:tcBorders>
              <w:top w:val="single" w:sz="8" w:color="CCEDD4"/>
              <w:bottom w:val="single" w:sz="8" w:color="56C271"/>
            </w:tcBorders>
            <w:shd w:val="clear" w:color="auto" w:fill="CCEDD4"/>
          </w:tcPr>
          <w:p>
            <w:pPr>
              <w:spacing w:after="0"/>
              <w:rPr>
                <w:sz w:val="5"/>
                <w:szCs w:val="5"/>
                <w:color w:val="auto"/>
              </w:rPr>
            </w:pPr>
          </w:p>
        </w:tc>
        <w:tc>
          <w:tcPr>
            <w:tcW w:w="20" w:type="dxa"/>
            <w:vAlign w:val="bottom"/>
            <w:tcBorders>
              <w:top w:val="single" w:sz="8" w:color="CCEDD4"/>
              <w:bottom w:val="single" w:sz="8" w:color="56C271"/>
            </w:tcBorders>
            <w:shd w:val="clear" w:color="auto" w:fill="CCEDD4"/>
          </w:tcPr>
          <w:p>
            <w:pPr>
              <w:spacing w:after="0"/>
              <w:rPr>
                <w:sz w:val="5"/>
                <w:szCs w:val="5"/>
                <w:color w:val="auto"/>
              </w:rPr>
            </w:pPr>
          </w:p>
        </w:tc>
        <w:tc>
          <w:tcPr>
            <w:tcW w:w="20" w:type="dxa"/>
            <w:vAlign w:val="bottom"/>
            <w:tcBorders>
              <w:top w:val="single" w:sz="8" w:color="CCEDD4"/>
              <w:bottom w:val="single" w:sz="8" w:color="56C271"/>
            </w:tcBorders>
            <w:shd w:val="clear" w:color="auto" w:fill="CCEDD4"/>
          </w:tcPr>
          <w:p>
            <w:pPr>
              <w:spacing w:after="0"/>
              <w:rPr>
                <w:sz w:val="5"/>
                <w:szCs w:val="5"/>
                <w:color w:val="auto"/>
              </w:rPr>
            </w:pPr>
          </w:p>
        </w:tc>
        <w:tc>
          <w:tcPr>
            <w:tcW w:w="40" w:type="dxa"/>
            <w:vAlign w:val="bottom"/>
            <w:tcBorders>
              <w:top w:val="single" w:sz="8" w:color="CCEDD4"/>
              <w:bottom w:val="single" w:sz="8" w:color="56C271"/>
            </w:tcBorders>
            <w:shd w:val="clear" w:color="auto" w:fill="CCEDD4"/>
          </w:tcPr>
          <w:p>
            <w:pPr>
              <w:spacing w:after="0"/>
              <w:rPr>
                <w:sz w:val="5"/>
                <w:szCs w:val="5"/>
                <w:color w:val="auto"/>
              </w:rPr>
            </w:pPr>
          </w:p>
        </w:tc>
        <w:tc>
          <w:tcPr>
            <w:tcW w:w="60" w:type="dxa"/>
            <w:vAlign w:val="bottom"/>
            <w:tcBorders>
              <w:top w:val="single" w:sz="8" w:color="CCEDD4"/>
              <w:bottom w:val="single" w:sz="8" w:color="56C271"/>
            </w:tcBorders>
            <w:shd w:val="clear" w:color="auto" w:fill="CCEDD4"/>
          </w:tcPr>
          <w:p>
            <w:pPr>
              <w:spacing w:after="0"/>
              <w:rPr>
                <w:sz w:val="5"/>
                <w:szCs w:val="5"/>
                <w:color w:val="auto"/>
              </w:rPr>
            </w:pPr>
          </w:p>
        </w:tc>
        <w:tc>
          <w:tcPr>
            <w:tcW w:w="160" w:type="dxa"/>
            <w:vAlign w:val="bottom"/>
            <w:tcBorders>
              <w:top w:val="single" w:sz="8" w:color="CCEDD4"/>
              <w:bottom w:val="single" w:sz="8" w:color="56C271"/>
            </w:tcBorders>
            <w:shd w:val="clear" w:color="auto" w:fill="CCEDD4"/>
          </w:tcPr>
          <w:p>
            <w:pPr>
              <w:spacing w:after="0"/>
              <w:rPr>
                <w:sz w:val="5"/>
                <w:szCs w:val="5"/>
                <w:color w:val="auto"/>
              </w:rPr>
            </w:pPr>
          </w:p>
        </w:tc>
        <w:tc>
          <w:tcPr>
            <w:tcW w:w="20" w:type="dxa"/>
            <w:vAlign w:val="bottom"/>
            <w:tcBorders>
              <w:top w:val="single" w:sz="8" w:color="CCEDD4"/>
              <w:bottom w:val="single" w:sz="8" w:color="56C271"/>
            </w:tcBorders>
            <w:shd w:val="clear" w:color="auto" w:fill="CCEDD4"/>
          </w:tcPr>
          <w:p>
            <w:pPr>
              <w:spacing w:after="0"/>
              <w:rPr>
                <w:sz w:val="5"/>
                <w:szCs w:val="5"/>
                <w:color w:val="auto"/>
              </w:rPr>
            </w:pPr>
          </w:p>
        </w:tc>
        <w:tc>
          <w:tcPr>
            <w:tcW w:w="120" w:type="dxa"/>
            <w:vAlign w:val="bottom"/>
            <w:tcBorders>
              <w:top w:val="single" w:sz="8" w:color="CCEDD4"/>
              <w:bottom w:val="single" w:sz="8" w:color="56C271"/>
            </w:tcBorders>
            <w:shd w:val="clear" w:color="auto" w:fill="CCEDD4"/>
          </w:tcPr>
          <w:p>
            <w:pPr>
              <w:spacing w:after="0"/>
              <w:rPr>
                <w:sz w:val="5"/>
                <w:szCs w:val="5"/>
                <w:color w:val="auto"/>
              </w:rPr>
            </w:pPr>
          </w:p>
        </w:tc>
        <w:tc>
          <w:tcPr>
            <w:tcW w:w="80" w:type="dxa"/>
            <w:vAlign w:val="bottom"/>
            <w:tcBorders>
              <w:top w:val="single" w:sz="8" w:color="CCEDD4"/>
              <w:bottom w:val="single" w:sz="8" w:color="56C271"/>
            </w:tcBorders>
            <w:shd w:val="clear" w:color="auto" w:fill="CCEDD4"/>
          </w:tcPr>
          <w:p>
            <w:pPr>
              <w:spacing w:after="0"/>
              <w:rPr>
                <w:sz w:val="5"/>
                <w:szCs w:val="5"/>
                <w:color w:val="auto"/>
              </w:rPr>
            </w:pPr>
          </w:p>
        </w:tc>
        <w:tc>
          <w:tcPr>
            <w:tcW w:w="300" w:type="dxa"/>
            <w:vAlign w:val="bottom"/>
            <w:tcBorders>
              <w:top w:val="single" w:sz="8" w:color="CCEDD4"/>
              <w:bottom w:val="single" w:sz="8" w:color="56C271"/>
            </w:tcBorders>
            <w:shd w:val="clear" w:color="auto" w:fill="CCEDD4"/>
          </w:tcPr>
          <w:p>
            <w:pPr>
              <w:spacing w:after="0"/>
              <w:rPr>
                <w:sz w:val="5"/>
                <w:szCs w:val="5"/>
                <w:color w:val="auto"/>
              </w:rPr>
            </w:pPr>
          </w:p>
        </w:tc>
        <w:tc>
          <w:tcPr>
            <w:tcW w:w="40" w:type="dxa"/>
            <w:vAlign w:val="bottom"/>
            <w:tcBorders>
              <w:top w:val="single" w:sz="8" w:color="CCEDD4"/>
              <w:bottom w:val="single" w:sz="8" w:color="56C271"/>
            </w:tcBorders>
            <w:shd w:val="clear" w:color="auto" w:fill="CCEDD4"/>
          </w:tcPr>
          <w:p>
            <w:pPr>
              <w:spacing w:after="0"/>
              <w:rPr>
                <w:sz w:val="5"/>
                <w:szCs w:val="5"/>
                <w:color w:val="auto"/>
              </w:rPr>
            </w:pPr>
          </w:p>
        </w:tc>
        <w:tc>
          <w:tcPr>
            <w:tcW w:w="100" w:type="dxa"/>
            <w:vAlign w:val="bottom"/>
            <w:tcBorders>
              <w:top w:val="single" w:sz="8" w:color="CCEDD4"/>
              <w:bottom w:val="single" w:sz="8" w:color="56C271"/>
            </w:tcBorders>
            <w:shd w:val="clear" w:color="auto" w:fill="CCEDD4"/>
          </w:tcPr>
          <w:p>
            <w:pPr>
              <w:spacing w:after="0"/>
              <w:rPr>
                <w:sz w:val="5"/>
                <w:szCs w:val="5"/>
                <w:color w:val="auto"/>
              </w:rPr>
            </w:pPr>
          </w:p>
        </w:tc>
        <w:tc>
          <w:tcPr>
            <w:tcW w:w="420" w:type="dxa"/>
            <w:vAlign w:val="bottom"/>
            <w:tcBorders>
              <w:top w:val="single" w:sz="8" w:color="CCEDD4"/>
              <w:bottom w:val="single" w:sz="8" w:color="56C271"/>
            </w:tcBorders>
            <w:shd w:val="clear" w:color="auto" w:fill="CCEDD4"/>
          </w:tcPr>
          <w:p>
            <w:pPr>
              <w:spacing w:after="0"/>
              <w:rPr>
                <w:sz w:val="5"/>
                <w:szCs w:val="5"/>
                <w:color w:val="auto"/>
              </w:rPr>
            </w:pPr>
          </w:p>
        </w:tc>
        <w:tc>
          <w:tcPr>
            <w:tcW w:w="260" w:type="dxa"/>
            <w:vAlign w:val="bottom"/>
            <w:tcBorders>
              <w:top w:val="single" w:sz="8" w:color="0000EE"/>
              <w:bottom w:val="single" w:sz="8" w:color="56C271"/>
              <w:right w:val="single" w:sz="8" w:color="56C271"/>
            </w:tcBorders>
            <w:shd w:val="clear" w:color="auto" w:fill="CCEDD4"/>
          </w:tcPr>
          <w:p>
            <w:pPr>
              <w:spacing w:after="0"/>
              <w:rPr>
                <w:sz w:val="5"/>
                <w:szCs w:val="5"/>
                <w:color w:val="auto"/>
              </w:rPr>
            </w:pPr>
          </w:p>
        </w:tc>
      </w:tr>
      <w:tr>
        <w:trPr>
          <w:trHeight w:val="560"/>
        </w:trPr>
        <w:tc>
          <w:tcPr>
            <w:tcW w:w="2380" w:type="dxa"/>
            <w:vAlign w:val="bottom"/>
            <w:gridSpan w:val="17"/>
          </w:tcPr>
          <w:p>
            <w:pPr>
              <w:ind w:left="120"/>
              <w:spacing w:after="0"/>
              <w:rPr>
                <w:sz w:val="20"/>
                <w:szCs w:val="20"/>
                <w:color w:val="auto"/>
              </w:rPr>
            </w:pPr>
            <w:r>
              <w:rPr>
                <w:rFonts w:ascii="Arial" w:cs="Arial" w:eastAsia="Arial" w:hAnsi="Arial"/>
                <w:sz w:val="14"/>
                <w:szCs w:val="14"/>
                <w:b w:val="1"/>
                <w:bCs w:val="1"/>
                <w:color w:val="FFFFFF"/>
              </w:rPr>
              <w:t>NEOs</w:t>
            </w:r>
          </w:p>
        </w:tc>
        <w:tc>
          <w:tcPr>
            <w:tcW w:w="1220" w:type="dxa"/>
            <w:vAlign w:val="bottom"/>
            <w:gridSpan w:val="12"/>
          </w:tcPr>
          <w:p>
            <w:pPr>
              <w:ind w:left="120"/>
              <w:spacing w:after="0"/>
              <w:rPr>
                <w:sz w:val="20"/>
                <w:szCs w:val="20"/>
                <w:color w:val="auto"/>
              </w:rPr>
            </w:pPr>
            <w:r>
              <w:rPr>
                <w:rFonts w:ascii="Arial" w:cs="Arial" w:eastAsia="Arial" w:hAnsi="Arial"/>
                <w:sz w:val="14"/>
                <w:szCs w:val="14"/>
                <w:b w:val="1"/>
                <w:bCs w:val="1"/>
                <w:color w:val="FFFFFF"/>
              </w:rPr>
              <w:t>Position</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-135890</wp:posOffset>
            </wp:positionV>
            <wp:extent cx="555498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54980" cy="13716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-4705350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56C271"/>
        </w:rPr>
        <w:t>EXECUTIVE SUMMARY</w:t>
      </w:r>
    </w:p>
    <w:p>
      <w:pPr>
        <w:spacing w:after="0" w:line="170" w:lineRule="exact"/>
        <w:rPr>
          <w:sz w:val="20"/>
          <w:szCs w:val="20"/>
          <w:color w:val="auto"/>
        </w:rPr>
      </w:pPr>
    </w:p>
    <w:p>
      <w:pPr>
        <w:ind w:right="139"/>
        <w:spacing w:after="0" w:line="251" w:lineRule="auto"/>
        <w:rPr>
          <w:sz w:val="20"/>
          <w:szCs w:val="20"/>
          <w:color w:val="auto"/>
        </w:rPr>
      </w:pPr>
      <w:r>
        <w:rPr>
          <w:rFonts w:ascii="Arial" w:cs="Arial" w:eastAsia="Arial" w:hAnsi="Arial"/>
          <w:sz w:val="18"/>
          <w:szCs w:val="18"/>
          <w:color w:val="auto"/>
        </w:rPr>
        <w:t>The Company designs its compensation programs and practices around a pay-for-performance philosophy geared towards the achievement of short-and long-term goals. Senior executives are encouraged to think and behave like owners of the business and to consider the impact of their decisions and performance on the aggregate success of the Company as reflected in its total shareholder return (“TSR”). This section explains how the Compensation and Leadership Development Committee (“Committee”) made its compensation decisions for fiscal 2021 for the named executive officers (“NEOs”). The compensation awarded to the NEOs for fiscal 2021 is set forth in the Summary Compensation Table in this Proxy Statement.</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Named Executive Officers (NEOs)</w:t>
      </w:r>
    </w:p>
    <w:p>
      <w:pPr>
        <w:spacing w:after="0" w:line="175" w:lineRule="exact"/>
        <w:rPr>
          <w:sz w:val="20"/>
          <w:szCs w:val="20"/>
          <w:color w:val="auto"/>
        </w:rPr>
      </w:pPr>
    </w:p>
    <w:p>
      <w:pPr>
        <w:ind w:right="299"/>
        <w:spacing w:after="0" w:line="253" w:lineRule="auto"/>
        <w:rPr>
          <w:sz w:val="20"/>
          <w:szCs w:val="20"/>
          <w:color w:val="auto"/>
        </w:rPr>
      </w:pPr>
      <w:r>
        <w:rPr>
          <w:rFonts w:ascii="Arial" w:cs="Arial" w:eastAsia="Arial" w:hAnsi="Arial"/>
          <w:sz w:val="18"/>
          <w:szCs w:val="18"/>
          <w:color w:val="auto"/>
        </w:rPr>
        <w:t>The NEOs for fiscal 2021 are listed below. The titles represent their current position with the Company. Please see “Executive Officers of the Company” for additional information on current officers’ roles with the Company.</w:t>
      </w:r>
    </w:p>
    <w:p>
      <w:pPr>
        <w:spacing w:after="0" w:line="2177" w:lineRule="exact"/>
        <w:rPr>
          <w:sz w:val="20"/>
          <w:szCs w:val="20"/>
          <w:color w:val="auto"/>
        </w:rPr>
      </w:pPr>
    </w:p>
    <w:p>
      <w:pPr>
        <w:sectPr>
          <w:pgSz w:w="11900" w:h="16838" w:orient="portrait"/>
          <w:cols w:equalWidth="0" w:num="2">
            <w:col w:w="5260" w:space="220"/>
            <w:col w:w="4399"/>
          </w:cols>
          <w:pgMar w:left="580" w:top="132" w:right="1440" w:bottom="1440" w:gutter="0" w:footer="0" w:header="0"/>
          <w:type w:val="continuous"/>
        </w:sectPr>
      </w:pPr>
    </w:p>
    <w:tbl>
      <w:tblPr>
        <w:tblLayout w:type="fixed"/>
        <w:tblInd w:w="980" w:type="dxa"/>
        <w:tblCellMar>
          <w:top w:w="0" w:type="dxa"/>
          <w:left w:w="0" w:type="dxa"/>
          <w:bottom w:w="0" w:type="dxa"/>
          <w:right w:w="0" w:type="dxa"/>
        </w:tblCellMar>
      </w:tblPr>
      <w:tr>
        <w:trPr>
          <w:trHeight w:val="271"/>
        </w:trPr>
        <w:tc>
          <w:tcPr>
            <w:tcW w:w="2140" w:type="dxa"/>
            <w:vAlign w:val="bottom"/>
          </w:tcPr>
          <w:p>
            <w:pPr>
              <w:ind w:left="120"/>
              <w:spacing w:after="0" w:line="271" w:lineRule="exact"/>
              <w:rPr>
                <w:sz w:val="20"/>
                <w:szCs w:val="20"/>
                <w:color w:val="auto"/>
              </w:rPr>
            </w:pPr>
            <w:r>
              <w:rPr>
                <w:rFonts w:ascii="Arial" w:cs="Arial" w:eastAsia="Arial" w:hAnsi="Arial"/>
                <w:sz w:val="18"/>
                <w:szCs w:val="18"/>
                <w:color w:val="auto"/>
              </w:rPr>
              <w:t>Philip R. Gallagher</w:t>
            </w:r>
            <w:r>
              <w:rPr>
                <w:rFonts w:ascii="Arial" w:cs="Arial" w:eastAsia="Arial" w:hAnsi="Arial"/>
                <w:sz w:val="26"/>
                <w:szCs w:val="26"/>
                <w:color w:val="auto"/>
                <w:vertAlign w:val="superscript"/>
              </w:rPr>
              <w:t>(1)</w:t>
            </w:r>
          </w:p>
        </w:tc>
        <w:tc>
          <w:tcPr>
            <w:tcW w:w="6620" w:type="dxa"/>
            <w:vAlign w:val="bottom"/>
          </w:tcPr>
          <w:p>
            <w:pPr>
              <w:ind w:left="360"/>
              <w:spacing w:after="0"/>
              <w:rPr>
                <w:sz w:val="20"/>
                <w:szCs w:val="20"/>
                <w:color w:val="auto"/>
              </w:rPr>
            </w:pPr>
            <w:r>
              <w:rPr>
                <w:rFonts w:ascii="Arial" w:cs="Arial" w:eastAsia="Arial" w:hAnsi="Arial"/>
                <w:sz w:val="18"/>
                <w:szCs w:val="18"/>
                <w:color w:val="auto"/>
              </w:rPr>
              <w:t>Chief Executive Officer (“CEO”) and President, Electronic Components</w:t>
            </w:r>
          </w:p>
        </w:tc>
      </w:tr>
      <w:tr>
        <w:trPr>
          <w:trHeight w:val="256"/>
        </w:trPr>
        <w:tc>
          <w:tcPr>
            <w:tcW w:w="2140" w:type="dxa"/>
            <w:vAlign w:val="bottom"/>
            <w:shd w:val="clear" w:color="auto" w:fill="CCEDD4"/>
          </w:tcPr>
          <w:p>
            <w:pPr>
              <w:ind w:left="120"/>
              <w:spacing w:after="0"/>
              <w:rPr>
                <w:sz w:val="20"/>
                <w:szCs w:val="20"/>
                <w:color w:val="auto"/>
              </w:rPr>
            </w:pPr>
            <w:r>
              <w:rPr>
                <w:rFonts w:ascii="Arial" w:cs="Arial" w:eastAsia="Arial" w:hAnsi="Arial"/>
                <w:sz w:val="18"/>
                <w:szCs w:val="18"/>
                <w:color w:val="auto"/>
              </w:rPr>
              <w:t>Thomas Liguori</w:t>
            </w:r>
          </w:p>
        </w:tc>
        <w:tc>
          <w:tcPr>
            <w:tcW w:w="6620" w:type="dxa"/>
            <w:vAlign w:val="bottom"/>
            <w:shd w:val="clear" w:color="auto" w:fill="CCEDD4"/>
          </w:tcPr>
          <w:p>
            <w:pPr>
              <w:ind w:left="360"/>
              <w:spacing w:after="0"/>
              <w:rPr>
                <w:sz w:val="20"/>
                <w:szCs w:val="20"/>
                <w:color w:val="auto"/>
              </w:rPr>
            </w:pPr>
            <w:r>
              <w:rPr>
                <w:rFonts w:ascii="Arial" w:cs="Arial" w:eastAsia="Arial" w:hAnsi="Arial"/>
                <w:sz w:val="18"/>
                <w:szCs w:val="18"/>
                <w:color w:val="auto"/>
              </w:rPr>
              <w:t>Chief Financial Officer (“CFO”)</w:t>
            </w:r>
          </w:p>
        </w:tc>
      </w:tr>
      <w:tr>
        <w:trPr>
          <w:trHeight w:val="257"/>
        </w:trPr>
        <w:tc>
          <w:tcPr>
            <w:tcW w:w="2140" w:type="dxa"/>
            <w:vAlign w:val="bottom"/>
          </w:tcPr>
          <w:p>
            <w:pPr>
              <w:ind w:left="120"/>
              <w:spacing w:after="0"/>
              <w:rPr>
                <w:sz w:val="20"/>
                <w:szCs w:val="20"/>
                <w:color w:val="auto"/>
              </w:rPr>
            </w:pPr>
            <w:r>
              <w:rPr>
                <w:rFonts w:ascii="Arial" w:cs="Arial" w:eastAsia="Arial" w:hAnsi="Arial"/>
                <w:sz w:val="18"/>
                <w:szCs w:val="18"/>
                <w:color w:val="auto"/>
              </w:rPr>
              <w:t>Ken E. Arnold</w:t>
            </w:r>
          </w:p>
        </w:tc>
        <w:tc>
          <w:tcPr>
            <w:tcW w:w="6620" w:type="dxa"/>
            <w:vAlign w:val="bottom"/>
          </w:tcPr>
          <w:p>
            <w:pPr>
              <w:ind w:left="360"/>
              <w:spacing w:after="0"/>
              <w:rPr>
                <w:sz w:val="20"/>
                <w:szCs w:val="20"/>
                <w:color w:val="auto"/>
              </w:rPr>
            </w:pPr>
            <w:r>
              <w:rPr>
                <w:rFonts w:ascii="Arial" w:cs="Arial" w:eastAsia="Arial" w:hAnsi="Arial"/>
                <w:sz w:val="18"/>
                <w:szCs w:val="18"/>
                <w:color w:val="auto"/>
              </w:rPr>
              <w:t>Senior Vice President, Chief People Officer</w:t>
            </w:r>
          </w:p>
        </w:tc>
      </w:tr>
      <w:tr>
        <w:trPr>
          <w:trHeight w:val="270"/>
        </w:trPr>
        <w:tc>
          <w:tcPr>
            <w:tcW w:w="2140" w:type="dxa"/>
            <w:vAlign w:val="bottom"/>
            <w:shd w:val="clear" w:color="auto" w:fill="CCEDD4"/>
          </w:tcPr>
          <w:p>
            <w:pPr>
              <w:ind w:left="120"/>
              <w:spacing w:after="0"/>
              <w:rPr>
                <w:sz w:val="20"/>
                <w:szCs w:val="20"/>
                <w:color w:val="auto"/>
              </w:rPr>
            </w:pPr>
            <w:r>
              <w:rPr>
                <w:rFonts w:ascii="Arial" w:cs="Arial" w:eastAsia="Arial" w:hAnsi="Arial"/>
                <w:sz w:val="18"/>
                <w:szCs w:val="18"/>
                <w:color w:val="auto"/>
              </w:rPr>
              <w:t>Leng Jin (Max) Chan</w:t>
            </w:r>
          </w:p>
        </w:tc>
        <w:tc>
          <w:tcPr>
            <w:tcW w:w="6620" w:type="dxa"/>
            <w:vAlign w:val="bottom"/>
            <w:shd w:val="clear" w:color="auto" w:fill="CCEDD4"/>
          </w:tcPr>
          <w:p>
            <w:pPr>
              <w:ind w:left="360"/>
              <w:spacing w:after="0"/>
              <w:rPr>
                <w:sz w:val="20"/>
                <w:szCs w:val="20"/>
                <w:color w:val="auto"/>
              </w:rPr>
            </w:pPr>
            <w:r>
              <w:rPr>
                <w:rFonts w:ascii="Arial" w:cs="Arial" w:eastAsia="Arial" w:hAnsi="Arial"/>
                <w:sz w:val="18"/>
                <w:szCs w:val="18"/>
                <w:color w:val="auto"/>
              </w:rPr>
              <w:t>Chief Information Officer</w:t>
            </w:r>
          </w:p>
        </w:tc>
      </w:tr>
      <w:tr>
        <w:trPr>
          <w:trHeight w:val="242"/>
        </w:trPr>
        <w:tc>
          <w:tcPr>
            <w:tcW w:w="2140" w:type="dxa"/>
            <w:vAlign w:val="bottom"/>
          </w:tcPr>
          <w:p>
            <w:pPr>
              <w:ind w:left="120"/>
              <w:spacing w:after="0"/>
              <w:rPr>
                <w:sz w:val="20"/>
                <w:szCs w:val="20"/>
                <w:color w:val="auto"/>
              </w:rPr>
            </w:pPr>
            <w:r>
              <w:rPr>
                <w:rFonts w:ascii="Arial" w:cs="Arial" w:eastAsia="Arial" w:hAnsi="Arial"/>
                <w:sz w:val="18"/>
                <w:szCs w:val="18"/>
                <w:color w:val="auto"/>
              </w:rPr>
              <w:t>Michael R. McCoy</w:t>
            </w:r>
          </w:p>
        </w:tc>
        <w:tc>
          <w:tcPr>
            <w:tcW w:w="6620" w:type="dxa"/>
            <w:vAlign w:val="bottom"/>
          </w:tcPr>
          <w:p>
            <w:pPr>
              <w:ind w:left="360"/>
              <w:spacing w:after="0"/>
              <w:rPr>
                <w:sz w:val="20"/>
                <w:szCs w:val="20"/>
                <w:color w:val="auto"/>
              </w:rPr>
            </w:pPr>
            <w:r>
              <w:rPr>
                <w:rFonts w:ascii="Arial" w:cs="Arial" w:eastAsia="Arial" w:hAnsi="Arial"/>
                <w:sz w:val="18"/>
                <w:szCs w:val="18"/>
                <w:color w:val="auto"/>
              </w:rPr>
              <w:t>Senior Vice President, Chief Legal Officer, General Counsel &amp; Assistant</w:t>
            </w:r>
          </w:p>
        </w:tc>
      </w:tr>
      <w:tr>
        <w:trPr>
          <w:trHeight w:val="217"/>
        </w:trPr>
        <w:tc>
          <w:tcPr>
            <w:tcW w:w="214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Secretary</w:t>
            </w:r>
          </w:p>
        </w:tc>
      </w:tr>
      <w:tr>
        <w:trPr>
          <w:trHeight w:val="27"/>
        </w:trPr>
        <w:tc>
          <w:tcPr>
            <w:tcW w:w="214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84"/>
        </w:trPr>
        <w:tc>
          <w:tcPr>
            <w:tcW w:w="2140" w:type="dxa"/>
            <w:vAlign w:val="bottom"/>
            <w:shd w:val="clear" w:color="auto" w:fill="CCEDD4"/>
          </w:tcPr>
          <w:p>
            <w:pPr>
              <w:ind w:left="120"/>
              <w:spacing w:after="0" w:line="283" w:lineRule="exact"/>
              <w:rPr>
                <w:sz w:val="20"/>
                <w:szCs w:val="20"/>
                <w:color w:val="auto"/>
              </w:rPr>
            </w:pPr>
            <w:r>
              <w:rPr>
                <w:rFonts w:ascii="Arial" w:cs="Arial" w:eastAsia="Arial" w:hAnsi="Arial"/>
                <w:sz w:val="18"/>
                <w:szCs w:val="18"/>
                <w:color w:val="auto"/>
              </w:rPr>
              <w:t>William J. Amelio</w:t>
            </w:r>
            <w:r>
              <w:rPr>
                <w:rFonts w:ascii="Arial" w:cs="Arial" w:eastAsia="Arial" w:hAnsi="Arial"/>
                <w:sz w:val="26"/>
                <w:szCs w:val="26"/>
                <w:color w:val="auto"/>
                <w:vertAlign w:val="superscript"/>
              </w:rPr>
              <w:t>(2)</w:t>
            </w:r>
          </w:p>
        </w:tc>
        <w:tc>
          <w:tcPr>
            <w:tcW w:w="6620" w:type="dxa"/>
            <w:vAlign w:val="bottom"/>
            <w:shd w:val="clear" w:color="auto" w:fill="CCEDD4"/>
          </w:tcPr>
          <w:p>
            <w:pPr>
              <w:ind w:left="360"/>
              <w:spacing w:after="0"/>
              <w:rPr>
                <w:sz w:val="20"/>
                <w:szCs w:val="20"/>
                <w:color w:val="auto"/>
              </w:rPr>
            </w:pPr>
            <w:r>
              <w:rPr>
                <w:rFonts w:ascii="Arial" w:cs="Arial" w:eastAsia="Arial" w:hAnsi="Arial"/>
                <w:sz w:val="18"/>
                <w:szCs w:val="18"/>
                <w:color w:val="auto"/>
              </w:rPr>
              <w:t>Former Chief Executive Officer</w:t>
            </w:r>
          </w:p>
        </w:tc>
      </w:tr>
      <w:tr>
        <w:trPr>
          <w:trHeight w:val="283"/>
        </w:trPr>
        <w:tc>
          <w:tcPr>
            <w:tcW w:w="2140" w:type="dxa"/>
            <w:vAlign w:val="bottom"/>
          </w:tcPr>
          <w:p>
            <w:pPr>
              <w:ind w:left="120"/>
              <w:spacing w:after="0" w:line="283" w:lineRule="exact"/>
              <w:rPr>
                <w:sz w:val="20"/>
                <w:szCs w:val="20"/>
                <w:color w:val="auto"/>
              </w:rPr>
            </w:pPr>
            <w:r>
              <w:rPr>
                <w:rFonts w:ascii="Arial" w:cs="Arial" w:eastAsia="Arial" w:hAnsi="Arial"/>
                <w:sz w:val="18"/>
                <w:szCs w:val="18"/>
                <w:color w:val="auto"/>
              </w:rPr>
              <w:t>Peter G. Bartolotta</w:t>
            </w:r>
            <w:r>
              <w:rPr>
                <w:rFonts w:ascii="Arial" w:cs="Arial" w:eastAsia="Arial" w:hAnsi="Arial"/>
                <w:sz w:val="26"/>
                <w:szCs w:val="26"/>
                <w:color w:val="auto"/>
                <w:vertAlign w:val="superscript"/>
              </w:rPr>
              <w:t>(3)</w:t>
            </w:r>
          </w:p>
        </w:tc>
        <w:tc>
          <w:tcPr>
            <w:tcW w:w="6620" w:type="dxa"/>
            <w:vAlign w:val="bottom"/>
          </w:tcPr>
          <w:p>
            <w:pPr>
              <w:ind w:left="360"/>
              <w:spacing w:after="0"/>
              <w:rPr>
                <w:sz w:val="20"/>
                <w:szCs w:val="20"/>
                <w:color w:val="auto"/>
              </w:rPr>
            </w:pPr>
            <w:r>
              <w:rPr>
                <w:rFonts w:ascii="Arial" w:cs="Arial" w:eastAsia="Arial" w:hAnsi="Arial"/>
                <w:sz w:val="18"/>
                <w:szCs w:val="18"/>
                <w:color w:val="auto"/>
              </w:rPr>
              <w:t>Former President, Business Transformation</w:t>
            </w:r>
          </w:p>
        </w:tc>
      </w:tr>
      <w:tr>
        <w:trPr>
          <w:trHeight w:val="284"/>
        </w:trPr>
        <w:tc>
          <w:tcPr>
            <w:tcW w:w="2140" w:type="dxa"/>
            <w:vAlign w:val="bottom"/>
            <w:shd w:val="clear" w:color="auto" w:fill="CCEDD4"/>
          </w:tcPr>
          <w:p>
            <w:pPr>
              <w:ind w:left="120"/>
              <w:spacing w:after="0" w:line="283" w:lineRule="exact"/>
              <w:rPr>
                <w:sz w:val="20"/>
                <w:szCs w:val="20"/>
                <w:color w:val="auto"/>
              </w:rPr>
            </w:pPr>
            <w:r>
              <w:rPr>
                <w:rFonts w:ascii="Arial" w:cs="Arial" w:eastAsia="Arial" w:hAnsi="Arial"/>
                <w:sz w:val="18"/>
                <w:szCs w:val="18"/>
                <w:color w:val="auto"/>
              </w:rPr>
              <w:t>MaryAnn G. Miller</w:t>
            </w:r>
            <w:r>
              <w:rPr>
                <w:rFonts w:ascii="Arial" w:cs="Arial" w:eastAsia="Arial" w:hAnsi="Arial"/>
                <w:sz w:val="26"/>
                <w:szCs w:val="26"/>
                <w:color w:val="auto"/>
                <w:vertAlign w:val="superscript"/>
              </w:rPr>
              <w:t>(4)</w:t>
            </w:r>
          </w:p>
        </w:tc>
        <w:tc>
          <w:tcPr>
            <w:tcW w:w="6620" w:type="dxa"/>
            <w:vAlign w:val="bottom"/>
            <w:shd w:val="clear" w:color="auto" w:fill="CCEDD4"/>
          </w:tcPr>
          <w:p>
            <w:pPr>
              <w:ind w:left="360"/>
              <w:spacing w:after="0"/>
              <w:rPr>
                <w:sz w:val="20"/>
                <w:szCs w:val="20"/>
                <w:color w:val="auto"/>
              </w:rPr>
            </w:pPr>
            <w:r>
              <w:rPr>
                <w:rFonts w:ascii="Arial" w:cs="Arial" w:eastAsia="Arial" w:hAnsi="Arial"/>
                <w:sz w:val="18"/>
                <w:szCs w:val="18"/>
                <w:color w:val="auto"/>
              </w:rPr>
              <w:t>Former Senior Vice President, Chief Administrative Officer (“CAO”)</w:t>
            </w:r>
          </w:p>
        </w:tc>
      </w:tr>
    </w:tbl>
    <w:p>
      <w:pPr>
        <w:spacing w:after="0" w:line="40" w:lineRule="exact"/>
        <w:rPr>
          <w:sz w:val="20"/>
          <w:szCs w:val="20"/>
          <w:color w:val="auto"/>
        </w:rPr>
      </w:pPr>
    </w:p>
    <w:p>
      <w:pPr>
        <w:ind w:left="1720" w:right="219" w:hanging="730"/>
        <w:spacing w:after="0" w:line="261" w:lineRule="auto"/>
        <w:tabs>
          <w:tab w:leader="none" w:pos="1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Gallagher served as the Interim CEO beginning on July 31, 2020 and was appointed the CEO on November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126365</wp:posOffset>
            </wp:positionV>
            <wp:extent cx="1482725" cy="291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720" w:right="199" w:hanging="730"/>
        <w:spacing w:after="0" w:line="256" w:lineRule="auto"/>
        <w:tabs>
          <w:tab w:leader="none" w:pos="1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Amelio ceased to be the CEO during fiscal 2021, on July 31, 2020. His separation constituted a termination without “cause” as that term is defined in his employment agreement dated September 1, 2016, and he was paid severance in accordance with the terms of his employment agreement.</w:t>
      </w:r>
    </w:p>
    <w:p>
      <w:pPr>
        <w:spacing w:after="0" w:line="26" w:lineRule="exact"/>
        <w:rPr>
          <w:rFonts w:ascii="Arial" w:cs="Arial" w:eastAsia="Arial" w:hAnsi="Arial"/>
          <w:sz w:val="18"/>
          <w:szCs w:val="18"/>
          <w:color w:val="auto"/>
        </w:rPr>
      </w:pPr>
    </w:p>
    <w:p>
      <w:pPr>
        <w:ind w:left="1720" w:right="259" w:hanging="730"/>
        <w:spacing w:after="0" w:line="254" w:lineRule="auto"/>
        <w:tabs>
          <w:tab w:leader="none" w:pos="1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Bartolotta ceased to be an officer during fiscal 2021, on October 1, 2020. His separation constituted a termination without “cause” as that term is defined in his employment agreement dated October 24, 2016, and he was paid severance in accordance with the terms of his employment agreement.</w:t>
      </w:r>
    </w:p>
    <w:p>
      <w:pPr>
        <w:spacing w:after="0" w:line="122" w:lineRule="exact"/>
        <w:rPr>
          <w:rFonts w:ascii="Arial" w:cs="Arial" w:eastAsia="Arial" w:hAnsi="Arial"/>
          <w:sz w:val="18"/>
          <w:szCs w:val="18"/>
          <w:color w:val="auto"/>
        </w:rPr>
      </w:pPr>
    </w:p>
    <w:p>
      <w:pPr>
        <w:ind w:left="1720" w:right="319" w:hanging="730"/>
        <w:spacing w:after="0" w:line="261" w:lineRule="auto"/>
        <w:tabs>
          <w:tab w:leader="none" w:pos="1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Ms. Miller retired from her role as CAO effective as of October 16, 2020 and transitioned to a senior advisor role.</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Business Performance</w:t>
      </w:r>
    </w:p>
    <w:p>
      <w:pPr>
        <w:spacing w:after="0" w:line="161" w:lineRule="exact"/>
        <w:rPr>
          <w:sz w:val="20"/>
          <w:szCs w:val="20"/>
          <w:color w:val="auto"/>
        </w:rPr>
      </w:pPr>
    </w:p>
    <w:p>
      <w:pPr>
        <w:ind w:left="1000" w:right="379"/>
        <w:spacing w:after="0" w:line="246" w:lineRule="auto"/>
        <w:rPr>
          <w:sz w:val="20"/>
          <w:szCs w:val="20"/>
          <w:color w:val="auto"/>
        </w:rPr>
      </w:pPr>
      <w:r>
        <w:rPr>
          <w:rFonts w:ascii="Arial" w:cs="Arial" w:eastAsia="Arial" w:hAnsi="Arial"/>
          <w:sz w:val="18"/>
          <w:szCs w:val="18"/>
          <w:color w:val="auto"/>
        </w:rPr>
        <w:t>The Company’s performance, including some of the financial performance metrics utilized in the Company’s incentive awards payable for fiscal 2021, is detailed in the table below.</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640" w:type="dxa"/>
            <w:vAlign w:val="bottom"/>
            <w:shd w:val="clear" w:color="auto" w:fill="56C271"/>
          </w:tcPr>
          <w:p>
            <w:pPr>
              <w:spacing w:after="0"/>
              <w:rPr>
                <w:sz w:val="18"/>
                <w:szCs w:val="18"/>
                <w:color w:val="auto"/>
              </w:rPr>
            </w:pPr>
          </w:p>
        </w:tc>
        <w:tc>
          <w:tcPr>
            <w:tcW w:w="2220" w:type="dxa"/>
            <w:vAlign w:val="bottom"/>
            <w:gridSpan w:val="2"/>
            <w:shd w:val="clear" w:color="auto" w:fill="56C271"/>
          </w:tcPr>
          <w:p>
            <w:pPr>
              <w:jc w:val="right"/>
              <w:ind w:right="112"/>
              <w:spacing w:after="0"/>
              <w:rPr>
                <w:sz w:val="20"/>
                <w:szCs w:val="20"/>
                <w:color w:val="auto"/>
              </w:rPr>
            </w:pPr>
            <w:r>
              <w:rPr>
                <w:rFonts w:ascii="Arial" w:cs="Arial" w:eastAsia="Arial" w:hAnsi="Arial"/>
                <w:sz w:val="14"/>
                <w:szCs w:val="14"/>
                <w:b w:val="1"/>
                <w:bCs w:val="1"/>
                <w:color w:val="FEFEFE"/>
              </w:rPr>
              <w:t>Fiscal 2020</w:t>
            </w:r>
          </w:p>
        </w:tc>
        <w:tc>
          <w:tcPr>
            <w:tcW w:w="1040" w:type="dxa"/>
            <w:vAlign w:val="bottom"/>
            <w:gridSpan w:val="2"/>
            <w:shd w:val="clear" w:color="auto" w:fill="56C271"/>
          </w:tcPr>
          <w:p>
            <w:pPr>
              <w:jc w:val="right"/>
              <w:ind w:right="110"/>
              <w:spacing w:after="0"/>
              <w:rPr>
                <w:sz w:val="20"/>
                <w:szCs w:val="20"/>
                <w:color w:val="auto"/>
              </w:rPr>
            </w:pPr>
            <w:r>
              <w:rPr>
                <w:rFonts w:ascii="Arial" w:cs="Arial" w:eastAsia="Arial" w:hAnsi="Arial"/>
                <w:sz w:val="14"/>
                <w:szCs w:val="14"/>
                <w:b w:val="1"/>
                <w:bCs w:val="1"/>
                <w:color w:val="FEFEFE"/>
              </w:rPr>
              <w:t>Fiscal 2021</w:t>
            </w:r>
          </w:p>
        </w:tc>
        <w:tc>
          <w:tcPr>
            <w:tcW w:w="860" w:type="dxa"/>
            <w:vAlign w:val="bottom"/>
            <w:shd w:val="clear" w:color="auto" w:fill="56C271"/>
          </w:tcPr>
          <w:p>
            <w:pPr>
              <w:jc w:val="right"/>
              <w:ind w:right="32"/>
              <w:spacing w:after="0"/>
              <w:rPr>
                <w:sz w:val="20"/>
                <w:szCs w:val="20"/>
                <w:color w:val="auto"/>
              </w:rPr>
            </w:pPr>
            <w:r>
              <w:rPr>
                <w:rFonts w:ascii="Arial" w:cs="Arial" w:eastAsia="Arial" w:hAnsi="Arial"/>
                <w:sz w:val="14"/>
                <w:szCs w:val="14"/>
                <w:b w:val="1"/>
                <w:bCs w:val="1"/>
                <w:color w:val="FEFEFE"/>
              </w:rPr>
              <w:t>% Change</w:t>
            </w:r>
          </w:p>
        </w:tc>
      </w:tr>
      <w:tr>
        <w:trPr>
          <w:trHeight w:val="217"/>
        </w:trPr>
        <w:tc>
          <w:tcPr>
            <w:tcW w:w="4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 in millions, except per share data</w:t>
            </w:r>
          </w:p>
        </w:tc>
      </w:tr>
      <w:tr>
        <w:trPr>
          <w:trHeight w:val="39"/>
        </w:trPr>
        <w:tc>
          <w:tcPr>
            <w:tcW w:w="464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6"/>
        </w:trPr>
        <w:tc>
          <w:tcPr>
            <w:tcW w:w="46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Sales</w:t>
            </w:r>
          </w:p>
        </w:tc>
        <w:tc>
          <w:tcPr>
            <w:tcW w:w="2220" w:type="dxa"/>
            <w:vAlign w:val="bottom"/>
            <w:gridSpan w:val="2"/>
            <w:shd w:val="clear" w:color="auto" w:fill="CCEDD4"/>
          </w:tcPr>
          <w:p>
            <w:pPr>
              <w:jc w:val="right"/>
              <w:ind w:right="112"/>
              <w:spacing w:after="0"/>
              <w:rPr>
                <w:sz w:val="20"/>
                <w:szCs w:val="20"/>
                <w:color w:val="auto"/>
              </w:rPr>
            </w:pPr>
            <w:r>
              <w:rPr>
                <w:rFonts w:ascii="Arial" w:cs="Arial" w:eastAsia="Arial" w:hAnsi="Arial"/>
                <w:sz w:val="18"/>
                <w:szCs w:val="18"/>
                <w:color w:val="auto"/>
              </w:rPr>
              <w:t>$17,634.3</w:t>
            </w:r>
          </w:p>
        </w:tc>
        <w:tc>
          <w:tcPr>
            <w:tcW w:w="1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DD4"/>
          </w:tcPr>
          <w:p>
            <w:pPr>
              <w:jc w:val="right"/>
              <w:ind w:right="110"/>
              <w:spacing w:after="0"/>
              <w:rPr>
                <w:sz w:val="20"/>
                <w:szCs w:val="20"/>
                <w:color w:val="auto"/>
              </w:rPr>
            </w:pPr>
            <w:r>
              <w:rPr>
                <w:rFonts w:ascii="Arial" w:cs="Arial" w:eastAsia="Arial" w:hAnsi="Arial"/>
                <w:sz w:val="18"/>
                <w:szCs w:val="18"/>
                <w:color w:val="auto"/>
                <w:w w:val="96"/>
              </w:rPr>
              <w:t>19,534.7</w:t>
            </w:r>
          </w:p>
        </w:tc>
        <w:tc>
          <w:tcPr>
            <w:tcW w:w="86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10.8%</w:t>
            </w:r>
          </w:p>
        </w:tc>
      </w:tr>
      <w:tr>
        <w:trPr>
          <w:trHeight w:val="257"/>
        </w:trPr>
        <w:tc>
          <w:tcPr>
            <w:tcW w:w="4640" w:type="dxa"/>
            <w:vAlign w:val="bottom"/>
          </w:tcPr>
          <w:p>
            <w:pPr>
              <w:ind w:left="100"/>
              <w:spacing w:after="0"/>
              <w:rPr>
                <w:sz w:val="20"/>
                <w:szCs w:val="20"/>
                <w:color w:val="auto"/>
              </w:rPr>
            </w:pPr>
            <w:r>
              <w:rPr>
                <w:rFonts w:ascii="Arial" w:cs="Arial" w:eastAsia="Arial" w:hAnsi="Arial"/>
                <w:sz w:val="18"/>
                <w:szCs w:val="18"/>
                <w:color w:val="auto"/>
              </w:rPr>
              <w:t>Gross profit dollars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2,063.5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2,240.6</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8.6%</w:t>
            </w:r>
          </w:p>
        </w:tc>
      </w:tr>
      <w:tr>
        <w:trPr>
          <w:trHeight w:val="257"/>
        </w:trPr>
        <w:tc>
          <w:tcPr>
            <w:tcW w:w="46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Operating income (loss)</w:t>
            </w:r>
          </w:p>
        </w:tc>
        <w:tc>
          <w:tcPr>
            <w:tcW w:w="13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DD4"/>
          </w:tcPr>
          <w:p>
            <w:pPr>
              <w:jc w:val="right"/>
              <w:ind w:right="52"/>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DD4"/>
          </w:tcPr>
          <w:p>
            <w:pPr>
              <w:jc w:val="right"/>
              <w:ind w:right="110"/>
              <w:spacing w:after="0"/>
              <w:rPr>
                <w:sz w:val="20"/>
                <w:szCs w:val="20"/>
                <w:color w:val="auto"/>
              </w:rPr>
            </w:pPr>
            <w:r>
              <w:rPr>
                <w:rFonts w:ascii="Arial" w:cs="Arial" w:eastAsia="Arial" w:hAnsi="Arial"/>
                <w:sz w:val="18"/>
                <w:szCs w:val="18"/>
                <w:color w:val="auto"/>
              </w:rPr>
              <w:t>281.4</w:t>
            </w:r>
          </w:p>
        </w:tc>
        <w:tc>
          <w:tcPr>
            <w:tcW w:w="86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6217.4%</w:t>
            </w:r>
          </w:p>
        </w:tc>
      </w:tr>
      <w:tr>
        <w:trPr>
          <w:trHeight w:val="257"/>
        </w:trPr>
        <w:tc>
          <w:tcPr>
            <w:tcW w:w="4640" w:type="dxa"/>
            <w:vAlign w:val="bottom"/>
          </w:tcPr>
          <w:p>
            <w:pPr>
              <w:ind w:left="100"/>
              <w:spacing w:after="0"/>
              <w:rPr>
                <w:sz w:val="20"/>
                <w:szCs w:val="20"/>
                <w:color w:val="auto"/>
              </w:rPr>
            </w:pPr>
            <w:r>
              <w:rPr>
                <w:rFonts w:ascii="Arial" w:cs="Arial" w:eastAsia="Arial" w:hAnsi="Arial"/>
                <w:sz w:val="18"/>
                <w:szCs w:val="18"/>
                <w:color w:val="auto"/>
              </w:rPr>
              <w:t>Adjusted operating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302.9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407.0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34.4%</w:t>
            </w:r>
          </w:p>
        </w:tc>
      </w:tr>
      <w:tr>
        <w:trPr>
          <w:trHeight w:val="257"/>
        </w:trPr>
        <w:tc>
          <w:tcPr>
            <w:tcW w:w="46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Operating income margin</w:t>
            </w:r>
          </w:p>
        </w:tc>
        <w:tc>
          <w:tcPr>
            <w:tcW w:w="1380" w:type="dxa"/>
            <w:vAlign w:val="bottom"/>
            <w:shd w:val="clear" w:color="auto" w:fill="CCEDD4"/>
          </w:tcPr>
          <w:p>
            <w:pPr>
              <w:spacing w:after="0"/>
              <w:rPr>
                <w:sz w:val="22"/>
                <w:szCs w:val="22"/>
                <w:color w:val="auto"/>
              </w:rPr>
            </w:pPr>
          </w:p>
        </w:tc>
        <w:tc>
          <w:tcPr>
            <w:tcW w:w="8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DD4"/>
          </w:tcPr>
          <w:p>
            <w:pPr>
              <w:spacing w:after="0"/>
              <w:rPr>
                <w:sz w:val="22"/>
                <w:szCs w:val="22"/>
                <w:color w:val="auto"/>
              </w:rPr>
            </w:pPr>
          </w:p>
        </w:tc>
        <w:tc>
          <w:tcPr>
            <w:tcW w:w="9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1.44%</w:t>
            </w:r>
          </w:p>
        </w:tc>
        <w:tc>
          <w:tcPr>
            <w:tcW w:w="86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147 bps</w:t>
            </w:r>
          </w:p>
        </w:tc>
      </w:tr>
      <w:tr>
        <w:trPr>
          <w:trHeight w:val="256"/>
        </w:trPr>
        <w:tc>
          <w:tcPr>
            <w:tcW w:w="4640" w:type="dxa"/>
            <w:vAlign w:val="bottom"/>
          </w:tcPr>
          <w:p>
            <w:pPr>
              <w:ind w:left="100"/>
              <w:spacing w:after="0"/>
              <w:rPr>
                <w:sz w:val="20"/>
                <w:szCs w:val="20"/>
                <w:color w:val="auto"/>
              </w:rPr>
            </w:pPr>
            <w:r>
              <w:rPr>
                <w:rFonts w:ascii="Arial" w:cs="Arial" w:eastAsia="Arial" w:hAnsi="Arial"/>
                <w:sz w:val="18"/>
                <w:szCs w:val="18"/>
                <w:color w:val="auto"/>
              </w:rPr>
              <w:t>Adjusted operating income margin</w:t>
            </w:r>
          </w:p>
        </w:tc>
        <w:tc>
          <w:tcPr>
            <w:tcW w:w="1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 bps</w:t>
            </w:r>
          </w:p>
        </w:tc>
      </w:tr>
      <w:tr>
        <w:trPr>
          <w:trHeight w:val="256"/>
        </w:trPr>
        <w:tc>
          <w:tcPr>
            <w:tcW w:w="46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Diluted earnings (loss) per share</w:t>
            </w:r>
          </w:p>
        </w:tc>
        <w:tc>
          <w:tcPr>
            <w:tcW w:w="13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DD4"/>
          </w:tcPr>
          <w:p>
            <w:pPr>
              <w:jc w:val="right"/>
              <w:ind w:right="110"/>
              <w:spacing w:after="0"/>
              <w:rPr>
                <w:sz w:val="20"/>
                <w:szCs w:val="20"/>
                <w:color w:val="auto"/>
              </w:rPr>
            </w:pPr>
            <w:r>
              <w:rPr>
                <w:rFonts w:ascii="Arial" w:cs="Arial" w:eastAsia="Arial" w:hAnsi="Arial"/>
                <w:sz w:val="18"/>
                <w:szCs w:val="18"/>
                <w:color w:val="auto"/>
              </w:rPr>
              <w:t>1.93</w:t>
            </w:r>
          </w:p>
        </w:tc>
        <w:tc>
          <w:tcPr>
            <w:tcW w:w="86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722.6%</w:t>
            </w:r>
          </w:p>
        </w:tc>
      </w:tr>
      <w:tr>
        <w:trPr>
          <w:trHeight w:val="257"/>
        </w:trPr>
        <w:tc>
          <w:tcPr>
            <w:tcW w:w="4640" w:type="dxa"/>
            <w:vAlign w:val="bottom"/>
          </w:tcPr>
          <w:p>
            <w:pPr>
              <w:ind w:left="100"/>
              <w:spacing w:after="0"/>
              <w:rPr>
                <w:sz w:val="20"/>
                <w:szCs w:val="20"/>
                <w:color w:val="auto"/>
              </w:rPr>
            </w:pPr>
            <w:r>
              <w:rPr>
                <w:rFonts w:ascii="Arial" w:cs="Arial" w:eastAsia="Arial" w:hAnsi="Arial"/>
                <w:sz w:val="18"/>
                <w:szCs w:val="18"/>
                <w:color w:val="auto"/>
              </w:rPr>
              <w:t>Adjusted diluted earnings (loss) per share</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2.04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2.71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32.8%</w:t>
            </w:r>
          </w:p>
        </w:tc>
      </w:tr>
      <w:tr>
        <w:trPr>
          <w:trHeight w:val="256"/>
        </w:trPr>
        <w:tc>
          <w:tcPr>
            <w:tcW w:w="46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Net working capital days</w:t>
            </w:r>
          </w:p>
        </w:tc>
        <w:tc>
          <w:tcPr>
            <w:tcW w:w="1380" w:type="dxa"/>
            <w:vAlign w:val="bottom"/>
            <w:shd w:val="clear" w:color="auto" w:fill="CCEDD4"/>
          </w:tcPr>
          <w:p>
            <w:pPr>
              <w:spacing w:after="0"/>
              <w:rPr>
                <w:sz w:val="22"/>
                <w:szCs w:val="22"/>
                <w:color w:val="auto"/>
              </w:rPr>
            </w:pPr>
          </w:p>
        </w:tc>
        <w:tc>
          <w:tcPr>
            <w:tcW w:w="840" w:type="dxa"/>
            <w:vAlign w:val="bottom"/>
            <w:shd w:val="clear" w:color="auto" w:fill="CCEDD4"/>
          </w:tcPr>
          <w:p>
            <w:pPr>
              <w:jc w:val="right"/>
              <w:ind w:right="112"/>
              <w:spacing w:after="0"/>
              <w:rPr>
                <w:sz w:val="20"/>
                <w:szCs w:val="20"/>
                <w:color w:val="auto"/>
              </w:rPr>
            </w:pPr>
            <w:r>
              <w:rPr>
                <w:rFonts w:ascii="Arial" w:cs="Arial" w:eastAsia="Arial" w:hAnsi="Arial"/>
                <w:sz w:val="18"/>
                <w:szCs w:val="18"/>
                <w:color w:val="auto"/>
              </w:rPr>
              <w:t>84.62</w:t>
            </w:r>
          </w:p>
        </w:tc>
        <w:tc>
          <w:tcPr>
            <w:tcW w:w="140" w:type="dxa"/>
            <w:vAlign w:val="bottom"/>
            <w:shd w:val="clear" w:color="auto" w:fill="CCEDD4"/>
          </w:tcPr>
          <w:p>
            <w:pPr>
              <w:spacing w:after="0"/>
              <w:rPr>
                <w:sz w:val="22"/>
                <w:szCs w:val="22"/>
                <w:color w:val="auto"/>
              </w:rPr>
            </w:pPr>
          </w:p>
        </w:tc>
        <w:tc>
          <w:tcPr>
            <w:tcW w:w="900" w:type="dxa"/>
            <w:vAlign w:val="bottom"/>
            <w:shd w:val="clear" w:color="auto" w:fill="CCEDD4"/>
          </w:tcPr>
          <w:p>
            <w:pPr>
              <w:jc w:val="right"/>
              <w:ind w:right="110"/>
              <w:spacing w:after="0"/>
              <w:rPr>
                <w:sz w:val="20"/>
                <w:szCs w:val="20"/>
                <w:color w:val="auto"/>
              </w:rPr>
            </w:pPr>
            <w:r>
              <w:rPr>
                <w:rFonts w:ascii="Arial" w:cs="Arial" w:eastAsia="Arial" w:hAnsi="Arial"/>
                <w:sz w:val="18"/>
                <w:szCs w:val="18"/>
                <w:color w:val="auto"/>
              </w:rPr>
              <w:t>74.13</w:t>
            </w:r>
          </w:p>
        </w:tc>
        <w:tc>
          <w:tcPr>
            <w:tcW w:w="86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-12.4%</w:t>
            </w:r>
          </w:p>
        </w:tc>
      </w:tr>
      <w:tr>
        <w:trPr>
          <w:trHeight w:val="257"/>
        </w:trPr>
        <w:tc>
          <w:tcPr>
            <w:tcW w:w="4640" w:type="dxa"/>
            <w:vAlign w:val="bottom"/>
          </w:tcPr>
          <w:p>
            <w:pPr>
              <w:ind w:left="100"/>
              <w:spacing w:after="0"/>
              <w:rPr>
                <w:sz w:val="20"/>
                <w:szCs w:val="20"/>
                <w:color w:val="auto"/>
              </w:rPr>
            </w:pPr>
            <w:r>
              <w:rPr>
                <w:rFonts w:ascii="Arial" w:cs="Arial" w:eastAsia="Arial" w:hAnsi="Arial"/>
                <w:sz w:val="18"/>
                <w:szCs w:val="18"/>
                <w:color w:val="auto"/>
              </w:rPr>
              <w:t>Return on Working Capital</w:t>
            </w:r>
          </w:p>
        </w:tc>
        <w:tc>
          <w:tcPr>
            <w:tcW w:w="1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25400</wp:posOffset>
            </wp:positionV>
            <wp:extent cx="555498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74" w:lineRule="exact"/>
        <w:rPr>
          <w:sz w:val="20"/>
          <w:szCs w:val="20"/>
          <w:color w:val="auto"/>
        </w:rPr>
      </w:pPr>
    </w:p>
    <w:p>
      <w:pPr>
        <w:ind w:left="1360" w:hanging="370"/>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Discontinued Operations and Continuing Operations combined</w:t>
      </w:r>
    </w:p>
    <w:p>
      <w:pPr>
        <w:spacing w:after="0" w:line="90" w:lineRule="exact"/>
        <w:rPr>
          <w:rFonts w:ascii="Arial" w:cs="Arial" w:eastAsia="Arial" w:hAnsi="Arial"/>
          <w:sz w:val="18"/>
          <w:szCs w:val="18"/>
          <w:color w:val="auto"/>
        </w:rPr>
      </w:pPr>
    </w:p>
    <w:p>
      <w:pPr>
        <w:ind w:left="1620" w:right="179" w:hanging="270"/>
        <w:spacing w:after="0" w:line="251" w:lineRule="auto"/>
        <w:tabs>
          <w:tab w:leader="none" w:pos="1620" w:val="left"/>
        </w:tabs>
        <w:numPr>
          <w:ilvl w:val="1"/>
          <w:numId w:val="42"/>
        </w:numPr>
        <w:rPr>
          <w:rFonts w:ascii="Arial" w:cs="Arial" w:eastAsia="Arial" w:hAnsi="Arial"/>
          <w:sz w:val="18"/>
          <w:szCs w:val="18"/>
          <w:color w:val="56C271"/>
        </w:rPr>
      </w:pPr>
      <w:r>
        <w:rPr>
          <w:rFonts w:ascii="Arial" w:cs="Arial" w:eastAsia="Arial" w:hAnsi="Arial"/>
          <w:sz w:val="18"/>
          <w:szCs w:val="18"/>
          <w:color w:val="auto"/>
        </w:rPr>
        <w:t xml:space="preserve">In addition to presenting financial results that are determined in accordance with generally accepted accounting principles in the United States (“GAAP”), the Company also discloses certain non-GAAP financial information including adjusted operating income, adjusted operating income margin, adjusted income from continuing operations and adjusted diluted earnings per share from continuing operations to exclude certain items in the table above. The Company believes that these metrics, adjusted for the impact of certain items, are useful measures to help shareholders better assess and understand the Company’s performance, especially when comparing results with previous periods, primarily because management views the excluded items to be outside of the Company’s normal operating results.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75" w:lineRule="exact"/>
        <w:rPr>
          <w:rFonts w:ascii="Arial" w:cs="Arial" w:eastAsia="Arial" w:hAnsi="Arial"/>
          <w:sz w:val="18"/>
          <w:szCs w:val="18"/>
          <w:color w:val="56C271"/>
        </w:rPr>
      </w:pPr>
    </w:p>
    <w:p>
      <w:pPr>
        <w:jc w:val="both"/>
        <w:ind w:left="1620" w:right="299" w:hanging="270"/>
        <w:spacing w:after="0" w:line="256" w:lineRule="auto"/>
        <w:tabs>
          <w:tab w:leader="none" w:pos="1620" w:val="left"/>
        </w:tabs>
        <w:numPr>
          <w:ilvl w:val="1"/>
          <w:numId w:val="42"/>
        </w:numPr>
        <w:rPr>
          <w:rFonts w:ascii="Arial" w:cs="Arial" w:eastAsia="Arial" w:hAnsi="Arial"/>
          <w:sz w:val="18"/>
          <w:szCs w:val="18"/>
          <w:color w:val="56C271"/>
        </w:rPr>
      </w:pPr>
      <w:r>
        <w:rPr>
          <w:rFonts w:ascii="Arial" w:cs="Arial" w:eastAsia="Arial" w:hAnsi="Arial"/>
          <w:sz w:val="18"/>
          <w:szCs w:val="18"/>
          <w:color w:val="auto"/>
        </w:rPr>
        <w:t>For more details on the Company’s performance, please see the Company’s Annual Report on Form 10-K for the fiscal year ending July 3, 2021, including the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76835</wp:posOffset>
            </wp:positionV>
            <wp:extent cx="3540125" cy="12001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540125" cy="120015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5"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Summary of Incentive Compensation Design, Awards and Payouts for Fiscal 2021</w:t>
      </w:r>
    </w:p>
    <w:p>
      <w:pPr>
        <w:spacing w:after="0" w:line="112" w:lineRule="exact"/>
        <w:rPr>
          <w:sz w:val="20"/>
          <w:szCs w:val="20"/>
          <w:color w:val="auto"/>
        </w:rPr>
      </w:pPr>
    </w:p>
    <w:p>
      <w:pPr>
        <w:ind w:left="1620" w:right="159" w:hanging="270"/>
        <w:spacing w:after="0" w:line="274" w:lineRule="auto"/>
        <w:tabs>
          <w:tab w:leader="none" w:pos="1620" w:val="left"/>
        </w:tabs>
        <w:numPr>
          <w:ilvl w:val="0"/>
          <w:numId w:val="43"/>
        </w:numPr>
        <w:rPr>
          <w:rFonts w:ascii="Arial" w:cs="Arial" w:eastAsia="Arial" w:hAnsi="Arial"/>
          <w:sz w:val="17"/>
          <w:szCs w:val="17"/>
          <w:color w:val="56C271"/>
        </w:rPr>
      </w:pPr>
      <w:r>
        <w:rPr>
          <w:rFonts w:ascii="Arial" w:cs="Arial" w:eastAsia="Arial" w:hAnsi="Arial"/>
          <w:sz w:val="17"/>
          <w:szCs w:val="17"/>
          <w:b w:val="1"/>
          <w:bCs w:val="1"/>
          <w:i w:val="1"/>
          <w:iCs w:val="1"/>
          <w:color w:val="auto"/>
        </w:rPr>
        <w:t xml:space="preserve">FY21 Annual Cash Incentive Design and Payout: </w:t>
      </w:r>
      <w:r>
        <w:rPr>
          <w:rFonts w:ascii="Arial" w:cs="Arial" w:eastAsia="Arial" w:hAnsi="Arial"/>
          <w:sz w:val="17"/>
          <w:szCs w:val="17"/>
          <w:color w:val="auto"/>
        </w:rPr>
        <w:t>The annual cash incentive plan for fiscal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consists of two components — financial performance metrics and non-financial performance metrics weighted 80% and 20%, respectively. The financial performance metrics had three performance goals:</w:t>
      </w:r>
    </w:p>
    <w:p>
      <w:pPr>
        <w:ind w:left="1620" w:right="179"/>
        <w:spacing w:after="0" w:line="251" w:lineRule="auto"/>
        <w:rPr>
          <w:rFonts w:ascii="Arial" w:cs="Arial" w:eastAsia="Arial" w:hAnsi="Arial"/>
          <w:sz w:val="17"/>
          <w:szCs w:val="17"/>
          <w:color w:val="56C271"/>
        </w:rPr>
      </w:pPr>
      <w:r>
        <w:rPr>
          <w:rFonts w:ascii="Arial" w:cs="Arial" w:eastAsia="Arial" w:hAnsi="Arial"/>
          <w:sz w:val="18"/>
          <w:szCs w:val="18"/>
          <w:color w:val="auto"/>
        </w:rPr>
        <w:t xml:space="preserve">(1) operating income dollars (OI$) weighted 40%, (2) return on working capital (ROWC) weighted 40% and (3) relative market share weighted 20%. The financial goals for fiscal 2021 reinforced the focus on profitable growth by rewarding growth in operating income while maintaining an appropriate amount of sensitivity to the developments in gross margin and efficiency in the use of working capital. Relative market share measures the Company’s ability to increase market share against its competitors in its Core business. The non-financial performance metrics had two components: (1) environmental and social governance (“ESG”) team goals, weighted 50%; and (2) individual goals, weighted 50%. The ESG component is a team goal, which measures the executives’ collective efforts with respect to progress on various ESG metrics. The individual goals provides each executive officer with the opportunity to show individual contributions to team goals. The Committee believes the design reflects the Company’s business strategy, and effectively drives behaviors and decisions consistent with the Company’s goals. </w:t>
      </w:r>
      <w:r>
        <w:rPr>
          <w:rFonts w:ascii="Arial" w:cs="Arial" w:eastAsia="Arial" w:hAnsi="Arial"/>
          <w:sz w:val="18"/>
          <w:szCs w:val="18"/>
          <w:b w:val="1"/>
          <w:bCs w:val="1"/>
          <w:color w:val="auto"/>
        </w:rPr>
        <w:t>The payout for the fiscal 2021 annual cash incentive awards was 162.05% for</w:t>
      </w:r>
      <w:r>
        <w:rPr>
          <w:rFonts w:ascii="Arial" w:cs="Arial" w:eastAsia="Arial" w:hAnsi="Arial"/>
          <w:sz w:val="18"/>
          <w:szCs w:val="18"/>
          <w:color w:val="auto"/>
        </w:rPr>
        <w:t xml:space="preserve"> </w:t>
      </w:r>
      <w:r>
        <w:rPr>
          <w:rFonts w:ascii="Arial" w:cs="Arial" w:eastAsia="Arial" w:hAnsi="Arial"/>
          <w:sz w:val="18"/>
          <w:szCs w:val="18"/>
          <w:b w:val="1"/>
          <w:bCs w:val="1"/>
          <w:color w:val="auto"/>
        </w:rPr>
        <w:t>the CEO and participating NEOs.</w:t>
      </w:r>
    </w:p>
    <w:p>
      <w:pPr>
        <w:spacing w:after="0" w:line="79" w:lineRule="exact"/>
        <w:rPr>
          <w:rFonts w:ascii="Arial" w:cs="Arial" w:eastAsia="Arial" w:hAnsi="Arial"/>
          <w:sz w:val="17"/>
          <w:szCs w:val="17"/>
          <w:color w:val="56C271"/>
        </w:rPr>
      </w:pPr>
    </w:p>
    <w:p>
      <w:pPr>
        <w:ind w:left="1620" w:right="159" w:hanging="270"/>
        <w:spacing w:after="0" w:line="269" w:lineRule="auto"/>
        <w:tabs>
          <w:tab w:leader="none" w:pos="1620" w:val="left"/>
        </w:tabs>
        <w:numPr>
          <w:ilvl w:val="0"/>
          <w:numId w:val="43"/>
        </w:numPr>
        <w:rPr>
          <w:rFonts w:ascii="Arial" w:cs="Arial" w:eastAsia="Arial" w:hAnsi="Arial"/>
          <w:sz w:val="17"/>
          <w:szCs w:val="17"/>
          <w:color w:val="56C271"/>
        </w:rPr>
      </w:pPr>
      <w:r>
        <w:rPr>
          <w:rFonts w:ascii="Arial" w:cs="Arial" w:eastAsia="Arial" w:hAnsi="Arial"/>
          <w:sz w:val="17"/>
          <w:szCs w:val="17"/>
          <w:b w:val="1"/>
          <w:bCs w:val="1"/>
          <w:i w:val="1"/>
          <w:iCs w:val="1"/>
          <w:color w:val="auto"/>
        </w:rPr>
        <w:t xml:space="preserve">FY21 Long-Term Incentive Design and Awards: </w:t>
      </w:r>
      <w:r>
        <w:rPr>
          <w:rFonts w:ascii="Arial" w:cs="Arial" w:eastAsia="Arial" w:hAnsi="Arial"/>
          <w:sz w:val="17"/>
          <w:szCs w:val="17"/>
          <w:color w:val="auto"/>
        </w:rPr>
        <w:t>As the Company entered fiscal 2021, there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uncertainty in the global economy due to the impact of the COVID-19 pandemic, including disrupted global supply chains, constrained work force participation, disrupted logistics and distribution systems, and disrupted and volatile financial markets. Moreover, the Company was additionally challenged by the departure of Mr. Amelio, its then CEO, on July 31, 2020, at the time the FY21 incentive plan was being designed. Mr. Gallagher was then appointed as interim CEO, and subsequently appointed as CEO on November 23, 2020. Due to this CEO transition, development of a new strategic plan and challenges in setting 3-year financial goals in that environment, the Company departed from its historical practice of granting performance share units to the Avnet Leadership Team during FY21 as part of its long-term incentive plan. Therefore, the long-term incentive plan for fiscal 2021 consists of 50% time-based restricted stock units and 50% time-based options. Management and the Committee are continuously reviewing the economic conditions, the strategic plan, and its ability to establish a 3-year plan to determine when performance share units will be re-introduced into the design of the long-term incentive plan for the CEO and other participating NEOs.</w:t>
      </w:r>
    </w:p>
    <w:p>
      <w:pPr>
        <w:spacing w:after="0" w:line="64" w:lineRule="exact"/>
        <w:rPr>
          <w:rFonts w:ascii="Arial" w:cs="Arial" w:eastAsia="Arial" w:hAnsi="Arial"/>
          <w:sz w:val="17"/>
          <w:szCs w:val="17"/>
          <w:color w:val="56C271"/>
        </w:rPr>
      </w:pPr>
    </w:p>
    <w:p>
      <w:pPr>
        <w:ind w:left="1620" w:right="179" w:hanging="270"/>
        <w:spacing w:after="0" w:line="278" w:lineRule="auto"/>
        <w:tabs>
          <w:tab w:leader="none" w:pos="1620" w:val="left"/>
        </w:tabs>
        <w:numPr>
          <w:ilvl w:val="0"/>
          <w:numId w:val="43"/>
        </w:numPr>
        <w:rPr>
          <w:rFonts w:ascii="Arial" w:cs="Arial" w:eastAsia="Arial" w:hAnsi="Arial"/>
          <w:sz w:val="17"/>
          <w:szCs w:val="17"/>
          <w:color w:val="56C271"/>
        </w:rPr>
      </w:pPr>
      <w:r>
        <w:rPr>
          <w:rFonts w:ascii="Arial" w:cs="Arial" w:eastAsia="Arial" w:hAnsi="Arial"/>
          <w:sz w:val="17"/>
          <w:szCs w:val="17"/>
          <w:b w:val="1"/>
          <w:bCs w:val="1"/>
          <w:i w:val="1"/>
          <w:iCs w:val="1"/>
          <w:color w:val="auto"/>
        </w:rPr>
        <w:t xml:space="preserve">FY21 Long-term Performance Share Unit Payout: </w:t>
      </w:r>
      <w:r>
        <w:rPr>
          <w:rFonts w:ascii="Arial" w:cs="Arial" w:eastAsia="Arial" w:hAnsi="Arial"/>
          <w:sz w:val="17"/>
          <w:szCs w:val="17"/>
          <w:color w:val="auto"/>
        </w:rPr>
        <w:t>The performance share unit (“PSU”)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granted in fiscal 2019, which had a performance period of fiscal 2019-2021 and vested at the end of fiscal 2021, was based on cumulative 3-year earnings per share (“EPS”) with relative total shareholder return (“TSR”) as a modifier. </w:t>
      </w:r>
      <w:r>
        <w:rPr>
          <w:rFonts w:ascii="Arial" w:cs="Arial" w:eastAsia="Arial" w:hAnsi="Arial"/>
          <w:sz w:val="17"/>
          <w:szCs w:val="17"/>
          <w:b w:val="1"/>
          <w:bCs w:val="1"/>
          <w:color w:val="auto"/>
        </w:rPr>
        <w:t>The payout for the fiscal 2019-2021 performance share unit awards</w:t>
      </w:r>
      <w:r>
        <w:rPr>
          <w:rFonts w:ascii="Arial" w:cs="Arial" w:eastAsia="Arial" w:hAnsi="Arial"/>
          <w:sz w:val="17"/>
          <w:szCs w:val="17"/>
          <w:color w:val="auto"/>
        </w:rPr>
        <w:t xml:space="preserve"> </w:t>
      </w:r>
      <w:r>
        <w:rPr>
          <w:rFonts w:ascii="Arial" w:cs="Arial" w:eastAsia="Arial" w:hAnsi="Arial"/>
          <w:sz w:val="17"/>
          <w:szCs w:val="17"/>
          <w:b w:val="1"/>
          <w:bCs w:val="1"/>
          <w:color w:val="auto"/>
        </w:rPr>
        <w:t>for the CEO and all other participating NEOs was 0%, based on the achievement levels.</w:t>
      </w:r>
    </w:p>
    <w:p>
      <w:pPr>
        <w:spacing w:after="0" w:line="78"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5546090" cy="6597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4609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0" w:right="159"/>
        <w:spacing w:after="0" w:line="251" w:lineRule="auto"/>
        <w:rPr>
          <w:sz w:val="20"/>
          <w:szCs w:val="20"/>
          <w:color w:val="auto"/>
        </w:rPr>
      </w:pPr>
      <w:r>
        <w:rPr>
          <w:rFonts w:ascii="Arial" w:cs="Arial" w:eastAsia="Arial" w:hAnsi="Arial"/>
          <w:sz w:val="18"/>
          <w:szCs w:val="18"/>
          <w:color w:val="auto"/>
        </w:rPr>
        <w:t>The Committees objective is to establish and administer a compensation program that supports the achievement of the Company’s business objectives and the alignment of executives’ interests with those of the shareholders by fairly and competitively rewarding short- and long-term performance that enhances shareholder value over time. The Company’s short-term incentive program employs multiple performance measures to ensure focus is on the entire business. Further, historically the long-term incentive programs included awards that vested over several different and overlapping periods to help ensure that performance during any one period was not maximized to the detriment of other periods. In addition to the annual cash incentive awards, equity awards vest over periods ranging from three to four years depending on the award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109220</wp:posOffset>
            </wp:positionV>
            <wp:extent cx="1482725" cy="300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36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5"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2020 Advisory Vote on Executive Compensation</w:t>
      </w:r>
    </w:p>
    <w:p>
      <w:pPr>
        <w:spacing w:after="0" w:line="161" w:lineRule="exact"/>
        <w:rPr>
          <w:sz w:val="20"/>
          <w:szCs w:val="20"/>
          <w:color w:val="auto"/>
        </w:rPr>
      </w:pPr>
    </w:p>
    <w:p>
      <w:pPr>
        <w:ind w:left="1000" w:right="159"/>
        <w:spacing w:after="0" w:line="238" w:lineRule="auto"/>
        <w:rPr>
          <w:sz w:val="20"/>
          <w:szCs w:val="20"/>
          <w:color w:val="auto"/>
        </w:rPr>
      </w:pPr>
      <w:r>
        <w:rPr>
          <w:rFonts w:ascii="Arial" w:cs="Arial" w:eastAsia="Arial" w:hAnsi="Arial"/>
          <w:sz w:val="18"/>
          <w:szCs w:val="18"/>
          <w:color w:val="auto"/>
        </w:rPr>
        <w:t>At the Company’s annual shareholder meeting on November 17, 2020, the Company submitted its executive compensation program to an advisory vote of its shareholders (also known as the “say on pay vote”). This advisory vote received support from approximately 96.0% of the total votes cast at the annual meeting, a slight decrease from the previous year’s 97.9%.</w:t>
      </w:r>
    </w:p>
    <w:p>
      <w:pPr>
        <w:spacing w:after="0" w:line="11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Shareholder Outreach Efforts</w:t>
      </w:r>
    </w:p>
    <w:p>
      <w:pPr>
        <w:spacing w:after="0" w:line="175" w:lineRule="exact"/>
        <w:rPr>
          <w:sz w:val="20"/>
          <w:szCs w:val="20"/>
          <w:color w:val="auto"/>
        </w:rPr>
      </w:pPr>
    </w:p>
    <w:p>
      <w:pPr>
        <w:ind w:left="1000" w:right="159"/>
        <w:spacing w:after="0" w:line="238" w:lineRule="auto"/>
        <w:rPr>
          <w:sz w:val="20"/>
          <w:szCs w:val="20"/>
          <w:color w:val="auto"/>
        </w:rPr>
      </w:pPr>
      <w:r>
        <w:rPr>
          <w:rFonts w:ascii="Arial" w:cs="Arial" w:eastAsia="Arial" w:hAnsi="Arial"/>
          <w:sz w:val="18"/>
          <w:szCs w:val="18"/>
          <w:color w:val="auto"/>
        </w:rPr>
        <w:t>The Company pays careful attention to any feedback received from its shareholders about the Company’s executive compensation program, including the say on pay vote, and its governance practices and policies. As has been its practice for several years, in fiscal 2021, the Company contacted its largest registered shareholders to seek their feedback on the Company’s corporate governance and executive compensation practices (“2021 Outreach”).</w:t>
      </w:r>
    </w:p>
    <w:p>
      <w:pPr>
        <w:spacing w:after="0" w:line="121" w:lineRule="exact"/>
        <w:rPr>
          <w:sz w:val="20"/>
          <w:szCs w:val="20"/>
          <w:color w:val="auto"/>
        </w:rPr>
      </w:pPr>
    </w:p>
    <w:p>
      <w:pPr>
        <w:ind w:left="1000" w:right="239"/>
        <w:spacing w:after="0" w:line="238" w:lineRule="auto"/>
        <w:rPr>
          <w:sz w:val="20"/>
          <w:szCs w:val="20"/>
          <w:color w:val="auto"/>
        </w:rPr>
      </w:pPr>
      <w:r>
        <w:rPr>
          <w:rFonts w:ascii="Arial" w:cs="Arial" w:eastAsia="Arial" w:hAnsi="Arial"/>
          <w:sz w:val="18"/>
          <w:szCs w:val="18"/>
          <w:color w:val="auto"/>
        </w:rPr>
        <w:t>There were no significant concerns expressed during the 2021 Outreach that led the Committee to make material changes to the Company’s compensation programs. The Committee carefully considered and continues to consider the results of the say on pay vote and the feedback received from its shareholders in its subsequent executive compensation decision-making</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COMPENSATION GOVERNANCE AND PROCESS</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Role of the Committee and Board</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setting and implementing the Company’s executive compensation program:</w:t>
      </w:r>
    </w:p>
    <w:p>
      <w:pPr>
        <w:spacing w:after="0" w:line="144" w:lineRule="exact"/>
        <w:rPr>
          <w:sz w:val="20"/>
          <w:szCs w:val="20"/>
          <w:color w:val="auto"/>
        </w:rPr>
      </w:pPr>
    </w:p>
    <w:p>
      <w:pPr>
        <w:ind w:left="1720" w:right="299" w:hanging="370"/>
        <w:spacing w:after="0" w:line="261" w:lineRule="auto"/>
        <w:tabs>
          <w:tab w:leader="none" w:pos="1720" w:val="left"/>
        </w:tabs>
        <w:numPr>
          <w:ilvl w:val="0"/>
          <w:numId w:val="44"/>
        </w:numPr>
        <w:rPr>
          <w:rFonts w:ascii="MS PGothic" w:cs="MS PGothic" w:eastAsia="MS PGothic" w:hAnsi="MS PGothic"/>
          <w:sz w:val="18"/>
          <w:szCs w:val="18"/>
          <w:color w:val="56C271"/>
        </w:rPr>
      </w:pPr>
      <w:r>
        <w:rPr>
          <w:rFonts w:ascii="Arial" w:cs="Arial" w:eastAsia="Arial" w:hAnsi="Arial"/>
          <w:sz w:val="18"/>
          <w:szCs w:val="18"/>
          <w:color w:val="auto"/>
        </w:rPr>
        <w:t>The Committee oversees overall compensation structure, policies, and programs, and assesses the appropriateness of incentives for management and employees</w:t>
      </w:r>
    </w:p>
    <w:p>
      <w:pPr>
        <w:spacing w:after="0" w:line="130" w:lineRule="exact"/>
        <w:rPr>
          <w:rFonts w:ascii="MS PGothic" w:cs="MS PGothic" w:eastAsia="MS PGothic" w:hAnsi="MS PGothic"/>
          <w:sz w:val="18"/>
          <w:szCs w:val="18"/>
          <w:color w:val="56C271"/>
        </w:rPr>
      </w:pPr>
    </w:p>
    <w:p>
      <w:pPr>
        <w:ind w:left="1720" w:right="1079" w:hanging="370"/>
        <w:spacing w:after="0" w:line="261" w:lineRule="auto"/>
        <w:tabs>
          <w:tab w:leader="none" w:pos="1720" w:val="left"/>
        </w:tabs>
        <w:numPr>
          <w:ilvl w:val="0"/>
          <w:numId w:val="44"/>
        </w:numPr>
        <w:rPr>
          <w:rFonts w:ascii="MS PGothic" w:cs="MS PGothic" w:eastAsia="MS PGothic" w:hAnsi="MS PGothic"/>
          <w:sz w:val="18"/>
          <w:szCs w:val="18"/>
          <w:color w:val="56C271"/>
        </w:rPr>
      </w:pPr>
      <w:r>
        <w:rPr>
          <w:rFonts w:ascii="Arial" w:cs="Arial" w:eastAsia="Arial" w:hAnsi="Arial"/>
          <w:sz w:val="18"/>
          <w:szCs w:val="18"/>
          <w:color w:val="auto"/>
        </w:rPr>
        <w:t>The Committee administers short-term and long-term incentive plans and all equity-based compensation plans</w:t>
      </w:r>
    </w:p>
    <w:p>
      <w:pPr>
        <w:spacing w:after="0" w:line="116" w:lineRule="exact"/>
        <w:rPr>
          <w:rFonts w:ascii="MS PGothic" w:cs="MS PGothic" w:eastAsia="MS PGothic" w:hAnsi="MS PGothic"/>
          <w:sz w:val="18"/>
          <w:szCs w:val="18"/>
          <w:color w:val="56C271"/>
        </w:rPr>
      </w:pPr>
    </w:p>
    <w:p>
      <w:pPr>
        <w:ind w:left="1720" w:right="359" w:hanging="370"/>
        <w:spacing w:after="0" w:line="261" w:lineRule="auto"/>
        <w:tabs>
          <w:tab w:leader="none" w:pos="1720" w:val="left"/>
        </w:tabs>
        <w:numPr>
          <w:ilvl w:val="0"/>
          <w:numId w:val="44"/>
        </w:numPr>
        <w:rPr>
          <w:rFonts w:ascii="MS PGothic" w:cs="MS PGothic" w:eastAsia="MS PGothic" w:hAnsi="MS PGothic"/>
          <w:sz w:val="18"/>
          <w:szCs w:val="18"/>
          <w:color w:val="56C271"/>
        </w:rPr>
      </w:pPr>
      <w:r>
        <w:rPr>
          <w:rFonts w:ascii="Arial" w:cs="Arial" w:eastAsia="Arial" w:hAnsi="Arial"/>
          <w:sz w:val="18"/>
          <w:szCs w:val="18"/>
          <w:color w:val="auto"/>
        </w:rPr>
        <w:t>The Committee oversees performance evaluations and reviews and approves compensation for all executive officers except the CEO</w:t>
      </w:r>
    </w:p>
    <w:p>
      <w:pPr>
        <w:spacing w:after="0" w:line="116" w:lineRule="exact"/>
        <w:rPr>
          <w:rFonts w:ascii="MS PGothic" w:cs="MS PGothic" w:eastAsia="MS PGothic" w:hAnsi="MS PGothic"/>
          <w:sz w:val="18"/>
          <w:szCs w:val="18"/>
          <w:color w:val="56C271"/>
        </w:rPr>
      </w:pPr>
    </w:p>
    <w:p>
      <w:pPr>
        <w:ind w:left="1720" w:right="239" w:hanging="370"/>
        <w:spacing w:after="0" w:line="261" w:lineRule="auto"/>
        <w:tabs>
          <w:tab w:leader="none" w:pos="1720" w:val="left"/>
        </w:tabs>
        <w:numPr>
          <w:ilvl w:val="0"/>
          <w:numId w:val="44"/>
        </w:numPr>
        <w:rPr>
          <w:rFonts w:ascii="MS PGothic" w:cs="MS PGothic" w:eastAsia="MS PGothic" w:hAnsi="MS PGothic"/>
          <w:sz w:val="18"/>
          <w:szCs w:val="18"/>
          <w:color w:val="56C271"/>
        </w:rPr>
      </w:pPr>
      <w:r>
        <w:rPr>
          <w:rFonts w:ascii="Arial" w:cs="Arial" w:eastAsia="Arial" w:hAnsi="Arial"/>
          <w:sz w:val="18"/>
          <w:szCs w:val="18"/>
          <w:color w:val="auto"/>
        </w:rPr>
        <w:t>The Committee reviews and evaluates the performance of the CEO and makes recommendations to the Independent Directors regarding the compensation of the CEO</w:t>
      </w:r>
    </w:p>
    <w:p>
      <w:pPr>
        <w:spacing w:after="0" w:line="130" w:lineRule="exact"/>
        <w:rPr>
          <w:rFonts w:ascii="MS PGothic" w:cs="MS PGothic" w:eastAsia="MS PGothic" w:hAnsi="MS PGothic"/>
          <w:sz w:val="18"/>
          <w:szCs w:val="18"/>
          <w:color w:val="56C271"/>
        </w:rPr>
      </w:pPr>
    </w:p>
    <w:p>
      <w:pPr>
        <w:ind w:left="1720" w:right="579" w:hanging="370"/>
        <w:spacing w:after="0" w:line="261" w:lineRule="auto"/>
        <w:tabs>
          <w:tab w:leader="none" w:pos="1720" w:val="left"/>
        </w:tabs>
        <w:numPr>
          <w:ilvl w:val="0"/>
          <w:numId w:val="44"/>
        </w:numPr>
        <w:rPr>
          <w:rFonts w:ascii="MS PGothic" w:cs="MS PGothic" w:eastAsia="MS PGothic" w:hAnsi="MS PGothic"/>
          <w:sz w:val="18"/>
          <w:szCs w:val="18"/>
          <w:color w:val="56C271"/>
        </w:rPr>
      </w:pPr>
      <w:r>
        <w:rPr>
          <w:rFonts w:ascii="Arial" w:cs="Arial" w:eastAsia="Arial" w:hAnsi="Arial"/>
          <w:sz w:val="18"/>
          <w:szCs w:val="18"/>
          <w:color w:val="auto"/>
        </w:rPr>
        <w:t>The Committee recommends the target opportunity and actual compensation for the CEO to the Independent Directors of the Board for their consideration and approval</w:t>
      </w:r>
    </w:p>
    <w:p>
      <w:pPr>
        <w:spacing w:after="0" w:line="116" w:lineRule="exact"/>
        <w:rPr>
          <w:rFonts w:ascii="MS PGothic" w:cs="MS PGothic" w:eastAsia="MS PGothic" w:hAnsi="MS PGothic"/>
          <w:sz w:val="18"/>
          <w:szCs w:val="18"/>
          <w:color w:val="56C271"/>
        </w:rPr>
      </w:pPr>
    </w:p>
    <w:p>
      <w:pPr>
        <w:ind w:left="1720" w:right="199" w:hanging="370"/>
        <w:spacing w:after="0" w:line="261" w:lineRule="auto"/>
        <w:tabs>
          <w:tab w:leader="none" w:pos="1720" w:val="left"/>
        </w:tabs>
        <w:numPr>
          <w:ilvl w:val="0"/>
          <w:numId w:val="44"/>
        </w:numPr>
        <w:rPr>
          <w:rFonts w:ascii="MS PGothic" w:cs="MS PGothic" w:eastAsia="MS PGothic" w:hAnsi="MS PGothic"/>
          <w:sz w:val="18"/>
          <w:szCs w:val="18"/>
          <w:color w:val="56C271"/>
        </w:rPr>
      </w:pPr>
      <w:r>
        <w:rPr>
          <w:rFonts w:ascii="Arial" w:cs="Arial" w:eastAsia="Arial" w:hAnsi="Arial"/>
          <w:sz w:val="18"/>
          <w:szCs w:val="18"/>
          <w:color w:val="auto"/>
        </w:rPr>
        <w:t>The Committee reviews the compensation arrangements for executive officers to ensure that they do not encourage excessive risk-taking</w:t>
      </w:r>
    </w:p>
    <w:p>
      <w:pPr>
        <w:spacing w:after="0" w:line="116"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4"/>
        </w:numPr>
        <w:rPr>
          <w:rFonts w:ascii="MS PGothic" w:cs="MS PGothic" w:eastAsia="MS PGothic" w:hAnsi="MS PGothic"/>
          <w:sz w:val="18"/>
          <w:szCs w:val="18"/>
          <w:color w:val="56C271"/>
        </w:rPr>
      </w:pPr>
      <w:r>
        <w:rPr>
          <w:rFonts w:ascii="Arial" w:cs="Arial" w:eastAsia="Arial" w:hAnsi="Arial"/>
          <w:sz w:val="18"/>
          <w:szCs w:val="18"/>
          <w:color w:val="auto"/>
        </w:rPr>
        <w:t>The Independent Directors of the Board approve the compensation of the CEO</w:t>
      </w:r>
    </w:p>
    <w:p>
      <w:pPr>
        <w:spacing w:after="0" w:line="158" w:lineRule="exact"/>
        <w:rPr>
          <w:sz w:val="20"/>
          <w:szCs w:val="20"/>
          <w:color w:val="auto"/>
        </w:rPr>
      </w:pPr>
    </w:p>
    <w:p>
      <w:pPr>
        <w:ind w:left="1000" w:right="219"/>
        <w:spacing w:after="0" w:line="253" w:lineRule="auto"/>
        <w:rPr>
          <w:sz w:val="20"/>
          <w:szCs w:val="20"/>
          <w:color w:val="auto"/>
        </w:rPr>
      </w:pPr>
      <w:r>
        <w:rPr>
          <w:rFonts w:ascii="Arial" w:cs="Arial" w:eastAsia="Arial" w:hAnsi="Arial"/>
          <w:sz w:val="17"/>
          <w:szCs w:val="17"/>
          <w:color w:val="auto"/>
        </w:rPr>
        <w:t>When setting CEO compensation, the Committee utilizes a decision-making framework to make a recommendation to the Board. As part of this framework, the Board Chair leads the Board in conducting an annual evaluation of CEO performance relative to the performance goals and objectives previously established for the Company and the CEO for the fiscal year recently ended. The CEO’s performance objectives include goals relating to enterprise performance, market share improvement, growth in new market segments, and creating a high-performance culture with a focus on people, talent, and diversity and inclusion.</w:t>
      </w:r>
    </w:p>
    <w:p>
      <w:pPr>
        <w:spacing w:after="0" w:line="127" w:lineRule="exact"/>
        <w:rPr>
          <w:sz w:val="20"/>
          <w:szCs w:val="20"/>
          <w:color w:val="auto"/>
        </w:rPr>
      </w:pPr>
    </w:p>
    <w:p>
      <w:pPr>
        <w:ind w:left="1000" w:right="219"/>
        <w:spacing w:after="0" w:line="237" w:lineRule="auto"/>
        <w:rPr>
          <w:sz w:val="20"/>
          <w:szCs w:val="20"/>
          <w:color w:val="auto"/>
        </w:rPr>
      </w:pPr>
      <w:r>
        <w:rPr>
          <w:rFonts w:ascii="Arial" w:cs="Arial" w:eastAsia="Arial" w:hAnsi="Arial"/>
          <w:sz w:val="18"/>
          <w:szCs w:val="18"/>
          <w:color w:val="auto"/>
        </w:rPr>
        <w:t>When setting compensation for all executive officers, the Committee determines or recommends, as applicable, target compensation and performance goals by: (1) evaluating factors such as value of the job in the market and within the Company, the executive officer’s past performance, overall experience and time in the position and expected future contributions; and (2) reviewing compensation summaries that tally the dollar value of the base salary, target annual cash incentive, target long-term incentives and target total direct compensation. These summaries include benchmarking data comparing each of those elements to those of the peer</w:t>
      </w:r>
    </w:p>
    <w:p>
      <w:pPr>
        <w:sectPr>
          <w:pgSz w:w="11900" w:h="16838" w:orient="portrait"/>
          <w:cols w:equalWidth="0" w:num="1">
            <w:col w:w="9879"/>
          </w:cols>
          <w:pgMar w:left="580" w:top="132" w:right="1440" w:bottom="1440" w:gutter="0" w:footer="0" w:header="0"/>
        </w:sectPr>
      </w:pPr>
    </w:p>
    <w:p>
      <w:pPr>
        <w:spacing w:after="0" w:line="138"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ind w:left="7240"/>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519"/>
        <w:spacing w:after="0" w:line="261" w:lineRule="auto"/>
        <w:rPr>
          <w:sz w:val="20"/>
          <w:szCs w:val="20"/>
          <w:color w:val="auto"/>
        </w:rPr>
      </w:pPr>
      <w:r>
        <w:rPr>
          <w:rFonts w:ascii="Arial" w:cs="Arial" w:eastAsia="Arial" w:hAnsi="Arial"/>
          <w:sz w:val="18"/>
          <w:szCs w:val="18"/>
          <w:color w:val="auto"/>
        </w:rPr>
        <w:t>groups, which are further discussed below. For executive officers other than the CEO, the Committee also considers the CEO’s recommendations on compensation for the other executive officers.</w:t>
      </w:r>
    </w:p>
    <w:p>
      <w:pPr>
        <w:spacing w:after="0" w:line="117" w:lineRule="exact"/>
        <w:rPr>
          <w:sz w:val="20"/>
          <w:szCs w:val="20"/>
          <w:color w:val="auto"/>
        </w:rPr>
      </w:pPr>
    </w:p>
    <w:p>
      <w:pPr>
        <w:ind w:left="1000" w:right="299"/>
        <w:spacing w:after="0" w:line="261" w:lineRule="auto"/>
        <w:rPr>
          <w:sz w:val="20"/>
          <w:szCs w:val="20"/>
          <w:color w:val="auto"/>
        </w:rPr>
      </w:pPr>
      <w:r>
        <w:rPr>
          <w:rFonts w:ascii="Arial" w:cs="Arial" w:eastAsia="Arial" w:hAnsi="Arial"/>
          <w:sz w:val="18"/>
          <w:szCs w:val="18"/>
          <w:color w:val="auto"/>
        </w:rPr>
        <w:t>After the end of the fiscal year, the Committee reviews the prior year’s performance by each executive officer and either approves or recommends, as applicable, incentive plan payouts for all executive officers.</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Role of Management</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aid in determining the compensation for the Company’s executive officers other than the CEO:</w:t>
      </w:r>
    </w:p>
    <w:p>
      <w:pPr>
        <w:spacing w:after="0" w:line="144" w:lineRule="exact"/>
        <w:rPr>
          <w:sz w:val="20"/>
          <w:szCs w:val="20"/>
          <w:color w:val="auto"/>
        </w:rPr>
      </w:pPr>
    </w:p>
    <w:p>
      <w:pPr>
        <w:ind w:left="1720" w:hanging="370"/>
        <w:spacing w:after="0"/>
        <w:tabs>
          <w:tab w:leader="none" w:pos="1720" w:val="left"/>
        </w:tabs>
        <w:numPr>
          <w:ilvl w:val="0"/>
          <w:numId w:val="45"/>
        </w:numPr>
        <w:rPr>
          <w:rFonts w:ascii="MS PGothic" w:cs="MS PGothic" w:eastAsia="MS PGothic" w:hAnsi="MS PGothic"/>
          <w:sz w:val="18"/>
          <w:szCs w:val="18"/>
          <w:color w:val="56C271"/>
        </w:rPr>
      </w:pPr>
      <w:r>
        <w:rPr>
          <w:rFonts w:ascii="Arial" w:cs="Arial" w:eastAsia="Arial" w:hAnsi="Arial"/>
          <w:sz w:val="18"/>
          <w:szCs w:val="18"/>
          <w:color w:val="auto"/>
        </w:rPr>
        <w:t>The CEO discusses the performance of each executive officer with the Committee</w:t>
      </w:r>
    </w:p>
    <w:p>
      <w:pPr>
        <w:spacing w:after="0" w:line="157" w:lineRule="exact"/>
        <w:rPr>
          <w:rFonts w:ascii="MS PGothic" w:cs="MS PGothic" w:eastAsia="MS PGothic" w:hAnsi="MS PGothic"/>
          <w:sz w:val="18"/>
          <w:szCs w:val="18"/>
          <w:color w:val="56C271"/>
        </w:rPr>
      </w:pPr>
    </w:p>
    <w:p>
      <w:pPr>
        <w:ind w:left="1720" w:right="339" w:hanging="370"/>
        <w:spacing w:after="0" w:line="261" w:lineRule="auto"/>
        <w:tabs>
          <w:tab w:leader="none" w:pos="1720" w:val="left"/>
        </w:tabs>
        <w:numPr>
          <w:ilvl w:val="0"/>
          <w:numId w:val="45"/>
        </w:numPr>
        <w:rPr>
          <w:rFonts w:ascii="MS PGothic" w:cs="MS PGothic" w:eastAsia="MS PGothic" w:hAnsi="MS PGothic"/>
          <w:sz w:val="18"/>
          <w:szCs w:val="18"/>
          <w:color w:val="56C271"/>
        </w:rPr>
      </w:pPr>
      <w:r>
        <w:rPr>
          <w:rFonts w:ascii="Arial" w:cs="Arial" w:eastAsia="Arial" w:hAnsi="Arial"/>
          <w:sz w:val="18"/>
          <w:szCs w:val="18"/>
          <w:color w:val="auto"/>
        </w:rPr>
        <w:t>The CEO provides recommendations on the compensation levels for each executive officer (except the CEO) to the Committee</w:t>
      </w:r>
    </w:p>
    <w:p>
      <w:pPr>
        <w:spacing w:after="0" w:line="130"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5"/>
        </w:numPr>
        <w:rPr>
          <w:rFonts w:ascii="MS PGothic" w:cs="MS PGothic" w:eastAsia="MS PGothic" w:hAnsi="MS PGothic"/>
          <w:sz w:val="18"/>
          <w:szCs w:val="18"/>
          <w:color w:val="56C271"/>
        </w:rPr>
      </w:pPr>
      <w:r>
        <w:rPr>
          <w:rFonts w:ascii="Arial" w:cs="Arial" w:eastAsia="Arial" w:hAnsi="Arial"/>
          <w:sz w:val="18"/>
          <w:szCs w:val="18"/>
          <w:color w:val="auto"/>
        </w:rPr>
        <w:t>When making compensation recommendations, the CEO considers various items including:</w:t>
      </w:r>
    </w:p>
    <w:p>
      <w:pPr>
        <w:spacing w:after="0" w:line="144" w:lineRule="exact"/>
        <w:rPr>
          <w:rFonts w:ascii="MS PGothic" w:cs="MS PGothic" w:eastAsia="MS PGothic" w:hAnsi="MS PGothic"/>
          <w:sz w:val="18"/>
          <w:szCs w:val="18"/>
          <w:color w:val="56C271"/>
        </w:rPr>
      </w:pPr>
    </w:p>
    <w:p>
      <w:pPr>
        <w:ind w:left="2080" w:hanging="370"/>
        <w:spacing w:after="0"/>
        <w:tabs>
          <w:tab w:leader="none" w:pos="2080" w:val="left"/>
        </w:tabs>
        <w:numPr>
          <w:ilvl w:val="1"/>
          <w:numId w:val="45"/>
        </w:numPr>
        <w:rPr>
          <w:rFonts w:ascii="MS PGothic" w:cs="MS PGothic" w:eastAsia="MS PGothic" w:hAnsi="MS PGothic"/>
          <w:sz w:val="18"/>
          <w:szCs w:val="18"/>
          <w:color w:val="56C271"/>
        </w:rPr>
      </w:pPr>
      <w:r>
        <w:rPr>
          <w:rFonts w:ascii="Arial" w:cs="Arial" w:eastAsia="Arial" w:hAnsi="Arial"/>
          <w:sz w:val="18"/>
          <w:szCs w:val="18"/>
          <w:color w:val="auto"/>
        </w:rPr>
        <w:t>value of the job in the market and within the Company</w:t>
      </w:r>
    </w:p>
    <w:p>
      <w:pPr>
        <w:spacing w:after="0" w:line="157" w:lineRule="exact"/>
        <w:rPr>
          <w:rFonts w:ascii="MS PGothic" w:cs="MS PGothic" w:eastAsia="MS PGothic" w:hAnsi="MS PGothic"/>
          <w:sz w:val="18"/>
          <w:szCs w:val="18"/>
          <w:color w:val="56C271"/>
        </w:rPr>
      </w:pPr>
    </w:p>
    <w:p>
      <w:pPr>
        <w:ind w:left="2080" w:hanging="370"/>
        <w:spacing w:after="0"/>
        <w:tabs>
          <w:tab w:leader="none" w:pos="2080" w:val="left"/>
        </w:tabs>
        <w:numPr>
          <w:ilvl w:val="1"/>
          <w:numId w:val="45"/>
        </w:numPr>
        <w:rPr>
          <w:rFonts w:ascii="MS PGothic" w:cs="MS PGothic" w:eastAsia="MS PGothic" w:hAnsi="MS PGothic"/>
          <w:sz w:val="18"/>
          <w:szCs w:val="18"/>
          <w:color w:val="56C271"/>
        </w:rPr>
      </w:pPr>
      <w:r>
        <w:rPr>
          <w:rFonts w:ascii="Arial" w:cs="Arial" w:eastAsia="Arial" w:hAnsi="Arial"/>
          <w:sz w:val="18"/>
          <w:szCs w:val="18"/>
          <w:color w:val="auto"/>
        </w:rPr>
        <w:t>the executive officer’s performance</w:t>
      </w:r>
    </w:p>
    <w:p>
      <w:pPr>
        <w:spacing w:after="0" w:line="157" w:lineRule="exact"/>
        <w:rPr>
          <w:rFonts w:ascii="MS PGothic" w:cs="MS PGothic" w:eastAsia="MS PGothic" w:hAnsi="MS PGothic"/>
          <w:sz w:val="18"/>
          <w:szCs w:val="18"/>
          <w:color w:val="56C271"/>
        </w:rPr>
      </w:pPr>
    </w:p>
    <w:p>
      <w:pPr>
        <w:ind w:left="2080" w:hanging="370"/>
        <w:spacing w:after="0"/>
        <w:tabs>
          <w:tab w:leader="none" w:pos="2080" w:val="left"/>
        </w:tabs>
        <w:numPr>
          <w:ilvl w:val="1"/>
          <w:numId w:val="45"/>
        </w:numPr>
        <w:rPr>
          <w:rFonts w:ascii="MS PGothic" w:cs="MS PGothic" w:eastAsia="MS PGothic" w:hAnsi="MS PGothic"/>
          <w:sz w:val="18"/>
          <w:szCs w:val="18"/>
          <w:color w:val="56C271"/>
        </w:rPr>
      </w:pPr>
      <w:r>
        <w:rPr>
          <w:rFonts w:ascii="Arial" w:cs="Arial" w:eastAsia="Arial" w:hAnsi="Arial"/>
          <w:sz w:val="18"/>
          <w:szCs w:val="18"/>
          <w:color w:val="auto"/>
        </w:rPr>
        <w:t>overall experience and time in the position</w:t>
      </w:r>
    </w:p>
    <w:p>
      <w:pPr>
        <w:spacing w:after="0" w:line="144" w:lineRule="exact"/>
        <w:rPr>
          <w:rFonts w:ascii="MS PGothic" w:cs="MS PGothic" w:eastAsia="MS PGothic" w:hAnsi="MS PGothic"/>
          <w:sz w:val="18"/>
          <w:szCs w:val="18"/>
          <w:color w:val="56C271"/>
        </w:rPr>
      </w:pPr>
    </w:p>
    <w:p>
      <w:pPr>
        <w:ind w:left="2080" w:hanging="370"/>
        <w:spacing w:after="0"/>
        <w:tabs>
          <w:tab w:leader="none" w:pos="2080" w:val="left"/>
        </w:tabs>
        <w:numPr>
          <w:ilvl w:val="1"/>
          <w:numId w:val="45"/>
        </w:numPr>
        <w:rPr>
          <w:rFonts w:ascii="MS PGothic" w:cs="MS PGothic" w:eastAsia="MS PGothic" w:hAnsi="MS PGothic"/>
          <w:sz w:val="18"/>
          <w:szCs w:val="18"/>
          <w:color w:val="56C271"/>
        </w:rPr>
      </w:pPr>
      <w:r>
        <w:rPr>
          <w:rFonts w:ascii="Arial" w:cs="Arial" w:eastAsia="Arial" w:hAnsi="Arial"/>
          <w:sz w:val="18"/>
          <w:szCs w:val="18"/>
          <w:color w:val="auto"/>
        </w:rPr>
        <w:t>expected future contributions</w:t>
      </w:r>
    </w:p>
    <w:p>
      <w:pPr>
        <w:spacing w:after="0" w:line="13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Role of the Independent Compensation Consultant</w:t>
      </w:r>
    </w:p>
    <w:p>
      <w:pPr>
        <w:spacing w:after="0" w:line="175" w:lineRule="exact"/>
        <w:rPr>
          <w:sz w:val="20"/>
          <w:szCs w:val="20"/>
          <w:color w:val="auto"/>
        </w:rPr>
      </w:pPr>
    </w:p>
    <w:p>
      <w:pPr>
        <w:ind w:left="1720" w:right="719" w:hanging="370"/>
        <w:spacing w:after="0" w:line="261" w:lineRule="auto"/>
        <w:tabs>
          <w:tab w:leader="none" w:pos="1720" w:val="left"/>
        </w:tabs>
        <w:numPr>
          <w:ilvl w:val="0"/>
          <w:numId w:val="46"/>
        </w:numPr>
        <w:rPr>
          <w:rFonts w:ascii="MS PGothic" w:cs="MS PGothic" w:eastAsia="MS PGothic" w:hAnsi="MS PGothic"/>
          <w:sz w:val="18"/>
          <w:szCs w:val="18"/>
          <w:color w:val="56C271"/>
        </w:rPr>
      </w:pPr>
      <w:r>
        <w:rPr>
          <w:rFonts w:ascii="Arial" w:cs="Arial" w:eastAsia="Arial" w:hAnsi="Arial"/>
          <w:sz w:val="18"/>
          <w:szCs w:val="18"/>
          <w:color w:val="auto"/>
        </w:rPr>
        <w:t>Provides independent and objective advice to the Committee on the Company’s executive pay programs</w:t>
      </w:r>
    </w:p>
    <w:p>
      <w:pPr>
        <w:spacing w:after="0" w:line="116"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6"/>
        </w:numPr>
        <w:rPr>
          <w:rFonts w:ascii="MS PGothic" w:cs="MS PGothic" w:eastAsia="MS PGothic" w:hAnsi="MS PGothic"/>
          <w:sz w:val="18"/>
          <w:szCs w:val="18"/>
          <w:color w:val="56C271"/>
        </w:rPr>
      </w:pPr>
      <w:r>
        <w:rPr>
          <w:rFonts w:ascii="Arial" w:cs="Arial" w:eastAsia="Arial" w:hAnsi="Arial"/>
          <w:sz w:val="18"/>
          <w:szCs w:val="18"/>
          <w:color w:val="auto"/>
        </w:rPr>
        <w:t>Apprises the Committee of compensation-related trends in the marketplace</w:t>
      </w:r>
    </w:p>
    <w:p>
      <w:pPr>
        <w:spacing w:after="0" w:line="157"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6"/>
        </w:numPr>
        <w:rPr>
          <w:rFonts w:ascii="MS PGothic" w:cs="MS PGothic" w:eastAsia="MS PGothic" w:hAnsi="MS PGothic"/>
          <w:sz w:val="18"/>
          <w:szCs w:val="18"/>
          <w:color w:val="56C271"/>
        </w:rPr>
      </w:pPr>
      <w:r>
        <w:rPr>
          <w:rFonts w:ascii="Arial" w:cs="Arial" w:eastAsia="Arial" w:hAnsi="Arial"/>
          <w:sz w:val="18"/>
          <w:szCs w:val="18"/>
          <w:color w:val="auto"/>
        </w:rPr>
        <w:t>Informs the Committee on compensation-related regulatory developments</w:t>
      </w:r>
    </w:p>
    <w:p>
      <w:pPr>
        <w:spacing w:after="0" w:line="157" w:lineRule="exact"/>
        <w:rPr>
          <w:rFonts w:ascii="MS PGothic" w:cs="MS PGothic" w:eastAsia="MS PGothic" w:hAnsi="MS PGothic"/>
          <w:sz w:val="18"/>
          <w:szCs w:val="18"/>
          <w:color w:val="56C271"/>
        </w:rPr>
      </w:pPr>
    </w:p>
    <w:p>
      <w:pPr>
        <w:ind w:left="1720" w:right="639" w:hanging="370"/>
        <w:spacing w:after="0" w:line="261" w:lineRule="auto"/>
        <w:tabs>
          <w:tab w:leader="none" w:pos="1720" w:val="left"/>
        </w:tabs>
        <w:numPr>
          <w:ilvl w:val="0"/>
          <w:numId w:val="46"/>
        </w:numPr>
        <w:rPr>
          <w:rFonts w:ascii="MS PGothic" w:cs="MS PGothic" w:eastAsia="MS PGothic" w:hAnsi="MS PGothic"/>
          <w:sz w:val="18"/>
          <w:szCs w:val="18"/>
          <w:color w:val="56C271"/>
        </w:rPr>
      </w:pPr>
      <w:r>
        <w:rPr>
          <w:rFonts w:ascii="Arial" w:cs="Arial" w:eastAsia="Arial" w:hAnsi="Arial"/>
          <w:sz w:val="18"/>
          <w:szCs w:val="18"/>
          <w:color w:val="auto"/>
        </w:rPr>
        <w:t>Assists with benchmarking peer group development and related market data for the Company’s officers</w:t>
      </w:r>
    </w:p>
    <w:p>
      <w:pPr>
        <w:spacing w:after="0" w:line="116"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6"/>
        </w:numPr>
        <w:rPr>
          <w:rFonts w:ascii="MS PGothic" w:cs="MS PGothic" w:eastAsia="MS PGothic" w:hAnsi="MS PGothic"/>
          <w:sz w:val="18"/>
          <w:szCs w:val="18"/>
          <w:color w:val="56C271"/>
        </w:rPr>
      </w:pPr>
      <w:r>
        <w:rPr>
          <w:rFonts w:ascii="Arial" w:cs="Arial" w:eastAsia="Arial" w:hAnsi="Arial"/>
          <w:sz w:val="18"/>
          <w:szCs w:val="18"/>
          <w:color w:val="auto"/>
        </w:rPr>
        <w:t>Advises on the design of the Company’s incentive compensation programs</w:t>
      </w:r>
    </w:p>
    <w:p>
      <w:pPr>
        <w:spacing w:after="0" w:line="157"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6"/>
        </w:numPr>
        <w:rPr>
          <w:rFonts w:ascii="MS PGothic" w:cs="MS PGothic" w:eastAsia="MS PGothic" w:hAnsi="MS PGothic"/>
          <w:sz w:val="18"/>
          <w:szCs w:val="18"/>
          <w:color w:val="56C271"/>
        </w:rPr>
      </w:pPr>
      <w:r>
        <w:rPr>
          <w:rFonts w:ascii="Arial" w:cs="Arial" w:eastAsia="Arial" w:hAnsi="Arial"/>
          <w:sz w:val="18"/>
          <w:szCs w:val="18"/>
          <w:color w:val="auto"/>
        </w:rPr>
        <w:t>Provides such additional reports and analyses as requested by the Committee from time-to-time</w:t>
      </w:r>
    </w:p>
    <w:p>
      <w:pPr>
        <w:spacing w:after="0" w:line="158" w:lineRule="exact"/>
        <w:rPr>
          <w:sz w:val="20"/>
          <w:szCs w:val="20"/>
          <w:color w:val="auto"/>
        </w:rPr>
      </w:pPr>
    </w:p>
    <w:p>
      <w:pPr>
        <w:ind w:left="1000" w:right="139"/>
        <w:spacing w:after="0" w:line="254" w:lineRule="auto"/>
        <w:rPr>
          <w:sz w:val="20"/>
          <w:szCs w:val="20"/>
          <w:color w:val="auto"/>
        </w:rPr>
      </w:pPr>
      <w:r>
        <w:rPr>
          <w:rFonts w:ascii="Arial" w:cs="Arial" w:eastAsia="Arial" w:hAnsi="Arial"/>
          <w:sz w:val="18"/>
          <w:szCs w:val="18"/>
          <w:color w:val="auto"/>
        </w:rPr>
        <w:t>The Committee has retained Meridian Compensation Partners, LLC (“Meridian”) to serve as the independent compensation consultant. The terms of Meridian’s engagement are set forth in an engagement agreement that provides, among other things, that Meridian is engaged by, and reports only to, the Committee and will perform the compensation advisory services requested by the Committee.</w:t>
      </w:r>
    </w:p>
    <w:p>
      <w:pPr>
        <w:spacing w:after="0" w:line="123" w:lineRule="exact"/>
        <w:rPr>
          <w:sz w:val="20"/>
          <w:szCs w:val="20"/>
          <w:color w:val="auto"/>
        </w:rPr>
      </w:pPr>
    </w:p>
    <w:p>
      <w:pPr>
        <w:ind w:left="1000" w:right="139"/>
        <w:spacing w:after="0" w:line="254" w:lineRule="auto"/>
        <w:rPr>
          <w:sz w:val="20"/>
          <w:szCs w:val="20"/>
          <w:color w:val="auto"/>
        </w:rPr>
      </w:pPr>
      <w:r>
        <w:rPr>
          <w:rFonts w:ascii="Arial" w:cs="Arial" w:eastAsia="Arial" w:hAnsi="Arial"/>
          <w:sz w:val="18"/>
          <w:szCs w:val="18"/>
          <w:color w:val="auto"/>
        </w:rPr>
        <w:t>Meridian did not provide any separate services to the Company during fiscal 2021 other than its services to the Committee. The Committee conducted its annual assessment of Meridian’s independence pursuant to applicable SEC and Nasdaq rules and concluded that Meridian’s work for the Committee during fiscal 2021 did not raise any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1141730</wp:posOffset>
            </wp:positionV>
            <wp:extent cx="1482725" cy="291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5"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Benchmarking</w:t>
      </w:r>
    </w:p>
    <w:p>
      <w:pPr>
        <w:spacing w:after="0" w:line="161" w:lineRule="exact"/>
        <w:rPr>
          <w:sz w:val="20"/>
          <w:szCs w:val="20"/>
          <w:color w:val="auto"/>
        </w:rPr>
      </w:pPr>
    </w:p>
    <w:p>
      <w:pPr>
        <w:ind w:left="1000" w:right="739"/>
        <w:spacing w:after="0" w:line="256" w:lineRule="auto"/>
        <w:rPr>
          <w:sz w:val="20"/>
          <w:szCs w:val="20"/>
          <w:color w:val="auto"/>
        </w:rPr>
      </w:pPr>
      <w:r>
        <w:rPr>
          <w:rFonts w:ascii="Arial" w:cs="Arial" w:eastAsia="Arial" w:hAnsi="Arial"/>
          <w:sz w:val="18"/>
          <w:szCs w:val="18"/>
          <w:color w:val="auto"/>
        </w:rPr>
        <w:t>To ensure the Committee has the information necessary to set appropriate compensation levels, the Committee approves the overall approach for executive officer benchmarking, including selection of the benchmarking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111760</wp:posOffset>
            </wp:positionV>
            <wp:extent cx="5537835" cy="34029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37835" cy="3402965"/>
                    </a:xfrm>
                    <a:prstGeom prst="rect">
                      <a:avLst/>
                    </a:prstGeom>
                    <a:noFill/>
                  </pic:spPr>
                </pic:pic>
              </a:graphicData>
            </a:graphic>
          </wp:anchor>
        </w:drawing>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140" w:type="dxa"/>
            <w:vAlign w:val="bottom"/>
            <w:shd w:val="clear" w:color="auto" w:fill="56C271"/>
          </w:tcPr>
          <w:p>
            <w:pPr>
              <w:spacing w:after="0" w:line="20" w:lineRule="exact"/>
              <w:rPr>
                <w:sz w:val="1"/>
                <w:szCs w:val="1"/>
                <w:color w:val="auto"/>
              </w:rPr>
            </w:pPr>
          </w:p>
        </w:tc>
        <w:tc>
          <w:tcPr>
            <w:tcW w:w="5300" w:type="dxa"/>
            <w:vAlign w:val="bottom"/>
            <w:vMerge w:val="restart"/>
            <w:shd w:val="clear" w:color="auto" w:fill="56C271"/>
          </w:tcPr>
          <w:p>
            <w:pPr>
              <w:spacing w:after="0"/>
              <w:rPr>
                <w:sz w:val="20"/>
                <w:szCs w:val="20"/>
                <w:color w:val="auto"/>
              </w:rPr>
            </w:pPr>
            <w:r>
              <w:rPr>
                <w:rFonts w:ascii="Arial" w:cs="Arial" w:eastAsia="Arial" w:hAnsi="Arial"/>
                <w:sz w:val="14"/>
                <w:szCs w:val="14"/>
                <w:b w:val="1"/>
                <w:bCs w:val="1"/>
                <w:color w:val="FEFEFE"/>
              </w:rPr>
              <w:t>FY21 Considerations for Benchmarking Peer Group Development:</w:t>
            </w:r>
          </w:p>
        </w:tc>
        <w:tc>
          <w:tcPr>
            <w:tcW w:w="3280" w:type="dxa"/>
            <w:vAlign w:val="bottom"/>
            <w:vMerge w:val="restart"/>
            <w:shd w:val="clear" w:color="auto" w:fill="56C271"/>
          </w:tcPr>
          <w:p>
            <w:pPr>
              <w:ind w:left="100"/>
              <w:spacing w:after="0"/>
              <w:rPr>
                <w:sz w:val="20"/>
                <w:szCs w:val="20"/>
                <w:color w:val="auto"/>
              </w:rPr>
            </w:pPr>
            <w:r>
              <w:rPr>
                <w:rFonts w:ascii="Arial" w:cs="Arial" w:eastAsia="Arial" w:hAnsi="Arial"/>
                <w:sz w:val="14"/>
                <w:szCs w:val="14"/>
                <w:b w:val="1"/>
                <w:bCs w:val="1"/>
                <w:color w:val="FEFEFE"/>
              </w:rPr>
              <w:t>FY21 Benchmarking Peer Group:</w:t>
            </w:r>
          </w:p>
        </w:tc>
        <w:tc>
          <w:tcPr>
            <w:tcW w:w="0" w:type="dxa"/>
            <w:vAlign w:val="bottom"/>
          </w:tcPr>
          <w:p>
            <w:pPr>
              <w:spacing w:after="0" w:line="20" w:lineRule="exact"/>
              <w:rPr>
                <w:sz w:val="1"/>
                <w:szCs w:val="1"/>
                <w:color w:val="auto"/>
              </w:rPr>
            </w:pPr>
          </w:p>
        </w:tc>
      </w:tr>
      <w:tr>
        <w:trPr>
          <w:trHeight w:val="265"/>
        </w:trPr>
        <w:tc>
          <w:tcPr>
            <w:tcW w:w="140" w:type="dxa"/>
            <w:vAlign w:val="bottom"/>
            <w:shd w:val="clear" w:color="auto" w:fill="56C271"/>
          </w:tcPr>
          <w:p>
            <w:pPr>
              <w:spacing w:after="0"/>
              <w:rPr>
                <w:sz w:val="23"/>
                <w:szCs w:val="23"/>
                <w:color w:val="auto"/>
              </w:rPr>
            </w:pPr>
          </w:p>
        </w:tc>
        <w:tc>
          <w:tcPr>
            <w:tcW w:w="5300" w:type="dxa"/>
            <w:vAlign w:val="bottom"/>
            <w:vMerge w:val="continue"/>
            <w:shd w:val="clear" w:color="auto" w:fill="56C271"/>
          </w:tcPr>
          <w:p>
            <w:pPr>
              <w:spacing w:after="0"/>
              <w:rPr>
                <w:sz w:val="23"/>
                <w:szCs w:val="23"/>
                <w:color w:val="auto"/>
              </w:rPr>
            </w:pPr>
          </w:p>
        </w:tc>
        <w:tc>
          <w:tcPr>
            <w:tcW w:w="3280" w:type="dxa"/>
            <w:vAlign w:val="bottom"/>
            <w:vMerge w:val="continue"/>
            <w:shd w:val="clear" w:color="auto" w:fill="56C271"/>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56C271"/>
          </w:tcPr>
          <w:p>
            <w:pPr>
              <w:spacing w:after="0"/>
              <w:rPr>
                <w:sz w:val="3"/>
                <w:szCs w:val="3"/>
                <w:color w:val="auto"/>
              </w:rPr>
            </w:pPr>
          </w:p>
        </w:tc>
        <w:tc>
          <w:tcPr>
            <w:tcW w:w="5300" w:type="dxa"/>
            <w:vAlign w:val="bottom"/>
            <w:shd w:val="clear" w:color="auto" w:fill="56C271"/>
          </w:tcPr>
          <w:p>
            <w:pPr>
              <w:spacing w:after="0"/>
              <w:rPr>
                <w:sz w:val="3"/>
                <w:szCs w:val="3"/>
                <w:color w:val="auto"/>
              </w:rPr>
            </w:pPr>
          </w:p>
        </w:tc>
        <w:tc>
          <w:tcPr>
            <w:tcW w:w="3280" w:type="dxa"/>
            <w:vAlign w:val="bottom"/>
            <w:shd w:val="clear" w:color="auto" w:fill="56C271"/>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9879"/>
          </w:cols>
          <w:pgMar w:left="580" w:top="132" w:right="1440" w:bottom="1440" w:gutter="0" w:footer="0" w:header="0"/>
        </w:sectPr>
      </w:pPr>
    </w:p>
    <w:p>
      <w:pPr>
        <w:ind w:left="1500" w:hanging="366"/>
        <w:spacing w:after="0"/>
        <w:tabs>
          <w:tab w:leader="none" w:pos="1500" w:val="left"/>
        </w:tabs>
        <w:numPr>
          <w:ilvl w:val="0"/>
          <w:numId w:val="47"/>
        </w:numPr>
        <w:rPr>
          <w:rFonts w:ascii="MS PGothic" w:cs="MS PGothic" w:eastAsia="MS PGothic" w:hAnsi="MS PGothic"/>
          <w:sz w:val="18"/>
          <w:szCs w:val="18"/>
          <w:color w:val="56C271"/>
        </w:rPr>
      </w:pPr>
      <w:r>
        <w:rPr>
          <w:rFonts w:ascii="Arial" w:cs="Arial" w:eastAsia="Arial" w:hAnsi="Arial"/>
          <w:sz w:val="18"/>
          <w:szCs w:val="18"/>
          <w:color w:val="auto"/>
        </w:rPr>
        <w:t>A distribution or related service company</w:t>
      </w:r>
    </w:p>
    <w:p>
      <w:pPr>
        <w:spacing w:after="0" w:line="130" w:lineRule="exact"/>
        <w:rPr>
          <w:rFonts w:ascii="MS PGothic" w:cs="MS PGothic" w:eastAsia="MS PGothic" w:hAnsi="MS PGothic"/>
          <w:sz w:val="18"/>
          <w:szCs w:val="18"/>
          <w:color w:val="56C271"/>
        </w:rPr>
      </w:pPr>
    </w:p>
    <w:p>
      <w:pPr>
        <w:ind w:left="1500" w:hanging="366"/>
        <w:spacing w:after="0"/>
        <w:tabs>
          <w:tab w:leader="none" w:pos="1500" w:val="left"/>
        </w:tabs>
        <w:numPr>
          <w:ilvl w:val="0"/>
          <w:numId w:val="47"/>
        </w:numPr>
        <w:rPr>
          <w:rFonts w:ascii="MS PGothic" w:cs="MS PGothic" w:eastAsia="MS PGothic" w:hAnsi="MS PGothic"/>
          <w:sz w:val="18"/>
          <w:szCs w:val="18"/>
          <w:color w:val="56C271"/>
        </w:rPr>
      </w:pPr>
      <w:r>
        <w:rPr>
          <w:rFonts w:ascii="Arial" w:cs="Arial" w:eastAsia="Arial" w:hAnsi="Arial"/>
          <w:sz w:val="18"/>
          <w:szCs w:val="18"/>
          <w:color w:val="auto"/>
        </w:rPr>
        <w:t>Revenues within a range of Company revenues</w:t>
      </w:r>
    </w:p>
    <w:p>
      <w:pPr>
        <w:spacing w:after="0" w:line="117" w:lineRule="exact"/>
        <w:rPr>
          <w:rFonts w:ascii="MS PGothic" w:cs="MS PGothic" w:eastAsia="MS PGothic" w:hAnsi="MS PGothic"/>
          <w:sz w:val="18"/>
          <w:szCs w:val="18"/>
          <w:color w:val="56C271"/>
        </w:rPr>
      </w:pPr>
    </w:p>
    <w:p>
      <w:pPr>
        <w:ind w:left="1500" w:hanging="366"/>
        <w:spacing w:after="0" w:line="261" w:lineRule="auto"/>
        <w:tabs>
          <w:tab w:leader="none" w:pos="1500" w:val="left"/>
        </w:tabs>
        <w:numPr>
          <w:ilvl w:val="0"/>
          <w:numId w:val="47"/>
        </w:numPr>
        <w:rPr>
          <w:rFonts w:ascii="MS PGothic" w:cs="MS PGothic" w:eastAsia="MS PGothic" w:hAnsi="MS PGothic"/>
          <w:sz w:val="18"/>
          <w:szCs w:val="18"/>
          <w:color w:val="56C271"/>
        </w:rPr>
      </w:pPr>
      <w:r>
        <w:rPr>
          <w:rFonts w:ascii="Arial" w:cs="Arial" w:eastAsia="Arial" w:hAnsi="Arial"/>
          <w:sz w:val="18"/>
          <w:szCs w:val="18"/>
          <w:color w:val="auto"/>
        </w:rPr>
        <w:t>Market capitalization within a range of Company market capitalization</w:t>
      </w:r>
    </w:p>
    <w:p>
      <w:pPr>
        <w:spacing w:after="0" w:line="143" w:lineRule="exact"/>
        <w:rPr>
          <w:rFonts w:ascii="MS PGothic" w:cs="MS PGothic" w:eastAsia="MS PGothic" w:hAnsi="MS PGothic"/>
          <w:sz w:val="18"/>
          <w:szCs w:val="18"/>
          <w:color w:val="56C271"/>
        </w:rPr>
      </w:pPr>
    </w:p>
    <w:p>
      <w:pPr>
        <w:ind w:left="1500" w:hanging="366"/>
        <w:spacing w:after="0"/>
        <w:tabs>
          <w:tab w:leader="none" w:pos="1500" w:val="left"/>
        </w:tabs>
        <w:numPr>
          <w:ilvl w:val="0"/>
          <w:numId w:val="47"/>
        </w:numPr>
        <w:rPr>
          <w:rFonts w:ascii="MS PGothic" w:cs="MS PGothic" w:eastAsia="MS PGothic" w:hAnsi="MS PGothic"/>
          <w:sz w:val="18"/>
          <w:szCs w:val="18"/>
          <w:color w:val="56C271"/>
        </w:rPr>
      </w:pPr>
      <w:r>
        <w:rPr>
          <w:rFonts w:ascii="Arial" w:cs="Arial" w:eastAsia="Arial" w:hAnsi="Arial"/>
          <w:sz w:val="18"/>
          <w:szCs w:val="18"/>
          <w:color w:val="auto"/>
        </w:rPr>
        <w:t>Global footprint</w:t>
      </w:r>
    </w:p>
    <w:p>
      <w:pPr>
        <w:spacing w:after="0" w:line="130" w:lineRule="exact"/>
        <w:rPr>
          <w:rFonts w:ascii="MS PGothic" w:cs="MS PGothic" w:eastAsia="MS PGothic" w:hAnsi="MS PGothic"/>
          <w:sz w:val="18"/>
          <w:szCs w:val="18"/>
          <w:color w:val="56C271"/>
        </w:rPr>
      </w:pPr>
    </w:p>
    <w:p>
      <w:pPr>
        <w:ind w:left="1500" w:hanging="366"/>
        <w:spacing w:after="0"/>
        <w:tabs>
          <w:tab w:leader="none" w:pos="1500" w:val="left"/>
        </w:tabs>
        <w:numPr>
          <w:ilvl w:val="0"/>
          <w:numId w:val="47"/>
        </w:numPr>
        <w:rPr>
          <w:rFonts w:ascii="MS PGothic" w:cs="MS PGothic" w:eastAsia="MS PGothic" w:hAnsi="MS PGothic"/>
          <w:sz w:val="18"/>
          <w:szCs w:val="18"/>
          <w:color w:val="56C271"/>
        </w:rPr>
      </w:pPr>
      <w:r>
        <w:rPr>
          <w:rFonts w:ascii="Arial" w:cs="Arial" w:eastAsia="Arial" w:hAnsi="Arial"/>
          <w:sz w:val="18"/>
          <w:szCs w:val="18"/>
          <w:color w:val="auto"/>
        </w:rPr>
        <w:t>Historical Company peer group</w:t>
      </w:r>
    </w:p>
    <w:p>
      <w:pPr>
        <w:spacing w:after="0" w:line="130" w:lineRule="exact"/>
        <w:rPr>
          <w:rFonts w:ascii="MS PGothic" w:cs="MS PGothic" w:eastAsia="MS PGothic" w:hAnsi="MS PGothic"/>
          <w:sz w:val="18"/>
          <w:szCs w:val="18"/>
          <w:color w:val="56C271"/>
        </w:rPr>
      </w:pPr>
    </w:p>
    <w:p>
      <w:pPr>
        <w:ind w:left="1500" w:hanging="366"/>
        <w:spacing w:after="0"/>
        <w:tabs>
          <w:tab w:leader="none" w:pos="1500" w:val="left"/>
        </w:tabs>
        <w:numPr>
          <w:ilvl w:val="0"/>
          <w:numId w:val="47"/>
        </w:numPr>
        <w:rPr>
          <w:rFonts w:ascii="MS PGothic" w:cs="MS PGothic" w:eastAsia="MS PGothic" w:hAnsi="MS PGothic"/>
          <w:sz w:val="18"/>
          <w:szCs w:val="18"/>
          <w:color w:val="56C271"/>
        </w:rPr>
      </w:pPr>
      <w:r>
        <w:rPr>
          <w:rFonts w:ascii="Arial" w:cs="Arial" w:eastAsia="Arial" w:hAnsi="Arial"/>
          <w:sz w:val="18"/>
          <w:szCs w:val="18"/>
          <w:color w:val="auto"/>
        </w:rPr>
        <w:t>Disclosed peer of a peer company</w:t>
      </w:r>
    </w:p>
    <w:p>
      <w:pPr>
        <w:spacing w:after="0" w:line="130" w:lineRule="exact"/>
        <w:rPr>
          <w:rFonts w:ascii="MS PGothic" w:cs="MS PGothic" w:eastAsia="MS PGothic" w:hAnsi="MS PGothic"/>
          <w:sz w:val="18"/>
          <w:szCs w:val="18"/>
          <w:color w:val="56C271"/>
        </w:rPr>
      </w:pPr>
    </w:p>
    <w:p>
      <w:pPr>
        <w:ind w:left="1500" w:hanging="366"/>
        <w:spacing w:after="0"/>
        <w:tabs>
          <w:tab w:leader="none" w:pos="1500" w:val="left"/>
        </w:tabs>
        <w:numPr>
          <w:ilvl w:val="0"/>
          <w:numId w:val="47"/>
        </w:numPr>
        <w:rPr>
          <w:rFonts w:ascii="MS PGothic" w:cs="MS PGothic" w:eastAsia="MS PGothic" w:hAnsi="MS PGothic"/>
          <w:sz w:val="18"/>
          <w:szCs w:val="18"/>
          <w:color w:val="56C271"/>
        </w:rPr>
      </w:pPr>
      <w:r>
        <w:rPr>
          <w:rFonts w:ascii="Arial" w:cs="Arial" w:eastAsia="Arial" w:hAnsi="Arial"/>
          <w:sz w:val="18"/>
          <w:szCs w:val="18"/>
          <w:color w:val="auto"/>
        </w:rPr>
        <w:t>Disclosed Company as a benchmarking peer</w:t>
      </w:r>
    </w:p>
    <w:p>
      <w:pPr>
        <w:spacing w:after="0" w:line="130" w:lineRule="exact"/>
        <w:rPr>
          <w:rFonts w:ascii="MS PGothic" w:cs="MS PGothic" w:eastAsia="MS PGothic" w:hAnsi="MS PGothic"/>
          <w:sz w:val="18"/>
          <w:szCs w:val="18"/>
          <w:color w:val="56C271"/>
        </w:rPr>
      </w:pPr>
    </w:p>
    <w:p>
      <w:pPr>
        <w:ind w:left="1500" w:hanging="366"/>
        <w:spacing w:after="0"/>
        <w:tabs>
          <w:tab w:leader="none" w:pos="1500" w:val="left"/>
        </w:tabs>
        <w:numPr>
          <w:ilvl w:val="0"/>
          <w:numId w:val="47"/>
        </w:numPr>
        <w:rPr>
          <w:rFonts w:ascii="MS PGothic" w:cs="MS PGothic" w:eastAsia="MS PGothic" w:hAnsi="MS PGothic"/>
          <w:sz w:val="18"/>
          <w:szCs w:val="18"/>
          <w:color w:val="56C271"/>
        </w:rPr>
      </w:pPr>
      <w:r>
        <w:rPr>
          <w:rFonts w:ascii="Arial" w:cs="Arial" w:eastAsia="Arial" w:hAnsi="Arial"/>
          <w:sz w:val="18"/>
          <w:szCs w:val="18"/>
          <w:color w:val="auto"/>
        </w:rPr>
        <w:t>In proxy advisors’ peer groups</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18"/>
          <w:szCs w:val="18"/>
          <w:color w:val="auto"/>
        </w:rPr>
        <w:t>Anixter International Inc.</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color w:val="auto"/>
        </w:rPr>
        <w:t>Arrow Electronics, Inc.</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Celestica Inc.</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CDW Corporation</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color w:val="auto"/>
        </w:rPr>
        <w:t>Flex LTD</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color w:val="auto"/>
        </w:rPr>
        <w:t>Genuine Parts Company</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color w:val="auto"/>
        </w:rPr>
        <w:t>Jabil Circuit, Inc.</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color w:val="auto"/>
        </w:rPr>
        <w:t>Sanmina Corporation</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color w:val="auto"/>
        </w:rPr>
        <w:t>Seagate Technology plc</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color w:val="auto"/>
        </w:rPr>
        <w:t>SYNNEX Corporation</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color w:val="auto"/>
        </w:rPr>
        <w:t>TE Connectivity Ltd.</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Tech Data Corporation</w:t>
      </w:r>
    </w:p>
    <w:p>
      <w:pPr>
        <w:spacing w:after="0" w:line="131" w:lineRule="exact"/>
        <w:rPr>
          <w:sz w:val="20"/>
          <w:szCs w:val="20"/>
          <w:color w:val="auto"/>
        </w:rPr>
      </w:pPr>
    </w:p>
    <w:p>
      <w:pPr>
        <w:ind w:left="6" w:right="1159" w:hanging="6"/>
        <w:spacing w:after="0" w:line="419" w:lineRule="auto"/>
        <w:tabs>
          <w:tab w:leader="none" w:pos="474" w:val="left"/>
        </w:tabs>
        <w:numPr>
          <w:ilvl w:val="0"/>
          <w:numId w:val="48"/>
        </w:numPr>
        <w:rPr>
          <w:rFonts w:ascii="Arial" w:cs="Arial" w:eastAsia="Arial" w:hAnsi="Arial"/>
          <w:sz w:val="17"/>
          <w:szCs w:val="17"/>
          <w:color w:val="auto"/>
        </w:rPr>
      </w:pPr>
      <w:r>
        <w:rPr>
          <w:rFonts w:ascii="Arial" w:cs="Arial" w:eastAsia="Arial" w:hAnsi="Arial"/>
          <w:sz w:val="17"/>
          <w:szCs w:val="17"/>
          <w:color w:val="auto"/>
        </w:rPr>
        <w:t>Grainger, Inc. WESCO International Western Digital Corporation</w:t>
      </w:r>
    </w:p>
    <w:p>
      <w:pPr>
        <w:spacing w:after="0" w:line="83" w:lineRule="exact"/>
        <w:rPr>
          <w:sz w:val="20"/>
          <w:szCs w:val="20"/>
          <w:color w:val="auto"/>
        </w:rPr>
      </w:pPr>
    </w:p>
    <w:p>
      <w:pPr>
        <w:sectPr>
          <w:pgSz w:w="11900" w:h="16838" w:orient="portrait"/>
          <w:cols w:equalWidth="0" w:num="2">
            <w:col w:w="5900" w:space="634"/>
            <w:col w:w="3345"/>
          </w:cols>
          <w:pgMar w:left="580" w:top="132" w:right="1440" w:bottom="1440" w:gutter="0" w:footer="0" w:header="0"/>
          <w:type w:val="continuous"/>
        </w:sectPr>
      </w:pPr>
    </w:p>
    <w:p>
      <w:pPr>
        <w:ind w:left="1000" w:right="239"/>
        <w:spacing w:after="0" w:line="261" w:lineRule="auto"/>
        <w:rPr>
          <w:sz w:val="20"/>
          <w:szCs w:val="20"/>
          <w:color w:val="auto"/>
        </w:rPr>
      </w:pPr>
      <w:r>
        <w:rPr>
          <w:rFonts w:ascii="Arial" w:cs="Arial" w:eastAsia="Arial" w:hAnsi="Arial"/>
          <w:sz w:val="18"/>
          <w:szCs w:val="18"/>
          <w:color w:val="auto"/>
        </w:rPr>
        <w:t>The revenue and market capitalization for the benchmarking peer group median and the Company are shown in the table below.</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23"/>
        </w:trPr>
        <w:tc>
          <w:tcPr>
            <w:tcW w:w="6360" w:type="dxa"/>
            <w:vAlign w:val="bottom"/>
            <w:tcBorders>
              <w:bottom w:val="single" w:sz="8" w:color="56C271"/>
            </w:tcBorders>
            <w:shd w:val="clear" w:color="auto" w:fill="56C271"/>
          </w:tcPr>
          <w:p>
            <w:pPr>
              <w:spacing w:after="0"/>
              <w:rPr>
                <w:sz w:val="19"/>
                <w:szCs w:val="19"/>
                <w:color w:val="auto"/>
              </w:rPr>
            </w:pPr>
          </w:p>
        </w:tc>
        <w:tc>
          <w:tcPr>
            <w:tcW w:w="2280" w:type="dxa"/>
            <w:vAlign w:val="bottom"/>
            <w:tcBorders>
              <w:bottom w:val="single" w:sz="8" w:color="auto"/>
            </w:tcBorders>
            <w:gridSpan w:val="2"/>
            <w:shd w:val="clear" w:color="auto" w:fill="56C271"/>
          </w:tcPr>
          <w:p>
            <w:pPr>
              <w:ind w:left="320"/>
              <w:spacing w:after="0"/>
              <w:rPr>
                <w:sz w:val="20"/>
                <w:szCs w:val="20"/>
                <w:color w:val="auto"/>
              </w:rPr>
            </w:pPr>
            <w:r>
              <w:rPr>
                <w:rFonts w:ascii="Arial" w:cs="Arial" w:eastAsia="Arial" w:hAnsi="Arial"/>
                <w:sz w:val="14"/>
                <w:szCs w:val="14"/>
                <w:b w:val="1"/>
                <w:bCs w:val="1"/>
                <w:color w:val="FEFEFE"/>
              </w:rPr>
              <w:t>Fiscal 2020 ($ in billions)</w:t>
            </w:r>
          </w:p>
        </w:tc>
        <w:tc>
          <w:tcPr>
            <w:tcW w:w="120" w:type="dxa"/>
            <w:vAlign w:val="bottom"/>
            <w:tcBorders>
              <w:bottom w:val="single" w:sz="8" w:color="56C271"/>
            </w:tcBorders>
            <w:shd w:val="clear" w:color="auto" w:fill="56C271"/>
          </w:tcPr>
          <w:p>
            <w:pPr>
              <w:spacing w:after="0"/>
              <w:rPr>
                <w:sz w:val="19"/>
                <w:szCs w:val="19"/>
                <w:color w:val="auto"/>
              </w:rPr>
            </w:pPr>
          </w:p>
        </w:tc>
      </w:tr>
      <w:tr>
        <w:trPr>
          <w:trHeight w:val="215"/>
        </w:trPr>
        <w:tc>
          <w:tcPr>
            <w:tcW w:w="6360" w:type="dxa"/>
            <w:vAlign w:val="bottom"/>
            <w:shd w:val="clear" w:color="auto" w:fill="56C271"/>
          </w:tcPr>
          <w:p>
            <w:pPr>
              <w:spacing w:after="0"/>
              <w:rPr>
                <w:sz w:val="18"/>
                <w:szCs w:val="18"/>
                <w:color w:val="auto"/>
              </w:rPr>
            </w:pPr>
          </w:p>
        </w:tc>
        <w:tc>
          <w:tcPr>
            <w:tcW w:w="740" w:type="dxa"/>
            <w:vAlign w:val="bottom"/>
            <w:tcBorders>
              <w:right w:val="single" w:sz="8" w:color="FEFEFE"/>
            </w:tcBorders>
            <w:shd w:val="clear" w:color="auto" w:fill="56C271"/>
          </w:tcPr>
          <w:p>
            <w:pPr>
              <w:jc w:val="center"/>
              <w:ind w:right="39"/>
              <w:spacing w:after="0"/>
              <w:rPr>
                <w:sz w:val="20"/>
                <w:szCs w:val="20"/>
                <w:color w:val="auto"/>
              </w:rPr>
            </w:pPr>
            <w:r>
              <w:rPr>
                <w:rFonts w:ascii="Arial" w:cs="Arial" w:eastAsia="Arial" w:hAnsi="Arial"/>
                <w:sz w:val="14"/>
                <w:szCs w:val="14"/>
                <w:b w:val="1"/>
                <w:bCs w:val="1"/>
                <w:color w:val="FEFEFE"/>
                <w:w w:val="99"/>
              </w:rPr>
              <w:t>Revenue</w:t>
            </w:r>
          </w:p>
        </w:tc>
        <w:tc>
          <w:tcPr>
            <w:tcW w:w="1660" w:type="dxa"/>
            <w:vAlign w:val="bottom"/>
            <w:gridSpan w:val="2"/>
            <w:shd w:val="clear" w:color="auto" w:fill="56C271"/>
          </w:tcPr>
          <w:p>
            <w:pPr>
              <w:jc w:val="center"/>
              <w:spacing w:after="0"/>
              <w:rPr>
                <w:sz w:val="20"/>
                <w:szCs w:val="20"/>
                <w:color w:val="auto"/>
              </w:rPr>
            </w:pPr>
            <w:r>
              <w:rPr>
                <w:rFonts w:ascii="Arial" w:cs="Arial" w:eastAsia="Arial" w:hAnsi="Arial"/>
                <w:sz w:val="14"/>
                <w:szCs w:val="14"/>
                <w:b w:val="1"/>
                <w:bCs w:val="1"/>
                <w:color w:val="FEFEFE"/>
                <w:w w:val="99"/>
              </w:rPr>
              <w:t>Market Capitalization</w:t>
            </w:r>
          </w:p>
        </w:tc>
      </w:tr>
      <w:tr>
        <w:trPr>
          <w:trHeight w:val="257"/>
        </w:trPr>
        <w:tc>
          <w:tcPr>
            <w:tcW w:w="6360" w:type="dxa"/>
            <w:vAlign w:val="bottom"/>
          </w:tcPr>
          <w:p>
            <w:pPr>
              <w:ind w:left="100"/>
              <w:spacing w:after="0"/>
              <w:rPr>
                <w:sz w:val="20"/>
                <w:szCs w:val="20"/>
                <w:color w:val="auto"/>
              </w:rPr>
            </w:pPr>
            <w:r>
              <w:rPr>
                <w:rFonts w:ascii="Arial" w:cs="Arial" w:eastAsia="Arial" w:hAnsi="Arial"/>
                <w:sz w:val="18"/>
                <w:szCs w:val="18"/>
                <w:color w:val="auto"/>
              </w:rPr>
              <w:t>Peer Group Median*</w:t>
            </w:r>
          </w:p>
        </w:tc>
        <w:tc>
          <w:tcPr>
            <w:tcW w:w="740" w:type="dxa"/>
            <w:vAlign w:val="bottom"/>
            <w:tcBorders>
              <w:right w:val="single" w:sz="8" w:color="FEFEFE"/>
            </w:tcBorders>
          </w:tcPr>
          <w:p>
            <w:pPr>
              <w:jc w:val="center"/>
              <w:ind w:right="39"/>
              <w:spacing w:after="0"/>
              <w:rPr>
                <w:sz w:val="20"/>
                <w:szCs w:val="20"/>
                <w:color w:val="auto"/>
              </w:rPr>
            </w:pPr>
            <w:r>
              <w:rPr>
                <w:rFonts w:ascii="Arial" w:cs="Arial" w:eastAsia="Arial" w:hAnsi="Arial"/>
                <w:sz w:val="18"/>
                <w:szCs w:val="18"/>
                <w:color w:val="auto"/>
              </w:rPr>
              <w:t>$16.1</w:t>
            </w:r>
          </w:p>
        </w:tc>
        <w:tc>
          <w:tcPr>
            <w:tcW w:w="1540" w:type="dxa"/>
            <w:vAlign w:val="bottom"/>
          </w:tcPr>
          <w:p>
            <w:pPr>
              <w:jc w:val="center"/>
              <w:ind w:left="16"/>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r>
      <w:tr>
        <w:trPr>
          <w:trHeight w:val="270"/>
        </w:trPr>
        <w:tc>
          <w:tcPr>
            <w:tcW w:w="6360" w:type="dxa"/>
            <w:vAlign w:val="bottom"/>
            <w:shd w:val="clear" w:color="auto" w:fill="CCEDD4"/>
          </w:tcPr>
          <w:p>
            <w:pPr>
              <w:ind w:left="100"/>
              <w:spacing w:after="0"/>
              <w:rPr>
                <w:sz w:val="20"/>
                <w:szCs w:val="20"/>
                <w:color w:val="auto"/>
              </w:rPr>
            </w:pPr>
            <w:r>
              <w:rPr>
                <w:rFonts w:ascii="Arial" w:cs="Arial" w:eastAsia="Arial" w:hAnsi="Arial"/>
                <w:sz w:val="18"/>
                <w:szCs w:val="18"/>
                <w:color w:val="auto"/>
              </w:rPr>
              <w:t>The Company</w:t>
            </w:r>
          </w:p>
        </w:tc>
        <w:tc>
          <w:tcPr>
            <w:tcW w:w="740" w:type="dxa"/>
            <w:vAlign w:val="bottom"/>
            <w:tcBorders>
              <w:right w:val="single" w:sz="8" w:color="FEFEFE"/>
            </w:tcBorders>
            <w:shd w:val="clear" w:color="auto" w:fill="CCEDD4"/>
          </w:tcPr>
          <w:p>
            <w:pPr>
              <w:jc w:val="center"/>
              <w:ind w:right="39"/>
              <w:spacing w:after="0"/>
              <w:rPr>
                <w:sz w:val="20"/>
                <w:szCs w:val="20"/>
                <w:color w:val="auto"/>
              </w:rPr>
            </w:pPr>
            <w:r>
              <w:rPr>
                <w:rFonts w:ascii="Arial" w:cs="Arial" w:eastAsia="Arial" w:hAnsi="Arial"/>
                <w:sz w:val="18"/>
                <w:szCs w:val="18"/>
                <w:color w:val="auto"/>
              </w:rPr>
              <w:t>$17.6</w:t>
            </w:r>
          </w:p>
        </w:tc>
        <w:tc>
          <w:tcPr>
            <w:tcW w:w="1540" w:type="dxa"/>
            <w:vAlign w:val="bottom"/>
            <w:shd w:val="clear" w:color="auto" w:fill="CCEDD4"/>
          </w:tcPr>
          <w:p>
            <w:pPr>
              <w:jc w:val="center"/>
              <w:ind w:left="16"/>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DD4"/>
          </w:tcPr>
          <w:p>
            <w:pPr>
              <w:spacing w:after="0"/>
              <w:rPr>
                <w:sz w:val="23"/>
                <w:szCs w:val="23"/>
                <w:color w:val="auto"/>
              </w:rPr>
            </w:pPr>
          </w:p>
        </w:tc>
      </w:tr>
      <w:tr>
        <w:trPr>
          <w:trHeight w:val="54"/>
        </w:trPr>
        <w:tc>
          <w:tcPr>
            <w:tcW w:w="6360" w:type="dxa"/>
            <w:vAlign w:val="bottom"/>
            <w:shd w:val="clear" w:color="auto" w:fill="CCEDD4"/>
          </w:tcPr>
          <w:p>
            <w:pPr>
              <w:spacing w:after="0"/>
              <w:rPr>
                <w:sz w:val="4"/>
                <w:szCs w:val="4"/>
                <w:color w:val="auto"/>
              </w:rPr>
            </w:pPr>
          </w:p>
        </w:tc>
        <w:tc>
          <w:tcPr>
            <w:tcW w:w="740" w:type="dxa"/>
            <w:vAlign w:val="bottom"/>
            <w:tcBorders>
              <w:right w:val="single" w:sz="8" w:color="FEFEFE"/>
            </w:tcBorders>
            <w:shd w:val="clear" w:color="auto" w:fill="CCEDD4"/>
          </w:tcPr>
          <w:p>
            <w:pPr>
              <w:spacing w:after="0"/>
              <w:rPr>
                <w:sz w:val="4"/>
                <w:szCs w:val="4"/>
                <w:color w:val="auto"/>
              </w:rPr>
            </w:pPr>
          </w:p>
        </w:tc>
        <w:tc>
          <w:tcPr>
            <w:tcW w:w="1540" w:type="dxa"/>
            <w:vAlign w:val="bottom"/>
            <w:shd w:val="clear" w:color="auto" w:fill="CCEDD4"/>
          </w:tcPr>
          <w:p>
            <w:pPr>
              <w:spacing w:after="0"/>
              <w:rPr>
                <w:sz w:val="4"/>
                <w:szCs w:val="4"/>
                <w:color w:val="auto"/>
              </w:rPr>
            </w:pPr>
          </w:p>
        </w:tc>
        <w:tc>
          <w:tcPr>
            <w:tcW w:w="120" w:type="dxa"/>
            <w:vAlign w:val="bottom"/>
            <w:shd w:val="clear" w:color="auto" w:fill="CCEDD4"/>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-7620</wp:posOffset>
            </wp:positionV>
            <wp:extent cx="555498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ind w:left="1360" w:right="579" w:hanging="370"/>
        <w:spacing w:after="0" w:line="261" w:lineRule="auto"/>
        <w:tabs>
          <w:tab w:leader="none" w:pos="1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Excludes Anixter International and Tech Data Corporation, both of which were acquired prior to fiscal 2021 year end.</w:t>
      </w:r>
    </w:p>
    <w:p>
      <w:pPr>
        <w:spacing w:after="0" w:line="130" w:lineRule="exact"/>
        <w:rPr>
          <w:sz w:val="20"/>
          <w:szCs w:val="20"/>
          <w:color w:val="auto"/>
        </w:rPr>
      </w:pPr>
    </w:p>
    <w:p>
      <w:pPr>
        <w:ind w:left="1000" w:right="279"/>
        <w:spacing w:after="0" w:line="252" w:lineRule="auto"/>
        <w:rPr>
          <w:sz w:val="20"/>
          <w:szCs w:val="20"/>
          <w:color w:val="auto"/>
        </w:rPr>
      </w:pPr>
      <w:r>
        <w:rPr>
          <w:rFonts w:ascii="Arial" w:cs="Arial" w:eastAsia="Arial" w:hAnsi="Arial"/>
          <w:sz w:val="18"/>
          <w:szCs w:val="18"/>
          <w:color w:val="auto"/>
        </w:rPr>
        <w:t>For the CEO and CFO, the primary market data is sourced from the most recent proxy statements of the Company’s benchmarking peer group, as may be updated by additional SEC filings, and secondary market data is sourced from general industry surveys covering executive positions. For the remaining executive officers, the primary market data is sourced from the peer group’s proxy statement data, when available, or general industry surveys covering executive positions. The Committee reviews general industry survey data for similar roles at companies with comparable revenue and market capitalization. For fiscal 2021, the survey data came from the 2019 Towers Watson Data Services US Compensation Data Bank General Industry Executive Survey.</w:t>
      </w:r>
    </w:p>
    <w:p>
      <w:pPr>
        <w:spacing w:after="0" w:line="138" w:lineRule="exact"/>
        <w:rPr>
          <w:sz w:val="20"/>
          <w:szCs w:val="20"/>
          <w:color w:val="auto"/>
        </w:rPr>
      </w:pPr>
    </w:p>
    <w:p>
      <w:pPr>
        <w:ind w:left="1000" w:right="179"/>
        <w:spacing w:after="0" w:line="256" w:lineRule="auto"/>
        <w:rPr>
          <w:sz w:val="20"/>
          <w:szCs w:val="20"/>
          <w:color w:val="auto"/>
        </w:rPr>
      </w:pPr>
      <w:r>
        <w:rPr>
          <w:rFonts w:ascii="Arial" w:cs="Arial" w:eastAsia="Arial" w:hAnsi="Arial"/>
          <w:sz w:val="18"/>
          <w:szCs w:val="18"/>
          <w:color w:val="auto"/>
        </w:rPr>
        <w:t>As part of this benchmarking process, each executive officer’s proposed individual target compensation is evaluated against the market data, as are individual compensation elements such as base salary, annual cash incentives, long-term incentives, and total direct compensation.</w:t>
      </w:r>
    </w:p>
    <w:p>
      <w:pPr>
        <w:sectPr>
          <w:pgSz w:w="11900" w:h="16838" w:orient="portrait"/>
          <w:cols w:equalWidth="0" w:num="1">
            <w:col w:w="9879"/>
          </w:cols>
          <w:pgMar w:left="580" w:top="132" w:right="1440" w:bottom="1440" w:gutter="0" w:footer="0" w:header="0"/>
          <w:type w:val="continuous"/>
        </w:sectPr>
      </w:pPr>
    </w:p>
    <w:p>
      <w:pPr>
        <w:spacing w:after="0" w:line="137"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ind w:left="7240"/>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The Committee does not view benchmarking as a prescriptive determinant of individual compensation. Rather, the Committee uses the market median as a general guide in its decisions on the target amount and mix of each element of compensation. The Committee also considers other factors, such as experience in the position and long-term performance of the individual. An executive officer’s actual compensation may be above or below target compensation and will vary from year to year based on corporate and/or business unit financial results, future stock performance as well as individual performance, reinforcing the Company’s pay-for-performance culture.</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OVERVIEW OF PAY PROGRAMS</w:t>
      </w:r>
    </w:p>
    <w:p>
      <w:pPr>
        <w:spacing w:after="0" w:line="157" w:lineRule="exact"/>
        <w:rPr>
          <w:sz w:val="20"/>
          <w:szCs w:val="20"/>
          <w:color w:val="auto"/>
        </w:rPr>
      </w:pPr>
    </w:p>
    <w:p>
      <w:pPr>
        <w:ind w:left="1000" w:right="219"/>
        <w:spacing w:after="0" w:line="261" w:lineRule="auto"/>
        <w:rPr>
          <w:sz w:val="20"/>
          <w:szCs w:val="20"/>
          <w:color w:val="auto"/>
        </w:rPr>
      </w:pPr>
      <w:r>
        <w:rPr>
          <w:rFonts w:ascii="Arial" w:cs="Arial" w:eastAsia="Arial" w:hAnsi="Arial"/>
          <w:sz w:val="18"/>
          <w:szCs w:val="18"/>
          <w:color w:val="auto"/>
        </w:rPr>
        <w:t>The primary components of the Company’s compensation program and the objectives of each component are set forth in the table below:</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43"/>
        </w:trPr>
        <w:tc>
          <w:tcPr>
            <w:tcW w:w="2920" w:type="dxa"/>
            <w:vAlign w:val="bottom"/>
            <w:shd w:val="clear" w:color="auto" w:fill="56C271"/>
          </w:tcPr>
          <w:p>
            <w:pPr>
              <w:ind w:left="120"/>
              <w:spacing w:after="0"/>
              <w:rPr>
                <w:sz w:val="20"/>
                <w:szCs w:val="20"/>
                <w:color w:val="auto"/>
              </w:rPr>
            </w:pPr>
            <w:r>
              <w:rPr>
                <w:rFonts w:ascii="Arial" w:cs="Arial" w:eastAsia="Arial" w:hAnsi="Arial"/>
                <w:sz w:val="14"/>
                <w:szCs w:val="14"/>
                <w:b w:val="1"/>
                <w:bCs w:val="1"/>
                <w:color w:val="FFFFFF"/>
              </w:rPr>
              <w:t>Pay Component</w:t>
            </w:r>
          </w:p>
        </w:tc>
        <w:tc>
          <w:tcPr>
            <w:tcW w:w="288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FFFFF"/>
              </w:rPr>
              <w:t>Objectives</w:t>
            </w:r>
          </w:p>
        </w:tc>
        <w:tc>
          <w:tcPr>
            <w:tcW w:w="2960" w:type="dxa"/>
            <w:vAlign w:val="bottom"/>
            <w:shd w:val="clear" w:color="auto" w:fill="56C271"/>
          </w:tcPr>
          <w:p>
            <w:pPr>
              <w:ind w:left="140"/>
              <w:spacing w:after="0"/>
              <w:rPr>
                <w:sz w:val="20"/>
                <w:szCs w:val="20"/>
                <w:color w:val="auto"/>
              </w:rPr>
            </w:pPr>
            <w:r>
              <w:rPr>
                <w:rFonts w:ascii="Arial" w:cs="Arial" w:eastAsia="Arial" w:hAnsi="Arial"/>
                <w:sz w:val="14"/>
                <w:szCs w:val="14"/>
                <w:b w:val="1"/>
                <w:bCs w:val="1"/>
                <w:color w:val="FFFFFF"/>
              </w:rPr>
              <w:t>Key Features</w:t>
            </w:r>
          </w:p>
        </w:tc>
      </w:tr>
      <w:tr>
        <w:trPr>
          <w:trHeight w:val="242"/>
        </w:trPr>
        <w:tc>
          <w:tcPr>
            <w:tcW w:w="2920" w:type="dxa"/>
            <w:vAlign w:val="bottom"/>
            <w:shd w:val="clear" w:color="auto" w:fill="9ADAAA"/>
          </w:tcPr>
          <w:p>
            <w:pPr>
              <w:ind w:left="120"/>
              <w:spacing w:after="0"/>
              <w:rPr>
                <w:sz w:val="20"/>
                <w:szCs w:val="20"/>
                <w:color w:val="auto"/>
              </w:rPr>
            </w:pPr>
            <w:r>
              <w:rPr>
                <w:rFonts w:ascii="Arial" w:cs="Arial" w:eastAsia="Arial" w:hAnsi="Arial"/>
                <w:sz w:val="18"/>
                <w:szCs w:val="18"/>
                <w:b w:val="1"/>
                <w:bCs w:val="1"/>
                <w:color w:val="auto"/>
              </w:rPr>
              <w:t>Base Salary</w:t>
            </w:r>
          </w:p>
        </w:tc>
        <w:tc>
          <w:tcPr>
            <w:tcW w:w="2880" w:type="dxa"/>
            <w:vAlign w:val="bottom"/>
            <w:shd w:val="clear" w:color="auto" w:fill="9ADAAA"/>
          </w:tcPr>
          <w:p>
            <w:pPr>
              <w:ind w:left="100"/>
              <w:spacing w:after="0"/>
              <w:rPr>
                <w:sz w:val="20"/>
                <w:szCs w:val="20"/>
                <w:color w:val="auto"/>
              </w:rPr>
            </w:pPr>
            <w:r>
              <w:rPr>
                <w:rFonts w:ascii="Arial" w:cs="Arial" w:eastAsia="Arial" w:hAnsi="Arial"/>
                <w:sz w:val="18"/>
                <w:szCs w:val="18"/>
                <w:color w:val="auto"/>
              </w:rPr>
              <w:t>Attract and retain executive talent</w:t>
            </w:r>
          </w:p>
        </w:tc>
        <w:tc>
          <w:tcPr>
            <w:tcW w:w="2960" w:type="dxa"/>
            <w:vAlign w:val="bottom"/>
            <w:shd w:val="clear" w:color="auto" w:fill="9ADAAA"/>
          </w:tcPr>
          <w:p>
            <w:pPr>
              <w:ind w:left="140"/>
              <w:spacing w:after="0"/>
              <w:rPr>
                <w:sz w:val="20"/>
                <w:szCs w:val="20"/>
                <w:color w:val="auto"/>
              </w:rPr>
            </w:pPr>
            <w:r>
              <w:rPr>
                <w:rFonts w:ascii="Arial" w:cs="Arial" w:eastAsia="Arial" w:hAnsi="Arial"/>
                <w:sz w:val="18"/>
                <w:szCs w:val="18"/>
                <w:color w:val="auto"/>
              </w:rPr>
              <w:t>Reflects skills, contributions, and</w:t>
            </w:r>
          </w:p>
        </w:tc>
      </w:tr>
      <w:tr>
        <w:trPr>
          <w:trHeight w:val="217"/>
        </w:trPr>
        <w:tc>
          <w:tcPr>
            <w:tcW w:w="2920" w:type="dxa"/>
            <w:vAlign w:val="bottom"/>
            <w:shd w:val="clear" w:color="auto" w:fill="9ADAAA"/>
          </w:tcPr>
          <w:p>
            <w:pPr>
              <w:spacing w:after="0"/>
              <w:rPr>
                <w:sz w:val="18"/>
                <w:szCs w:val="18"/>
                <w:color w:val="auto"/>
              </w:rPr>
            </w:pPr>
          </w:p>
        </w:tc>
        <w:tc>
          <w:tcPr>
            <w:tcW w:w="2880" w:type="dxa"/>
            <w:vAlign w:val="bottom"/>
            <w:shd w:val="clear" w:color="auto" w:fill="9ADAAA"/>
          </w:tcPr>
          <w:p>
            <w:pPr>
              <w:ind w:left="100"/>
              <w:spacing w:after="0"/>
              <w:rPr>
                <w:sz w:val="20"/>
                <w:szCs w:val="20"/>
                <w:color w:val="auto"/>
              </w:rPr>
            </w:pPr>
            <w:r>
              <w:rPr>
                <w:rFonts w:ascii="Arial" w:cs="Arial" w:eastAsia="Arial" w:hAnsi="Arial"/>
                <w:sz w:val="18"/>
                <w:szCs w:val="18"/>
                <w:color w:val="auto"/>
              </w:rPr>
              <w:t>in a competitive marketplace.</w:t>
            </w:r>
          </w:p>
        </w:tc>
        <w:tc>
          <w:tcPr>
            <w:tcW w:w="2960" w:type="dxa"/>
            <w:vAlign w:val="bottom"/>
            <w:shd w:val="clear" w:color="auto" w:fill="9ADAAA"/>
          </w:tcPr>
          <w:p>
            <w:pPr>
              <w:ind w:left="140"/>
              <w:spacing w:after="0"/>
              <w:rPr>
                <w:sz w:val="20"/>
                <w:szCs w:val="20"/>
                <w:color w:val="auto"/>
              </w:rPr>
            </w:pPr>
            <w:r>
              <w:rPr>
                <w:rFonts w:ascii="Arial" w:cs="Arial" w:eastAsia="Arial" w:hAnsi="Arial"/>
                <w:sz w:val="18"/>
                <w:szCs w:val="18"/>
                <w:color w:val="auto"/>
              </w:rPr>
              <w:t>success over time in role.</w:t>
            </w:r>
          </w:p>
        </w:tc>
      </w:tr>
      <w:tr>
        <w:trPr>
          <w:trHeight w:val="269"/>
        </w:trPr>
        <w:tc>
          <w:tcPr>
            <w:tcW w:w="2920" w:type="dxa"/>
            <w:vAlign w:val="bottom"/>
            <w:shd w:val="clear" w:color="auto" w:fill="9ADAAA"/>
          </w:tcPr>
          <w:p>
            <w:pPr>
              <w:spacing w:after="0"/>
              <w:rPr>
                <w:sz w:val="23"/>
                <w:szCs w:val="23"/>
                <w:color w:val="auto"/>
              </w:rPr>
            </w:pPr>
          </w:p>
        </w:tc>
        <w:tc>
          <w:tcPr>
            <w:tcW w:w="2880" w:type="dxa"/>
            <w:vAlign w:val="bottom"/>
            <w:shd w:val="clear" w:color="auto" w:fill="9ADAAA"/>
          </w:tcPr>
          <w:p>
            <w:pPr>
              <w:spacing w:after="0"/>
              <w:rPr>
                <w:sz w:val="23"/>
                <w:szCs w:val="23"/>
                <w:color w:val="auto"/>
              </w:rPr>
            </w:pPr>
          </w:p>
        </w:tc>
        <w:tc>
          <w:tcPr>
            <w:tcW w:w="2960" w:type="dxa"/>
            <w:vAlign w:val="bottom"/>
            <w:shd w:val="clear" w:color="auto" w:fill="9ADAAA"/>
          </w:tcPr>
          <w:p>
            <w:pPr>
              <w:ind w:left="140"/>
              <w:spacing w:after="0"/>
              <w:rPr>
                <w:sz w:val="20"/>
                <w:szCs w:val="20"/>
                <w:color w:val="auto"/>
              </w:rPr>
            </w:pPr>
            <w:r>
              <w:rPr>
                <w:rFonts w:ascii="Arial" w:cs="Arial" w:eastAsia="Arial" w:hAnsi="Arial"/>
                <w:sz w:val="18"/>
                <w:szCs w:val="18"/>
                <w:color w:val="auto"/>
              </w:rPr>
              <w:t>Reviewed annually to ensure</w:t>
            </w:r>
          </w:p>
        </w:tc>
      </w:tr>
      <w:tr>
        <w:trPr>
          <w:trHeight w:val="216"/>
        </w:trPr>
        <w:tc>
          <w:tcPr>
            <w:tcW w:w="2920" w:type="dxa"/>
            <w:vAlign w:val="bottom"/>
            <w:shd w:val="clear" w:color="auto" w:fill="9ADAAA"/>
          </w:tcPr>
          <w:p>
            <w:pPr>
              <w:spacing w:after="0"/>
              <w:rPr>
                <w:sz w:val="18"/>
                <w:szCs w:val="18"/>
                <w:color w:val="auto"/>
              </w:rPr>
            </w:pPr>
          </w:p>
        </w:tc>
        <w:tc>
          <w:tcPr>
            <w:tcW w:w="2880" w:type="dxa"/>
            <w:vAlign w:val="bottom"/>
            <w:shd w:val="clear" w:color="auto" w:fill="9ADAAA"/>
          </w:tcPr>
          <w:p>
            <w:pPr>
              <w:spacing w:after="0"/>
              <w:rPr>
                <w:sz w:val="18"/>
                <w:szCs w:val="18"/>
                <w:color w:val="auto"/>
              </w:rPr>
            </w:pPr>
          </w:p>
        </w:tc>
        <w:tc>
          <w:tcPr>
            <w:tcW w:w="2960" w:type="dxa"/>
            <w:vAlign w:val="bottom"/>
            <w:shd w:val="clear" w:color="auto" w:fill="9ADAAA"/>
          </w:tcPr>
          <w:p>
            <w:pPr>
              <w:ind w:left="140"/>
              <w:spacing w:after="0"/>
              <w:rPr>
                <w:sz w:val="20"/>
                <w:szCs w:val="20"/>
                <w:color w:val="auto"/>
              </w:rPr>
            </w:pPr>
            <w:r>
              <w:rPr>
                <w:rFonts w:ascii="Arial" w:cs="Arial" w:eastAsia="Arial" w:hAnsi="Arial"/>
                <w:sz w:val="18"/>
                <w:szCs w:val="18"/>
                <w:color w:val="auto"/>
              </w:rPr>
              <w:t>competitiveness and alignment</w:t>
            </w:r>
          </w:p>
        </w:tc>
      </w:tr>
      <w:tr>
        <w:trPr>
          <w:trHeight w:val="235"/>
        </w:trPr>
        <w:tc>
          <w:tcPr>
            <w:tcW w:w="2920" w:type="dxa"/>
            <w:vAlign w:val="bottom"/>
            <w:shd w:val="clear" w:color="auto" w:fill="9ADAAA"/>
          </w:tcPr>
          <w:p>
            <w:pPr>
              <w:spacing w:after="0"/>
              <w:rPr>
                <w:sz w:val="20"/>
                <w:szCs w:val="20"/>
                <w:color w:val="auto"/>
              </w:rPr>
            </w:pPr>
          </w:p>
        </w:tc>
        <w:tc>
          <w:tcPr>
            <w:tcW w:w="2880" w:type="dxa"/>
            <w:vAlign w:val="bottom"/>
            <w:shd w:val="clear" w:color="auto" w:fill="9ADAAA"/>
          </w:tcPr>
          <w:p>
            <w:pPr>
              <w:spacing w:after="0"/>
              <w:rPr>
                <w:sz w:val="20"/>
                <w:szCs w:val="20"/>
                <w:color w:val="auto"/>
              </w:rPr>
            </w:pPr>
          </w:p>
        </w:tc>
        <w:tc>
          <w:tcPr>
            <w:tcW w:w="2960" w:type="dxa"/>
            <w:vAlign w:val="bottom"/>
            <w:shd w:val="clear" w:color="auto" w:fill="9ADAAA"/>
          </w:tcPr>
          <w:p>
            <w:pPr>
              <w:ind w:left="140"/>
              <w:spacing w:after="0"/>
              <w:rPr>
                <w:sz w:val="20"/>
                <w:szCs w:val="20"/>
                <w:color w:val="auto"/>
              </w:rPr>
            </w:pPr>
            <w:r>
              <w:rPr>
                <w:rFonts w:ascii="Arial" w:cs="Arial" w:eastAsia="Arial" w:hAnsi="Arial"/>
                <w:sz w:val="18"/>
                <w:szCs w:val="18"/>
                <w:color w:val="auto"/>
              </w:rPr>
              <w:t>with individual performance.</w:t>
            </w:r>
          </w:p>
        </w:tc>
      </w:tr>
      <w:tr>
        <w:trPr>
          <w:trHeight w:val="251"/>
        </w:trPr>
        <w:tc>
          <w:tcPr>
            <w:tcW w:w="2920" w:type="dxa"/>
            <w:vAlign w:val="bottom"/>
            <w:shd w:val="clear" w:color="auto" w:fill="CCEDD4"/>
          </w:tcPr>
          <w:p>
            <w:pPr>
              <w:ind w:left="120"/>
              <w:spacing w:after="0"/>
              <w:rPr>
                <w:sz w:val="20"/>
                <w:szCs w:val="20"/>
                <w:color w:val="auto"/>
              </w:rPr>
            </w:pPr>
            <w:r>
              <w:rPr>
                <w:rFonts w:ascii="Arial" w:cs="Arial" w:eastAsia="Arial" w:hAnsi="Arial"/>
                <w:sz w:val="18"/>
                <w:szCs w:val="18"/>
                <w:b w:val="1"/>
                <w:bCs w:val="1"/>
                <w:color w:val="auto"/>
              </w:rPr>
              <w:t>Annual Cash Incentive Award</w:t>
            </w:r>
          </w:p>
        </w:tc>
        <w:tc>
          <w:tcPr>
            <w:tcW w:w="28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Link variable compensation to</w:t>
            </w:r>
          </w:p>
        </w:tc>
        <w:tc>
          <w:tcPr>
            <w:tcW w:w="2960" w:type="dxa"/>
            <w:vAlign w:val="bottom"/>
            <w:shd w:val="clear" w:color="auto" w:fill="CCEDD4"/>
          </w:tcPr>
          <w:p>
            <w:pPr>
              <w:ind w:left="140"/>
              <w:spacing w:after="0"/>
              <w:rPr>
                <w:sz w:val="20"/>
                <w:szCs w:val="20"/>
                <w:color w:val="auto"/>
              </w:rPr>
            </w:pPr>
            <w:r>
              <w:rPr>
                <w:rFonts w:ascii="Arial" w:cs="Arial" w:eastAsia="Arial" w:hAnsi="Arial"/>
                <w:sz w:val="18"/>
                <w:szCs w:val="18"/>
                <w:color w:val="auto"/>
              </w:rPr>
              <w:t>Key financial measures used to</w:t>
            </w:r>
          </w:p>
        </w:tc>
      </w:tr>
      <w:tr>
        <w:trPr>
          <w:trHeight w:val="216"/>
        </w:trPr>
        <w:tc>
          <w:tcPr>
            <w:tcW w:w="2920" w:type="dxa"/>
            <w:vAlign w:val="bottom"/>
            <w:shd w:val="clear" w:color="auto" w:fill="CCEDD4"/>
          </w:tcPr>
          <w:p>
            <w:pPr>
              <w:spacing w:after="0"/>
              <w:rPr>
                <w:sz w:val="18"/>
                <w:szCs w:val="18"/>
                <w:color w:val="auto"/>
              </w:rPr>
            </w:pPr>
          </w:p>
        </w:tc>
        <w:tc>
          <w:tcPr>
            <w:tcW w:w="28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corporate and/or business unit</w:t>
            </w:r>
          </w:p>
        </w:tc>
        <w:tc>
          <w:tcPr>
            <w:tcW w:w="2960" w:type="dxa"/>
            <w:vAlign w:val="bottom"/>
            <w:shd w:val="clear" w:color="auto" w:fill="CCEDD4"/>
          </w:tcPr>
          <w:p>
            <w:pPr>
              <w:ind w:left="140"/>
              <w:spacing w:after="0"/>
              <w:rPr>
                <w:sz w:val="20"/>
                <w:szCs w:val="20"/>
                <w:color w:val="auto"/>
              </w:rPr>
            </w:pPr>
            <w:r>
              <w:rPr>
                <w:rFonts w:ascii="Arial" w:cs="Arial" w:eastAsia="Arial" w:hAnsi="Arial"/>
                <w:sz w:val="18"/>
                <w:szCs w:val="18"/>
                <w:color w:val="auto"/>
              </w:rPr>
              <w:t>assess performance and align</w:t>
            </w:r>
          </w:p>
        </w:tc>
      </w:tr>
      <w:tr>
        <w:trPr>
          <w:trHeight w:val="216"/>
        </w:trPr>
        <w:tc>
          <w:tcPr>
            <w:tcW w:w="2920" w:type="dxa"/>
            <w:vAlign w:val="bottom"/>
            <w:shd w:val="clear" w:color="auto" w:fill="CCEDD4"/>
          </w:tcPr>
          <w:p>
            <w:pPr>
              <w:spacing w:after="0"/>
              <w:rPr>
                <w:sz w:val="18"/>
                <w:szCs w:val="18"/>
                <w:color w:val="auto"/>
              </w:rPr>
            </w:pPr>
          </w:p>
        </w:tc>
        <w:tc>
          <w:tcPr>
            <w:tcW w:w="28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short-term performance as well</w:t>
            </w:r>
          </w:p>
        </w:tc>
        <w:tc>
          <w:tcPr>
            <w:tcW w:w="2960" w:type="dxa"/>
            <w:vAlign w:val="bottom"/>
            <w:shd w:val="clear" w:color="auto" w:fill="CCEDD4"/>
          </w:tcPr>
          <w:p>
            <w:pPr>
              <w:ind w:left="140"/>
              <w:spacing w:after="0"/>
              <w:rPr>
                <w:sz w:val="20"/>
                <w:szCs w:val="20"/>
                <w:color w:val="auto"/>
              </w:rPr>
            </w:pPr>
            <w:r>
              <w:rPr>
                <w:rFonts w:ascii="Arial" w:cs="Arial" w:eastAsia="Arial" w:hAnsi="Arial"/>
                <w:sz w:val="18"/>
                <w:szCs w:val="18"/>
                <w:color w:val="auto"/>
              </w:rPr>
              <w:t>executives with shareholders’</w:t>
            </w:r>
          </w:p>
        </w:tc>
      </w:tr>
      <w:tr>
        <w:trPr>
          <w:trHeight w:val="217"/>
        </w:trPr>
        <w:tc>
          <w:tcPr>
            <w:tcW w:w="2920" w:type="dxa"/>
            <w:vAlign w:val="bottom"/>
            <w:shd w:val="clear" w:color="auto" w:fill="CCEDD4"/>
          </w:tcPr>
          <w:p>
            <w:pPr>
              <w:spacing w:after="0"/>
              <w:rPr>
                <w:sz w:val="18"/>
                <w:szCs w:val="18"/>
                <w:color w:val="auto"/>
              </w:rPr>
            </w:pPr>
          </w:p>
        </w:tc>
        <w:tc>
          <w:tcPr>
            <w:tcW w:w="28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as strategic goals.</w:t>
            </w:r>
          </w:p>
        </w:tc>
        <w:tc>
          <w:tcPr>
            <w:tcW w:w="2960" w:type="dxa"/>
            <w:vAlign w:val="bottom"/>
            <w:shd w:val="clear" w:color="auto" w:fill="CCEDD4"/>
          </w:tcPr>
          <w:p>
            <w:pPr>
              <w:ind w:left="140"/>
              <w:spacing w:after="0"/>
              <w:rPr>
                <w:sz w:val="20"/>
                <w:szCs w:val="20"/>
                <w:color w:val="auto"/>
              </w:rPr>
            </w:pPr>
            <w:r>
              <w:rPr>
                <w:rFonts w:ascii="Arial" w:cs="Arial" w:eastAsia="Arial" w:hAnsi="Arial"/>
                <w:sz w:val="18"/>
                <w:szCs w:val="18"/>
                <w:color w:val="auto"/>
              </w:rPr>
              <w:t>interests.</w:t>
            </w:r>
          </w:p>
        </w:tc>
      </w:tr>
      <w:tr>
        <w:trPr>
          <w:trHeight w:val="269"/>
        </w:trPr>
        <w:tc>
          <w:tcPr>
            <w:tcW w:w="2920" w:type="dxa"/>
            <w:vAlign w:val="bottom"/>
            <w:shd w:val="clear" w:color="auto" w:fill="CCEDD4"/>
          </w:tcPr>
          <w:p>
            <w:pPr>
              <w:spacing w:after="0"/>
              <w:rPr>
                <w:sz w:val="23"/>
                <w:szCs w:val="23"/>
                <w:color w:val="auto"/>
              </w:rPr>
            </w:pPr>
          </w:p>
        </w:tc>
        <w:tc>
          <w:tcPr>
            <w:tcW w:w="2880" w:type="dxa"/>
            <w:vAlign w:val="bottom"/>
            <w:shd w:val="clear" w:color="auto" w:fill="CCEDD4"/>
          </w:tcPr>
          <w:p>
            <w:pPr>
              <w:spacing w:after="0"/>
              <w:rPr>
                <w:sz w:val="23"/>
                <w:szCs w:val="23"/>
                <w:color w:val="auto"/>
              </w:rPr>
            </w:pPr>
          </w:p>
        </w:tc>
        <w:tc>
          <w:tcPr>
            <w:tcW w:w="2960" w:type="dxa"/>
            <w:vAlign w:val="bottom"/>
            <w:shd w:val="clear" w:color="auto" w:fill="CCEDD4"/>
          </w:tcPr>
          <w:p>
            <w:pPr>
              <w:ind w:left="140"/>
              <w:spacing w:after="0"/>
              <w:rPr>
                <w:sz w:val="20"/>
                <w:szCs w:val="20"/>
                <w:color w:val="auto"/>
              </w:rPr>
            </w:pPr>
            <w:r>
              <w:rPr>
                <w:rFonts w:ascii="Arial" w:cs="Arial" w:eastAsia="Arial" w:hAnsi="Arial"/>
                <w:sz w:val="18"/>
                <w:szCs w:val="18"/>
                <w:color w:val="auto"/>
              </w:rPr>
              <w:t>Payouts dependent on meeting</w:t>
            </w:r>
          </w:p>
        </w:tc>
      </w:tr>
      <w:tr>
        <w:trPr>
          <w:trHeight w:val="216"/>
        </w:trPr>
        <w:tc>
          <w:tcPr>
            <w:tcW w:w="2920" w:type="dxa"/>
            <w:vAlign w:val="bottom"/>
            <w:shd w:val="clear" w:color="auto" w:fill="CCEDD4"/>
          </w:tcPr>
          <w:p>
            <w:pPr>
              <w:spacing w:after="0"/>
              <w:rPr>
                <w:sz w:val="18"/>
                <w:szCs w:val="18"/>
                <w:color w:val="auto"/>
              </w:rPr>
            </w:pPr>
          </w:p>
        </w:tc>
        <w:tc>
          <w:tcPr>
            <w:tcW w:w="2880" w:type="dxa"/>
            <w:vAlign w:val="bottom"/>
            <w:shd w:val="clear" w:color="auto" w:fill="CCEDD4"/>
          </w:tcPr>
          <w:p>
            <w:pPr>
              <w:spacing w:after="0"/>
              <w:rPr>
                <w:sz w:val="18"/>
                <w:szCs w:val="18"/>
                <w:color w:val="auto"/>
              </w:rPr>
            </w:pPr>
          </w:p>
        </w:tc>
        <w:tc>
          <w:tcPr>
            <w:tcW w:w="2960" w:type="dxa"/>
            <w:vAlign w:val="bottom"/>
            <w:shd w:val="clear" w:color="auto" w:fill="CCEDD4"/>
          </w:tcPr>
          <w:p>
            <w:pPr>
              <w:ind w:left="140"/>
              <w:spacing w:after="0"/>
              <w:rPr>
                <w:sz w:val="20"/>
                <w:szCs w:val="20"/>
                <w:color w:val="auto"/>
              </w:rPr>
            </w:pPr>
            <w:r>
              <w:rPr>
                <w:rFonts w:ascii="Arial" w:cs="Arial" w:eastAsia="Arial" w:hAnsi="Arial"/>
                <w:sz w:val="18"/>
                <w:szCs w:val="18"/>
                <w:color w:val="auto"/>
              </w:rPr>
              <w:t>financial and non-financial</w:t>
            </w:r>
          </w:p>
        </w:tc>
      </w:tr>
      <w:tr>
        <w:trPr>
          <w:trHeight w:val="224"/>
        </w:trPr>
        <w:tc>
          <w:tcPr>
            <w:tcW w:w="2920" w:type="dxa"/>
            <w:vAlign w:val="bottom"/>
            <w:tcBorders>
              <w:bottom w:val="single" w:sz="8" w:color="FEFEFE"/>
            </w:tcBorders>
            <w:shd w:val="clear" w:color="auto" w:fill="CCEDD4"/>
          </w:tcPr>
          <w:p>
            <w:pPr>
              <w:spacing w:after="0"/>
              <w:rPr>
                <w:sz w:val="19"/>
                <w:szCs w:val="19"/>
                <w:color w:val="auto"/>
              </w:rPr>
            </w:pPr>
          </w:p>
        </w:tc>
        <w:tc>
          <w:tcPr>
            <w:tcW w:w="2880" w:type="dxa"/>
            <w:vAlign w:val="bottom"/>
            <w:tcBorders>
              <w:bottom w:val="single" w:sz="8" w:color="FEFEFE"/>
            </w:tcBorders>
            <w:shd w:val="clear" w:color="auto" w:fill="CCEDD4"/>
          </w:tcPr>
          <w:p>
            <w:pPr>
              <w:spacing w:after="0"/>
              <w:rPr>
                <w:sz w:val="19"/>
                <w:szCs w:val="19"/>
                <w:color w:val="auto"/>
              </w:rPr>
            </w:pPr>
          </w:p>
        </w:tc>
        <w:tc>
          <w:tcPr>
            <w:tcW w:w="2960" w:type="dxa"/>
            <w:vAlign w:val="bottom"/>
            <w:tcBorders>
              <w:bottom w:val="single" w:sz="8" w:color="FEFEFE"/>
            </w:tcBorders>
            <w:shd w:val="clear" w:color="auto" w:fill="CCEDD4"/>
          </w:tcPr>
          <w:p>
            <w:pPr>
              <w:ind w:left="140"/>
              <w:spacing w:after="0"/>
              <w:rPr>
                <w:sz w:val="20"/>
                <w:szCs w:val="20"/>
                <w:color w:val="auto"/>
              </w:rPr>
            </w:pPr>
            <w:r>
              <w:rPr>
                <w:rFonts w:ascii="Arial" w:cs="Arial" w:eastAsia="Arial" w:hAnsi="Arial"/>
                <w:sz w:val="18"/>
                <w:szCs w:val="18"/>
                <w:color w:val="auto"/>
              </w:rPr>
              <w:t>performance goals</w:t>
            </w:r>
          </w:p>
        </w:tc>
      </w:tr>
      <w:tr>
        <w:trPr>
          <w:trHeight w:val="220"/>
        </w:trPr>
        <w:tc>
          <w:tcPr>
            <w:tcW w:w="2920" w:type="dxa"/>
            <w:vAlign w:val="bottom"/>
            <w:shd w:val="clear" w:color="auto" w:fill="9ADAAA"/>
          </w:tcPr>
          <w:p>
            <w:pPr>
              <w:ind w:left="120"/>
              <w:spacing w:after="0"/>
              <w:rPr>
                <w:sz w:val="20"/>
                <w:szCs w:val="20"/>
                <w:color w:val="auto"/>
              </w:rPr>
            </w:pPr>
            <w:r>
              <w:rPr>
                <w:rFonts w:ascii="Arial" w:cs="Arial" w:eastAsia="Arial" w:hAnsi="Arial"/>
                <w:sz w:val="18"/>
                <w:szCs w:val="18"/>
                <w:b w:val="1"/>
                <w:bCs w:val="1"/>
                <w:color w:val="auto"/>
              </w:rPr>
              <w:t>Long-Term Equity Incentive</w:t>
            </w:r>
          </w:p>
        </w:tc>
        <w:tc>
          <w:tcPr>
            <w:tcW w:w="2880" w:type="dxa"/>
            <w:vAlign w:val="bottom"/>
            <w:shd w:val="clear" w:color="auto" w:fill="9ADAAA"/>
          </w:tcPr>
          <w:p>
            <w:pPr>
              <w:ind w:left="100"/>
              <w:spacing w:after="0"/>
              <w:rPr>
                <w:sz w:val="20"/>
                <w:szCs w:val="20"/>
                <w:color w:val="auto"/>
              </w:rPr>
            </w:pPr>
            <w:r>
              <w:rPr>
                <w:rFonts w:ascii="Arial" w:cs="Arial" w:eastAsia="Arial" w:hAnsi="Arial"/>
                <w:sz w:val="18"/>
                <w:szCs w:val="18"/>
                <w:color w:val="auto"/>
              </w:rPr>
              <w:t>Align executives with</w:t>
            </w:r>
          </w:p>
        </w:tc>
        <w:tc>
          <w:tcPr>
            <w:tcW w:w="2960" w:type="dxa"/>
            <w:vAlign w:val="bottom"/>
            <w:shd w:val="clear" w:color="auto" w:fill="9ADAAA"/>
          </w:tcPr>
          <w:p>
            <w:pPr>
              <w:ind w:left="140"/>
              <w:spacing w:after="0"/>
              <w:rPr>
                <w:sz w:val="20"/>
                <w:szCs w:val="20"/>
                <w:color w:val="auto"/>
              </w:rPr>
            </w:pPr>
            <w:r>
              <w:rPr>
                <w:rFonts w:ascii="Arial" w:cs="Arial" w:eastAsia="Arial" w:hAnsi="Arial"/>
                <w:sz w:val="18"/>
                <w:szCs w:val="18"/>
                <w:color w:val="auto"/>
              </w:rPr>
              <w:t>Encourages retention through</w:t>
            </w:r>
          </w:p>
        </w:tc>
      </w:tr>
      <w:tr>
        <w:trPr>
          <w:trHeight w:val="238"/>
        </w:trPr>
        <w:tc>
          <w:tcPr>
            <w:tcW w:w="2920" w:type="dxa"/>
            <w:vAlign w:val="bottom"/>
            <w:shd w:val="clear" w:color="auto" w:fill="9ADAAA"/>
          </w:tcPr>
          <w:p>
            <w:pPr>
              <w:ind w:left="120"/>
              <w:spacing w:after="0"/>
              <w:rPr>
                <w:sz w:val="20"/>
                <w:szCs w:val="20"/>
                <w:color w:val="auto"/>
              </w:rPr>
            </w:pPr>
            <w:r>
              <w:rPr>
                <w:rFonts w:ascii="Arial" w:cs="Arial" w:eastAsia="Arial" w:hAnsi="Arial"/>
                <w:sz w:val="18"/>
                <w:szCs w:val="18"/>
                <w:b w:val="1"/>
                <w:bCs w:val="1"/>
                <w:color w:val="auto"/>
              </w:rPr>
              <w:t>Awards</w:t>
            </w:r>
          </w:p>
        </w:tc>
        <w:tc>
          <w:tcPr>
            <w:tcW w:w="2880" w:type="dxa"/>
            <w:vAlign w:val="bottom"/>
            <w:shd w:val="clear" w:color="auto" w:fill="9ADAAA"/>
          </w:tcPr>
          <w:p>
            <w:pPr>
              <w:ind w:left="100"/>
              <w:spacing w:after="0"/>
              <w:rPr>
                <w:sz w:val="20"/>
                <w:szCs w:val="20"/>
                <w:color w:val="auto"/>
              </w:rPr>
            </w:pPr>
            <w:r>
              <w:rPr>
                <w:rFonts w:ascii="Arial" w:cs="Arial" w:eastAsia="Arial" w:hAnsi="Arial"/>
                <w:sz w:val="18"/>
                <w:szCs w:val="18"/>
                <w:color w:val="auto"/>
              </w:rPr>
              <w:t>shareholders by rewarding long-</w:t>
            </w:r>
          </w:p>
        </w:tc>
        <w:tc>
          <w:tcPr>
            <w:tcW w:w="2960" w:type="dxa"/>
            <w:vAlign w:val="bottom"/>
            <w:shd w:val="clear" w:color="auto" w:fill="9ADAAA"/>
          </w:tcPr>
          <w:p>
            <w:pPr>
              <w:ind w:left="140"/>
              <w:spacing w:after="0"/>
              <w:rPr>
                <w:sz w:val="20"/>
                <w:szCs w:val="20"/>
                <w:color w:val="auto"/>
              </w:rPr>
            </w:pPr>
            <w:r>
              <w:rPr>
                <w:rFonts w:ascii="Arial" w:cs="Arial" w:eastAsia="Arial" w:hAnsi="Arial"/>
                <w:sz w:val="18"/>
                <w:szCs w:val="18"/>
                <w:color w:val="auto"/>
              </w:rPr>
              <w:t>multi-year vesting (three to</w:t>
            </w:r>
          </w:p>
        </w:tc>
      </w:tr>
      <w:tr>
        <w:trPr>
          <w:trHeight w:val="216"/>
        </w:trPr>
        <w:tc>
          <w:tcPr>
            <w:tcW w:w="2920" w:type="dxa"/>
            <w:vAlign w:val="bottom"/>
            <w:shd w:val="clear" w:color="auto" w:fill="9ADAAA"/>
          </w:tcPr>
          <w:p>
            <w:pPr>
              <w:spacing w:after="0"/>
              <w:rPr>
                <w:sz w:val="18"/>
                <w:szCs w:val="18"/>
                <w:color w:val="auto"/>
              </w:rPr>
            </w:pPr>
          </w:p>
        </w:tc>
        <w:tc>
          <w:tcPr>
            <w:tcW w:w="2880" w:type="dxa"/>
            <w:vAlign w:val="bottom"/>
            <w:shd w:val="clear" w:color="auto" w:fill="9ADAAA"/>
          </w:tcPr>
          <w:p>
            <w:pPr>
              <w:ind w:left="100"/>
              <w:spacing w:after="0"/>
              <w:rPr>
                <w:sz w:val="20"/>
                <w:szCs w:val="20"/>
                <w:color w:val="auto"/>
              </w:rPr>
            </w:pPr>
            <w:r>
              <w:rPr>
                <w:rFonts w:ascii="Arial" w:cs="Arial" w:eastAsia="Arial" w:hAnsi="Arial"/>
                <w:sz w:val="18"/>
                <w:szCs w:val="18"/>
                <w:color w:val="auto"/>
              </w:rPr>
              <w:t>term shareholder value creation.</w:t>
            </w:r>
          </w:p>
        </w:tc>
        <w:tc>
          <w:tcPr>
            <w:tcW w:w="2960" w:type="dxa"/>
            <w:vAlign w:val="bottom"/>
            <w:shd w:val="clear" w:color="auto" w:fill="9ADAAA"/>
          </w:tcPr>
          <w:p>
            <w:pPr>
              <w:ind w:left="140"/>
              <w:spacing w:after="0"/>
              <w:rPr>
                <w:sz w:val="20"/>
                <w:szCs w:val="20"/>
                <w:color w:val="auto"/>
              </w:rPr>
            </w:pPr>
            <w:r>
              <w:rPr>
                <w:rFonts w:ascii="Arial" w:cs="Arial" w:eastAsia="Arial" w:hAnsi="Arial"/>
                <w:sz w:val="18"/>
                <w:szCs w:val="18"/>
                <w:color w:val="auto"/>
              </w:rPr>
              <w:t>four years) and reward share</w:t>
            </w:r>
          </w:p>
        </w:tc>
      </w:tr>
      <w:tr>
        <w:trPr>
          <w:trHeight w:val="270"/>
        </w:trPr>
        <w:tc>
          <w:tcPr>
            <w:tcW w:w="2920" w:type="dxa"/>
            <w:vAlign w:val="bottom"/>
            <w:shd w:val="clear" w:color="auto" w:fill="9ADAAA"/>
          </w:tcPr>
          <w:p>
            <w:pPr>
              <w:spacing w:after="0"/>
              <w:rPr>
                <w:sz w:val="23"/>
                <w:szCs w:val="23"/>
                <w:color w:val="auto"/>
              </w:rPr>
            </w:pPr>
          </w:p>
        </w:tc>
        <w:tc>
          <w:tcPr>
            <w:tcW w:w="2880" w:type="dxa"/>
            <w:vAlign w:val="bottom"/>
            <w:shd w:val="clear" w:color="auto" w:fill="9ADAAA"/>
          </w:tcPr>
          <w:p>
            <w:pPr>
              <w:ind w:left="100"/>
              <w:spacing w:after="0"/>
              <w:rPr>
                <w:sz w:val="20"/>
                <w:szCs w:val="20"/>
                <w:color w:val="auto"/>
              </w:rPr>
            </w:pPr>
            <w:r>
              <w:rPr>
                <w:rFonts w:ascii="Arial" w:cs="Arial" w:eastAsia="Arial" w:hAnsi="Arial"/>
                <w:sz w:val="18"/>
                <w:szCs w:val="18"/>
                <w:color w:val="auto"/>
              </w:rPr>
              <w:t>Reward stock price appreciation</w:t>
            </w:r>
          </w:p>
        </w:tc>
        <w:tc>
          <w:tcPr>
            <w:tcW w:w="2960" w:type="dxa"/>
            <w:vAlign w:val="bottom"/>
            <w:shd w:val="clear" w:color="auto" w:fill="9ADAAA"/>
          </w:tcPr>
          <w:p>
            <w:pPr>
              <w:ind w:left="140"/>
              <w:spacing w:after="0"/>
              <w:rPr>
                <w:sz w:val="20"/>
                <w:szCs w:val="20"/>
                <w:color w:val="auto"/>
              </w:rPr>
            </w:pPr>
            <w:r>
              <w:rPr>
                <w:rFonts w:ascii="Arial" w:cs="Arial" w:eastAsia="Arial" w:hAnsi="Arial"/>
                <w:sz w:val="18"/>
                <w:szCs w:val="18"/>
                <w:color w:val="auto"/>
              </w:rPr>
              <w:t>price appreciation.</w:t>
            </w:r>
          </w:p>
        </w:tc>
      </w:tr>
      <w:tr>
        <w:trPr>
          <w:trHeight w:val="216"/>
        </w:trPr>
        <w:tc>
          <w:tcPr>
            <w:tcW w:w="2920" w:type="dxa"/>
            <w:vAlign w:val="bottom"/>
            <w:shd w:val="clear" w:color="auto" w:fill="9ADAAA"/>
          </w:tcPr>
          <w:p>
            <w:pPr>
              <w:spacing w:after="0"/>
              <w:rPr>
                <w:sz w:val="18"/>
                <w:szCs w:val="18"/>
                <w:color w:val="auto"/>
              </w:rPr>
            </w:pPr>
          </w:p>
        </w:tc>
        <w:tc>
          <w:tcPr>
            <w:tcW w:w="2880" w:type="dxa"/>
            <w:vAlign w:val="bottom"/>
            <w:shd w:val="clear" w:color="auto" w:fill="9ADAAA"/>
          </w:tcPr>
          <w:p>
            <w:pPr>
              <w:ind w:left="100"/>
              <w:spacing w:after="0"/>
              <w:rPr>
                <w:sz w:val="20"/>
                <w:szCs w:val="20"/>
                <w:color w:val="auto"/>
              </w:rPr>
            </w:pPr>
            <w:r>
              <w:rPr>
                <w:rFonts w:ascii="Arial" w:cs="Arial" w:eastAsia="Arial" w:hAnsi="Arial"/>
                <w:sz w:val="18"/>
                <w:szCs w:val="18"/>
                <w:color w:val="auto"/>
              </w:rPr>
              <w:t>and tie executive wealth</w:t>
            </w:r>
          </w:p>
        </w:tc>
        <w:tc>
          <w:tcPr>
            <w:tcW w:w="2960" w:type="dxa"/>
            <w:vAlign w:val="bottom"/>
            <w:shd w:val="clear" w:color="auto" w:fill="9ADAAA"/>
          </w:tcPr>
          <w:p>
            <w:pPr>
              <w:spacing w:after="0"/>
              <w:rPr>
                <w:sz w:val="18"/>
                <w:szCs w:val="18"/>
                <w:color w:val="auto"/>
              </w:rPr>
            </w:pPr>
          </w:p>
        </w:tc>
      </w:tr>
      <w:tr>
        <w:trPr>
          <w:trHeight w:val="216"/>
        </w:trPr>
        <w:tc>
          <w:tcPr>
            <w:tcW w:w="2920" w:type="dxa"/>
            <w:vAlign w:val="bottom"/>
            <w:shd w:val="clear" w:color="auto" w:fill="9ADAAA"/>
          </w:tcPr>
          <w:p>
            <w:pPr>
              <w:spacing w:after="0"/>
              <w:rPr>
                <w:sz w:val="18"/>
                <w:szCs w:val="18"/>
                <w:color w:val="auto"/>
              </w:rPr>
            </w:pPr>
          </w:p>
        </w:tc>
        <w:tc>
          <w:tcPr>
            <w:tcW w:w="2880" w:type="dxa"/>
            <w:vAlign w:val="bottom"/>
            <w:shd w:val="clear" w:color="auto" w:fill="9ADAAA"/>
          </w:tcPr>
          <w:p>
            <w:pPr>
              <w:ind w:left="100"/>
              <w:spacing w:after="0"/>
              <w:rPr>
                <w:sz w:val="20"/>
                <w:szCs w:val="20"/>
                <w:color w:val="auto"/>
              </w:rPr>
            </w:pPr>
            <w:r>
              <w:rPr>
                <w:rFonts w:ascii="Arial" w:cs="Arial" w:eastAsia="Arial" w:hAnsi="Arial"/>
                <w:sz w:val="18"/>
                <w:szCs w:val="18"/>
                <w:color w:val="auto"/>
              </w:rPr>
              <w:t>accumulation to long-term</w:t>
            </w:r>
          </w:p>
        </w:tc>
        <w:tc>
          <w:tcPr>
            <w:tcW w:w="2960" w:type="dxa"/>
            <w:vAlign w:val="bottom"/>
            <w:shd w:val="clear" w:color="auto" w:fill="9ADAAA"/>
          </w:tcPr>
          <w:p>
            <w:pPr>
              <w:spacing w:after="0"/>
              <w:rPr>
                <w:sz w:val="18"/>
                <w:szCs w:val="18"/>
                <w:color w:val="auto"/>
              </w:rPr>
            </w:pPr>
          </w:p>
        </w:tc>
      </w:tr>
      <w:tr>
        <w:trPr>
          <w:trHeight w:val="217"/>
        </w:trPr>
        <w:tc>
          <w:tcPr>
            <w:tcW w:w="2920" w:type="dxa"/>
            <w:vAlign w:val="bottom"/>
            <w:shd w:val="clear" w:color="auto" w:fill="9ADAAA"/>
          </w:tcPr>
          <w:p>
            <w:pPr>
              <w:spacing w:after="0"/>
              <w:rPr>
                <w:sz w:val="18"/>
                <w:szCs w:val="18"/>
                <w:color w:val="auto"/>
              </w:rPr>
            </w:pPr>
          </w:p>
        </w:tc>
        <w:tc>
          <w:tcPr>
            <w:tcW w:w="2880" w:type="dxa"/>
            <w:vAlign w:val="bottom"/>
            <w:shd w:val="clear" w:color="auto" w:fill="9ADAAA"/>
          </w:tcPr>
          <w:p>
            <w:pPr>
              <w:ind w:left="100"/>
              <w:spacing w:after="0"/>
              <w:rPr>
                <w:sz w:val="20"/>
                <w:szCs w:val="20"/>
                <w:color w:val="auto"/>
              </w:rPr>
            </w:pPr>
            <w:r>
              <w:rPr>
                <w:rFonts w:ascii="Arial" w:cs="Arial" w:eastAsia="Arial" w:hAnsi="Arial"/>
                <w:sz w:val="18"/>
                <w:szCs w:val="18"/>
                <w:color w:val="auto"/>
              </w:rPr>
              <w:t>performance.</w:t>
            </w:r>
          </w:p>
        </w:tc>
        <w:tc>
          <w:tcPr>
            <w:tcW w:w="2960" w:type="dxa"/>
            <w:vAlign w:val="bottom"/>
            <w:shd w:val="clear" w:color="auto" w:fill="9ADAAA"/>
          </w:tcPr>
          <w:p>
            <w:pPr>
              <w:spacing w:after="0"/>
              <w:rPr>
                <w:sz w:val="18"/>
                <w:szCs w:val="18"/>
                <w:color w:val="auto"/>
              </w:rPr>
            </w:pPr>
          </w:p>
        </w:tc>
      </w:tr>
      <w:tr>
        <w:trPr>
          <w:trHeight w:val="202"/>
        </w:trPr>
        <w:tc>
          <w:tcPr>
            <w:tcW w:w="2920" w:type="dxa"/>
            <w:vAlign w:val="bottom"/>
            <w:shd w:val="clear" w:color="auto" w:fill="9ADAAA"/>
          </w:tcPr>
          <w:p>
            <w:pPr>
              <w:spacing w:after="0"/>
              <w:rPr>
                <w:sz w:val="17"/>
                <w:szCs w:val="17"/>
                <w:color w:val="auto"/>
              </w:rPr>
            </w:pPr>
          </w:p>
        </w:tc>
        <w:tc>
          <w:tcPr>
            <w:tcW w:w="2880" w:type="dxa"/>
            <w:vAlign w:val="bottom"/>
            <w:shd w:val="clear" w:color="auto" w:fill="9ADAAA"/>
          </w:tcPr>
          <w:p>
            <w:pPr>
              <w:spacing w:after="0"/>
              <w:rPr>
                <w:sz w:val="17"/>
                <w:szCs w:val="17"/>
                <w:color w:val="auto"/>
              </w:rPr>
            </w:pPr>
          </w:p>
        </w:tc>
        <w:tc>
          <w:tcPr>
            <w:tcW w:w="2960" w:type="dxa"/>
            <w:vAlign w:val="bottom"/>
            <w:shd w:val="clear" w:color="auto" w:fill="9ADAAA"/>
          </w:tcPr>
          <w:p>
            <w:pPr>
              <w:spacing w:after="0"/>
              <w:rPr>
                <w:sz w:val="17"/>
                <w:szCs w:val="17"/>
                <w:color w:val="auto"/>
              </w:rPr>
            </w:pPr>
          </w:p>
        </w:tc>
      </w:tr>
    </w:tbl>
    <w:p>
      <w:pPr>
        <w:spacing w:after="0" w:line="134" w:lineRule="exact"/>
        <w:rPr>
          <w:sz w:val="20"/>
          <w:szCs w:val="20"/>
          <w:color w:val="auto"/>
        </w:rPr>
      </w:pPr>
    </w:p>
    <w:p>
      <w:pPr>
        <w:ind w:left="1000" w:right="339"/>
        <w:spacing w:after="0" w:line="261" w:lineRule="auto"/>
        <w:rPr>
          <w:sz w:val="20"/>
          <w:szCs w:val="20"/>
          <w:color w:val="auto"/>
        </w:rPr>
      </w:pPr>
      <w:r>
        <w:rPr>
          <w:rFonts w:ascii="Arial" w:cs="Arial" w:eastAsia="Arial" w:hAnsi="Arial"/>
          <w:sz w:val="18"/>
          <w:szCs w:val="18"/>
          <w:color w:val="auto"/>
        </w:rPr>
        <w:t>In addition, each NEO may be eligible to receive certain other benefits summarized below. See “Elements of Executive Compensation — Additional Compensation Elements” for more information.</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3360" w:type="dxa"/>
            <w:vAlign w:val="bottom"/>
            <w:tcBorders>
              <w:right w:val="single" w:sz="8" w:color="FEFEFE"/>
            </w:tcBorders>
            <w:shd w:val="clear" w:color="auto" w:fill="56C271"/>
          </w:tcPr>
          <w:p>
            <w:pPr>
              <w:ind w:left="120"/>
              <w:spacing w:after="0"/>
              <w:rPr>
                <w:sz w:val="20"/>
                <w:szCs w:val="20"/>
                <w:color w:val="auto"/>
              </w:rPr>
            </w:pPr>
            <w:r>
              <w:rPr>
                <w:rFonts w:ascii="Arial" w:cs="Arial" w:eastAsia="Arial" w:hAnsi="Arial"/>
                <w:sz w:val="14"/>
                <w:szCs w:val="14"/>
                <w:b w:val="1"/>
                <w:bCs w:val="1"/>
                <w:color w:val="FFFFFF"/>
              </w:rPr>
              <w:t>Pay Component</w:t>
            </w:r>
          </w:p>
        </w:tc>
        <w:tc>
          <w:tcPr>
            <w:tcW w:w="540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FFFFF"/>
              </w:rPr>
              <w:t>Brief Description</w:t>
            </w:r>
          </w:p>
        </w:tc>
      </w:tr>
      <w:tr>
        <w:trPr>
          <w:trHeight w:val="239"/>
        </w:trPr>
        <w:tc>
          <w:tcPr>
            <w:tcW w:w="3360" w:type="dxa"/>
            <w:vAlign w:val="bottom"/>
            <w:tcBorders>
              <w:right w:val="single" w:sz="8" w:color="FEFEFE"/>
            </w:tcBorders>
            <w:shd w:val="clear" w:color="auto" w:fill="9ADAAA"/>
          </w:tcPr>
          <w:p>
            <w:pPr>
              <w:ind w:left="120"/>
              <w:spacing w:after="0"/>
              <w:rPr>
                <w:sz w:val="20"/>
                <w:szCs w:val="20"/>
                <w:color w:val="auto"/>
              </w:rPr>
            </w:pPr>
            <w:r>
              <w:rPr>
                <w:rFonts w:ascii="Arial" w:cs="Arial" w:eastAsia="Arial" w:hAnsi="Arial"/>
                <w:sz w:val="18"/>
                <w:szCs w:val="18"/>
                <w:b w:val="1"/>
                <w:bCs w:val="1"/>
                <w:color w:val="auto"/>
              </w:rPr>
              <w:t>Retirement Benefits</w:t>
            </w:r>
          </w:p>
        </w:tc>
        <w:tc>
          <w:tcPr>
            <w:tcW w:w="5400" w:type="dxa"/>
            <w:vAlign w:val="bottom"/>
            <w:shd w:val="clear" w:color="auto" w:fill="9ADAAA"/>
          </w:tcPr>
          <w:p>
            <w:pPr>
              <w:ind w:left="100"/>
              <w:spacing w:after="0"/>
              <w:rPr>
                <w:sz w:val="20"/>
                <w:szCs w:val="20"/>
                <w:color w:val="auto"/>
              </w:rPr>
            </w:pPr>
            <w:r>
              <w:rPr>
                <w:rFonts w:ascii="Arial" w:cs="Arial" w:eastAsia="Arial" w:hAnsi="Arial"/>
                <w:sz w:val="18"/>
                <w:szCs w:val="18"/>
                <w:color w:val="56C271"/>
              </w:rPr>
              <w:t xml:space="preserve">• </w:t>
            </w:r>
            <w:r>
              <w:rPr>
                <w:rFonts w:ascii="Arial" w:cs="Arial" w:eastAsia="Arial" w:hAnsi="Arial"/>
                <w:sz w:val="18"/>
                <w:szCs w:val="18"/>
                <w:color w:val="000000"/>
              </w:rPr>
              <w:t>Qualified cash balance plan (Pension Plan)</w:t>
            </w:r>
          </w:p>
        </w:tc>
      </w:tr>
      <w:tr>
        <w:trPr>
          <w:trHeight w:val="234"/>
        </w:trPr>
        <w:tc>
          <w:tcPr>
            <w:tcW w:w="3360" w:type="dxa"/>
            <w:vAlign w:val="bottom"/>
            <w:tcBorders>
              <w:right w:val="single" w:sz="8" w:color="FEFEFE"/>
            </w:tcBorders>
            <w:shd w:val="clear" w:color="auto" w:fill="9ADAAA"/>
          </w:tcPr>
          <w:p>
            <w:pPr>
              <w:spacing w:after="0"/>
              <w:rPr>
                <w:sz w:val="20"/>
                <w:szCs w:val="20"/>
                <w:color w:val="auto"/>
              </w:rPr>
            </w:pPr>
          </w:p>
        </w:tc>
        <w:tc>
          <w:tcPr>
            <w:tcW w:w="5400" w:type="dxa"/>
            <w:vAlign w:val="bottom"/>
            <w:shd w:val="clear" w:color="auto" w:fill="9ADAAA"/>
          </w:tcPr>
          <w:p>
            <w:pPr>
              <w:ind w:left="100"/>
              <w:spacing w:after="0"/>
              <w:rPr>
                <w:sz w:val="20"/>
                <w:szCs w:val="20"/>
                <w:color w:val="auto"/>
              </w:rPr>
            </w:pPr>
            <w:r>
              <w:rPr>
                <w:rFonts w:ascii="Arial" w:cs="Arial" w:eastAsia="Arial" w:hAnsi="Arial"/>
                <w:sz w:val="18"/>
                <w:szCs w:val="18"/>
                <w:color w:val="56C271"/>
              </w:rPr>
              <w:t xml:space="preserve">• </w:t>
            </w:r>
            <w:r>
              <w:rPr>
                <w:rFonts w:ascii="Arial" w:cs="Arial" w:eastAsia="Arial" w:hAnsi="Arial"/>
                <w:sz w:val="18"/>
                <w:szCs w:val="18"/>
                <w:color w:val="000000"/>
              </w:rPr>
              <w:t>Qualified defined contribution plan (401(k) Plan)</w:t>
            </w:r>
          </w:p>
        </w:tc>
      </w:tr>
      <w:tr>
        <w:trPr>
          <w:trHeight w:val="270"/>
        </w:trPr>
        <w:tc>
          <w:tcPr>
            <w:tcW w:w="3360" w:type="dxa"/>
            <w:vAlign w:val="bottom"/>
            <w:tcBorders>
              <w:right w:val="single" w:sz="8" w:color="FEFEFE"/>
            </w:tcBorders>
            <w:shd w:val="clear" w:color="auto" w:fill="9ADAAA"/>
          </w:tcPr>
          <w:p>
            <w:pPr>
              <w:spacing w:after="0"/>
              <w:rPr>
                <w:sz w:val="23"/>
                <w:szCs w:val="23"/>
                <w:color w:val="auto"/>
              </w:rPr>
            </w:pPr>
          </w:p>
        </w:tc>
        <w:tc>
          <w:tcPr>
            <w:tcW w:w="5400" w:type="dxa"/>
            <w:vAlign w:val="bottom"/>
            <w:shd w:val="clear" w:color="auto" w:fill="9ADAAA"/>
          </w:tcPr>
          <w:p>
            <w:pPr>
              <w:ind w:left="100"/>
              <w:spacing w:after="0"/>
              <w:rPr>
                <w:sz w:val="20"/>
                <w:szCs w:val="20"/>
                <w:color w:val="auto"/>
              </w:rPr>
            </w:pPr>
            <w:r>
              <w:rPr>
                <w:rFonts w:ascii="Arial" w:cs="Arial" w:eastAsia="Arial" w:hAnsi="Arial"/>
                <w:sz w:val="18"/>
                <w:szCs w:val="18"/>
                <w:color w:val="56C271"/>
              </w:rPr>
              <w:t xml:space="preserve">• </w:t>
            </w:r>
            <w:r>
              <w:rPr>
                <w:rFonts w:ascii="Arial" w:cs="Arial" w:eastAsia="Arial" w:hAnsi="Arial"/>
                <w:sz w:val="18"/>
                <w:szCs w:val="18"/>
                <w:color w:val="000000"/>
              </w:rPr>
              <w:t>Nonqualified restoration pension plan (Restoration Plan)</w:t>
            </w:r>
          </w:p>
        </w:tc>
      </w:tr>
      <w:tr>
        <w:trPr>
          <w:trHeight w:val="284"/>
        </w:trPr>
        <w:tc>
          <w:tcPr>
            <w:tcW w:w="3360" w:type="dxa"/>
            <w:vAlign w:val="bottom"/>
            <w:tcBorders>
              <w:bottom w:val="single" w:sz="8" w:color="9ADAAA"/>
              <w:right w:val="single" w:sz="8" w:color="FEFEFE"/>
            </w:tcBorders>
            <w:shd w:val="clear" w:color="auto" w:fill="9ADAAA"/>
          </w:tcPr>
          <w:p>
            <w:pPr>
              <w:spacing w:after="0"/>
              <w:rPr>
                <w:sz w:val="24"/>
                <w:szCs w:val="24"/>
                <w:color w:val="auto"/>
              </w:rPr>
            </w:pPr>
          </w:p>
        </w:tc>
        <w:tc>
          <w:tcPr>
            <w:tcW w:w="5400" w:type="dxa"/>
            <w:vAlign w:val="bottom"/>
            <w:tcBorders>
              <w:bottom w:val="single" w:sz="8" w:color="9ADAAA"/>
            </w:tcBorders>
            <w:shd w:val="clear" w:color="auto" w:fill="9ADAAA"/>
          </w:tcPr>
          <w:p>
            <w:pPr>
              <w:ind w:left="100"/>
              <w:spacing w:after="0"/>
              <w:rPr>
                <w:sz w:val="20"/>
                <w:szCs w:val="20"/>
                <w:color w:val="auto"/>
              </w:rPr>
            </w:pPr>
            <w:r>
              <w:rPr>
                <w:rFonts w:ascii="Arial" w:cs="Arial" w:eastAsia="Arial" w:hAnsi="Arial"/>
                <w:sz w:val="18"/>
                <w:szCs w:val="18"/>
                <w:color w:val="56C271"/>
              </w:rPr>
              <w:t xml:space="preserve">• </w:t>
            </w:r>
            <w:r>
              <w:rPr>
                <w:rFonts w:ascii="Arial" w:cs="Arial" w:eastAsia="Arial" w:hAnsi="Arial"/>
                <w:sz w:val="18"/>
                <w:szCs w:val="18"/>
                <w:color w:val="000000"/>
              </w:rPr>
              <w:t>Nonqualified supplemental officers’ retirement plan (SERP)</w:t>
            </w:r>
          </w:p>
        </w:tc>
      </w:tr>
      <w:tr>
        <w:trPr>
          <w:trHeight w:val="235"/>
        </w:trPr>
        <w:tc>
          <w:tcPr>
            <w:tcW w:w="3360" w:type="dxa"/>
            <w:vAlign w:val="bottom"/>
            <w:tcBorders>
              <w:right w:val="single" w:sz="8" w:color="FEFEFE"/>
            </w:tcBorders>
            <w:shd w:val="clear" w:color="auto" w:fill="CCEDD4"/>
          </w:tcPr>
          <w:p>
            <w:pPr>
              <w:ind w:left="120"/>
              <w:spacing w:after="0"/>
              <w:rPr>
                <w:sz w:val="20"/>
                <w:szCs w:val="20"/>
                <w:color w:val="auto"/>
              </w:rPr>
            </w:pPr>
            <w:r>
              <w:rPr>
                <w:rFonts w:ascii="Arial" w:cs="Arial" w:eastAsia="Arial" w:hAnsi="Arial"/>
                <w:sz w:val="18"/>
                <w:szCs w:val="18"/>
                <w:b w:val="1"/>
                <w:bCs w:val="1"/>
                <w:color w:val="auto"/>
              </w:rPr>
              <w:t>Deferred Compensation</w:t>
            </w:r>
          </w:p>
        </w:tc>
        <w:tc>
          <w:tcPr>
            <w:tcW w:w="5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Nonqualified plan allowing for the deferral of additional cash</w:t>
            </w:r>
          </w:p>
        </w:tc>
      </w:tr>
      <w:tr>
        <w:trPr>
          <w:trHeight w:val="216"/>
        </w:trPr>
        <w:tc>
          <w:tcPr>
            <w:tcW w:w="3360" w:type="dxa"/>
            <w:vAlign w:val="bottom"/>
            <w:tcBorders>
              <w:right w:val="single" w:sz="8" w:color="FEFEFE"/>
            </w:tcBorders>
            <w:shd w:val="clear" w:color="auto" w:fill="CCEDD4"/>
          </w:tcPr>
          <w:p>
            <w:pPr>
              <w:spacing w:after="0"/>
              <w:rPr>
                <w:sz w:val="18"/>
                <w:szCs w:val="18"/>
                <w:color w:val="auto"/>
              </w:rPr>
            </w:pPr>
          </w:p>
        </w:tc>
        <w:tc>
          <w:tcPr>
            <w:tcW w:w="5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compensation beyond 401(k) limits. Effective for plan years</w:t>
            </w:r>
          </w:p>
        </w:tc>
      </w:tr>
      <w:tr>
        <w:trPr>
          <w:trHeight w:val="216"/>
        </w:trPr>
        <w:tc>
          <w:tcPr>
            <w:tcW w:w="3360" w:type="dxa"/>
            <w:vAlign w:val="bottom"/>
            <w:tcBorders>
              <w:right w:val="single" w:sz="8" w:color="FEFEFE"/>
            </w:tcBorders>
            <w:shd w:val="clear" w:color="auto" w:fill="CCEDD4"/>
          </w:tcPr>
          <w:p>
            <w:pPr>
              <w:spacing w:after="0"/>
              <w:rPr>
                <w:sz w:val="18"/>
                <w:szCs w:val="18"/>
                <w:color w:val="auto"/>
              </w:rPr>
            </w:pPr>
          </w:p>
        </w:tc>
        <w:tc>
          <w:tcPr>
            <w:tcW w:w="5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beginning on or after March 1, 2020, the plan had been closed to</w:t>
            </w:r>
          </w:p>
        </w:tc>
      </w:tr>
      <w:tr>
        <w:trPr>
          <w:trHeight w:val="216"/>
        </w:trPr>
        <w:tc>
          <w:tcPr>
            <w:tcW w:w="3360" w:type="dxa"/>
            <w:vAlign w:val="bottom"/>
            <w:tcBorders>
              <w:right w:val="single" w:sz="8" w:color="FEFEFE"/>
            </w:tcBorders>
            <w:shd w:val="clear" w:color="auto" w:fill="CCEDD4"/>
          </w:tcPr>
          <w:p>
            <w:pPr>
              <w:spacing w:after="0"/>
              <w:rPr>
                <w:sz w:val="18"/>
                <w:szCs w:val="18"/>
                <w:color w:val="auto"/>
              </w:rPr>
            </w:pPr>
          </w:p>
        </w:tc>
        <w:tc>
          <w:tcPr>
            <w:tcW w:w="5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new participants and for new contributions. Effective as of</w:t>
            </w:r>
          </w:p>
        </w:tc>
      </w:tr>
      <w:tr>
        <w:trPr>
          <w:trHeight w:val="217"/>
        </w:trPr>
        <w:tc>
          <w:tcPr>
            <w:tcW w:w="3360" w:type="dxa"/>
            <w:vAlign w:val="bottom"/>
            <w:tcBorders>
              <w:right w:val="single" w:sz="8" w:color="FEFEFE"/>
            </w:tcBorders>
            <w:shd w:val="clear" w:color="auto" w:fill="CCEDD4"/>
          </w:tcPr>
          <w:p>
            <w:pPr>
              <w:spacing w:after="0"/>
              <w:rPr>
                <w:sz w:val="18"/>
                <w:szCs w:val="18"/>
                <w:color w:val="auto"/>
              </w:rPr>
            </w:pPr>
          </w:p>
        </w:tc>
        <w:tc>
          <w:tcPr>
            <w:tcW w:w="5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November 17, 2020, the plan was terminated.</w:t>
            </w:r>
          </w:p>
        </w:tc>
      </w:tr>
      <w:tr>
        <w:trPr>
          <w:trHeight w:val="256"/>
        </w:trPr>
        <w:tc>
          <w:tcPr>
            <w:tcW w:w="3360" w:type="dxa"/>
            <w:vAlign w:val="bottom"/>
            <w:tcBorders>
              <w:right w:val="single" w:sz="8" w:color="FEFEFE"/>
            </w:tcBorders>
            <w:shd w:val="clear" w:color="auto" w:fill="9ADAAA"/>
          </w:tcPr>
          <w:p>
            <w:pPr>
              <w:ind w:left="120"/>
              <w:spacing w:after="0"/>
              <w:rPr>
                <w:sz w:val="20"/>
                <w:szCs w:val="20"/>
                <w:color w:val="auto"/>
              </w:rPr>
            </w:pPr>
            <w:r>
              <w:rPr>
                <w:rFonts w:ascii="Arial" w:cs="Arial" w:eastAsia="Arial" w:hAnsi="Arial"/>
                <w:sz w:val="18"/>
                <w:szCs w:val="18"/>
                <w:b w:val="1"/>
                <w:bCs w:val="1"/>
                <w:color w:val="auto"/>
              </w:rPr>
              <w:t>Executive Benefits</w:t>
            </w:r>
          </w:p>
        </w:tc>
        <w:tc>
          <w:tcPr>
            <w:tcW w:w="5400" w:type="dxa"/>
            <w:vAlign w:val="bottom"/>
            <w:shd w:val="clear" w:color="auto" w:fill="9ADAAA"/>
          </w:tcPr>
          <w:p>
            <w:pPr>
              <w:ind w:left="100"/>
              <w:spacing w:after="0"/>
              <w:rPr>
                <w:sz w:val="20"/>
                <w:szCs w:val="20"/>
                <w:color w:val="auto"/>
              </w:rPr>
            </w:pPr>
            <w:r>
              <w:rPr>
                <w:rFonts w:ascii="Arial" w:cs="Arial" w:eastAsia="Arial" w:hAnsi="Arial"/>
                <w:sz w:val="18"/>
                <w:szCs w:val="18"/>
                <w:color w:val="auto"/>
              </w:rPr>
              <w:t>Limited perquisites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222885</wp:posOffset>
            </wp:positionV>
            <wp:extent cx="1482725" cy="300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3360" w:type="dxa"/>
            <w:vAlign w:val="bottom"/>
          </w:tcPr>
          <w:p>
            <w:pPr>
              <w:ind w:left="20"/>
              <w:spacing w:after="0"/>
              <w:rPr>
                <w:sz w:val="20"/>
                <w:szCs w:val="20"/>
                <w:color w:val="auto"/>
              </w:rPr>
            </w:pPr>
            <w:r>
              <w:rPr>
                <w:rFonts w:ascii="Arial" w:cs="Arial" w:eastAsia="Arial" w:hAnsi="Arial"/>
                <w:sz w:val="14"/>
                <w:szCs w:val="14"/>
                <w:b w:val="1"/>
                <w:bCs w:val="1"/>
                <w:color w:val="56C271"/>
              </w:rPr>
              <w:t>2021 ANNUAL</w:t>
            </w:r>
          </w:p>
        </w:tc>
        <w:tc>
          <w:tcPr>
            <w:tcW w:w="5400" w:type="dxa"/>
            <w:vAlign w:val="bottom"/>
            <w:vMerge w:val="restart"/>
          </w:tcPr>
          <w:p>
            <w:pPr>
              <w:ind w:left="290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108"/>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5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5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1"/>
        </w:trPr>
        <w:tc>
          <w:tcPr>
            <w:tcW w:w="3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tcBorders>
              <w:right w:val="single" w:sz="8" w:color="FEFEFE"/>
            </w:tcBorders>
            <w:shd w:val="clear" w:color="auto" w:fill="56C271"/>
          </w:tcPr>
          <w:p>
            <w:pPr>
              <w:ind w:left="120"/>
              <w:spacing w:after="0"/>
              <w:rPr>
                <w:sz w:val="20"/>
                <w:szCs w:val="20"/>
                <w:color w:val="auto"/>
              </w:rPr>
            </w:pPr>
            <w:r>
              <w:rPr>
                <w:rFonts w:ascii="Arial" w:cs="Arial" w:eastAsia="Arial" w:hAnsi="Arial"/>
                <w:sz w:val="14"/>
                <w:szCs w:val="14"/>
                <w:b w:val="1"/>
                <w:bCs w:val="1"/>
                <w:color w:val="FFFFFF"/>
              </w:rPr>
              <w:t>Pay Component</w:t>
            </w:r>
          </w:p>
        </w:tc>
        <w:tc>
          <w:tcPr>
            <w:tcW w:w="540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FFFFF"/>
              </w:rPr>
              <w:t>Brief Description</w:t>
            </w:r>
          </w:p>
        </w:tc>
        <w:tc>
          <w:tcPr>
            <w:tcW w:w="0" w:type="dxa"/>
            <w:vAlign w:val="bottom"/>
          </w:tcPr>
          <w:p>
            <w:pPr>
              <w:spacing w:after="0"/>
              <w:rPr>
                <w:sz w:val="1"/>
                <w:szCs w:val="1"/>
                <w:color w:val="auto"/>
              </w:rPr>
            </w:pPr>
          </w:p>
        </w:tc>
      </w:tr>
      <w:tr>
        <w:trPr>
          <w:trHeight w:val="229"/>
        </w:trPr>
        <w:tc>
          <w:tcPr>
            <w:tcW w:w="3360" w:type="dxa"/>
            <w:vAlign w:val="bottom"/>
            <w:tcBorders>
              <w:right w:val="single" w:sz="8" w:color="FEFEFE"/>
            </w:tcBorders>
            <w:shd w:val="clear" w:color="auto" w:fill="CCEDD4"/>
          </w:tcPr>
          <w:p>
            <w:pPr>
              <w:ind w:left="120"/>
              <w:spacing w:after="0"/>
              <w:rPr>
                <w:sz w:val="20"/>
                <w:szCs w:val="20"/>
                <w:color w:val="auto"/>
              </w:rPr>
            </w:pPr>
            <w:r>
              <w:rPr>
                <w:rFonts w:ascii="Arial" w:cs="Arial" w:eastAsia="Arial" w:hAnsi="Arial"/>
                <w:sz w:val="18"/>
                <w:szCs w:val="18"/>
                <w:b w:val="1"/>
                <w:bCs w:val="1"/>
                <w:color w:val="auto"/>
              </w:rPr>
              <w:t>Change of Control Agreements</w:t>
            </w:r>
          </w:p>
        </w:tc>
        <w:tc>
          <w:tcPr>
            <w:tcW w:w="5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Individual agreements providing enhanced severance in the case</w:t>
            </w:r>
          </w:p>
        </w:tc>
        <w:tc>
          <w:tcPr>
            <w:tcW w:w="0" w:type="dxa"/>
            <w:vAlign w:val="bottom"/>
          </w:tcPr>
          <w:p>
            <w:pPr>
              <w:spacing w:after="0"/>
              <w:rPr>
                <w:sz w:val="1"/>
                <w:szCs w:val="1"/>
                <w:color w:val="auto"/>
              </w:rPr>
            </w:pPr>
          </w:p>
        </w:tc>
      </w:tr>
      <w:tr>
        <w:trPr>
          <w:trHeight w:val="216"/>
        </w:trPr>
        <w:tc>
          <w:tcPr>
            <w:tcW w:w="3360" w:type="dxa"/>
            <w:vAlign w:val="bottom"/>
            <w:tcBorders>
              <w:right w:val="single" w:sz="8" w:color="FEFEFE"/>
            </w:tcBorders>
            <w:shd w:val="clear" w:color="auto" w:fill="CCEDD4"/>
          </w:tcPr>
          <w:p>
            <w:pPr>
              <w:spacing w:after="0"/>
              <w:rPr>
                <w:sz w:val="18"/>
                <w:szCs w:val="18"/>
                <w:color w:val="auto"/>
              </w:rPr>
            </w:pPr>
          </w:p>
        </w:tc>
        <w:tc>
          <w:tcPr>
            <w:tcW w:w="5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of a qualifying termination following a change of control of the</w:t>
            </w:r>
          </w:p>
        </w:tc>
        <w:tc>
          <w:tcPr>
            <w:tcW w:w="0" w:type="dxa"/>
            <w:vAlign w:val="bottom"/>
          </w:tcPr>
          <w:p>
            <w:pPr>
              <w:spacing w:after="0"/>
              <w:rPr>
                <w:sz w:val="1"/>
                <w:szCs w:val="1"/>
                <w:color w:val="auto"/>
              </w:rPr>
            </w:pPr>
          </w:p>
        </w:tc>
      </w:tr>
      <w:tr>
        <w:trPr>
          <w:trHeight w:val="224"/>
        </w:trPr>
        <w:tc>
          <w:tcPr>
            <w:tcW w:w="3360" w:type="dxa"/>
            <w:vAlign w:val="bottom"/>
            <w:tcBorders>
              <w:right w:val="single" w:sz="8" w:color="FEFEFE"/>
            </w:tcBorders>
            <w:shd w:val="clear" w:color="auto" w:fill="CCEDD4"/>
          </w:tcPr>
          <w:p>
            <w:pPr>
              <w:spacing w:after="0"/>
              <w:rPr>
                <w:sz w:val="19"/>
                <w:szCs w:val="19"/>
                <w:color w:val="auto"/>
              </w:rPr>
            </w:pPr>
          </w:p>
        </w:tc>
        <w:tc>
          <w:tcPr>
            <w:tcW w:w="5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35"/>
        </w:trPr>
        <w:tc>
          <w:tcPr>
            <w:tcW w:w="3360" w:type="dxa"/>
            <w:vAlign w:val="bottom"/>
            <w:tcBorders>
              <w:right w:val="single" w:sz="8" w:color="FEFEFE"/>
            </w:tcBorders>
            <w:shd w:val="clear" w:color="auto" w:fill="9ADAAA"/>
          </w:tcPr>
          <w:p>
            <w:pPr>
              <w:ind w:left="120"/>
              <w:spacing w:after="0"/>
              <w:rPr>
                <w:sz w:val="20"/>
                <w:szCs w:val="20"/>
                <w:color w:val="auto"/>
              </w:rPr>
            </w:pPr>
            <w:r>
              <w:rPr>
                <w:rFonts w:ascii="Arial" w:cs="Arial" w:eastAsia="Arial" w:hAnsi="Arial"/>
                <w:sz w:val="18"/>
                <w:szCs w:val="18"/>
                <w:b w:val="1"/>
                <w:bCs w:val="1"/>
                <w:color w:val="auto"/>
              </w:rPr>
              <w:t>Executive Severance Plan</w:t>
            </w:r>
          </w:p>
        </w:tc>
        <w:tc>
          <w:tcPr>
            <w:tcW w:w="5400" w:type="dxa"/>
            <w:vAlign w:val="bottom"/>
            <w:shd w:val="clear" w:color="auto" w:fill="9ADAAA"/>
          </w:tcPr>
          <w:p>
            <w:pPr>
              <w:ind w:left="100"/>
              <w:spacing w:after="0"/>
              <w:rPr>
                <w:sz w:val="20"/>
                <w:szCs w:val="20"/>
                <w:color w:val="auto"/>
              </w:rPr>
            </w:pPr>
            <w:r>
              <w:rPr>
                <w:rFonts w:ascii="Arial" w:cs="Arial" w:eastAsia="Arial" w:hAnsi="Arial"/>
                <w:sz w:val="18"/>
                <w:szCs w:val="18"/>
                <w:color w:val="auto"/>
              </w:rPr>
              <w:t>Plan providing severance benefits for executives, except for</w:t>
            </w:r>
          </w:p>
        </w:tc>
        <w:tc>
          <w:tcPr>
            <w:tcW w:w="0" w:type="dxa"/>
            <w:vAlign w:val="bottom"/>
          </w:tcPr>
          <w:p>
            <w:pPr>
              <w:spacing w:after="0"/>
              <w:rPr>
                <w:sz w:val="1"/>
                <w:szCs w:val="1"/>
                <w:color w:val="auto"/>
              </w:rPr>
            </w:pPr>
          </w:p>
        </w:tc>
      </w:tr>
      <w:tr>
        <w:trPr>
          <w:trHeight w:val="224"/>
        </w:trPr>
        <w:tc>
          <w:tcPr>
            <w:tcW w:w="3360" w:type="dxa"/>
            <w:vAlign w:val="bottom"/>
            <w:tcBorders>
              <w:right w:val="single" w:sz="8" w:color="FEFEFE"/>
            </w:tcBorders>
            <w:shd w:val="clear" w:color="auto" w:fill="9ADAAA"/>
          </w:tcPr>
          <w:p>
            <w:pPr>
              <w:spacing w:after="0"/>
              <w:rPr>
                <w:sz w:val="19"/>
                <w:szCs w:val="19"/>
                <w:color w:val="auto"/>
              </w:rPr>
            </w:pPr>
          </w:p>
        </w:tc>
        <w:tc>
          <w:tcPr>
            <w:tcW w:w="5400" w:type="dxa"/>
            <w:vAlign w:val="bottom"/>
            <w:shd w:val="clear" w:color="auto" w:fill="9ADAAA"/>
          </w:tcPr>
          <w:p>
            <w:pPr>
              <w:ind w:left="100"/>
              <w:spacing w:after="0"/>
              <w:rPr>
                <w:sz w:val="20"/>
                <w:szCs w:val="20"/>
                <w:color w:val="auto"/>
              </w:rPr>
            </w:pPr>
            <w:r>
              <w:rPr>
                <w:rFonts w:ascii="Arial" w:cs="Arial" w:eastAsia="Arial" w:hAnsi="Arial"/>
                <w:sz w:val="18"/>
                <w:szCs w:val="18"/>
                <w:color w:val="auto"/>
              </w:rPr>
              <w:t>those covered by their employment agreements.</w:t>
            </w:r>
          </w:p>
        </w:tc>
        <w:tc>
          <w:tcPr>
            <w:tcW w:w="0" w:type="dxa"/>
            <w:vAlign w:val="bottom"/>
          </w:tcPr>
          <w:p>
            <w:pPr>
              <w:spacing w:after="0"/>
              <w:rPr>
                <w:sz w:val="1"/>
                <w:szCs w:val="1"/>
                <w:color w:val="auto"/>
              </w:rPr>
            </w:pPr>
          </w:p>
        </w:tc>
      </w:tr>
      <w:tr>
        <w:trPr>
          <w:trHeight w:val="235"/>
        </w:trPr>
        <w:tc>
          <w:tcPr>
            <w:tcW w:w="3360" w:type="dxa"/>
            <w:vAlign w:val="bottom"/>
            <w:tcBorders>
              <w:right w:val="single" w:sz="8" w:color="FEFEFE"/>
            </w:tcBorders>
            <w:shd w:val="clear" w:color="auto" w:fill="CCEDD4"/>
          </w:tcPr>
          <w:p>
            <w:pPr>
              <w:ind w:left="120"/>
              <w:spacing w:after="0"/>
              <w:rPr>
                <w:sz w:val="20"/>
                <w:szCs w:val="20"/>
                <w:color w:val="auto"/>
              </w:rPr>
            </w:pPr>
            <w:r>
              <w:rPr>
                <w:rFonts w:ascii="Arial" w:cs="Arial" w:eastAsia="Arial" w:hAnsi="Arial"/>
                <w:sz w:val="18"/>
                <w:szCs w:val="18"/>
                <w:b w:val="1"/>
                <w:bCs w:val="1"/>
                <w:color w:val="auto"/>
              </w:rPr>
              <w:t>Employee Stock Purchase Plan</w:t>
            </w:r>
          </w:p>
        </w:tc>
        <w:tc>
          <w:tcPr>
            <w:tcW w:w="5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Qualified plan permitting the purchase of Company stock at a 5%</w:t>
            </w:r>
          </w:p>
        </w:tc>
        <w:tc>
          <w:tcPr>
            <w:tcW w:w="0" w:type="dxa"/>
            <w:vAlign w:val="bottom"/>
          </w:tcPr>
          <w:p>
            <w:pPr>
              <w:spacing w:after="0"/>
              <w:rPr>
                <w:sz w:val="1"/>
                <w:szCs w:val="1"/>
                <w:color w:val="auto"/>
              </w:rPr>
            </w:pPr>
          </w:p>
        </w:tc>
      </w:tr>
      <w:tr>
        <w:trPr>
          <w:trHeight w:val="230"/>
        </w:trPr>
        <w:tc>
          <w:tcPr>
            <w:tcW w:w="3360" w:type="dxa"/>
            <w:vAlign w:val="bottom"/>
            <w:tcBorders>
              <w:right w:val="single" w:sz="8" w:color="FEFEFE"/>
            </w:tcBorders>
            <w:shd w:val="clear" w:color="auto" w:fill="CCEDD4"/>
          </w:tcPr>
          <w:p>
            <w:pPr>
              <w:spacing w:after="0"/>
              <w:rPr>
                <w:sz w:val="20"/>
                <w:szCs w:val="20"/>
                <w:color w:val="auto"/>
              </w:rPr>
            </w:pPr>
          </w:p>
        </w:tc>
        <w:tc>
          <w:tcPr>
            <w:tcW w:w="5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discount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Pay Mix</w:t>
      </w:r>
    </w:p>
    <w:p>
      <w:pPr>
        <w:spacing w:after="0" w:line="161" w:lineRule="exact"/>
        <w:rPr>
          <w:sz w:val="20"/>
          <w:szCs w:val="20"/>
          <w:color w:val="auto"/>
        </w:rPr>
      </w:pPr>
    </w:p>
    <w:p>
      <w:pPr>
        <w:ind w:left="1000" w:right="399"/>
        <w:spacing w:after="0" w:line="261" w:lineRule="auto"/>
        <w:rPr>
          <w:sz w:val="20"/>
          <w:szCs w:val="20"/>
          <w:color w:val="auto"/>
        </w:rPr>
      </w:pPr>
      <w:r>
        <w:rPr>
          <w:rFonts w:ascii="Arial" w:cs="Arial" w:eastAsia="Arial" w:hAnsi="Arial"/>
          <w:sz w:val="18"/>
          <w:szCs w:val="18"/>
          <w:color w:val="auto"/>
        </w:rPr>
        <w:t>For fiscal 2021, the compensation mix at target for the CEO and the other active NEOs demonstrates that a significant portion of their pay is based on variable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109220</wp:posOffset>
            </wp:positionV>
            <wp:extent cx="5391785" cy="25120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91785"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720" w:right="319" w:hanging="730"/>
        <w:spacing w:after="0" w:line="256" w:lineRule="auto"/>
        <w:tabs>
          <w:tab w:leader="none" w:pos="1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Does not include Mr. Chan, whose compensation mix was 42% base salary, 18% annual cash incentive and 40% RSUs, which was awarded prior to his promotion to the Avnet Leadership Team. This also does not include the former officers Messrs. Amelio and Bartolotta.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482725" cy="29146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5"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Compensation Governance Practices</w:t>
      </w:r>
    </w:p>
    <w:p>
      <w:pPr>
        <w:spacing w:after="0" w:line="161" w:lineRule="exact"/>
        <w:rPr>
          <w:sz w:val="20"/>
          <w:szCs w:val="20"/>
          <w:color w:val="auto"/>
        </w:rPr>
      </w:pPr>
    </w:p>
    <w:p>
      <w:pPr>
        <w:ind w:left="1000" w:right="719"/>
        <w:spacing w:after="0" w:line="261" w:lineRule="auto"/>
        <w:rPr>
          <w:sz w:val="20"/>
          <w:szCs w:val="20"/>
          <w:color w:val="auto"/>
        </w:rPr>
      </w:pPr>
      <w:r>
        <w:rPr>
          <w:rFonts w:ascii="Arial" w:cs="Arial" w:eastAsia="Arial" w:hAnsi="Arial"/>
          <w:sz w:val="18"/>
          <w:szCs w:val="18"/>
          <w:color w:val="auto"/>
        </w:rPr>
        <w:t>The Company’s executive compensation programs incorporate the following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83185</wp:posOffset>
            </wp:positionV>
            <wp:extent cx="4637405"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637405" cy="179705"/>
                    </a:xfrm>
                    <a:prstGeom prst="rect">
                      <a:avLst/>
                    </a:prstGeom>
                    <a:noFill/>
                  </pic:spPr>
                </pic:pic>
              </a:graphicData>
            </a:graphic>
          </wp:anchor>
        </w:drawing>
      </w:r>
    </w:p>
    <w:p>
      <w:pPr>
        <w:spacing w:after="0" w:line="73" w:lineRule="exact"/>
        <w:rPr>
          <w:sz w:val="20"/>
          <w:szCs w:val="20"/>
          <w:color w:val="auto"/>
        </w:rPr>
      </w:pPr>
    </w:p>
    <w:p>
      <w:pPr>
        <w:ind w:left="1700"/>
        <w:spacing w:after="0"/>
        <w:rPr>
          <w:sz w:val="20"/>
          <w:szCs w:val="20"/>
          <w:color w:val="auto"/>
        </w:rPr>
      </w:pPr>
      <w:r>
        <w:rPr>
          <w:sz w:val="1"/>
          <w:szCs w:val="1"/>
          <w:color w:val="auto"/>
        </w:rPr>
        <w:drawing>
          <wp:inline distT="0" distB="0" distL="0" distR="0">
            <wp:extent cx="85725" cy="17970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179705"/>
                    </a:xfrm>
                    <a:prstGeom prst="rect">
                      <a:avLst/>
                    </a:prstGeom>
                    <a:noFill/>
                    <a:ln>
                      <a:noFill/>
                    </a:ln>
                  </pic:spPr>
                </pic:pic>
              </a:graphicData>
            </a:graphic>
          </wp:inline>
        </w:drawing>
      </w:r>
      <w:r>
        <w:rPr>
          <w:rFonts w:ascii="Arial" w:cs="Arial" w:eastAsia="Arial" w:hAnsi="Arial"/>
          <w:sz w:val="18"/>
          <w:szCs w:val="18"/>
          <w:b w:val="1"/>
          <w:bCs w:val="1"/>
          <w:color w:val="FEFEFE"/>
        </w:rPr>
        <w:t>What the Company 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0</wp:posOffset>
            </wp:positionV>
            <wp:extent cx="4637405" cy="6386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637405" cy="6386195"/>
                    </a:xfrm>
                    <a:prstGeom prst="rect">
                      <a:avLst/>
                    </a:prstGeom>
                    <a:noFill/>
                  </pic:spPr>
                </pic:pic>
              </a:graphicData>
            </a:graphic>
          </wp:anchor>
        </w:drawing>
      </w:r>
    </w:p>
    <w:p>
      <w:pPr>
        <w:ind w:left="2340" w:right="1059"/>
        <w:spacing w:after="0" w:line="254" w:lineRule="auto"/>
        <w:rPr>
          <w:sz w:val="20"/>
          <w:szCs w:val="20"/>
          <w:color w:val="auto"/>
        </w:rPr>
      </w:pPr>
      <w:r>
        <w:rPr>
          <w:rFonts w:ascii="Arial" w:cs="Arial" w:eastAsia="Arial" w:hAnsi="Arial"/>
          <w:sz w:val="18"/>
          <w:szCs w:val="18"/>
          <w:b w:val="1"/>
          <w:bCs w:val="1"/>
          <w:color w:val="auto"/>
        </w:rPr>
        <w:t xml:space="preserve">Aligns Pay-for-Performance. </w:t>
      </w:r>
      <w:r>
        <w:rPr>
          <w:rFonts w:ascii="Arial" w:cs="Arial" w:eastAsia="Arial" w:hAnsi="Arial"/>
          <w:sz w:val="18"/>
          <w:szCs w:val="18"/>
          <w:color w:val="auto"/>
        </w:rPr>
        <w:t>Historically, a significant portion of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was dependent upon the achievement of short- and long-term financial and operational goals that were designed to increase shareholder value over time. As executives gain responsibility and seniority and exercise more direct influence over the Company’s financial and operational performance, typically base salary as a percentage of total compensation decreases and performance-based pay increases. For FY 2021, due to the uncertain impact of the COVID-19 pandemic and the CEO transition, the long-term incentive plan design did not include PSUs dependent upon the achievement of long-term financial goals, but rather consisted of time-based RSUs and option awards.</w:t>
      </w:r>
    </w:p>
    <w:p>
      <w:pPr>
        <w:spacing w:after="0" w:line="37" w:lineRule="exact"/>
        <w:rPr>
          <w:sz w:val="20"/>
          <w:szCs w:val="20"/>
          <w:color w:val="auto"/>
        </w:rPr>
      </w:pPr>
    </w:p>
    <w:p>
      <w:pPr>
        <w:ind w:left="2340" w:right="1199"/>
        <w:spacing w:after="0" w:line="278" w:lineRule="auto"/>
        <w:rPr>
          <w:sz w:val="20"/>
          <w:szCs w:val="20"/>
          <w:color w:val="auto"/>
        </w:rPr>
      </w:pPr>
      <w:r>
        <w:rPr>
          <w:rFonts w:ascii="Arial" w:cs="Arial" w:eastAsia="Arial" w:hAnsi="Arial"/>
          <w:sz w:val="17"/>
          <w:szCs w:val="17"/>
          <w:b w:val="1"/>
          <w:bCs w:val="1"/>
          <w:color w:val="auto"/>
        </w:rPr>
        <w:t xml:space="preserve">Focuses on Long-Term Incentive Compensation. </w:t>
      </w:r>
      <w:r>
        <w:rPr>
          <w:rFonts w:ascii="Arial" w:cs="Arial" w:eastAsia="Arial" w:hAnsi="Arial"/>
          <w:sz w:val="17"/>
          <w:szCs w:val="17"/>
          <w:color w:val="auto"/>
        </w:rPr>
        <w:t>The long-term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 is designed to provide a meaningful portion of compensation with the goal of having executive officers think and behave like owners over the long term. Long-term incentives, in the form of equity awards, vest over periods ranging from three to four years depending on the award type.</w:t>
      </w:r>
    </w:p>
    <w:p>
      <w:pPr>
        <w:spacing w:after="0" w:line="15" w:lineRule="exact"/>
        <w:rPr>
          <w:sz w:val="20"/>
          <w:szCs w:val="20"/>
          <w:color w:val="auto"/>
        </w:rPr>
      </w:pPr>
    </w:p>
    <w:p>
      <w:pPr>
        <w:ind w:left="2340" w:right="1019"/>
        <w:spacing w:after="0" w:line="257" w:lineRule="auto"/>
        <w:rPr>
          <w:sz w:val="20"/>
          <w:szCs w:val="20"/>
          <w:color w:val="auto"/>
        </w:rPr>
      </w:pPr>
      <w:r>
        <w:rPr>
          <w:rFonts w:ascii="Arial" w:cs="Arial" w:eastAsia="Arial" w:hAnsi="Arial"/>
          <w:sz w:val="18"/>
          <w:szCs w:val="18"/>
          <w:b w:val="1"/>
          <w:bCs w:val="1"/>
          <w:color w:val="auto"/>
        </w:rPr>
        <w:t xml:space="preserve">Uses Multiple Metrics in Incentive Plans. </w:t>
      </w:r>
      <w:r>
        <w:rPr>
          <w:rFonts w:ascii="Arial" w:cs="Arial" w:eastAsia="Arial" w:hAnsi="Arial"/>
          <w:sz w:val="18"/>
          <w:szCs w:val="18"/>
          <w:color w:val="auto"/>
        </w:rPr>
        <w:t>The annual cash and historical long-term incentive programs employ multiple performance measures to assure focus is on the entire business. Further, historical long-term incentive programs include awards that vest over several different and overlapping periods to help ensure that performance during any one period is not maximized to the detriment of other periods.</w:t>
      </w:r>
    </w:p>
    <w:p>
      <w:pPr>
        <w:spacing w:after="0" w:line="34" w:lineRule="exact"/>
        <w:rPr>
          <w:sz w:val="20"/>
          <w:szCs w:val="20"/>
          <w:color w:val="auto"/>
        </w:rPr>
      </w:pPr>
    </w:p>
    <w:p>
      <w:pPr>
        <w:ind w:left="2340" w:right="1039"/>
        <w:spacing w:after="0" w:line="287" w:lineRule="auto"/>
        <w:rPr>
          <w:sz w:val="20"/>
          <w:szCs w:val="20"/>
          <w:color w:val="auto"/>
        </w:rPr>
      </w:pPr>
      <w:r>
        <w:rPr>
          <w:rFonts w:ascii="Arial" w:cs="Arial" w:eastAsia="Arial" w:hAnsi="Arial"/>
          <w:sz w:val="18"/>
          <w:szCs w:val="18"/>
          <w:b w:val="1"/>
          <w:bCs w:val="1"/>
          <w:color w:val="auto"/>
        </w:rPr>
        <w:t xml:space="preserve">Uses Award Caps. </w:t>
      </w:r>
      <w:r>
        <w:rPr>
          <w:rFonts w:ascii="Arial" w:cs="Arial" w:eastAsia="Arial" w:hAnsi="Arial"/>
          <w:sz w:val="18"/>
          <w:szCs w:val="18"/>
          <w:color w:val="auto"/>
        </w:rPr>
        <w:t>Annual cash incentive awards and PSU awards are capped at</w:t>
      </w:r>
      <w:r>
        <w:rPr>
          <w:rFonts w:ascii="Arial" w:cs="Arial" w:eastAsia="Arial" w:hAnsi="Arial"/>
          <w:sz w:val="18"/>
          <w:szCs w:val="18"/>
          <w:b w:val="1"/>
          <w:bCs w:val="1"/>
          <w:color w:val="auto"/>
        </w:rPr>
        <w:t xml:space="preserve"> </w:t>
      </w:r>
      <w:r>
        <w:rPr>
          <w:rFonts w:ascii="Arial" w:cs="Arial" w:eastAsia="Arial" w:hAnsi="Arial"/>
          <w:sz w:val="18"/>
          <w:szCs w:val="18"/>
          <w:color w:val="auto"/>
        </w:rPr>
        <w:t>200% of target to ensure such awards do not encourage excessive risk-taking.</w:t>
      </w:r>
    </w:p>
    <w:p>
      <w:pPr>
        <w:spacing w:after="0" w:line="4" w:lineRule="exact"/>
        <w:rPr>
          <w:sz w:val="20"/>
          <w:szCs w:val="20"/>
          <w:color w:val="auto"/>
        </w:rPr>
      </w:pPr>
    </w:p>
    <w:p>
      <w:pPr>
        <w:ind w:left="2340" w:right="1219"/>
        <w:spacing w:after="0" w:line="262" w:lineRule="auto"/>
        <w:rPr>
          <w:sz w:val="20"/>
          <w:szCs w:val="20"/>
          <w:color w:val="auto"/>
        </w:rPr>
      </w:pPr>
      <w:r>
        <w:rPr>
          <w:rFonts w:ascii="Arial" w:cs="Arial" w:eastAsia="Arial" w:hAnsi="Arial"/>
          <w:sz w:val="18"/>
          <w:szCs w:val="18"/>
          <w:b w:val="1"/>
          <w:bCs w:val="1"/>
          <w:color w:val="auto"/>
        </w:rPr>
        <w:t xml:space="preserve">Maintains Clawback Policy. </w:t>
      </w:r>
      <w:r>
        <w:rPr>
          <w:rFonts w:ascii="Arial" w:cs="Arial" w:eastAsia="Arial" w:hAnsi="Arial"/>
          <w:sz w:val="18"/>
          <w:szCs w:val="18"/>
          <w:color w:val="auto"/>
        </w:rPr>
        <w:t>The Company adopted an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recoupment policy, otherwise known as a clawback policy, that allows the Company to recoup incentive compensation due to employee misconduct or a financial restatement.</w:t>
      </w:r>
    </w:p>
    <w:p>
      <w:pPr>
        <w:spacing w:after="0" w:line="28" w:lineRule="exact"/>
        <w:rPr>
          <w:sz w:val="20"/>
          <w:szCs w:val="20"/>
          <w:color w:val="auto"/>
        </w:rPr>
      </w:pPr>
    </w:p>
    <w:p>
      <w:pPr>
        <w:ind w:left="2340" w:right="1099"/>
        <w:spacing w:after="0" w:line="262" w:lineRule="auto"/>
        <w:rPr>
          <w:sz w:val="20"/>
          <w:szCs w:val="20"/>
          <w:color w:val="auto"/>
        </w:rPr>
      </w:pPr>
      <w:r>
        <w:rPr>
          <w:rFonts w:ascii="Arial" w:cs="Arial" w:eastAsia="Arial" w:hAnsi="Arial"/>
          <w:sz w:val="18"/>
          <w:szCs w:val="18"/>
          <w:b w:val="1"/>
          <w:bCs w:val="1"/>
          <w:color w:val="auto"/>
        </w:rPr>
        <w:t xml:space="preserve">Conducts Annual Compensation Risk Assessment. </w:t>
      </w:r>
      <w:r>
        <w:rPr>
          <w:rFonts w:ascii="Arial" w:cs="Arial" w:eastAsia="Arial" w:hAnsi="Arial"/>
          <w:sz w:val="18"/>
          <w:szCs w:val="18"/>
          <w:color w:val="auto"/>
        </w:rPr>
        <w:t>The Committee 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assesses the Company’s compensation programs and determines whether the Company’s policies and practices create risks that are reasonably likely to have a material adverse effect on the Company.</w:t>
      </w:r>
    </w:p>
    <w:p>
      <w:pPr>
        <w:spacing w:after="0" w:line="28" w:lineRule="exact"/>
        <w:rPr>
          <w:sz w:val="20"/>
          <w:szCs w:val="20"/>
          <w:color w:val="auto"/>
        </w:rPr>
      </w:pPr>
    </w:p>
    <w:p>
      <w:pPr>
        <w:ind w:left="2340" w:right="1179"/>
        <w:spacing w:after="0" w:line="268" w:lineRule="auto"/>
        <w:rPr>
          <w:sz w:val="20"/>
          <w:szCs w:val="20"/>
          <w:color w:val="auto"/>
        </w:rPr>
      </w:pPr>
      <w:r>
        <w:rPr>
          <w:rFonts w:ascii="Arial" w:cs="Arial" w:eastAsia="Arial" w:hAnsi="Arial"/>
          <w:sz w:val="18"/>
          <w:szCs w:val="18"/>
          <w:b w:val="1"/>
          <w:bCs w:val="1"/>
          <w:color w:val="auto"/>
        </w:rPr>
        <w:t xml:space="preserve">Maintains Stock Ownership Guidelines. </w:t>
      </w:r>
      <w:r>
        <w:rPr>
          <w:rFonts w:ascii="Arial" w:cs="Arial" w:eastAsia="Arial" w:hAnsi="Arial"/>
          <w:sz w:val="18"/>
          <w:szCs w:val="18"/>
          <w:color w:val="auto"/>
        </w:rPr>
        <w:t>The Company has stock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for its executive officers and, as of July 1, 2021, each of the executive officers was in compliance with these guidelines.</w:t>
      </w:r>
    </w:p>
    <w:p>
      <w:pPr>
        <w:spacing w:after="0" w:line="22" w:lineRule="exact"/>
        <w:rPr>
          <w:sz w:val="20"/>
          <w:szCs w:val="20"/>
          <w:color w:val="auto"/>
        </w:rPr>
      </w:pPr>
    </w:p>
    <w:p>
      <w:pPr>
        <w:jc w:val="both"/>
        <w:ind w:left="2340" w:right="1159"/>
        <w:spacing w:after="0" w:line="268" w:lineRule="auto"/>
        <w:rPr>
          <w:sz w:val="20"/>
          <w:szCs w:val="20"/>
          <w:color w:val="auto"/>
        </w:rPr>
      </w:pPr>
      <w:r>
        <w:rPr>
          <w:rFonts w:ascii="Arial" w:cs="Arial" w:eastAsia="Arial" w:hAnsi="Arial"/>
          <w:sz w:val="18"/>
          <w:szCs w:val="18"/>
          <w:b w:val="1"/>
          <w:bCs w:val="1"/>
          <w:color w:val="auto"/>
        </w:rPr>
        <w:t xml:space="preserve">Grants Stock Options at Fair Market Value. </w:t>
      </w:r>
      <w:r>
        <w:rPr>
          <w:rFonts w:ascii="Arial" w:cs="Arial" w:eastAsia="Arial" w:hAnsi="Arial"/>
          <w:sz w:val="18"/>
          <w:szCs w:val="18"/>
          <w:color w:val="auto"/>
        </w:rPr>
        <w:t>The Company grants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with an exercise price at the fair market value of the Company’s Common Stock on the date of the grant.</w:t>
      </w:r>
    </w:p>
    <w:p>
      <w:pPr>
        <w:spacing w:after="0" w:line="22" w:lineRule="exact"/>
        <w:rPr>
          <w:sz w:val="20"/>
          <w:szCs w:val="20"/>
          <w:color w:val="auto"/>
        </w:rPr>
      </w:pPr>
    </w:p>
    <w:p>
      <w:pPr>
        <w:ind w:left="2340" w:right="1639"/>
        <w:spacing w:after="0" w:line="287" w:lineRule="auto"/>
        <w:rPr>
          <w:sz w:val="20"/>
          <w:szCs w:val="20"/>
          <w:color w:val="auto"/>
        </w:rPr>
      </w:pPr>
      <w:r>
        <w:rPr>
          <w:rFonts w:ascii="Arial" w:cs="Arial" w:eastAsia="Arial" w:hAnsi="Arial"/>
          <w:sz w:val="18"/>
          <w:szCs w:val="18"/>
          <w:b w:val="1"/>
          <w:bCs w:val="1"/>
          <w:color w:val="auto"/>
        </w:rPr>
        <w:t xml:space="preserve">Maintains Compensation Committee Independence. </w:t>
      </w:r>
      <w:r>
        <w:rPr>
          <w:rFonts w:ascii="Arial" w:cs="Arial" w:eastAsia="Arial" w:hAnsi="Arial"/>
          <w:sz w:val="18"/>
          <w:szCs w:val="18"/>
          <w:color w:val="auto"/>
        </w:rPr>
        <w:t>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is made up entirely of Independent Directors.</w:t>
      </w:r>
    </w:p>
    <w:p>
      <w:pPr>
        <w:spacing w:after="0" w:line="45" w:lineRule="exact"/>
        <w:rPr>
          <w:sz w:val="20"/>
          <w:szCs w:val="20"/>
          <w:color w:val="auto"/>
        </w:rPr>
      </w:pPr>
    </w:p>
    <w:p>
      <w:pPr>
        <w:ind w:left="2340" w:right="1079"/>
        <w:spacing w:after="0" w:line="262" w:lineRule="auto"/>
        <w:rPr>
          <w:sz w:val="20"/>
          <w:szCs w:val="20"/>
          <w:color w:val="auto"/>
        </w:rPr>
      </w:pPr>
      <w:r>
        <w:rPr>
          <w:rFonts w:ascii="Arial" w:cs="Arial" w:eastAsia="Arial" w:hAnsi="Arial"/>
          <w:sz w:val="18"/>
          <w:szCs w:val="18"/>
          <w:b w:val="1"/>
          <w:bCs w:val="1"/>
          <w:color w:val="auto"/>
        </w:rPr>
        <w:t xml:space="preserve">Maintains Compensation Consultant Independence. </w:t>
      </w:r>
      <w:r>
        <w:rPr>
          <w:rFonts w:ascii="Arial" w:cs="Arial" w:eastAsia="Arial" w:hAnsi="Arial"/>
          <w:sz w:val="18"/>
          <w:szCs w:val="18"/>
          <w:color w:val="auto"/>
        </w:rPr>
        <w:t>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does not provide any services to management other than its services to the Committee, and the Committee annually assesses the independence of the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400685</wp:posOffset>
            </wp:positionV>
            <wp:extent cx="1482725" cy="2997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8272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306070</wp:posOffset>
            </wp:positionV>
            <wp:extent cx="4637405" cy="27686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637405" cy="27686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FEFEFE"/>
        </w:rPr>
        <w:t>What the Company Doesn’t Do:</w:t>
      </w:r>
    </w:p>
    <w:p>
      <w:pPr>
        <w:spacing w:after="0" w:line="50" w:lineRule="exact"/>
        <w:rPr>
          <w:sz w:val="20"/>
          <w:szCs w:val="20"/>
          <w:color w:val="auto"/>
        </w:rPr>
      </w:pPr>
    </w:p>
    <w:p>
      <w:pPr>
        <w:ind w:left="2340" w:right="1259"/>
        <w:spacing w:after="0" w:line="268" w:lineRule="auto"/>
        <w:rPr>
          <w:sz w:val="20"/>
          <w:szCs w:val="20"/>
          <w:color w:val="auto"/>
        </w:rPr>
      </w:pPr>
      <w:r>
        <w:rPr>
          <w:rFonts w:ascii="Arial" w:cs="Arial" w:eastAsia="Arial" w:hAnsi="Arial"/>
          <w:sz w:val="18"/>
          <w:szCs w:val="18"/>
          <w:b w:val="1"/>
          <w:bCs w:val="1"/>
          <w:color w:val="auto"/>
        </w:rPr>
        <w:t xml:space="preserve">Doesn’t Provide for Excise Tax Gross-Ups. </w:t>
      </w:r>
      <w:r>
        <w:rPr>
          <w:rFonts w:ascii="Arial" w:cs="Arial" w:eastAsia="Arial" w:hAnsi="Arial"/>
          <w:sz w:val="18"/>
          <w:szCs w:val="18"/>
          <w:color w:val="auto"/>
        </w:rPr>
        <w:t>The Company’s 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do not provide for excise tax reimbursements to any of the Company’s executive officers.</w:t>
      </w:r>
    </w:p>
    <w:p>
      <w:pPr>
        <w:spacing w:after="0" w:line="9" w:lineRule="exact"/>
        <w:rPr>
          <w:sz w:val="20"/>
          <w:szCs w:val="20"/>
          <w:color w:val="auto"/>
        </w:rPr>
      </w:pPr>
    </w:p>
    <w:p>
      <w:pPr>
        <w:ind w:left="2340" w:right="1039"/>
        <w:spacing w:after="0" w:line="262" w:lineRule="auto"/>
        <w:rPr>
          <w:sz w:val="20"/>
          <w:szCs w:val="20"/>
          <w:color w:val="auto"/>
        </w:rPr>
      </w:pPr>
      <w:r>
        <w:rPr>
          <w:rFonts w:ascii="Arial" w:cs="Arial" w:eastAsia="Arial" w:hAnsi="Arial"/>
          <w:sz w:val="18"/>
          <w:szCs w:val="18"/>
          <w:b w:val="1"/>
          <w:bCs w:val="1"/>
          <w:color w:val="auto"/>
        </w:rPr>
        <w:t xml:space="preserve">Doesn’t Pay Dividends or Dividend Equivalents on Unearned/Unvested Equity Awards. </w:t>
      </w:r>
      <w:r>
        <w:rPr>
          <w:rFonts w:ascii="Arial" w:cs="Arial" w:eastAsia="Arial" w:hAnsi="Arial"/>
          <w:sz w:val="18"/>
          <w:szCs w:val="18"/>
          <w:color w:val="auto"/>
        </w:rPr>
        <w:t>Equity awards may provide for the accrual of dividends or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during the vesting period, which are paid solely to the extent the underlying equity awards vest.</w:t>
      </w:r>
    </w:p>
    <w:p>
      <w:pPr>
        <w:spacing w:after="0" w:line="14" w:lineRule="exact"/>
        <w:rPr>
          <w:sz w:val="20"/>
          <w:szCs w:val="20"/>
          <w:color w:val="auto"/>
        </w:rPr>
      </w:pPr>
    </w:p>
    <w:p>
      <w:pPr>
        <w:jc w:val="both"/>
        <w:ind w:left="2340" w:right="1399"/>
        <w:spacing w:after="0" w:line="287" w:lineRule="auto"/>
        <w:rPr>
          <w:sz w:val="20"/>
          <w:szCs w:val="20"/>
          <w:color w:val="auto"/>
        </w:rPr>
      </w:pPr>
      <w:r>
        <w:rPr>
          <w:rFonts w:ascii="Arial" w:cs="Arial" w:eastAsia="Arial" w:hAnsi="Arial"/>
          <w:sz w:val="17"/>
          <w:szCs w:val="17"/>
          <w:b w:val="1"/>
          <w:bCs w:val="1"/>
          <w:color w:val="auto"/>
        </w:rPr>
        <w:t xml:space="preserve">Doesn’t Permit Hedging or Pledging of Company Shares. </w:t>
      </w:r>
      <w:r>
        <w:rPr>
          <w:rFonts w:ascii="Arial" w:cs="Arial" w:eastAsia="Arial" w:hAnsi="Arial"/>
          <w:sz w:val="17"/>
          <w:szCs w:val="17"/>
          <w:color w:val="auto"/>
        </w:rPr>
        <w:t>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trading procedures for insiders prohibits Directors and executive officers from hedging or pledging the Company’s securities without advance prior approval.</w:t>
      </w:r>
    </w:p>
    <w:p>
      <w:pPr>
        <w:spacing w:after="0" w:line="1" w:lineRule="exact"/>
        <w:rPr>
          <w:sz w:val="20"/>
          <w:szCs w:val="20"/>
          <w:color w:val="auto"/>
        </w:rPr>
      </w:pPr>
    </w:p>
    <w:p>
      <w:pPr>
        <w:ind w:left="2340" w:right="1919"/>
        <w:spacing w:after="0" w:line="281" w:lineRule="auto"/>
        <w:rPr>
          <w:sz w:val="20"/>
          <w:szCs w:val="20"/>
          <w:color w:val="auto"/>
        </w:rPr>
      </w:pPr>
      <w:r>
        <w:rPr>
          <w:rFonts w:ascii="Arial" w:cs="Arial" w:eastAsia="Arial" w:hAnsi="Arial"/>
          <w:sz w:val="18"/>
          <w:szCs w:val="18"/>
          <w:b w:val="1"/>
          <w:bCs w:val="1"/>
          <w:color w:val="auto"/>
        </w:rPr>
        <w:t xml:space="preserve">Doesn’t Provide Above-Market Returns. </w:t>
      </w:r>
      <w:r>
        <w:rPr>
          <w:rFonts w:ascii="Arial" w:cs="Arial" w:eastAsia="Arial" w:hAnsi="Arial"/>
          <w:sz w:val="18"/>
          <w:szCs w:val="18"/>
          <w:color w:val="auto"/>
        </w:rPr>
        <w:t>The Company does not offer</w:t>
      </w:r>
      <w:r>
        <w:rPr>
          <w:rFonts w:ascii="Arial" w:cs="Arial" w:eastAsia="Arial" w:hAnsi="Arial"/>
          <w:sz w:val="18"/>
          <w:szCs w:val="18"/>
          <w:b w:val="1"/>
          <w:bCs w:val="1"/>
          <w:color w:val="auto"/>
        </w:rPr>
        <w:t xml:space="preserve"> </w:t>
      </w:r>
      <w:r>
        <w:rPr>
          <w:rFonts w:ascii="Arial" w:cs="Arial" w:eastAsia="Arial" w:hAnsi="Arial"/>
          <w:sz w:val="18"/>
          <w:szCs w:val="18"/>
          <w:color w:val="auto"/>
        </w:rPr>
        <w:t>preferential or above-market returns on deferred compensation.</w:t>
      </w:r>
    </w:p>
    <w:p>
      <w:pPr>
        <w:spacing w:after="0" w:line="1" w:lineRule="exact"/>
        <w:rPr>
          <w:sz w:val="20"/>
          <w:szCs w:val="20"/>
          <w:color w:val="auto"/>
        </w:rPr>
      </w:pPr>
    </w:p>
    <w:p>
      <w:pPr>
        <w:jc w:val="both"/>
        <w:ind w:left="2340" w:right="1059"/>
        <w:spacing w:after="0" w:line="268" w:lineRule="auto"/>
        <w:rPr>
          <w:sz w:val="20"/>
          <w:szCs w:val="20"/>
          <w:color w:val="auto"/>
        </w:rPr>
      </w:pPr>
      <w:r>
        <w:rPr>
          <w:rFonts w:ascii="Arial" w:cs="Arial" w:eastAsia="Arial" w:hAnsi="Arial"/>
          <w:sz w:val="18"/>
          <w:szCs w:val="18"/>
          <w:b w:val="1"/>
          <w:bCs w:val="1"/>
          <w:color w:val="auto"/>
        </w:rPr>
        <w:t xml:space="preserve">Doesn’t Reprice Awards. </w:t>
      </w:r>
      <w:r>
        <w:rPr>
          <w:rFonts w:ascii="Arial" w:cs="Arial" w:eastAsia="Arial" w:hAnsi="Arial"/>
          <w:sz w:val="18"/>
          <w:szCs w:val="18"/>
          <w:color w:val="auto"/>
        </w:rPr>
        <w:t>Repricing of stock options and stock appreciation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is prohibited without shareholder approval. The Company does not have a history of repricing equity awards.</w:t>
      </w:r>
    </w:p>
    <w:p>
      <w:pPr>
        <w:spacing w:after="0" w:line="9" w:lineRule="exact"/>
        <w:rPr>
          <w:sz w:val="20"/>
          <w:szCs w:val="20"/>
          <w:color w:val="auto"/>
        </w:rPr>
      </w:pPr>
    </w:p>
    <w:p>
      <w:pPr>
        <w:ind w:left="2340" w:right="1199"/>
        <w:spacing w:after="0" w:line="318" w:lineRule="auto"/>
        <w:rPr>
          <w:sz w:val="20"/>
          <w:szCs w:val="20"/>
          <w:color w:val="auto"/>
        </w:rPr>
      </w:pPr>
      <w:r>
        <w:rPr>
          <w:rFonts w:ascii="Arial" w:cs="Arial" w:eastAsia="Arial" w:hAnsi="Arial"/>
          <w:sz w:val="17"/>
          <w:szCs w:val="17"/>
          <w:b w:val="1"/>
          <w:bCs w:val="1"/>
          <w:color w:val="auto"/>
        </w:rPr>
        <w:t xml:space="preserve">Doesn’t Provide Excessive Severance Benefits or Perquisites. </w:t>
      </w:r>
      <w:r>
        <w:rPr>
          <w:rFonts w:ascii="Arial" w:cs="Arial" w:eastAsia="Arial" w:hAnsi="Arial"/>
          <w:sz w:val="17"/>
          <w:szCs w:val="17"/>
          <w:color w:val="auto"/>
        </w:rPr>
        <w:t>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only limited severance benefits and perquisites to executives.</w:t>
      </w:r>
    </w:p>
    <w:p>
      <w:pPr>
        <w:spacing w:after="0" w:line="179"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Compensation Risk Management</w:t>
      </w:r>
    </w:p>
    <w:p>
      <w:pPr>
        <w:spacing w:after="0" w:line="175" w:lineRule="exact"/>
        <w:rPr>
          <w:sz w:val="20"/>
          <w:szCs w:val="20"/>
          <w:color w:val="auto"/>
        </w:rPr>
      </w:pPr>
    </w:p>
    <w:p>
      <w:pPr>
        <w:ind w:left="1000" w:right="339"/>
        <w:spacing w:after="0" w:line="251" w:lineRule="auto"/>
        <w:rPr>
          <w:sz w:val="20"/>
          <w:szCs w:val="20"/>
          <w:color w:val="auto"/>
        </w:rPr>
      </w:pPr>
      <w:r>
        <w:rPr>
          <w:rFonts w:ascii="Arial" w:cs="Arial" w:eastAsia="Arial" w:hAnsi="Arial"/>
          <w:sz w:val="18"/>
          <w:szCs w:val="18"/>
          <w:color w:val="auto"/>
        </w:rPr>
        <w:t>The Compensation Committee conducted its annual assessment of the Company’s executive compensation programs and concluded that the Company’s compensation policies and practices for fiscal 2021 did not create risks that are reasonably likely to have a material adverse effect on the Company or create inappropriate or unintended significant risk to the Company as a whole, and that the incentive compensation programs provide incentives that do not encourage risk-taking that is beyond the Company’s ability to effectively identify and manage significant risks. Further, the Compensation Committee and management believe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ELEMENTS OF EXECUTIVE COMPENSATION</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Base Salary</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annualized base salaries as of fiscal year ends 2020 and 2021 were as follows.</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3360" w:type="dxa"/>
            <w:vAlign w:val="bottom"/>
            <w:shd w:val="clear" w:color="auto" w:fill="56C271"/>
          </w:tcPr>
          <w:p>
            <w:pPr>
              <w:spacing w:after="0"/>
              <w:rPr>
                <w:sz w:val="16"/>
                <w:szCs w:val="16"/>
                <w:color w:val="auto"/>
              </w:rPr>
            </w:pPr>
          </w:p>
        </w:tc>
        <w:tc>
          <w:tcPr>
            <w:tcW w:w="3340" w:type="dxa"/>
            <w:vAlign w:val="bottom"/>
            <w:gridSpan w:val="2"/>
            <w:shd w:val="clear" w:color="auto" w:fill="56C271"/>
          </w:tcPr>
          <w:p>
            <w:pPr>
              <w:ind w:left="2340"/>
              <w:spacing w:after="0"/>
              <w:rPr>
                <w:sz w:val="20"/>
                <w:szCs w:val="20"/>
                <w:color w:val="auto"/>
              </w:rPr>
            </w:pPr>
            <w:r>
              <w:rPr>
                <w:rFonts w:ascii="Arial" w:cs="Arial" w:eastAsia="Arial" w:hAnsi="Arial"/>
                <w:sz w:val="14"/>
                <w:szCs w:val="14"/>
                <w:b w:val="1"/>
                <w:bCs w:val="1"/>
                <w:color w:val="FEFEFE"/>
              </w:rPr>
              <w:t>2020 FY End</w:t>
            </w:r>
          </w:p>
        </w:tc>
        <w:tc>
          <w:tcPr>
            <w:tcW w:w="1140" w:type="dxa"/>
            <w:vAlign w:val="bottom"/>
            <w:gridSpan w:val="2"/>
            <w:shd w:val="clear" w:color="auto" w:fill="56C271"/>
          </w:tcPr>
          <w:p>
            <w:pPr>
              <w:ind w:left="140"/>
              <w:spacing w:after="0"/>
              <w:rPr>
                <w:sz w:val="20"/>
                <w:szCs w:val="20"/>
                <w:color w:val="auto"/>
              </w:rPr>
            </w:pPr>
            <w:r>
              <w:rPr>
                <w:rFonts w:ascii="Arial" w:cs="Arial" w:eastAsia="Arial" w:hAnsi="Arial"/>
                <w:sz w:val="14"/>
                <w:szCs w:val="14"/>
                <w:b w:val="1"/>
                <w:bCs w:val="1"/>
                <w:color w:val="FEFEFE"/>
              </w:rPr>
              <w:t>2021 FY End</w:t>
            </w:r>
          </w:p>
        </w:tc>
        <w:tc>
          <w:tcPr>
            <w:tcW w:w="920" w:type="dxa"/>
            <w:vAlign w:val="bottom"/>
            <w:shd w:val="clear" w:color="auto" w:fill="56C271"/>
          </w:tcPr>
          <w:p>
            <w:pPr>
              <w:spacing w:after="0"/>
              <w:rPr>
                <w:sz w:val="16"/>
                <w:szCs w:val="16"/>
                <w:color w:val="auto"/>
              </w:rPr>
            </w:pPr>
          </w:p>
        </w:tc>
      </w:tr>
      <w:tr>
        <w:trPr>
          <w:trHeight w:val="162"/>
        </w:trPr>
        <w:tc>
          <w:tcPr>
            <w:tcW w:w="3360" w:type="dxa"/>
            <w:vAlign w:val="bottom"/>
            <w:shd w:val="clear" w:color="auto" w:fill="56C271"/>
          </w:tcPr>
          <w:p>
            <w:pPr>
              <w:spacing w:after="0"/>
              <w:rPr>
                <w:sz w:val="14"/>
                <w:szCs w:val="14"/>
                <w:color w:val="auto"/>
              </w:rPr>
            </w:pPr>
          </w:p>
        </w:tc>
        <w:tc>
          <w:tcPr>
            <w:tcW w:w="2420" w:type="dxa"/>
            <w:vAlign w:val="bottom"/>
            <w:shd w:val="clear" w:color="auto" w:fill="56C271"/>
          </w:tcPr>
          <w:p>
            <w:pPr>
              <w:spacing w:after="0"/>
              <w:rPr>
                <w:sz w:val="14"/>
                <w:szCs w:val="14"/>
                <w:color w:val="auto"/>
              </w:rPr>
            </w:pPr>
          </w:p>
        </w:tc>
        <w:tc>
          <w:tcPr>
            <w:tcW w:w="92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Annualized</w:t>
            </w:r>
          </w:p>
        </w:tc>
        <w:tc>
          <w:tcPr>
            <w:tcW w:w="22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74"/>
              <w:spacing w:after="0"/>
              <w:rPr>
                <w:sz w:val="20"/>
                <w:szCs w:val="20"/>
                <w:color w:val="auto"/>
              </w:rPr>
            </w:pPr>
            <w:r>
              <w:rPr>
                <w:rFonts w:ascii="Arial" w:cs="Arial" w:eastAsia="Arial" w:hAnsi="Arial"/>
                <w:sz w:val="14"/>
                <w:szCs w:val="14"/>
                <w:b w:val="1"/>
                <w:bCs w:val="1"/>
                <w:color w:val="FEFEFE"/>
                <w:w w:val="99"/>
              </w:rPr>
              <w:t>Annualized</w:t>
            </w:r>
          </w:p>
        </w:tc>
        <w:tc>
          <w:tcPr>
            <w:tcW w:w="920" w:type="dxa"/>
            <w:vAlign w:val="bottom"/>
            <w:shd w:val="clear" w:color="auto" w:fill="56C271"/>
          </w:tcPr>
          <w:p>
            <w:pPr>
              <w:spacing w:after="0"/>
              <w:rPr>
                <w:sz w:val="14"/>
                <w:szCs w:val="14"/>
                <w:color w:val="auto"/>
              </w:rPr>
            </w:pPr>
          </w:p>
        </w:tc>
      </w:tr>
      <w:tr>
        <w:trPr>
          <w:trHeight w:val="189"/>
        </w:trPr>
        <w:tc>
          <w:tcPr>
            <w:tcW w:w="336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NEO</w:t>
            </w:r>
          </w:p>
        </w:tc>
        <w:tc>
          <w:tcPr>
            <w:tcW w:w="2420" w:type="dxa"/>
            <w:vAlign w:val="bottom"/>
            <w:shd w:val="clear" w:color="auto" w:fill="56C271"/>
          </w:tcPr>
          <w:p>
            <w:pPr>
              <w:spacing w:after="0"/>
              <w:rPr>
                <w:sz w:val="16"/>
                <w:szCs w:val="16"/>
                <w:color w:val="auto"/>
              </w:rPr>
            </w:pPr>
          </w:p>
        </w:tc>
        <w:tc>
          <w:tcPr>
            <w:tcW w:w="92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Base Salary</w:t>
            </w:r>
          </w:p>
        </w:tc>
        <w:tc>
          <w:tcPr>
            <w:tcW w:w="220" w:type="dxa"/>
            <w:vAlign w:val="bottom"/>
            <w:shd w:val="clear" w:color="auto" w:fill="56C271"/>
          </w:tcPr>
          <w:p>
            <w:pPr>
              <w:spacing w:after="0"/>
              <w:rPr>
                <w:sz w:val="16"/>
                <w:szCs w:val="16"/>
                <w:color w:val="auto"/>
              </w:rPr>
            </w:pPr>
          </w:p>
        </w:tc>
        <w:tc>
          <w:tcPr>
            <w:tcW w:w="920" w:type="dxa"/>
            <w:vAlign w:val="bottom"/>
            <w:shd w:val="clear" w:color="auto" w:fill="56C271"/>
          </w:tcPr>
          <w:p>
            <w:pPr>
              <w:jc w:val="right"/>
              <w:ind w:right="34"/>
              <w:spacing w:after="0"/>
              <w:rPr>
                <w:sz w:val="20"/>
                <w:szCs w:val="20"/>
                <w:color w:val="auto"/>
              </w:rPr>
            </w:pPr>
            <w:r>
              <w:rPr>
                <w:rFonts w:ascii="Arial" w:cs="Arial" w:eastAsia="Arial" w:hAnsi="Arial"/>
                <w:sz w:val="14"/>
                <w:szCs w:val="14"/>
                <w:b w:val="1"/>
                <w:bCs w:val="1"/>
                <w:color w:val="FEFEFE"/>
                <w:w w:val="98"/>
              </w:rPr>
              <w:t>Base Salary</w:t>
            </w:r>
          </w:p>
        </w:tc>
        <w:tc>
          <w:tcPr>
            <w:tcW w:w="920" w:type="dxa"/>
            <w:vAlign w:val="bottom"/>
            <w:shd w:val="clear" w:color="auto" w:fill="56C271"/>
          </w:tcPr>
          <w:p>
            <w:pPr>
              <w:jc w:val="right"/>
              <w:ind w:right="32"/>
              <w:spacing w:after="0"/>
              <w:rPr>
                <w:sz w:val="20"/>
                <w:szCs w:val="20"/>
                <w:color w:val="auto"/>
              </w:rPr>
            </w:pPr>
            <w:r>
              <w:rPr>
                <w:rFonts w:ascii="Arial" w:cs="Arial" w:eastAsia="Arial" w:hAnsi="Arial"/>
                <w:sz w:val="14"/>
                <w:szCs w:val="14"/>
                <w:b w:val="1"/>
                <w:bCs w:val="1"/>
                <w:color w:val="FEFEFE"/>
              </w:rPr>
              <w:t>% Change</w:t>
            </w:r>
          </w:p>
        </w:tc>
      </w:tr>
      <w:tr>
        <w:trPr>
          <w:trHeight w:val="270"/>
        </w:trPr>
        <w:tc>
          <w:tcPr>
            <w:tcW w:w="3360" w:type="dxa"/>
            <w:vAlign w:val="bottom"/>
          </w:tcPr>
          <w:p>
            <w:pPr>
              <w:ind w:left="100"/>
              <w:spacing w:after="0" w:line="270" w:lineRule="exact"/>
              <w:rPr>
                <w:sz w:val="20"/>
                <w:szCs w:val="20"/>
                <w:color w:val="auto"/>
              </w:rPr>
            </w:pPr>
            <w:r>
              <w:rPr>
                <w:rFonts w:ascii="Arial" w:cs="Arial" w:eastAsia="Arial" w:hAnsi="Arial"/>
                <w:sz w:val="18"/>
                <w:szCs w:val="18"/>
                <w:color w:val="auto"/>
              </w:rPr>
              <w:t>Gallagher</w:t>
            </w:r>
            <w:r>
              <w:rPr>
                <w:rFonts w:ascii="Arial" w:cs="Arial" w:eastAsia="Arial" w:hAnsi="Arial"/>
                <w:sz w:val="26"/>
                <w:szCs w:val="26"/>
                <w:color w:val="auto"/>
                <w:vertAlign w:val="superscript"/>
              </w:rPr>
              <w:t>(1)</w:t>
            </w:r>
          </w:p>
        </w:tc>
        <w:tc>
          <w:tcPr>
            <w:tcW w:w="2420" w:type="dxa"/>
            <w:vAlign w:val="bottom"/>
          </w:tcPr>
          <w:p>
            <w:pPr>
              <w:ind w:left="23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565,000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1,000,000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77%</w:t>
            </w:r>
          </w:p>
        </w:tc>
      </w:tr>
      <w:tr>
        <w:trPr>
          <w:trHeight w:val="257"/>
        </w:trPr>
        <w:tc>
          <w:tcPr>
            <w:tcW w:w="3360" w:type="dxa"/>
            <w:vAlign w:val="bottom"/>
            <w:shd w:val="clear" w:color="auto" w:fill="CCEDD4"/>
          </w:tcPr>
          <w:p>
            <w:pPr>
              <w:ind w:left="100"/>
              <w:spacing w:after="0"/>
              <w:rPr>
                <w:sz w:val="20"/>
                <w:szCs w:val="20"/>
                <w:color w:val="auto"/>
              </w:rPr>
            </w:pPr>
            <w:r>
              <w:rPr>
                <w:rFonts w:ascii="Arial" w:cs="Arial" w:eastAsia="Arial" w:hAnsi="Arial"/>
                <w:sz w:val="18"/>
                <w:szCs w:val="18"/>
                <w:color w:val="auto"/>
              </w:rPr>
              <w:t>Liguori</w:t>
            </w:r>
          </w:p>
        </w:tc>
        <w:tc>
          <w:tcPr>
            <w:tcW w:w="2420" w:type="dxa"/>
            <w:vAlign w:val="bottom"/>
            <w:shd w:val="clear" w:color="auto" w:fill="CCEDD4"/>
          </w:tcPr>
          <w:p>
            <w:pPr>
              <w:ind w:left="23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530,000</w:t>
            </w:r>
          </w:p>
        </w:tc>
        <w:tc>
          <w:tcPr>
            <w:tcW w:w="220" w:type="dxa"/>
            <w:vAlign w:val="bottom"/>
            <w:shd w:val="clear" w:color="auto" w:fill="CCEDD4"/>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DD4"/>
          </w:tcPr>
          <w:p>
            <w:pPr>
              <w:jc w:val="right"/>
              <w:ind w:right="14"/>
              <w:spacing w:after="0"/>
              <w:rPr>
                <w:sz w:val="20"/>
                <w:szCs w:val="20"/>
                <w:color w:val="auto"/>
              </w:rPr>
            </w:pPr>
            <w:r>
              <w:rPr>
                <w:rFonts w:ascii="Arial" w:cs="Arial" w:eastAsia="Arial" w:hAnsi="Arial"/>
                <w:sz w:val="18"/>
                <w:szCs w:val="18"/>
                <w:color w:val="auto"/>
              </w:rPr>
              <w:t>530,000</w:t>
            </w:r>
          </w:p>
        </w:tc>
        <w:tc>
          <w:tcPr>
            <w:tcW w:w="92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0%</w:t>
            </w:r>
          </w:p>
        </w:tc>
      </w:tr>
      <w:tr>
        <w:trPr>
          <w:trHeight w:val="256"/>
        </w:trPr>
        <w:tc>
          <w:tcPr>
            <w:tcW w:w="3360" w:type="dxa"/>
            <w:vAlign w:val="bottom"/>
          </w:tcPr>
          <w:p>
            <w:pPr>
              <w:ind w:left="100"/>
              <w:spacing w:after="0"/>
              <w:rPr>
                <w:sz w:val="20"/>
                <w:szCs w:val="20"/>
                <w:color w:val="auto"/>
              </w:rPr>
            </w:pPr>
            <w:r>
              <w:rPr>
                <w:rFonts w:ascii="Arial" w:cs="Arial" w:eastAsia="Arial" w:hAnsi="Arial"/>
                <w:sz w:val="18"/>
                <w:szCs w:val="18"/>
                <w:color w:val="auto"/>
              </w:rPr>
              <w:t>Arnold</w:t>
            </w:r>
          </w:p>
        </w:tc>
        <w:tc>
          <w:tcPr>
            <w:tcW w:w="2420" w:type="dxa"/>
            <w:vAlign w:val="bottom"/>
          </w:tcPr>
          <w:p>
            <w:pPr>
              <w:ind w:left="23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350,000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390,000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11.4%</w:t>
            </w:r>
          </w:p>
        </w:tc>
      </w:tr>
      <w:tr>
        <w:trPr>
          <w:trHeight w:val="270"/>
        </w:trPr>
        <w:tc>
          <w:tcPr>
            <w:tcW w:w="3360" w:type="dxa"/>
            <w:vAlign w:val="bottom"/>
            <w:shd w:val="clear" w:color="auto" w:fill="CCEDD4"/>
          </w:tcPr>
          <w:p>
            <w:pPr>
              <w:ind w:left="100"/>
              <w:spacing w:after="0"/>
              <w:rPr>
                <w:sz w:val="20"/>
                <w:szCs w:val="20"/>
                <w:color w:val="auto"/>
              </w:rPr>
            </w:pPr>
            <w:r>
              <w:rPr>
                <w:rFonts w:ascii="Arial" w:cs="Arial" w:eastAsia="Arial" w:hAnsi="Arial"/>
                <w:sz w:val="18"/>
                <w:szCs w:val="18"/>
                <w:color w:val="auto"/>
              </w:rPr>
              <w:t>Chan</w:t>
            </w:r>
          </w:p>
        </w:tc>
        <w:tc>
          <w:tcPr>
            <w:tcW w:w="2420" w:type="dxa"/>
            <w:vAlign w:val="bottom"/>
            <w:shd w:val="clear" w:color="auto" w:fill="CCEDD4"/>
          </w:tcPr>
          <w:p>
            <w:pPr>
              <w:ind w:left="23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360,000</w:t>
            </w:r>
          </w:p>
        </w:tc>
        <w:tc>
          <w:tcPr>
            <w:tcW w:w="220" w:type="dxa"/>
            <w:vAlign w:val="bottom"/>
            <w:shd w:val="clear" w:color="auto" w:fill="CCEDD4"/>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DD4"/>
          </w:tcPr>
          <w:p>
            <w:pPr>
              <w:jc w:val="right"/>
              <w:ind w:right="14"/>
              <w:spacing w:after="0"/>
              <w:rPr>
                <w:sz w:val="20"/>
                <w:szCs w:val="20"/>
                <w:color w:val="auto"/>
              </w:rPr>
            </w:pPr>
            <w:r>
              <w:rPr>
                <w:rFonts w:ascii="Arial" w:cs="Arial" w:eastAsia="Arial" w:hAnsi="Arial"/>
                <w:sz w:val="18"/>
                <w:szCs w:val="18"/>
                <w:color w:val="auto"/>
              </w:rPr>
              <w:t>360,000</w:t>
            </w:r>
          </w:p>
        </w:tc>
        <w:tc>
          <w:tcPr>
            <w:tcW w:w="92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0%</w:t>
            </w:r>
          </w:p>
        </w:tc>
      </w:tr>
      <w:tr>
        <w:trPr>
          <w:trHeight w:val="284"/>
        </w:trPr>
        <w:tc>
          <w:tcPr>
            <w:tcW w:w="3360" w:type="dxa"/>
            <w:vAlign w:val="bottom"/>
          </w:tcPr>
          <w:p>
            <w:pPr>
              <w:ind w:left="100"/>
              <w:spacing w:after="0" w:line="283" w:lineRule="exact"/>
              <w:rPr>
                <w:sz w:val="20"/>
                <w:szCs w:val="20"/>
                <w:color w:val="auto"/>
              </w:rPr>
            </w:pPr>
            <w:r>
              <w:rPr>
                <w:rFonts w:ascii="Arial" w:cs="Arial" w:eastAsia="Arial" w:hAnsi="Arial"/>
                <w:sz w:val="18"/>
                <w:szCs w:val="18"/>
                <w:color w:val="auto"/>
              </w:rPr>
              <w:t>McCoy</w:t>
            </w:r>
            <w:r>
              <w:rPr>
                <w:rFonts w:ascii="Arial" w:cs="Arial" w:eastAsia="Arial" w:hAnsi="Arial"/>
                <w:sz w:val="26"/>
                <w:szCs w:val="26"/>
                <w:color w:val="auto"/>
                <w:vertAlign w:val="superscript"/>
              </w:rPr>
              <w:t>(2)</w:t>
            </w:r>
          </w:p>
        </w:tc>
        <w:tc>
          <w:tcPr>
            <w:tcW w:w="2420" w:type="dxa"/>
            <w:vAlign w:val="bottom"/>
          </w:tcPr>
          <w:p>
            <w:pPr>
              <w:ind w:left="23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400,000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450,000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12.5%</w:t>
            </w:r>
          </w:p>
        </w:tc>
      </w:tr>
      <w:tr>
        <w:trPr>
          <w:trHeight w:val="283"/>
        </w:trPr>
        <w:tc>
          <w:tcPr>
            <w:tcW w:w="3360" w:type="dxa"/>
            <w:vAlign w:val="bottom"/>
            <w:shd w:val="clear" w:color="auto" w:fill="CCEDD4"/>
          </w:tcPr>
          <w:p>
            <w:pPr>
              <w:ind w:left="100"/>
              <w:spacing w:after="0" w:line="283" w:lineRule="exact"/>
              <w:rPr>
                <w:sz w:val="20"/>
                <w:szCs w:val="20"/>
                <w:color w:val="auto"/>
              </w:rPr>
            </w:pPr>
            <w:r>
              <w:rPr>
                <w:rFonts w:ascii="Arial" w:cs="Arial" w:eastAsia="Arial" w:hAnsi="Arial"/>
                <w:sz w:val="18"/>
                <w:szCs w:val="18"/>
                <w:color w:val="auto"/>
              </w:rPr>
              <w:t>Amelio</w:t>
            </w:r>
            <w:r>
              <w:rPr>
                <w:rFonts w:ascii="Arial" w:cs="Arial" w:eastAsia="Arial" w:hAnsi="Arial"/>
                <w:sz w:val="26"/>
                <w:szCs w:val="26"/>
                <w:color w:val="auto"/>
                <w:vertAlign w:val="superscript"/>
              </w:rPr>
              <w:t>(3)</w:t>
            </w:r>
          </w:p>
        </w:tc>
        <w:tc>
          <w:tcPr>
            <w:tcW w:w="2420" w:type="dxa"/>
            <w:vAlign w:val="bottom"/>
            <w:shd w:val="clear" w:color="auto" w:fill="CCEDD4"/>
          </w:tcPr>
          <w:p>
            <w:pPr>
              <w:ind w:left="23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w w:val="97"/>
              </w:rPr>
              <w:t>1,000,000</w:t>
            </w:r>
          </w:p>
        </w:tc>
        <w:tc>
          <w:tcPr>
            <w:tcW w:w="220" w:type="dxa"/>
            <w:vAlign w:val="bottom"/>
            <w:shd w:val="clear" w:color="auto" w:fill="CCEDD4"/>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DD4"/>
          </w:tcPr>
          <w:p>
            <w:pPr>
              <w:jc w:val="right"/>
              <w:ind w:right="14"/>
              <w:spacing w:after="0"/>
              <w:rPr>
                <w:sz w:val="20"/>
                <w:szCs w:val="20"/>
                <w:color w:val="auto"/>
              </w:rPr>
            </w:pPr>
            <w:r>
              <w:rPr>
                <w:rFonts w:ascii="Arial" w:cs="Arial" w:eastAsia="Arial" w:hAnsi="Arial"/>
                <w:sz w:val="18"/>
                <w:szCs w:val="18"/>
                <w:color w:val="auto"/>
                <w:w w:val="99"/>
              </w:rPr>
              <w:t>1,000,000</w:t>
            </w:r>
          </w:p>
        </w:tc>
        <w:tc>
          <w:tcPr>
            <w:tcW w:w="92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0%</w:t>
            </w:r>
          </w:p>
        </w:tc>
      </w:tr>
      <w:tr>
        <w:trPr>
          <w:trHeight w:val="283"/>
        </w:trPr>
        <w:tc>
          <w:tcPr>
            <w:tcW w:w="3360" w:type="dxa"/>
            <w:vAlign w:val="bottom"/>
          </w:tcPr>
          <w:p>
            <w:pPr>
              <w:ind w:left="100"/>
              <w:spacing w:after="0" w:line="283" w:lineRule="exact"/>
              <w:rPr>
                <w:sz w:val="20"/>
                <w:szCs w:val="20"/>
                <w:color w:val="auto"/>
              </w:rPr>
            </w:pPr>
            <w:r>
              <w:rPr>
                <w:rFonts w:ascii="Arial" w:cs="Arial" w:eastAsia="Arial" w:hAnsi="Arial"/>
                <w:sz w:val="18"/>
                <w:szCs w:val="18"/>
                <w:color w:val="auto"/>
              </w:rPr>
              <w:t>Bartolotta</w:t>
            </w:r>
            <w:r>
              <w:rPr>
                <w:rFonts w:ascii="Arial" w:cs="Arial" w:eastAsia="Arial" w:hAnsi="Arial"/>
                <w:sz w:val="26"/>
                <w:szCs w:val="26"/>
                <w:color w:val="auto"/>
                <w:vertAlign w:val="superscript"/>
              </w:rPr>
              <w:t>(3)</w:t>
            </w:r>
          </w:p>
        </w:tc>
        <w:tc>
          <w:tcPr>
            <w:tcW w:w="2420" w:type="dxa"/>
            <w:vAlign w:val="bottom"/>
          </w:tcPr>
          <w:p>
            <w:pPr>
              <w:ind w:left="23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550,000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550,000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w:t>
            </w:r>
          </w:p>
        </w:tc>
      </w:tr>
      <w:tr>
        <w:trPr>
          <w:trHeight w:val="270"/>
        </w:trPr>
        <w:tc>
          <w:tcPr>
            <w:tcW w:w="3360" w:type="dxa"/>
            <w:vAlign w:val="bottom"/>
            <w:shd w:val="clear" w:color="auto" w:fill="CCEDD4"/>
          </w:tcPr>
          <w:p>
            <w:pPr>
              <w:ind w:left="100"/>
              <w:spacing w:after="0"/>
              <w:rPr>
                <w:sz w:val="20"/>
                <w:szCs w:val="20"/>
                <w:color w:val="auto"/>
              </w:rPr>
            </w:pPr>
            <w:r>
              <w:rPr>
                <w:rFonts w:ascii="Arial" w:cs="Arial" w:eastAsia="Arial" w:hAnsi="Arial"/>
                <w:sz w:val="18"/>
                <w:szCs w:val="18"/>
                <w:color w:val="auto"/>
              </w:rPr>
              <w:t>Miller</w:t>
            </w:r>
          </w:p>
        </w:tc>
        <w:tc>
          <w:tcPr>
            <w:tcW w:w="2420" w:type="dxa"/>
            <w:vAlign w:val="bottom"/>
            <w:shd w:val="clear" w:color="auto" w:fill="CCEDD4"/>
          </w:tcPr>
          <w:p>
            <w:pPr>
              <w:ind w:left="23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540,000</w:t>
            </w:r>
          </w:p>
        </w:tc>
        <w:tc>
          <w:tcPr>
            <w:tcW w:w="220" w:type="dxa"/>
            <w:vAlign w:val="bottom"/>
            <w:shd w:val="clear" w:color="auto" w:fill="CCEDD4"/>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DD4"/>
          </w:tcPr>
          <w:p>
            <w:pPr>
              <w:jc w:val="right"/>
              <w:ind w:right="14"/>
              <w:spacing w:after="0"/>
              <w:rPr>
                <w:sz w:val="20"/>
                <w:szCs w:val="20"/>
                <w:color w:val="auto"/>
              </w:rPr>
            </w:pPr>
            <w:r>
              <w:rPr>
                <w:rFonts w:ascii="Arial" w:cs="Arial" w:eastAsia="Arial" w:hAnsi="Arial"/>
                <w:sz w:val="18"/>
                <w:szCs w:val="18"/>
                <w:color w:val="auto"/>
              </w:rPr>
              <w:t>540,000</w:t>
            </w:r>
          </w:p>
        </w:tc>
        <w:tc>
          <w:tcPr>
            <w:tcW w:w="92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0%</w:t>
            </w:r>
          </w:p>
        </w:tc>
      </w:tr>
    </w:tbl>
    <w:p>
      <w:pPr>
        <w:spacing w:after="0" w:line="121" w:lineRule="exact"/>
        <w:rPr>
          <w:sz w:val="20"/>
          <w:szCs w:val="20"/>
          <w:color w:val="auto"/>
        </w:rPr>
      </w:pPr>
    </w:p>
    <w:p>
      <w:pPr>
        <w:jc w:val="both"/>
        <w:ind w:left="1820" w:right="279" w:hanging="722"/>
        <w:spacing w:after="0" w:line="291" w:lineRule="auto"/>
        <w:tabs>
          <w:tab w:leader="none" w:pos="1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Mr. Gallagher’s base salary was increased from $565,000 to $1M upon being appointed as Interim CEO on July 31, 2020 and remained unchanged when appointed as CEO on November 23, 2020.</w:t>
      </w:r>
    </w:p>
    <w:p>
      <w:pPr>
        <w:sectPr>
          <w:pgSz w:w="11900" w:h="16838" w:orient="portrait"/>
          <w:cols w:equalWidth="0" w:num="1">
            <w:col w:w="9879"/>
          </w:cols>
          <w:pgMar w:left="580" w:top="132" w:right="1440" w:bottom="1440" w:gutter="0" w:footer="0" w:header="0"/>
        </w:sectPr>
      </w:pPr>
    </w:p>
    <w:p>
      <w:pPr>
        <w:spacing w:after="0" w:line="122"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820" w:right="399" w:hanging="722"/>
        <w:spacing w:after="0" w:line="261" w:lineRule="auto"/>
        <w:tabs>
          <w:tab w:leader="none" w:pos="1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McCoy’s base salary was increased for fiscal 2021 in connection with his promotion to Senior Vice President, Chief Legal Officer and General Counsel in April 2020.</w:t>
      </w:r>
    </w:p>
    <w:p>
      <w:pPr>
        <w:spacing w:after="0" w:line="89" w:lineRule="exact"/>
        <w:rPr>
          <w:rFonts w:ascii="Arial" w:cs="Arial" w:eastAsia="Arial" w:hAnsi="Arial"/>
          <w:sz w:val="18"/>
          <w:szCs w:val="18"/>
          <w:color w:val="auto"/>
        </w:rPr>
      </w:pPr>
    </w:p>
    <w:p>
      <w:pPr>
        <w:ind w:left="1820" w:right="159" w:hanging="722"/>
        <w:spacing w:after="0" w:line="261" w:lineRule="auto"/>
        <w:tabs>
          <w:tab w:leader="none" w:pos="1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Messrs. Amelio and Bartolotta’s 2021 FY End Annualized Base Salary reflect salaries as of the date of their departures.</w:t>
      </w:r>
    </w:p>
    <w:p>
      <w:pPr>
        <w:spacing w:after="0" w:line="117" w:lineRule="exact"/>
        <w:rPr>
          <w:sz w:val="20"/>
          <w:szCs w:val="20"/>
          <w:color w:val="auto"/>
        </w:rPr>
      </w:pPr>
    </w:p>
    <w:p>
      <w:pPr>
        <w:ind w:left="1000" w:right="239"/>
        <w:spacing w:after="0" w:line="238" w:lineRule="auto"/>
        <w:rPr>
          <w:sz w:val="20"/>
          <w:szCs w:val="20"/>
          <w:color w:val="auto"/>
        </w:rPr>
      </w:pPr>
      <w:r>
        <w:rPr>
          <w:rFonts w:ascii="Arial" w:cs="Arial" w:eastAsia="Arial" w:hAnsi="Arial"/>
          <w:sz w:val="18"/>
          <w:szCs w:val="18"/>
          <w:color w:val="auto"/>
        </w:rPr>
        <w:t>The Company generally implements base salary increases for executive officers on a fiscal year basis, although it may consider mid-year increases in the event of a promotion. In determining increases to base salaries, the Committee considers the benchmarking data, the NEO’s experience in the position and the long-term performance of the individual NEO.</w:t>
      </w:r>
    </w:p>
    <w:p>
      <w:pPr>
        <w:spacing w:after="0" w:line="11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Annual Cash Incentives</w:t>
      </w:r>
    </w:p>
    <w:p>
      <w:pPr>
        <w:spacing w:after="0" w:line="175" w:lineRule="exact"/>
        <w:rPr>
          <w:sz w:val="20"/>
          <w:szCs w:val="20"/>
          <w:color w:val="auto"/>
        </w:rPr>
      </w:pPr>
    </w:p>
    <w:p>
      <w:pPr>
        <w:jc w:val="both"/>
        <w:ind w:left="1000" w:right="239"/>
        <w:spacing w:after="0" w:line="255" w:lineRule="auto"/>
        <w:rPr>
          <w:sz w:val="20"/>
          <w:szCs w:val="20"/>
          <w:color w:val="auto"/>
        </w:rPr>
      </w:pPr>
      <w:r>
        <w:rPr>
          <w:rFonts w:ascii="Arial" w:cs="Arial" w:eastAsia="Arial" w:hAnsi="Arial"/>
          <w:sz w:val="17"/>
          <w:szCs w:val="17"/>
          <w:color w:val="auto"/>
        </w:rPr>
        <w:t>For fiscal 2021, the Committee approved the NEOs’ participation in the Company’s short-term incentive plan, whereby they were eligible to receive annual cash incentive compensation based on pre-established strategic goals as set forth in the following table. The design included both financial and non-financial metrics.</w:t>
      </w:r>
      <w:r>
        <w:rPr>
          <w:rFonts w:ascii="Arial" w:cs="Arial" w:eastAsia="Arial" w:hAnsi="Arial"/>
          <w:sz w:val="25"/>
          <w:szCs w:val="25"/>
          <w:color w:val="auto"/>
          <w:vertAlign w:val="superscript"/>
        </w:rPr>
        <w:t>(1)</w:t>
      </w:r>
    </w:p>
    <w:p>
      <w:pPr>
        <w:spacing w:after="0" w:line="77" w:lineRule="exact"/>
        <w:rPr>
          <w:sz w:val="20"/>
          <w:szCs w:val="20"/>
          <w:color w:val="auto"/>
        </w:rPr>
      </w:pPr>
    </w:p>
    <w:tbl>
      <w:tblPr>
        <w:tblLayout w:type="fixed"/>
        <w:tblInd w:w="990" w:type="dxa"/>
        <w:tblCellMar>
          <w:top w:w="0" w:type="dxa"/>
          <w:left w:w="0" w:type="dxa"/>
          <w:bottom w:w="0" w:type="dxa"/>
          <w:right w:w="0" w:type="dxa"/>
        </w:tblCellMar>
      </w:tblPr>
      <w:tr>
        <w:trPr>
          <w:trHeight w:val="277"/>
        </w:trPr>
        <w:tc>
          <w:tcPr>
            <w:tcW w:w="1800" w:type="dxa"/>
            <w:vAlign w:val="bottom"/>
            <w:tcBorders>
              <w:left w:val="single" w:sz="8" w:color="56C271"/>
              <w:bottom w:val="single" w:sz="8" w:color="56C271"/>
              <w:right w:val="single" w:sz="8" w:color="56C271"/>
            </w:tcBorders>
            <w:shd w:val="clear" w:color="auto" w:fill="56C271"/>
          </w:tcPr>
          <w:p>
            <w:pPr>
              <w:ind w:left="220"/>
              <w:spacing w:after="0"/>
              <w:rPr>
                <w:sz w:val="20"/>
                <w:szCs w:val="20"/>
                <w:color w:val="auto"/>
              </w:rPr>
            </w:pPr>
            <w:r>
              <w:rPr>
                <w:rFonts w:ascii="Arial" w:cs="Arial" w:eastAsia="Arial" w:hAnsi="Arial"/>
                <w:sz w:val="14"/>
                <w:szCs w:val="14"/>
                <w:b w:val="1"/>
                <w:bCs w:val="1"/>
                <w:color w:val="FEFEFE"/>
              </w:rPr>
              <w:t>Metrics</w:t>
            </w:r>
          </w:p>
        </w:tc>
        <w:tc>
          <w:tcPr>
            <w:tcW w:w="920" w:type="dxa"/>
            <w:vAlign w:val="bottom"/>
            <w:tcBorders>
              <w:bottom w:val="single" w:sz="8" w:color="56C271"/>
              <w:right w:val="single" w:sz="8" w:color="56C271"/>
            </w:tcBorders>
            <w:shd w:val="clear" w:color="auto" w:fill="56C271"/>
          </w:tcPr>
          <w:p>
            <w:pPr>
              <w:jc w:val="right"/>
              <w:ind w:right="56"/>
              <w:spacing w:after="0"/>
              <w:rPr>
                <w:sz w:val="20"/>
                <w:szCs w:val="20"/>
                <w:color w:val="auto"/>
              </w:rPr>
            </w:pPr>
            <w:r>
              <w:rPr>
                <w:rFonts w:ascii="Arial" w:cs="Arial" w:eastAsia="Arial" w:hAnsi="Arial"/>
                <w:sz w:val="14"/>
                <w:szCs w:val="14"/>
                <w:b w:val="1"/>
                <w:bCs w:val="1"/>
                <w:color w:val="FEFEFE"/>
              </w:rPr>
              <w:t>Weighting</w:t>
            </w:r>
          </w:p>
        </w:tc>
        <w:tc>
          <w:tcPr>
            <w:tcW w:w="2580" w:type="dxa"/>
            <w:vAlign w:val="bottom"/>
            <w:tcBorders>
              <w:bottom w:val="single" w:sz="8" w:color="56C271"/>
              <w:right w:val="single" w:sz="8" w:color="56C271"/>
            </w:tcBorders>
            <w:shd w:val="clear" w:color="auto" w:fill="56C271"/>
          </w:tcPr>
          <w:p>
            <w:pPr>
              <w:ind w:left="260"/>
              <w:spacing w:after="0"/>
              <w:rPr>
                <w:sz w:val="20"/>
                <w:szCs w:val="20"/>
                <w:color w:val="auto"/>
              </w:rPr>
            </w:pPr>
            <w:r>
              <w:rPr>
                <w:rFonts w:ascii="Arial" w:cs="Arial" w:eastAsia="Arial" w:hAnsi="Arial"/>
                <w:sz w:val="14"/>
                <w:szCs w:val="14"/>
                <w:b w:val="1"/>
                <w:bCs w:val="1"/>
                <w:color w:val="FEFEFE"/>
              </w:rPr>
              <w:t>Financial Performance Metrics</w:t>
            </w:r>
          </w:p>
        </w:tc>
        <w:tc>
          <w:tcPr>
            <w:tcW w:w="920" w:type="dxa"/>
            <w:vAlign w:val="bottom"/>
            <w:tcBorders>
              <w:bottom w:val="single" w:sz="8" w:color="56C271"/>
              <w:right w:val="single" w:sz="8" w:color="56C271"/>
            </w:tcBorders>
            <w:shd w:val="clear" w:color="auto" w:fill="56C271"/>
          </w:tcPr>
          <w:p>
            <w:pPr>
              <w:jc w:val="right"/>
              <w:ind w:right="53"/>
              <w:spacing w:after="0"/>
              <w:rPr>
                <w:sz w:val="20"/>
                <w:szCs w:val="20"/>
                <w:color w:val="auto"/>
              </w:rPr>
            </w:pPr>
            <w:r>
              <w:rPr>
                <w:rFonts w:ascii="Arial" w:cs="Arial" w:eastAsia="Arial" w:hAnsi="Arial"/>
                <w:sz w:val="14"/>
                <w:szCs w:val="14"/>
                <w:b w:val="1"/>
                <w:bCs w:val="1"/>
                <w:color w:val="FEFEFE"/>
              </w:rPr>
              <w:t>Weighting</w:t>
            </w:r>
          </w:p>
        </w:tc>
        <w:tc>
          <w:tcPr>
            <w:tcW w:w="2540" w:type="dxa"/>
            <w:vAlign w:val="bottom"/>
            <w:tcBorders>
              <w:bottom w:val="single" w:sz="8" w:color="56C271"/>
              <w:right w:val="single" w:sz="8" w:color="56C271"/>
            </w:tcBorders>
            <w:shd w:val="clear" w:color="auto" w:fill="56C271"/>
          </w:tcPr>
          <w:p>
            <w:pPr>
              <w:jc w:val="center"/>
              <w:spacing w:after="0"/>
              <w:rPr>
                <w:sz w:val="20"/>
                <w:szCs w:val="20"/>
                <w:color w:val="auto"/>
              </w:rPr>
            </w:pPr>
            <w:r>
              <w:rPr>
                <w:rFonts w:ascii="Arial" w:cs="Arial" w:eastAsia="Arial" w:hAnsi="Arial"/>
                <w:sz w:val="14"/>
                <w:szCs w:val="14"/>
                <w:b w:val="1"/>
                <w:bCs w:val="1"/>
                <w:color w:val="FEFEFE"/>
              </w:rPr>
              <w:t>Target Performance Goal</w:t>
            </w:r>
          </w:p>
        </w:tc>
        <w:tc>
          <w:tcPr>
            <w:tcW w:w="0" w:type="dxa"/>
            <w:vAlign w:val="bottom"/>
          </w:tcPr>
          <w:p>
            <w:pPr>
              <w:spacing w:after="0"/>
              <w:rPr>
                <w:sz w:val="1"/>
                <w:szCs w:val="1"/>
                <w:color w:val="auto"/>
              </w:rPr>
            </w:pPr>
          </w:p>
        </w:tc>
      </w:tr>
      <w:tr>
        <w:trPr>
          <w:trHeight w:val="284"/>
        </w:trPr>
        <w:tc>
          <w:tcPr>
            <w:tcW w:w="1800" w:type="dxa"/>
            <w:vAlign w:val="bottom"/>
            <w:tcBorders>
              <w:left w:val="single" w:sz="8" w:color="56C271"/>
              <w:right w:val="single" w:sz="8" w:color="56C271"/>
            </w:tcBorders>
          </w:tcPr>
          <w:p>
            <w:pPr>
              <w:spacing w:after="0"/>
              <w:rPr>
                <w:sz w:val="24"/>
                <w:szCs w:val="24"/>
                <w:color w:val="auto"/>
              </w:rPr>
            </w:pPr>
          </w:p>
        </w:tc>
        <w:tc>
          <w:tcPr>
            <w:tcW w:w="920" w:type="dxa"/>
            <w:vAlign w:val="bottom"/>
            <w:tcBorders>
              <w:right w:val="single" w:sz="8" w:color="56C271"/>
            </w:tcBorders>
          </w:tcPr>
          <w:p>
            <w:pPr>
              <w:spacing w:after="0"/>
              <w:rPr>
                <w:sz w:val="24"/>
                <w:szCs w:val="24"/>
                <w:color w:val="auto"/>
              </w:rPr>
            </w:pPr>
          </w:p>
        </w:tc>
        <w:tc>
          <w:tcPr>
            <w:tcW w:w="2580" w:type="dxa"/>
            <w:vAlign w:val="bottom"/>
            <w:tcBorders>
              <w:right w:val="single" w:sz="8" w:color="56C271"/>
            </w:tcBorders>
          </w:tcPr>
          <w:p>
            <w:pPr>
              <w:ind w:left="80"/>
              <w:spacing w:after="0"/>
              <w:rPr>
                <w:sz w:val="20"/>
                <w:szCs w:val="20"/>
                <w:color w:val="auto"/>
              </w:rPr>
            </w:pPr>
            <w:r>
              <w:rPr>
                <w:rFonts w:ascii="Arial" w:cs="Arial" w:eastAsia="Arial" w:hAnsi="Arial"/>
                <w:sz w:val="18"/>
                <w:szCs w:val="18"/>
                <w:color w:val="auto"/>
              </w:rPr>
              <w:t>Operating Income $(OI$)</w:t>
            </w:r>
          </w:p>
        </w:tc>
        <w:tc>
          <w:tcPr>
            <w:tcW w:w="920" w:type="dxa"/>
            <w:vAlign w:val="bottom"/>
            <w:tcBorders>
              <w:right w:val="single" w:sz="8" w:color="56C271"/>
            </w:tcBorders>
          </w:tcPr>
          <w:p>
            <w:pPr>
              <w:jc w:val="right"/>
              <w:ind w:right="133"/>
              <w:spacing w:after="0"/>
              <w:rPr>
                <w:sz w:val="20"/>
                <w:szCs w:val="20"/>
                <w:color w:val="auto"/>
              </w:rPr>
            </w:pPr>
            <w:r>
              <w:rPr>
                <w:rFonts w:ascii="Arial" w:cs="Arial" w:eastAsia="Arial" w:hAnsi="Arial"/>
                <w:sz w:val="18"/>
                <w:szCs w:val="18"/>
                <w:color w:val="auto"/>
              </w:rPr>
              <w:t>40%</w:t>
            </w:r>
          </w:p>
        </w:tc>
        <w:tc>
          <w:tcPr>
            <w:tcW w:w="2540" w:type="dxa"/>
            <w:vAlign w:val="bottom"/>
            <w:tcBorders>
              <w:right w:val="single" w:sz="8" w:color="56C271"/>
            </w:tcBorders>
          </w:tcPr>
          <w:p>
            <w:pPr>
              <w:jc w:val="right"/>
              <w:ind w:right="893"/>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40"/>
        </w:trPr>
        <w:tc>
          <w:tcPr>
            <w:tcW w:w="1800" w:type="dxa"/>
            <w:vAlign w:val="bottom"/>
            <w:tcBorders>
              <w:left w:val="single" w:sz="8" w:color="56C271"/>
              <w:right w:val="single" w:sz="8" w:color="56C271"/>
            </w:tcBorders>
            <w:vMerge w:val="restart"/>
          </w:tcPr>
          <w:p>
            <w:pPr>
              <w:ind w:left="220"/>
              <w:spacing w:after="0"/>
              <w:rPr>
                <w:sz w:val="20"/>
                <w:szCs w:val="20"/>
                <w:color w:val="auto"/>
              </w:rPr>
            </w:pPr>
            <w:r>
              <w:rPr>
                <w:rFonts w:ascii="Arial" w:cs="Arial" w:eastAsia="Arial" w:hAnsi="Arial"/>
                <w:sz w:val="18"/>
                <w:szCs w:val="18"/>
                <w:color w:val="auto"/>
              </w:rPr>
              <w:t>Financial</w:t>
            </w:r>
          </w:p>
        </w:tc>
        <w:tc>
          <w:tcPr>
            <w:tcW w:w="920" w:type="dxa"/>
            <w:vAlign w:val="bottom"/>
            <w:tcBorders>
              <w:right w:val="single" w:sz="8" w:color="56C271"/>
            </w:tcBorders>
          </w:tcPr>
          <w:p>
            <w:pPr>
              <w:spacing w:after="0"/>
              <w:rPr>
                <w:sz w:val="3"/>
                <w:szCs w:val="3"/>
                <w:color w:val="auto"/>
              </w:rPr>
            </w:pPr>
          </w:p>
        </w:tc>
        <w:tc>
          <w:tcPr>
            <w:tcW w:w="2580" w:type="dxa"/>
            <w:vAlign w:val="bottom"/>
            <w:tcBorders>
              <w:bottom w:val="single" w:sz="8" w:color="56C271"/>
              <w:right w:val="single" w:sz="8" w:color="56C271"/>
            </w:tcBorders>
          </w:tcPr>
          <w:p>
            <w:pPr>
              <w:spacing w:after="0"/>
              <w:rPr>
                <w:sz w:val="3"/>
                <w:szCs w:val="3"/>
                <w:color w:val="auto"/>
              </w:rPr>
            </w:pPr>
          </w:p>
        </w:tc>
        <w:tc>
          <w:tcPr>
            <w:tcW w:w="920" w:type="dxa"/>
            <w:vAlign w:val="bottom"/>
            <w:tcBorders>
              <w:bottom w:val="single" w:sz="8" w:color="56C271"/>
              <w:right w:val="single" w:sz="8" w:color="56C271"/>
            </w:tcBorders>
          </w:tcPr>
          <w:p>
            <w:pPr>
              <w:spacing w:after="0"/>
              <w:rPr>
                <w:sz w:val="3"/>
                <w:szCs w:val="3"/>
                <w:color w:val="auto"/>
              </w:rPr>
            </w:pPr>
          </w:p>
        </w:tc>
        <w:tc>
          <w:tcPr>
            <w:tcW w:w="2540" w:type="dxa"/>
            <w:vAlign w:val="bottom"/>
            <w:tcBorders>
              <w:bottom w:val="single" w:sz="8" w:color="56C271"/>
              <w:right w:val="single" w:sz="8" w:color="56C271"/>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800" w:type="dxa"/>
            <w:vAlign w:val="bottom"/>
            <w:tcBorders>
              <w:left w:val="single" w:sz="8" w:color="56C271"/>
              <w:right w:val="single" w:sz="8" w:color="56C271"/>
            </w:tcBorders>
            <w:vMerge w:val="continue"/>
          </w:tcPr>
          <w:p>
            <w:pPr>
              <w:spacing w:after="0"/>
              <w:rPr>
                <w:sz w:val="18"/>
                <w:szCs w:val="18"/>
                <w:color w:val="auto"/>
              </w:rPr>
            </w:pPr>
          </w:p>
        </w:tc>
        <w:tc>
          <w:tcPr>
            <w:tcW w:w="920" w:type="dxa"/>
            <w:vAlign w:val="bottom"/>
            <w:tcBorders>
              <w:right w:val="single" w:sz="8" w:color="56C271"/>
            </w:tcBorders>
            <w:vMerge w:val="restart"/>
          </w:tcPr>
          <w:p>
            <w:pPr>
              <w:jc w:val="right"/>
              <w:ind w:right="136"/>
              <w:spacing w:after="0"/>
              <w:rPr>
                <w:sz w:val="20"/>
                <w:szCs w:val="20"/>
                <w:color w:val="auto"/>
              </w:rPr>
            </w:pPr>
            <w:r>
              <w:rPr>
                <w:rFonts w:ascii="Arial" w:cs="Arial" w:eastAsia="Arial" w:hAnsi="Arial"/>
                <w:sz w:val="18"/>
                <w:szCs w:val="18"/>
                <w:color w:val="auto"/>
              </w:rPr>
              <w:t>80%</w:t>
            </w:r>
          </w:p>
        </w:tc>
        <w:tc>
          <w:tcPr>
            <w:tcW w:w="2580" w:type="dxa"/>
            <w:vAlign w:val="bottom"/>
            <w:tcBorders>
              <w:right w:val="single" w:sz="8" w:color="56C271"/>
            </w:tcBorders>
          </w:tcPr>
          <w:p>
            <w:pPr>
              <w:ind w:left="80"/>
              <w:spacing w:after="0"/>
              <w:rPr>
                <w:sz w:val="20"/>
                <w:szCs w:val="20"/>
                <w:color w:val="auto"/>
              </w:rPr>
            </w:pPr>
            <w:r>
              <w:rPr>
                <w:rFonts w:ascii="Arial" w:cs="Arial" w:eastAsia="Arial" w:hAnsi="Arial"/>
                <w:sz w:val="18"/>
                <w:szCs w:val="18"/>
                <w:color w:val="auto"/>
              </w:rPr>
              <w:t>Return on Working Capital %</w:t>
            </w:r>
          </w:p>
        </w:tc>
        <w:tc>
          <w:tcPr>
            <w:tcW w:w="920" w:type="dxa"/>
            <w:vAlign w:val="bottom"/>
            <w:tcBorders>
              <w:right w:val="single" w:sz="8" w:color="56C271"/>
            </w:tcBorders>
          </w:tcPr>
          <w:p>
            <w:pPr>
              <w:jc w:val="right"/>
              <w:ind w:right="133"/>
              <w:spacing w:after="0"/>
              <w:rPr>
                <w:sz w:val="20"/>
                <w:szCs w:val="20"/>
                <w:color w:val="auto"/>
              </w:rPr>
            </w:pPr>
            <w:r>
              <w:rPr>
                <w:rFonts w:ascii="Arial" w:cs="Arial" w:eastAsia="Arial" w:hAnsi="Arial"/>
                <w:sz w:val="18"/>
                <w:szCs w:val="18"/>
                <w:color w:val="auto"/>
              </w:rPr>
              <w:t>40%</w:t>
            </w:r>
          </w:p>
        </w:tc>
        <w:tc>
          <w:tcPr>
            <w:tcW w:w="2540" w:type="dxa"/>
            <w:vAlign w:val="bottom"/>
            <w:tcBorders>
              <w:right w:val="single" w:sz="8" w:color="56C271"/>
            </w:tcBorders>
          </w:tcPr>
          <w:p>
            <w:pPr>
              <w:jc w:val="right"/>
              <w:ind w:right="913"/>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122"/>
        </w:trPr>
        <w:tc>
          <w:tcPr>
            <w:tcW w:w="1800" w:type="dxa"/>
            <w:vAlign w:val="bottom"/>
            <w:tcBorders>
              <w:left w:val="single" w:sz="8" w:color="56C271"/>
              <w:right w:val="single" w:sz="8" w:color="56C271"/>
            </w:tcBorders>
            <w:vMerge w:val="restart"/>
          </w:tcPr>
          <w:p>
            <w:pPr>
              <w:ind w:left="220"/>
              <w:spacing w:after="0"/>
              <w:rPr>
                <w:sz w:val="20"/>
                <w:szCs w:val="20"/>
                <w:color w:val="auto"/>
              </w:rPr>
            </w:pPr>
            <w:r>
              <w:rPr>
                <w:rFonts w:ascii="Arial" w:cs="Arial" w:eastAsia="Arial" w:hAnsi="Arial"/>
                <w:sz w:val="18"/>
                <w:szCs w:val="18"/>
                <w:color w:val="auto"/>
              </w:rPr>
              <w:t>Performance</w:t>
            </w:r>
          </w:p>
        </w:tc>
        <w:tc>
          <w:tcPr>
            <w:tcW w:w="920" w:type="dxa"/>
            <w:vAlign w:val="bottom"/>
            <w:tcBorders>
              <w:right w:val="single" w:sz="8" w:color="56C271"/>
            </w:tcBorders>
            <w:vMerge w:val="continue"/>
          </w:tcPr>
          <w:p>
            <w:pPr>
              <w:spacing w:after="0"/>
              <w:rPr>
                <w:sz w:val="10"/>
                <w:szCs w:val="10"/>
                <w:color w:val="auto"/>
              </w:rPr>
            </w:pPr>
          </w:p>
        </w:tc>
        <w:tc>
          <w:tcPr>
            <w:tcW w:w="2580" w:type="dxa"/>
            <w:vAlign w:val="bottom"/>
            <w:tcBorders>
              <w:right w:val="single" w:sz="8" w:color="56C271"/>
            </w:tcBorders>
            <w:vMerge w:val="restart"/>
          </w:tcPr>
          <w:p>
            <w:pPr>
              <w:ind w:left="80"/>
              <w:spacing w:after="0"/>
              <w:rPr>
                <w:sz w:val="20"/>
                <w:szCs w:val="20"/>
                <w:color w:val="auto"/>
              </w:rPr>
            </w:pPr>
            <w:r>
              <w:rPr>
                <w:rFonts w:ascii="Arial" w:cs="Arial" w:eastAsia="Arial" w:hAnsi="Arial"/>
                <w:sz w:val="18"/>
                <w:szCs w:val="18"/>
                <w:color w:val="auto"/>
              </w:rPr>
              <w:t>(ROWC)</w:t>
            </w:r>
          </w:p>
        </w:tc>
        <w:tc>
          <w:tcPr>
            <w:tcW w:w="920" w:type="dxa"/>
            <w:vAlign w:val="bottom"/>
            <w:tcBorders>
              <w:right w:val="single" w:sz="8" w:color="56C271"/>
            </w:tcBorders>
          </w:tcPr>
          <w:p>
            <w:pPr>
              <w:spacing w:after="0"/>
              <w:rPr>
                <w:sz w:val="10"/>
                <w:szCs w:val="10"/>
                <w:color w:val="auto"/>
              </w:rPr>
            </w:pPr>
          </w:p>
        </w:tc>
        <w:tc>
          <w:tcPr>
            <w:tcW w:w="2540" w:type="dxa"/>
            <w:vAlign w:val="bottom"/>
            <w:tcBorders>
              <w:right w:val="single" w:sz="8" w:color="56C271"/>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00" w:type="dxa"/>
            <w:vAlign w:val="bottom"/>
            <w:tcBorders>
              <w:left w:val="single" w:sz="8" w:color="56C271"/>
              <w:right w:val="single" w:sz="8" w:color="56C271"/>
            </w:tcBorders>
            <w:vMerge w:val="continue"/>
          </w:tcPr>
          <w:p>
            <w:pPr>
              <w:spacing w:after="0"/>
              <w:rPr>
                <w:sz w:val="10"/>
                <w:szCs w:val="10"/>
                <w:color w:val="auto"/>
              </w:rPr>
            </w:pPr>
          </w:p>
        </w:tc>
        <w:tc>
          <w:tcPr>
            <w:tcW w:w="920" w:type="dxa"/>
            <w:vAlign w:val="bottom"/>
            <w:tcBorders>
              <w:right w:val="single" w:sz="8" w:color="56C271"/>
            </w:tcBorders>
          </w:tcPr>
          <w:p>
            <w:pPr>
              <w:spacing w:after="0"/>
              <w:rPr>
                <w:sz w:val="10"/>
                <w:szCs w:val="10"/>
                <w:color w:val="auto"/>
              </w:rPr>
            </w:pPr>
          </w:p>
        </w:tc>
        <w:tc>
          <w:tcPr>
            <w:tcW w:w="2580" w:type="dxa"/>
            <w:vAlign w:val="bottom"/>
            <w:tcBorders>
              <w:right w:val="single" w:sz="8" w:color="56C271"/>
            </w:tcBorders>
            <w:vMerge w:val="continue"/>
          </w:tcPr>
          <w:p>
            <w:pPr>
              <w:spacing w:after="0"/>
              <w:rPr>
                <w:sz w:val="10"/>
                <w:szCs w:val="10"/>
                <w:color w:val="auto"/>
              </w:rPr>
            </w:pPr>
          </w:p>
        </w:tc>
        <w:tc>
          <w:tcPr>
            <w:tcW w:w="920" w:type="dxa"/>
            <w:vAlign w:val="bottom"/>
            <w:tcBorders>
              <w:right w:val="single" w:sz="8" w:color="56C271"/>
            </w:tcBorders>
          </w:tcPr>
          <w:p>
            <w:pPr>
              <w:spacing w:after="0"/>
              <w:rPr>
                <w:sz w:val="10"/>
                <w:szCs w:val="10"/>
                <w:color w:val="auto"/>
              </w:rPr>
            </w:pPr>
          </w:p>
        </w:tc>
        <w:tc>
          <w:tcPr>
            <w:tcW w:w="2540" w:type="dxa"/>
            <w:vAlign w:val="bottom"/>
            <w:tcBorders>
              <w:right w:val="single" w:sz="8" w:color="56C271"/>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800" w:type="dxa"/>
            <w:vAlign w:val="bottom"/>
            <w:tcBorders>
              <w:left w:val="single" w:sz="8" w:color="56C271"/>
              <w:right w:val="single" w:sz="8" w:color="56C271"/>
            </w:tcBorders>
          </w:tcPr>
          <w:p>
            <w:pPr>
              <w:spacing w:after="0"/>
              <w:rPr>
                <w:sz w:val="2"/>
                <w:szCs w:val="2"/>
                <w:color w:val="auto"/>
              </w:rPr>
            </w:pPr>
          </w:p>
        </w:tc>
        <w:tc>
          <w:tcPr>
            <w:tcW w:w="920" w:type="dxa"/>
            <w:vAlign w:val="bottom"/>
            <w:tcBorders>
              <w:right w:val="single" w:sz="8" w:color="56C271"/>
            </w:tcBorders>
          </w:tcPr>
          <w:p>
            <w:pPr>
              <w:spacing w:after="0"/>
              <w:rPr>
                <w:sz w:val="2"/>
                <w:szCs w:val="2"/>
                <w:color w:val="auto"/>
              </w:rPr>
            </w:pPr>
          </w:p>
        </w:tc>
        <w:tc>
          <w:tcPr>
            <w:tcW w:w="2580" w:type="dxa"/>
            <w:vAlign w:val="bottom"/>
            <w:tcBorders>
              <w:bottom w:val="single" w:sz="8" w:color="56C271"/>
              <w:right w:val="single" w:sz="8" w:color="56C271"/>
            </w:tcBorders>
          </w:tcPr>
          <w:p>
            <w:pPr>
              <w:spacing w:after="0"/>
              <w:rPr>
                <w:sz w:val="2"/>
                <w:szCs w:val="2"/>
                <w:color w:val="auto"/>
              </w:rPr>
            </w:pPr>
          </w:p>
        </w:tc>
        <w:tc>
          <w:tcPr>
            <w:tcW w:w="920" w:type="dxa"/>
            <w:vAlign w:val="bottom"/>
            <w:tcBorders>
              <w:bottom w:val="single" w:sz="8" w:color="56C271"/>
              <w:right w:val="single" w:sz="8" w:color="56C271"/>
            </w:tcBorders>
          </w:tcPr>
          <w:p>
            <w:pPr>
              <w:spacing w:after="0"/>
              <w:rPr>
                <w:sz w:val="2"/>
                <w:szCs w:val="2"/>
                <w:color w:val="auto"/>
              </w:rPr>
            </w:pPr>
          </w:p>
        </w:tc>
        <w:tc>
          <w:tcPr>
            <w:tcW w:w="2540" w:type="dxa"/>
            <w:vAlign w:val="bottom"/>
            <w:tcBorders>
              <w:bottom w:val="single" w:sz="8" w:color="56C271"/>
              <w:right w:val="single" w:sz="8" w:color="56C271"/>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00" w:type="dxa"/>
            <w:vAlign w:val="bottom"/>
            <w:tcBorders>
              <w:left w:val="single" w:sz="8" w:color="56C271"/>
              <w:bottom w:val="single" w:sz="8" w:color="56C271"/>
              <w:right w:val="single" w:sz="8" w:color="56C271"/>
            </w:tcBorders>
          </w:tcPr>
          <w:p>
            <w:pPr>
              <w:spacing w:after="0"/>
              <w:rPr>
                <w:sz w:val="22"/>
                <w:szCs w:val="22"/>
                <w:color w:val="auto"/>
              </w:rPr>
            </w:pPr>
          </w:p>
        </w:tc>
        <w:tc>
          <w:tcPr>
            <w:tcW w:w="920" w:type="dxa"/>
            <w:vAlign w:val="bottom"/>
            <w:tcBorders>
              <w:bottom w:val="single" w:sz="8" w:color="56C271"/>
              <w:right w:val="single" w:sz="8" w:color="56C271"/>
            </w:tcBorders>
          </w:tcPr>
          <w:p>
            <w:pPr>
              <w:spacing w:after="0"/>
              <w:rPr>
                <w:sz w:val="22"/>
                <w:szCs w:val="22"/>
                <w:color w:val="auto"/>
              </w:rPr>
            </w:pPr>
          </w:p>
        </w:tc>
        <w:tc>
          <w:tcPr>
            <w:tcW w:w="2580" w:type="dxa"/>
            <w:vAlign w:val="bottom"/>
            <w:tcBorders>
              <w:bottom w:val="single" w:sz="8" w:color="56C271"/>
              <w:right w:val="single" w:sz="8" w:color="56C271"/>
            </w:tcBorders>
          </w:tcPr>
          <w:p>
            <w:pPr>
              <w:ind w:left="80"/>
              <w:spacing w:after="0"/>
              <w:rPr>
                <w:sz w:val="20"/>
                <w:szCs w:val="20"/>
                <w:color w:val="auto"/>
              </w:rPr>
            </w:pPr>
            <w:r>
              <w:rPr>
                <w:rFonts w:ascii="Arial" w:cs="Arial" w:eastAsia="Arial" w:hAnsi="Arial"/>
                <w:sz w:val="18"/>
                <w:szCs w:val="18"/>
                <w:color w:val="auto"/>
              </w:rPr>
              <w:t>Relative Market Share</w:t>
            </w:r>
          </w:p>
        </w:tc>
        <w:tc>
          <w:tcPr>
            <w:tcW w:w="920" w:type="dxa"/>
            <w:vAlign w:val="bottom"/>
            <w:tcBorders>
              <w:bottom w:val="single" w:sz="8" w:color="56C271"/>
              <w:right w:val="single" w:sz="8" w:color="56C271"/>
            </w:tcBorders>
          </w:tcPr>
          <w:p>
            <w:pPr>
              <w:jc w:val="right"/>
              <w:ind w:right="133"/>
              <w:spacing w:after="0"/>
              <w:rPr>
                <w:sz w:val="20"/>
                <w:szCs w:val="20"/>
                <w:color w:val="auto"/>
              </w:rPr>
            </w:pPr>
            <w:r>
              <w:rPr>
                <w:rFonts w:ascii="Arial" w:cs="Arial" w:eastAsia="Arial" w:hAnsi="Arial"/>
                <w:sz w:val="18"/>
                <w:szCs w:val="18"/>
                <w:color w:val="auto"/>
              </w:rPr>
              <w:t>20%</w:t>
            </w:r>
          </w:p>
        </w:tc>
        <w:tc>
          <w:tcPr>
            <w:tcW w:w="254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9"/>
              </w:rPr>
              <w:t>50 bps</w:t>
            </w:r>
          </w:p>
        </w:tc>
        <w:tc>
          <w:tcPr>
            <w:tcW w:w="0" w:type="dxa"/>
            <w:vAlign w:val="bottom"/>
          </w:tcPr>
          <w:p>
            <w:pPr>
              <w:spacing w:after="0"/>
              <w:rPr>
                <w:sz w:val="1"/>
                <w:szCs w:val="1"/>
                <w:color w:val="auto"/>
              </w:rPr>
            </w:pPr>
          </w:p>
        </w:tc>
      </w:tr>
      <w:tr>
        <w:trPr>
          <w:trHeight w:val="270"/>
        </w:trPr>
        <w:tc>
          <w:tcPr>
            <w:tcW w:w="1800" w:type="dxa"/>
            <w:vAlign w:val="bottom"/>
            <w:tcBorders>
              <w:left w:val="single" w:sz="8" w:color="56C271"/>
              <w:right w:val="single" w:sz="8" w:color="56C271"/>
            </w:tcBorders>
            <w:vMerge w:val="restart"/>
          </w:tcPr>
          <w:p>
            <w:pPr>
              <w:ind w:left="220"/>
              <w:spacing w:after="0"/>
              <w:rPr>
                <w:sz w:val="20"/>
                <w:szCs w:val="20"/>
                <w:color w:val="auto"/>
              </w:rPr>
            </w:pPr>
            <w:r>
              <w:rPr>
                <w:rFonts w:ascii="Arial" w:cs="Arial" w:eastAsia="Arial" w:hAnsi="Arial"/>
                <w:sz w:val="18"/>
                <w:szCs w:val="18"/>
                <w:color w:val="auto"/>
              </w:rPr>
              <w:t>Non-Financial</w:t>
            </w:r>
          </w:p>
        </w:tc>
        <w:tc>
          <w:tcPr>
            <w:tcW w:w="920" w:type="dxa"/>
            <w:vAlign w:val="bottom"/>
            <w:tcBorders>
              <w:right w:val="single" w:sz="8" w:color="56C271"/>
            </w:tcBorders>
          </w:tcPr>
          <w:p>
            <w:pPr>
              <w:spacing w:after="0"/>
              <w:rPr>
                <w:sz w:val="23"/>
                <w:szCs w:val="23"/>
                <w:color w:val="auto"/>
              </w:rPr>
            </w:pPr>
          </w:p>
        </w:tc>
        <w:tc>
          <w:tcPr>
            <w:tcW w:w="2580" w:type="dxa"/>
            <w:vAlign w:val="bottom"/>
            <w:tcBorders>
              <w:right w:val="single" w:sz="8" w:color="56C271"/>
            </w:tcBorders>
          </w:tcPr>
          <w:p>
            <w:pPr>
              <w:ind w:left="80"/>
              <w:spacing w:after="0"/>
              <w:rPr>
                <w:sz w:val="20"/>
                <w:szCs w:val="20"/>
                <w:color w:val="auto"/>
              </w:rPr>
            </w:pPr>
            <w:r>
              <w:rPr>
                <w:rFonts w:ascii="Arial" w:cs="Arial" w:eastAsia="Arial" w:hAnsi="Arial"/>
                <w:sz w:val="18"/>
                <w:szCs w:val="18"/>
                <w:color w:val="auto"/>
              </w:rPr>
              <w:t>ESG (Team Goals)</w:t>
            </w:r>
          </w:p>
        </w:tc>
        <w:tc>
          <w:tcPr>
            <w:tcW w:w="920" w:type="dxa"/>
            <w:vAlign w:val="bottom"/>
            <w:tcBorders>
              <w:right w:val="single" w:sz="8" w:color="56C271"/>
            </w:tcBorders>
          </w:tcPr>
          <w:p>
            <w:pPr>
              <w:jc w:val="right"/>
              <w:ind w:right="133"/>
              <w:spacing w:after="0"/>
              <w:rPr>
                <w:sz w:val="20"/>
                <w:szCs w:val="20"/>
                <w:color w:val="auto"/>
              </w:rPr>
            </w:pPr>
            <w:r>
              <w:rPr>
                <w:rFonts w:ascii="Arial" w:cs="Arial" w:eastAsia="Arial" w:hAnsi="Arial"/>
                <w:sz w:val="18"/>
                <w:szCs w:val="18"/>
                <w:color w:val="auto"/>
              </w:rPr>
              <w:t>50%</w:t>
            </w:r>
          </w:p>
        </w:tc>
        <w:tc>
          <w:tcPr>
            <w:tcW w:w="2540" w:type="dxa"/>
            <w:vAlign w:val="bottom"/>
            <w:tcBorders>
              <w:right w:val="single" w:sz="8" w:color="56C271"/>
            </w:tcBorders>
          </w:tcPr>
          <w:p>
            <w:pPr>
              <w:jc w:val="center"/>
              <w:spacing w:after="0"/>
              <w:rPr>
                <w:sz w:val="20"/>
                <w:szCs w:val="20"/>
                <w:color w:val="auto"/>
              </w:rPr>
            </w:pPr>
            <w:r>
              <w:rPr>
                <w:rFonts w:ascii="Arial" w:cs="Arial" w:eastAsia="Arial" w:hAnsi="Arial"/>
                <w:sz w:val="18"/>
                <w:szCs w:val="18"/>
                <w:color w:val="auto"/>
                <w:w w:val="98"/>
              </w:rPr>
              <w:t>Meet ESG Team Goals</w:t>
            </w:r>
          </w:p>
        </w:tc>
        <w:tc>
          <w:tcPr>
            <w:tcW w:w="0" w:type="dxa"/>
            <w:vAlign w:val="bottom"/>
          </w:tcPr>
          <w:p>
            <w:pPr>
              <w:spacing w:after="0"/>
              <w:rPr>
                <w:sz w:val="1"/>
                <w:szCs w:val="1"/>
                <w:color w:val="auto"/>
              </w:rPr>
            </w:pPr>
          </w:p>
        </w:tc>
      </w:tr>
      <w:tr>
        <w:trPr>
          <w:trHeight w:val="40"/>
        </w:trPr>
        <w:tc>
          <w:tcPr>
            <w:tcW w:w="1800" w:type="dxa"/>
            <w:vAlign w:val="bottom"/>
            <w:tcBorders>
              <w:left w:val="single" w:sz="8" w:color="56C271"/>
              <w:right w:val="single" w:sz="8" w:color="56C271"/>
            </w:tcBorders>
            <w:vMerge w:val="continue"/>
          </w:tcPr>
          <w:p>
            <w:pPr>
              <w:spacing w:after="0"/>
              <w:rPr>
                <w:sz w:val="3"/>
                <w:szCs w:val="3"/>
                <w:color w:val="auto"/>
              </w:rPr>
            </w:pPr>
          </w:p>
        </w:tc>
        <w:tc>
          <w:tcPr>
            <w:tcW w:w="920" w:type="dxa"/>
            <w:vAlign w:val="bottom"/>
            <w:tcBorders>
              <w:right w:val="single" w:sz="8" w:color="56C271"/>
            </w:tcBorders>
            <w:vMerge w:val="restart"/>
          </w:tcPr>
          <w:p>
            <w:pPr>
              <w:jc w:val="right"/>
              <w:ind w:right="136"/>
              <w:spacing w:after="0"/>
              <w:rPr>
                <w:sz w:val="20"/>
                <w:szCs w:val="20"/>
                <w:color w:val="auto"/>
              </w:rPr>
            </w:pPr>
            <w:r>
              <w:rPr>
                <w:rFonts w:ascii="Arial" w:cs="Arial" w:eastAsia="Arial" w:hAnsi="Arial"/>
                <w:sz w:val="18"/>
                <w:szCs w:val="18"/>
                <w:color w:val="auto"/>
              </w:rPr>
              <w:t>20%</w:t>
            </w:r>
          </w:p>
        </w:tc>
        <w:tc>
          <w:tcPr>
            <w:tcW w:w="2580" w:type="dxa"/>
            <w:vAlign w:val="bottom"/>
            <w:tcBorders>
              <w:bottom w:val="single" w:sz="8" w:color="56C271"/>
              <w:right w:val="single" w:sz="8" w:color="56C271"/>
            </w:tcBorders>
          </w:tcPr>
          <w:p>
            <w:pPr>
              <w:spacing w:after="0"/>
              <w:rPr>
                <w:sz w:val="3"/>
                <w:szCs w:val="3"/>
                <w:color w:val="auto"/>
              </w:rPr>
            </w:pPr>
          </w:p>
        </w:tc>
        <w:tc>
          <w:tcPr>
            <w:tcW w:w="920" w:type="dxa"/>
            <w:vAlign w:val="bottom"/>
            <w:tcBorders>
              <w:bottom w:val="single" w:sz="8" w:color="56C271"/>
              <w:right w:val="single" w:sz="8" w:color="56C271"/>
            </w:tcBorders>
          </w:tcPr>
          <w:p>
            <w:pPr>
              <w:spacing w:after="0"/>
              <w:rPr>
                <w:sz w:val="3"/>
                <w:szCs w:val="3"/>
                <w:color w:val="auto"/>
              </w:rPr>
            </w:pPr>
          </w:p>
        </w:tc>
        <w:tc>
          <w:tcPr>
            <w:tcW w:w="2540" w:type="dxa"/>
            <w:vAlign w:val="bottom"/>
            <w:tcBorders>
              <w:bottom w:val="single" w:sz="8" w:color="56C271"/>
              <w:right w:val="single" w:sz="8" w:color="56C271"/>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800" w:type="dxa"/>
            <w:vAlign w:val="bottom"/>
            <w:tcBorders>
              <w:left w:val="single" w:sz="8" w:color="56C271"/>
              <w:right w:val="single" w:sz="8" w:color="56C271"/>
            </w:tcBorders>
            <w:vMerge w:val="continue"/>
          </w:tcPr>
          <w:p>
            <w:pPr>
              <w:spacing w:after="0"/>
              <w:rPr>
                <w:sz w:val="6"/>
                <w:szCs w:val="6"/>
                <w:color w:val="auto"/>
              </w:rPr>
            </w:pPr>
          </w:p>
        </w:tc>
        <w:tc>
          <w:tcPr>
            <w:tcW w:w="920" w:type="dxa"/>
            <w:vAlign w:val="bottom"/>
            <w:tcBorders>
              <w:right w:val="single" w:sz="8" w:color="56C271"/>
            </w:tcBorders>
            <w:vMerge w:val="continue"/>
          </w:tcPr>
          <w:p>
            <w:pPr>
              <w:spacing w:after="0"/>
              <w:rPr>
                <w:sz w:val="6"/>
                <w:szCs w:val="6"/>
                <w:color w:val="auto"/>
              </w:rPr>
            </w:pPr>
          </w:p>
        </w:tc>
        <w:tc>
          <w:tcPr>
            <w:tcW w:w="2580" w:type="dxa"/>
            <w:vAlign w:val="bottom"/>
            <w:tcBorders>
              <w:right w:val="single" w:sz="8" w:color="56C271"/>
            </w:tcBorders>
            <w:vMerge w:val="restart"/>
          </w:tcPr>
          <w:p>
            <w:pPr>
              <w:ind w:left="80"/>
              <w:spacing w:after="0"/>
              <w:rPr>
                <w:sz w:val="20"/>
                <w:szCs w:val="20"/>
                <w:color w:val="auto"/>
              </w:rPr>
            </w:pPr>
            <w:r>
              <w:rPr>
                <w:rFonts w:ascii="Arial" w:cs="Arial" w:eastAsia="Arial" w:hAnsi="Arial"/>
                <w:sz w:val="18"/>
                <w:szCs w:val="18"/>
                <w:color w:val="auto"/>
              </w:rPr>
              <w:t>Individual Goals</w:t>
            </w:r>
          </w:p>
        </w:tc>
        <w:tc>
          <w:tcPr>
            <w:tcW w:w="920" w:type="dxa"/>
            <w:vAlign w:val="bottom"/>
            <w:tcBorders>
              <w:right w:val="single" w:sz="8" w:color="56C271"/>
            </w:tcBorders>
            <w:vMerge w:val="restart"/>
          </w:tcPr>
          <w:p>
            <w:pPr>
              <w:jc w:val="right"/>
              <w:ind w:right="133"/>
              <w:spacing w:after="0"/>
              <w:rPr>
                <w:sz w:val="20"/>
                <w:szCs w:val="20"/>
                <w:color w:val="auto"/>
              </w:rPr>
            </w:pPr>
            <w:r>
              <w:rPr>
                <w:rFonts w:ascii="Arial" w:cs="Arial" w:eastAsia="Arial" w:hAnsi="Arial"/>
                <w:sz w:val="18"/>
                <w:szCs w:val="18"/>
                <w:color w:val="auto"/>
              </w:rPr>
              <w:t>50%</w:t>
            </w:r>
          </w:p>
        </w:tc>
        <w:tc>
          <w:tcPr>
            <w:tcW w:w="2540" w:type="dxa"/>
            <w:vAlign w:val="bottom"/>
            <w:tcBorders>
              <w:right w:val="single" w:sz="8" w:color="56C271"/>
            </w:tcBorders>
            <w:vMerge w:val="restart"/>
          </w:tcPr>
          <w:p>
            <w:pPr>
              <w:jc w:val="center"/>
              <w:spacing w:after="0"/>
              <w:rPr>
                <w:sz w:val="20"/>
                <w:szCs w:val="20"/>
                <w:color w:val="auto"/>
              </w:rPr>
            </w:pPr>
            <w:r>
              <w:rPr>
                <w:rFonts w:ascii="Arial" w:cs="Arial" w:eastAsia="Arial" w:hAnsi="Arial"/>
                <w:sz w:val="18"/>
                <w:szCs w:val="18"/>
                <w:color w:val="auto"/>
                <w:w w:val="99"/>
              </w:rPr>
              <w:t>Individual contribution to the</w:t>
            </w:r>
          </w:p>
        </w:tc>
        <w:tc>
          <w:tcPr>
            <w:tcW w:w="0" w:type="dxa"/>
            <w:vAlign w:val="bottom"/>
          </w:tcPr>
          <w:p>
            <w:pPr>
              <w:spacing w:after="0"/>
              <w:rPr>
                <w:sz w:val="1"/>
                <w:szCs w:val="1"/>
                <w:color w:val="auto"/>
              </w:rPr>
            </w:pPr>
          </w:p>
        </w:tc>
      </w:tr>
      <w:tr>
        <w:trPr>
          <w:trHeight w:val="163"/>
        </w:trPr>
        <w:tc>
          <w:tcPr>
            <w:tcW w:w="1800" w:type="dxa"/>
            <w:vAlign w:val="bottom"/>
            <w:tcBorders>
              <w:left w:val="single" w:sz="8" w:color="56C271"/>
              <w:right w:val="single" w:sz="8" w:color="56C271"/>
            </w:tcBorders>
          </w:tcPr>
          <w:p>
            <w:pPr>
              <w:ind w:left="220"/>
              <w:spacing w:after="0" w:line="163" w:lineRule="exact"/>
              <w:rPr>
                <w:sz w:val="20"/>
                <w:szCs w:val="20"/>
                <w:color w:val="auto"/>
              </w:rPr>
            </w:pPr>
            <w:r>
              <w:rPr>
                <w:rFonts w:ascii="Arial" w:cs="Arial" w:eastAsia="Arial" w:hAnsi="Arial"/>
                <w:sz w:val="18"/>
                <w:szCs w:val="18"/>
                <w:color w:val="auto"/>
              </w:rPr>
              <w:t>Performance</w:t>
            </w:r>
          </w:p>
        </w:tc>
        <w:tc>
          <w:tcPr>
            <w:tcW w:w="920" w:type="dxa"/>
            <w:vAlign w:val="bottom"/>
            <w:tcBorders>
              <w:right w:val="single" w:sz="8" w:color="56C271"/>
            </w:tcBorders>
            <w:vMerge w:val="continue"/>
          </w:tcPr>
          <w:p>
            <w:pPr>
              <w:spacing w:after="0"/>
              <w:rPr>
                <w:sz w:val="14"/>
                <w:szCs w:val="14"/>
                <w:color w:val="auto"/>
              </w:rPr>
            </w:pPr>
          </w:p>
        </w:tc>
        <w:tc>
          <w:tcPr>
            <w:tcW w:w="2580" w:type="dxa"/>
            <w:vAlign w:val="bottom"/>
            <w:tcBorders>
              <w:right w:val="single" w:sz="8" w:color="56C271"/>
            </w:tcBorders>
            <w:vMerge w:val="continue"/>
          </w:tcPr>
          <w:p>
            <w:pPr>
              <w:spacing w:after="0"/>
              <w:rPr>
                <w:sz w:val="14"/>
                <w:szCs w:val="14"/>
                <w:color w:val="auto"/>
              </w:rPr>
            </w:pPr>
          </w:p>
        </w:tc>
        <w:tc>
          <w:tcPr>
            <w:tcW w:w="920" w:type="dxa"/>
            <w:vAlign w:val="bottom"/>
            <w:tcBorders>
              <w:right w:val="single" w:sz="8" w:color="56C271"/>
            </w:tcBorders>
            <w:vMerge w:val="continue"/>
          </w:tcPr>
          <w:p>
            <w:pPr>
              <w:spacing w:after="0"/>
              <w:rPr>
                <w:sz w:val="14"/>
                <w:szCs w:val="14"/>
                <w:color w:val="auto"/>
              </w:rPr>
            </w:pPr>
          </w:p>
        </w:tc>
        <w:tc>
          <w:tcPr>
            <w:tcW w:w="2540" w:type="dxa"/>
            <w:vAlign w:val="bottom"/>
            <w:tcBorders>
              <w:right w:val="single" w:sz="8" w:color="56C271"/>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800" w:type="dxa"/>
            <w:vAlign w:val="bottom"/>
            <w:tcBorders>
              <w:left w:val="single" w:sz="8" w:color="56C271"/>
              <w:right w:val="single" w:sz="8" w:color="56C271"/>
            </w:tcBorders>
          </w:tcPr>
          <w:p>
            <w:pPr>
              <w:spacing w:after="0"/>
              <w:rPr>
                <w:sz w:val="18"/>
                <w:szCs w:val="18"/>
                <w:color w:val="auto"/>
              </w:rPr>
            </w:pPr>
          </w:p>
        </w:tc>
        <w:tc>
          <w:tcPr>
            <w:tcW w:w="920" w:type="dxa"/>
            <w:vAlign w:val="bottom"/>
            <w:tcBorders>
              <w:right w:val="single" w:sz="8" w:color="56C271"/>
            </w:tcBorders>
          </w:tcPr>
          <w:p>
            <w:pPr>
              <w:spacing w:after="0"/>
              <w:rPr>
                <w:sz w:val="18"/>
                <w:szCs w:val="18"/>
                <w:color w:val="auto"/>
              </w:rPr>
            </w:pPr>
          </w:p>
        </w:tc>
        <w:tc>
          <w:tcPr>
            <w:tcW w:w="2580" w:type="dxa"/>
            <w:vAlign w:val="bottom"/>
            <w:tcBorders>
              <w:right w:val="single" w:sz="8" w:color="56C271"/>
            </w:tcBorders>
          </w:tcPr>
          <w:p>
            <w:pPr>
              <w:spacing w:after="0"/>
              <w:rPr>
                <w:sz w:val="18"/>
                <w:szCs w:val="18"/>
                <w:color w:val="auto"/>
              </w:rPr>
            </w:pPr>
          </w:p>
        </w:tc>
        <w:tc>
          <w:tcPr>
            <w:tcW w:w="920" w:type="dxa"/>
            <w:vAlign w:val="bottom"/>
            <w:tcBorders>
              <w:right w:val="single" w:sz="8" w:color="56C271"/>
            </w:tcBorders>
          </w:tcPr>
          <w:p>
            <w:pPr>
              <w:spacing w:after="0"/>
              <w:rPr>
                <w:sz w:val="18"/>
                <w:szCs w:val="18"/>
                <w:color w:val="auto"/>
              </w:rPr>
            </w:pPr>
          </w:p>
        </w:tc>
        <w:tc>
          <w:tcPr>
            <w:tcW w:w="2540" w:type="dxa"/>
            <w:vAlign w:val="bottom"/>
            <w:tcBorders>
              <w:right w:val="single" w:sz="8" w:color="56C271"/>
            </w:tcBorders>
          </w:tcPr>
          <w:p>
            <w:pPr>
              <w:jc w:val="center"/>
              <w:spacing w:after="0"/>
              <w:rPr>
                <w:sz w:val="20"/>
                <w:szCs w:val="20"/>
                <w:color w:val="auto"/>
              </w:rPr>
            </w:pPr>
            <w:r>
              <w:rPr>
                <w:rFonts w:ascii="Arial" w:cs="Arial" w:eastAsia="Arial" w:hAnsi="Arial"/>
                <w:sz w:val="18"/>
                <w:szCs w:val="18"/>
                <w:color w:val="auto"/>
                <w:w w:val="98"/>
              </w:rPr>
              <w:t>Avnet Leadership Team goals</w:t>
            </w:r>
          </w:p>
        </w:tc>
        <w:tc>
          <w:tcPr>
            <w:tcW w:w="0" w:type="dxa"/>
            <w:vAlign w:val="bottom"/>
          </w:tcPr>
          <w:p>
            <w:pPr>
              <w:spacing w:after="0"/>
              <w:rPr>
                <w:sz w:val="1"/>
                <w:szCs w:val="1"/>
                <w:color w:val="auto"/>
              </w:rPr>
            </w:pPr>
          </w:p>
        </w:tc>
      </w:tr>
      <w:tr>
        <w:trPr>
          <w:trHeight w:val="40"/>
        </w:trPr>
        <w:tc>
          <w:tcPr>
            <w:tcW w:w="1800" w:type="dxa"/>
            <w:vAlign w:val="bottom"/>
            <w:tcBorders>
              <w:left w:val="single" w:sz="8" w:color="56C271"/>
              <w:bottom w:val="single" w:sz="8" w:color="56C271"/>
              <w:right w:val="single" w:sz="8" w:color="56C271"/>
            </w:tcBorders>
          </w:tcPr>
          <w:p>
            <w:pPr>
              <w:spacing w:after="0"/>
              <w:rPr>
                <w:sz w:val="3"/>
                <w:szCs w:val="3"/>
                <w:color w:val="auto"/>
              </w:rPr>
            </w:pPr>
          </w:p>
        </w:tc>
        <w:tc>
          <w:tcPr>
            <w:tcW w:w="920" w:type="dxa"/>
            <w:vAlign w:val="bottom"/>
            <w:tcBorders>
              <w:bottom w:val="single" w:sz="8" w:color="56C271"/>
              <w:right w:val="single" w:sz="8" w:color="56C271"/>
            </w:tcBorders>
          </w:tcPr>
          <w:p>
            <w:pPr>
              <w:spacing w:after="0"/>
              <w:rPr>
                <w:sz w:val="3"/>
                <w:szCs w:val="3"/>
                <w:color w:val="auto"/>
              </w:rPr>
            </w:pPr>
          </w:p>
        </w:tc>
        <w:tc>
          <w:tcPr>
            <w:tcW w:w="2580" w:type="dxa"/>
            <w:vAlign w:val="bottom"/>
            <w:tcBorders>
              <w:bottom w:val="single" w:sz="8" w:color="56C271"/>
              <w:right w:val="single" w:sz="8" w:color="56C271"/>
            </w:tcBorders>
          </w:tcPr>
          <w:p>
            <w:pPr>
              <w:spacing w:after="0"/>
              <w:rPr>
                <w:sz w:val="3"/>
                <w:szCs w:val="3"/>
                <w:color w:val="auto"/>
              </w:rPr>
            </w:pPr>
          </w:p>
        </w:tc>
        <w:tc>
          <w:tcPr>
            <w:tcW w:w="920" w:type="dxa"/>
            <w:vAlign w:val="bottom"/>
            <w:tcBorders>
              <w:bottom w:val="single" w:sz="8" w:color="56C271"/>
              <w:right w:val="single" w:sz="8" w:color="56C271"/>
            </w:tcBorders>
          </w:tcPr>
          <w:p>
            <w:pPr>
              <w:spacing w:after="0"/>
              <w:rPr>
                <w:sz w:val="3"/>
                <w:szCs w:val="3"/>
                <w:color w:val="auto"/>
              </w:rPr>
            </w:pPr>
          </w:p>
        </w:tc>
        <w:tc>
          <w:tcPr>
            <w:tcW w:w="2540" w:type="dxa"/>
            <w:vAlign w:val="bottom"/>
            <w:tcBorders>
              <w:bottom w:val="single" w:sz="8" w:color="56C271"/>
              <w:right w:val="single" w:sz="8" w:color="56C271"/>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-1242695</wp:posOffset>
            </wp:positionV>
            <wp:extent cx="5537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37835" cy="8890"/>
                    </a:xfrm>
                    <a:prstGeom prst="rect">
                      <a:avLst/>
                    </a:prstGeom>
                    <a:noFill/>
                  </pic:spPr>
                </pic:pic>
              </a:graphicData>
            </a:graphic>
          </wp:anchor>
        </w:drawing>
      </w:r>
    </w:p>
    <w:p>
      <w:pPr>
        <w:spacing w:after="0" w:line="155" w:lineRule="exact"/>
        <w:rPr>
          <w:sz w:val="20"/>
          <w:szCs w:val="20"/>
          <w:color w:val="auto"/>
        </w:rPr>
      </w:pPr>
    </w:p>
    <w:p>
      <w:pPr>
        <w:jc w:val="both"/>
        <w:ind w:left="1360" w:right="459" w:hanging="370"/>
        <w:spacing w:after="0" w:line="273" w:lineRule="auto"/>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Mr. Chan’s annual cash incentive award was granted prior to him being promoted to Avnet Leadership Team. For this reason, his annual cash incentive award was granted under a different plan, which was based on the achievement of two financial performance goals: (1) OI$ and (2) ROWC, each weighted 50%. The target performance goals were the same as the NEO plan stated above.</w:t>
      </w:r>
    </w:p>
    <w:p>
      <w:pPr>
        <w:spacing w:after="0" w:line="88" w:lineRule="exact"/>
        <w:rPr>
          <w:sz w:val="20"/>
          <w:szCs w:val="20"/>
          <w:color w:val="auto"/>
        </w:rPr>
      </w:pPr>
    </w:p>
    <w:p>
      <w:pPr>
        <w:ind w:left="1000" w:right="639"/>
        <w:spacing w:after="0" w:line="253" w:lineRule="auto"/>
        <w:rPr>
          <w:sz w:val="20"/>
          <w:szCs w:val="20"/>
          <w:color w:val="auto"/>
        </w:rPr>
      </w:pPr>
      <w:r>
        <w:rPr>
          <w:rFonts w:ascii="Arial" w:cs="Arial" w:eastAsia="Arial" w:hAnsi="Arial"/>
          <w:sz w:val="18"/>
          <w:szCs w:val="18"/>
          <w:b w:val="1"/>
          <w:bCs w:val="1"/>
          <w:color w:val="56C271"/>
        </w:rPr>
        <w:t xml:space="preserve">Target Annual Cash Incentive. </w:t>
      </w:r>
      <w:r>
        <w:rPr>
          <w:rFonts w:ascii="Arial" w:cs="Arial" w:eastAsia="Arial" w:hAnsi="Arial"/>
          <w:sz w:val="18"/>
          <w:szCs w:val="18"/>
          <w:color w:val="000000"/>
        </w:rPr>
        <w:t>The Committee sets each NEO’s target incentive opportunity based on</w:t>
      </w:r>
      <w:r>
        <w:rPr>
          <w:rFonts w:ascii="Arial" w:cs="Arial" w:eastAsia="Arial" w:hAnsi="Arial"/>
          <w:sz w:val="18"/>
          <w:szCs w:val="18"/>
          <w:b w:val="1"/>
          <w:bCs w:val="1"/>
          <w:color w:val="56C271"/>
        </w:rPr>
        <w:t xml:space="preserve"> </w:t>
      </w:r>
      <w:r>
        <w:rPr>
          <w:rFonts w:ascii="Arial" w:cs="Arial" w:eastAsia="Arial" w:hAnsi="Arial"/>
          <w:sz w:val="18"/>
          <w:szCs w:val="18"/>
          <w:color w:val="000000"/>
        </w:rPr>
        <w:t>market competitive data, internal equity, and other factors. The annualized target annual cash incentive compensation for fiscal 2020 and fiscal 2021 for the NEOs is set forth in the following table:</w:t>
      </w:r>
    </w:p>
    <w:p>
      <w:pPr>
        <w:spacing w:after="0" w:line="16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34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NEO</w:t>
            </w:r>
          </w:p>
        </w:tc>
        <w:tc>
          <w:tcPr>
            <w:tcW w:w="2440" w:type="dxa"/>
            <w:vAlign w:val="bottom"/>
            <w:shd w:val="clear" w:color="auto" w:fill="56C271"/>
          </w:tcPr>
          <w:p>
            <w:pPr>
              <w:spacing w:after="0"/>
              <w:rPr>
                <w:sz w:val="18"/>
                <w:szCs w:val="18"/>
                <w:color w:val="auto"/>
              </w:rPr>
            </w:pPr>
          </w:p>
        </w:tc>
        <w:tc>
          <w:tcPr>
            <w:tcW w:w="920" w:type="dxa"/>
            <w:vAlign w:val="bottom"/>
            <w:shd w:val="clear" w:color="auto" w:fill="56C271"/>
          </w:tcPr>
          <w:p>
            <w:pPr>
              <w:jc w:val="right"/>
              <w:ind w:right="32"/>
              <w:spacing w:after="0"/>
              <w:rPr>
                <w:sz w:val="20"/>
                <w:szCs w:val="20"/>
                <w:color w:val="auto"/>
              </w:rPr>
            </w:pPr>
            <w:r>
              <w:rPr>
                <w:rFonts w:ascii="Arial" w:cs="Arial" w:eastAsia="Arial" w:hAnsi="Arial"/>
                <w:sz w:val="14"/>
                <w:szCs w:val="14"/>
                <w:b w:val="1"/>
                <w:bCs w:val="1"/>
                <w:color w:val="FEFEFE"/>
              </w:rPr>
              <w:t>FY 2020</w:t>
            </w:r>
          </w:p>
        </w:tc>
        <w:tc>
          <w:tcPr>
            <w:tcW w:w="220" w:type="dxa"/>
            <w:vAlign w:val="bottom"/>
            <w:shd w:val="clear" w:color="auto" w:fill="56C271"/>
          </w:tcPr>
          <w:p>
            <w:pPr>
              <w:spacing w:after="0"/>
              <w:rPr>
                <w:sz w:val="18"/>
                <w:szCs w:val="18"/>
                <w:color w:val="auto"/>
              </w:rPr>
            </w:pPr>
          </w:p>
        </w:tc>
        <w:tc>
          <w:tcPr>
            <w:tcW w:w="920" w:type="dxa"/>
            <w:vAlign w:val="bottom"/>
            <w:shd w:val="clear" w:color="auto" w:fill="56C271"/>
          </w:tcPr>
          <w:p>
            <w:pPr>
              <w:jc w:val="right"/>
              <w:ind w:right="32"/>
              <w:spacing w:after="0"/>
              <w:rPr>
                <w:sz w:val="20"/>
                <w:szCs w:val="20"/>
                <w:color w:val="auto"/>
              </w:rPr>
            </w:pPr>
            <w:r>
              <w:rPr>
                <w:rFonts w:ascii="Arial" w:cs="Arial" w:eastAsia="Arial" w:hAnsi="Arial"/>
                <w:sz w:val="14"/>
                <w:szCs w:val="14"/>
                <w:b w:val="1"/>
                <w:bCs w:val="1"/>
                <w:color w:val="FEFEFE"/>
              </w:rPr>
              <w:t>FY 2021</w:t>
            </w:r>
          </w:p>
        </w:tc>
        <w:tc>
          <w:tcPr>
            <w:tcW w:w="920" w:type="dxa"/>
            <w:vAlign w:val="bottom"/>
            <w:shd w:val="clear" w:color="auto" w:fill="56C271"/>
          </w:tcPr>
          <w:p>
            <w:pPr>
              <w:jc w:val="right"/>
              <w:ind w:right="32"/>
              <w:spacing w:after="0"/>
              <w:rPr>
                <w:sz w:val="20"/>
                <w:szCs w:val="20"/>
                <w:color w:val="auto"/>
              </w:rPr>
            </w:pPr>
            <w:r>
              <w:rPr>
                <w:rFonts w:ascii="Arial" w:cs="Arial" w:eastAsia="Arial" w:hAnsi="Arial"/>
                <w:sz w:val="14"/>
                <w:szCs w:val="14"/>
                <w:b w:val="1"/>
                <w:bCs w:val="1"/>
                <w:color w:val="FEFEFE"/>
              </w:rPr>
              <w:t>% Change</w:t>
            </w:r>
          </w:p>
        </w:tc>
      </w:tr>
      <w:tr>
        <w:trPr>
          <w:trHeight w:val="283"/>
        </w:trPr>
        <w:tc>
          <w:tcPr>
            <w:tcW w:w="3340" w:type="dxa"/>
            <w:vAlign w:val="bottom"/>
          </w:tcPr>
          <w:p>
            <w:pPr>
              <w:ind w:left="100"/>
              <w:spacing w:after="0"/>
              <w:rPr>
                <w:sz w:val="20"/>
                <w:szCs w:val="20"/>
                <w:color w:val="auto"/>
              </w:rPr>
            </w:pPr>
            <w:r>
              <w:rPr>
                <w:rFonts w:ascii="Arial" w:cs="Arial" w:eastAsia="Arial" w:hAnsi="Arial"/>
                <w:sz w:val="18"/>
                <w:szCs w:val="18"/>
                <w:color w:val="auto"/>
              </w:rPr>
              <w:t>Gallagher</w:t>
            </w:r>
            <w:r>
              <w:rPr>
                <w:rFonts w:ascii="Arial" w:cs="Arial" w:eastAsia="Arial" w:hAnsi="Arial"/>
                <w:sz w:val="23"/>
                <w:szCs w:val="23"/>
                <w:color w:val="auto"/>
                <w:vertAlign w:val="superscript"/>
              </w:rPr>
              <w:t>(1)</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1,500,000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165%</w:t>
            </w:r>
          </w:p>
        </w:tc>
      </w:tr>
      <w:tr>
        <w:trPr>
          <w:trHeight w:val="257"/>
        </w:trPr>
        <w:tc>
          <w:tcPr>
            <w:tcW w:w="33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Liguori</w:t>
            </w:r>
          </w:p>
        </w:tc>
        <w:tc>
          <w:tcPr>
            <w:tcW w:w="24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530,000</w:t>
            </w:r>
          </w:p>
        </w:tc>
        <w:tc>
          <w:tcPr>
            <w:tcW w:w="2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530,000</w:t>
            </w:r>
          </w:p>
        </w:tc>
        <w:tc>
          <w:tcPr>
            <w:tcW w:w="92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0%</w:t>
            </w:r>
          </w:p>
        </w:tc>
      </w:tr>
      <w:tr>
        <w:trPr>
          <w:trHeight w:val="256"/>
        </w:trPr>
        <w:tc>
          <w:tcPr>
            <w:tcW w:w="3340" w:type="dxa"/>
            <w:vAlign w:val="bottom"/>
          </w:tcPr>
          <w:p>
            <w:pPr>
              <w:ind w:left="100"/>
              <w:spacing w:after="0"/>
              <w:rPr>
                <w:sz w:val="20"/>
                <w:szCs w:val="20"/>
                <w:color w:val="auto"/>
              </w:rPr>
            </w:pPr>
            <w:r>
              <w:rPr>
                <w:rFonts w:ascii="Arial" w:cs="Arial" w:eastAsia="Arial" w:hAnsi="Arial"/>
                <w:sz w:val="18"/>
                <w:szCs w:val="18"/>
                <w:color w:val="auto"/>
              </w:rPr>
              <w:t>Arnold</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273,000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w:t>
            </w:r>
          </w:p>
        </w:tc>
      </w:tr>
      <w:tr>
        <w:trPr>
          <w:trHeight w:val="257"/>
        </w:trPr>
        <w:tc>
          <w:tcPr>
            <w:tcW w:w="33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Chan</w:t>
            </w:r>
          </w:p>
        </w:tc>
        <w:tc>
          <w:tcPr>
            <w:tcW w:w="24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155,000</w:t>
            </w:r>
          </w:p>
        </w:tc>
        <w:tc>
          <w:tcPr>
            <w:tcW w:w="2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155,000</w:t>
            </w:r>
          </w:p>
        </w:tc>
        <w:tc>
          <w:tcPr>
            <w:tcW w:w="92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0%</w:t>
            </w:r>
          </w:p>
        </w:tc>
      </w:tr>
      <w:tr>
        <w:trPr>
          <w:trHeight w:val="283"/>
        </w:trPr>
        <w:tc>
          <w:tcPr>
            <w:tcW w:w="3340" w:type="dxa"/>
            <w:vAlign w:val="bottom"/>
          </w:tcPr>
          <w:p>
            <w:pPr>
              <w:ind w:left="100"/>
              <w:spacing w:after="0"/>
              <w:rPr>
                <w:sz w:val="20"/>
                <w:szCs w:val="20"/>
                <w:color w:val="auto"/>
              </w:rPr>
            </w:pPr>
            <w:r>
              <w:rPr>
                <w:rFonts w:ascii="Arial" w:cs="Arial" w:eastAsia="Arial" w:hAnsi="Arial"/>
                <w:sz w:val="18"/>
                <w:szCs w:val="18"/>
                <w:color w:val="auto"/>
              </w:rPr>
              <w:t>McCoy</w:t>
            </w:r>
            <w:r>
              <w:rPr>
                <w:rFonts w:ascii="Arial" w:cs="Arial" w:eastAsia="Arial" w:hAnsi="Arial"/>
                <w:sz w:val="23"/>
                <w:szCs w:val="23"/>
                <w:color w:val="auto"/>
                <w:vertAlign w:val="superscript"/>
              </w:rPr>
              <w:t>(2)</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109,771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292,500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166%</w:t>
            </w:r>
          </w:p>
        </w:tc>
      </w:tr>
      <w:tr>
        <w:trPr>
          <w:trHeight w:val="284"/>
        </w:trPr>
        <w:tc>
          <w:tcPr>
            <w:tcW w:w="33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Amelio</w:t>
            </w:r>
            <w:r>
              <w:rPr>
                <w:rFonts w:ascii="Arial" w:cs="Arial" w:eastAsia="Arial" w:hAnsi="Arial"/>
                <w:sz w:val="23"/>
                <w:szCs w:val="23"/>
                <w:color w:val="auto"/>
                <w:vertAlign w:val="superscript"/>
              </w:rPr>
              <w:t>(3)</w:t>
            </w:r>
          </w:p>
        </w:tc>
        <w:tc>
          <w:tcPr>
            <w:tcW w:w="24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w w:val="97"/>
              </w:rPr>
              <w:t>1,500,000</w:t>
            </w:r>
          </w:p>
        </w:tc>
        <w:tc>
          <w:tcPr>
            <w:tcW w:w="220" w:type="dxa"/>
            <w:vAlign w:val="bottom"/>
            <w:shd w:val="clear" w:color="auto" w:fill="CCEDD4"/>
          </w:tcPr>
          <w:p>
            <w:pPr>
              <w:spacing w:after="0"/>
              <w:rPr>
                <w:sz w:val="24"/>
                <w:szCs w:val="24"/>
                <w:color w:val="auto"/>
              </w:rPr>
            </w:pPr>
          </w:p>
        </w:tc>
        <w:tc>
          <w:tcPr>
            <w:tcW w:w="92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N/A</w:t>
            </w:r>
          </w:p>
        </w:tc>
      </w:tr>
      <w:tr>
        <w:trPr>
          <w:trHeight w:val="283"/>
        </w:trPr>
        <w:tc>
          <w:tcPr>
            <w:tcW w:w="3340" w:type="dxa"/>
            <w:vAlign w:val="bottom"/>
          </w:tcPr>
          <w:p>
            <w:pPr>
              <w:ind w:left="100"/>
              <w:spacing w:after="0"/>
              <w:rPr>
                <w:sz w:val="20"/>
                <w:szCs w:val="20"/>
                <w:color w:val="auto"/>
              </w:rPr>
            </w:pPr>
            <w:r>
              <w:rPr>
                <w:rFonts w:ascii="Arial" w:cs="Arial" w:eastAsia="Arial" w:hAnsi="Arial"/>
                <w:sz w:val="18"/>
                <w:szCs w:val="18"/>
                <w:color w:val="auto"/>
              </w:rPr>
              <w:t>Bartolotta</w:t>
            </w:r>
            <w:r>
              <w:rPr>
                <w:rFonts w:ascii="Arial" w:cs="Arial" w:eastAsia="Arial" w:hAnsi="Arial"/>
                <w:sz w:val="23"/>
                <w:szCs w:val="23"/>
                <w:color w:val="auto"/>
                <w:vertAlign w:val="superscript"/>
              </w:rPr>
              <w:t>(4)</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550,000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w:t>
            </w:r>
          </w:p>
        </w:tc>
      </w:tr>
      <w:tr>
        <w:trPr>
          <w:trHeight w:val="277"/>
        </w:trPr>
        <w:tc>
          <w:tcPr>
            <w:tcW w:w="3340" w:type="dxa"/>
            <w:vAlign w:val="bottom"/>
            <w:tcBorders>
              <w:bottom w:val="single" w:sz="8" w:color="CCEDD4"/>
            </w:tcBorders>
            <w:shd w:val="clear" w:color="auto" w:fill="CCEDD4"/>
          </w:tcPr>
          <w:p>
            <w:pPr>
              <w:ind w:left="100"/>
              <w:spacing w:after="0"/>
              <w:rPr>
                <w:sz w:val="20"/>
                <w:szCs w:val="20"/>
                <w:color w:val="auto"/>
              </w:rPr>
            </w:pPr>
            <w:r>
              <w:rPr>
                <w:rFonts w:ascii="Arial" w:cs="Arial" w:eastAsia="Arial" w:hAnsi="Arial"/>
                <w:sz w:val="18"/>
                <w:szCs w:val="18"/>
                <w:color w:val="auto"/>
              </w:rPr>
              <w:t>Miller</w:t>
            </w:r>
          </w:p>
        </w:tc>
        <w:tc>
          <w:tcPr>
            <w:tcW w:w="244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DD4"/>
            </w:tcBorders>
            <w:shd w:val="clear" w:color="auto" w:fill="CCEDD4"/>
          </w:tcPr>
          <w:p>
            <w:pPr>
              <w:jc w:val="right"/>
              <w:ind w:right="32"/>
              <w:spacing w:after="0"/>
              <w:rPr>
                <w:sz w:val="20"/>
                <w:szCs w:val="20"/>
                <w:color w:val="auto"/>
              </w:rPr>
            </w:pPr>
            <w:r>
              <w:rPr>
                <w:rFonts w:ascii="Arial" w:cs="Arial" w:eastAsia="Arial" w:hAnsi="Arial"/>
                <w:sz w:val="18"/>
                <w:szCs w:val="18"/>
                <w:color w:val="auto"/>
              </w:rPr>
              <w:t>410,000</w:t>
            </w:r>
          </w:p>
        </w:tc>
        <w:tc>
          <w:tcPr>
            <w:tcW w:w="2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DD4"/>
            </w:tcBorders>
            <w:shd w:val="clear" w:color="auto" w:fill="CCEDD4"/>
          </w:tcPr>
          <w:p>
            <w:pPr>
              <w:jc w:val="right"/>
              <w:ind w:right="12"/>
              <w:spacing w:after="0"/>
              <w:rPr>
                <w:sz w:val="20"/>
                <w:szCs w:val="20"/>
                <w:color w:val="auto"/>
              </w:rPr>
            </w:pPr>
            <w:r>
              <w:rPr>
                <w:rFonts w:ascii="Arial" w:cs="Arial" w:eastAsia="Arial" w:hAnsi="Arial"/>
                <w:sz w:val="18"/>
                <w:szCs w:val="18"/>
                <w:color w:val="auto"/>
              </w:rPr>
              <w:t>410,000</w:t>
            </w:r>
          </w:p>
        </w:tc>
        <w:tc>
          <w:tcPr>
            <w:tcW w:w="920" w:type="dxa"/>
            <w:vAlign w:val="bottom"/>
            <w:tcBorders>
              <w:bottom w:val="single" w:sz="8" w:color="CCEDD4"/>
            </w:tcBorders>
            <w:shd w:val="clear" w:color="auto" w:fill="CCEDD4"/>
          </w:tcPr>
          <w:p>
            <w:pPr>
              <w:jc w:val="right"/>
              <w:ind w:right="32"/>
              <w:spacing w:after="0"/>
              <w:rPr>
                <w:sz w:val="20"/>
                <w:szCs w:val="20"/>
                <w:color w:val="auto"/>
              </w:rPr>
            </w:pPr>
            <w:r>
              <w:rPr>
                <w:rFonts w:ascii="Arial" w:cs="Arial" w:eastAsia="Arial" w:hAnsi="Arial"/>
                <w:sz w:val="18"/>
                <w:szCs w:val="18"/>
                <w:color w:val="auto"/>
              </w:rPr>
              <w:t>0%</w:t>
            </w:r>
          </w:p>
        </w:tc>
      </w:tr>
      <w:tr>
        <w:trPr>
          <w:trHeight w:val="27"/>
        </w:trPr>
        <w:tc>
          <w:tcPr>
            <w:tcW w:w="3340" w:type="dxa"/>
            <w:vAlign w:val="bottom"/>
            <w:shd w:val="clear" w:color="auto" w:fill="56C271"/>
          </w:tcPr>
          <w:p>
            <w:pPr>
              <w:spacing w:after="0"/>
              <w:rPr>
                <w:sz w:val="2"/>
                <w:szCs w:val="2"/>
                <w:color w:val="auto"/>
              </w:rPr>
            </w:pPr>
          </w:p>
        </w:tc>
        <w:tc>
          <w:tcPr>
            <w:tcW w:w="2440" w:type="dxa"/>
            <w:vAlign w:val="bottom"/>
            <w:shd w:val="clear" w:color="auto" w:fill="56C271"/>
          </w:tcPr>
          <w:p>
            <w:pPr>
              <w:spacing w:after="0"/>
              <w:rPr>
                <w:sz w:val="2"/>
                <w:szCs w:val="2"/>
                <w:color w:val="auto"/>
              </w:rPr>
            </w:pPr>
          </w:p>
        </w:tc>
        <w:tc>
          <w:tcPr>
            <w:tcW w:w="920" w:type="dxa"/>
            <w:vAlign w:val="bottom"/>
            <w:shd w:val="clear" w:color="auto" w:fill="56C271"/>
          </w:tcPr>
          <w:p>
            <w:pPr>
              <w:spacing w:after="0"/>
              <w:rPr>
                <w:sz w:val="2"/>
                <w:szCs w:val="2"/>
                <w:color w:val="auto"/>
              </w:rPr>
            </w:pPr>
          </w:p>
        </w:tc>
        <w:tc>
          <w:tcPr>
            <w:tcW w:w="220" w:type="dxa"/>
            <w:vAlign w:val="bottom"/>
            <w:shd w:val="clear" w:color="auto" w:fill="56C271"/>
          </w:tcPr>
          <w:p>
            <w:pPr>
              <w:spacing w:after="0"/>
              <w:rPr>
                <w:sz w:val="2"/>
                <w:szCs w:val="2"/>
                <w:color w:val="auto"/>
              </w:rPr>
            </w:pPr>
          </w:p>
        </w:tc>
        <w:tc>
          <w:tcPr>
            <w:tcW w:w="920" w:type="dxa"/>
            <w:vAlign w:val="bottom"/>
            <w:shd w:val="clear" w:color="auto" w:fill="56C271"/>
          </w:tcPr>
          <w:p>
            <w:pPr>
              <w:spacing w:after="0"/>
              <w:rPr>
                <w:sz w:val="2"/>
                <w:szCs w:val="2"/>
                <w:color w:val="auto"/>
              </w:rPr>
            </w:pPr>
          </w:p>
        </w:tc>
        <w:tc>
          <w:tcPr>
            <w:tcW w:w="920" w:type="dxa"/>
            <w:vAlign w:val="bottom"/>
            <w:shd w:val="clear" w:color="auto" w:fill="56C271"/>
          </w:tcPr>
          <w:p>
            <w:pPr>
              <w:spacing w:after="0"/>
              <w:rPr>
                <w:sz w:val="2"/>
                <w:szCs w:val="2"/>
                <w:color w:val="auto"/>
              </w:rPr>
            </w:pPr>
          </w:p>
        </w:tc>
      </w:tr>
    </w:tbl>
    <w:p>
      <w:pPr>
        <w:spacing w:after="0" w:line="67" w:lineRule="exact"/>
        <w:rPr>
          <w:sz w:val="20"/>
          <w:szCs w:val="20"/>
          <w:color w:val="auto"/>
        </w:rPr>
      </w:pPr>
    </w:p>
    <w:p>
      <w:pPr>
        <w:ind w:left="1820" w:right="839" w:hanging="722"/>
        <w:spacing w:after="0" w:line="261" w:lineRule="auto"/>
        <w:tabs>
          <w:tab w:leader="none" w:pos="1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Gallagher’s target annual cash incentive increased for fiscal 2021 in connection with his promotion to CEO.</w:t>
      </w:r>
    </w:p>
    <w:p>
      <w:pPr>
        <w:spacing w:after="0" w:line="35" w:lineRule="exact"/>
        <w:rPr>
          <w:rFonts w:ascii="Arial" w:cs="Arial" w:eastAsia="Arial" w:hAnsi="Arial"/>
          <w:sz w:val="18"/>
          <w:szCs w:val="18"/>
          <w:color w:val="auto"/>
        </w:rPr>
      </w:pPr>
    </w:p>
    <w:p>
      <w:pPr>
        <w:ind w:left="1820" w:right="219" w:hanging="722"/>
        <w:spacing w:after="0" w:line="261" w:lineRule="auto"/>
        <w:tabs>
          <w:tab w:leader="none" w:pos="1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McCoy’s target annual cash incentive increased for fiscal 2021 in connection with his promotion to Senior Vice President, Chief Legal Officer and General Counsel in April 2020.</w:t>
      </w:r>
    </w:p>
    <w:p>
      <w:pPr>
        <w:spacing w:after="0" w:line="35" w:lineRule="exact"/>
        <w:rPr>
          <w:rFonts w:ascii="Arial" w:cs="Arial" w:eastAsia="Arial" w:hAnsi="Arial"/>
          <w:sz w:val="18"/>
          <w:szCs w:val="18"/>
          <w:color w:val="auto"/>
        </w:rPr>
      </w:pPr>
    </w:p>
    <w:p>
      <w:pPr>
        <w:ind w:left="1820" w:right="399" w:hanging="722"/>
        <w:spacing w:after="0" w:line="254" w:lineRule="auto"/>
        <w:tabs>
          <w:tab w:leader="none" w:pos="1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the time of Mr. Amelio’s departure, the fiscal 2021 incentive awards had not yet been granted. Under the terms of his separation agreement, Mr. Amelio was not granted fiscal 2021 incentive awards, but rather received the lump sum separation payment equal to one year of base pay and the target incentive bonus in accordance with his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95885</wp:posOffset>
            </wp:positionV>
            <wp:extent cx="1482725" cy="291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820" w:right="159" w:hanging="722"/>
        <w:spacing w:after="0" w:line="256" w:lineRule="auto"/>
        <w:tabs>
          <w:tab w:leader="none" w:pos="1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Bartolotta was granted the fiscal 2021 annual cash incentive award prior to his separation date. Under the terms of his separation agreement, actual payment was prorated based on his separation date.</w:t>
      </w:r>
    </w:p>
    <w:p>
      <w:pPr>
        <w:spacing w:after="0" w:line="99" w:lineRule="exact"/>
        <w:rPr>
          <w:sz w:val="20"/>
          <w:szCs w:val="20"/>
          <w:color w:val="auto"/>
        </w:rPr>
      </w:pPr>
    </w:p>
    <w:p>
      <w:pPr>
        <w:ind w:left="1000" w:right="179"/>
        <w:spacing w:after="0" w:line="255" w:lineRule="auto"/>
        <w:rPr>
          <w:sz w:val="20"/>
          <w:szCs w:val="20"/>
          <w:color w:val="auto"/>
        </w:rPr>
      </w:pPr>
      <w:r>
        <w:rPr>
          <w:rFonts w:ascii="Arial" w:cs="Arial" w:eastAsia="Arial" w:hAnsi="Arial"/>
          <w:sz w:val="18"/>
          <w:szCs w:val="18"/>
          <w:b w:val="1"/>
          <w:bCs w:val="1"/>
          <w:color w:val="56C271"/>
        </w:rPr>
        <w:t xml:space="preserve">Financial Performance Metrics. </w:t>
      </w:r>
      <w:r>
        <w:rPr>
          <w:rFonts w:ascii="Arial" w:cs="Arial" w:eastAsia="Arial" w:hAnsi="Arial"/>
          <w:sz w:val="18"/>
          <w:szCs w:val="18"/>
          <w:color w:val="000000"/>
        </w:rPr>
        <w:t>For applicable NEOs, 80% of their target annual cash incentive</w:t>
      </w:r>
      <w:r>
        <w:rPr>
          <w:rFonts w:ascii="Arial" w:cs="Arial" w:eastAsia="Arial" w:hAnsi="Arial"/>
          <w:sz w:val="18"/>
          <w:szCs w:val="18"/>
          <w:b w:val="1"/>
          <w:bCs w:val="1"/>
          <w:color w:val="56C271"/>
        </w:rPr>
        <w:t xml:space="preserve"> </w:t>
      </w:r>
      <w:r>
        <w:rPr>
          <w:rFonts w:ascii="Arial" w:cs="Arial" w:eastAsia="Arial" w:hAnsi="Arial"/>
          <w:sz w:val="18"/>
          <w:szCs w:val="18"/>
          <w:color w:val="000000"/>
        </w:rPr>
        <w:t>compensation was tied to the achievement of financial performance goals. Such goals are reviewed in conjunction with the Company’s budget for the upcoming fiscal year. When determining the budget, the Board seeks to ensure that it is fair, challenging, and forward-looking, without encouraging excessive risk-taking. Additionally, when determining the fiscal 2021 budget, the Board considered the Company’s results in fiscal 2020 projected growth and the operating environment as projected by industry analysts. At its November 2020 meeting, the Committee or the Board, as appropriate, finalized the financial performance goals and the target cash incentive compensation relating to such financial performance goals.</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Financial performance goals were based on the percentage achievement of the Company’s fiscal 2021:</w:t>
      </w:r>
    </w:p>
    <w:p>
      <w:pPr>
        <w:spacing w:after="0" w:line="9" w:lineRule="exact"/>
        <w:rPr>
          <w:sz w:val="20"/>
          <w:szCs w:val="20"/>
          <w:color w:val="auto"/>
        </w:rPr>
      </w:pPr>
    </w:p>
    <w:p>
      <w:pPr>
        <w:jc w:val="both"/>
        <w:ind w:left="1000" w:right="159" w:hanging="10"/>
        <w:spacing w:after="0" w:line="291" w:lineRule="auto"/>
        <w:tabs>
          <w:tab w:leader="none" w:pos="1268" w:val="left"/>
        </w:tabs>
        <w:numPr>
          <w:ilvl w:val="0"/>
          <w:numId w:val="56"/>
        </w:numPr>
        <w:rPr>
          <w:rFonts w:ascii="Arial" w:cs="Arial" w:eastAsia="Arial" w:hAnsi="Arial"/>
          <w:sz w:val="17"/>
          <w:szCs w:val="17"/>
          <w:color w:val="auto"/>
        </w:rPr>
      </w:pPr>
      <w:r>
        <w:rPr>
          <w:rFonts w:ascii="Arial" w:cs="Arial" w:eastAsia="Arial" w:hAnsi="Arial"/>
          <w:sz w:val="17"/>
          <w:szCs w:val="17"/>
          <w:color w:val="auto"/>
        </w:rPr>
        <w:t>Operating Income Dollars (“OI$)”), (2) Return on Working Capital (“ROWC”) and (3) Relative Market Share. These measures were selected to drive profitable growth. For purposes of determining Relative Market Share:</w:t>
      </w:r>
    </w:p>
    <w:p>
      <w:pPr>
        <w:spacing w:after="0" w:line="65" w:lineRule="exact"/>
        <w:rPr>
          <w:rFonts w:ascii="Arial" w:cs="Arial" w:eastAsia="Arial" w:hAnsi="Arial"/>
          <w:sz w:val="17"/>
          <w:szCs w:val="17"/>
          <w:color w:val="auto"/>
        </w:rPr>
      </w:pPr>
    </w:p>
    <w:p>
      <w:pPr>
        <w:ind w:left="1620" w:right="159" w:hanging="270"/>
        <w:spacing w:after="0" w:line="254" w:lineRule="auto"/>
        <w:tabs>
          <w:tab w:leader="none" w:pos="1620" w:val="left"/>
        </w:tabs>
        <w:numPr>
          <w:ilvl w:val="1"/>
          <w:numId w:val="56"/>
        </w:numPr>
        <w:rPr>
          <w:rFonts w:ascii="Arial" w:cs="Arial" w:eastAsia="Arial" w:hAnsi="Arial"/>
          <w:sz w:val="18"/>
          <w:szCs w:val="18"/>
          <w:color w:val="56C271"/>
        </w:rPr>
      </w:pPr>
      <w:r>
        <w:rPr>
          <w:rFonts w:ascii="Arial" w:cs="Arial" w:eastAsia="Arial" w:hAnsi="Arial"/>
          <w:sz w:val="18"/>
          <w:szCs w:val="18"/>
          <w:color w:val="auto"/>
        </w:rPr>
        <w:t>Relative Market Share is defined as the year-over-year percentage change in the Company’s market share in fiscal 2021 vs. fiscal 2020 utilizing a supplier group selected as representative of the broader distribution total available market and based on supplier provided data. This historically has been used as an internal metric.</w:t>
      </w:r>
    </w:p>
    <w:p>
      <w:pPr>
        <w:spacing w:after="0" w:line="95" w:lineRule="exact"/>
        <w:rPr>
          <w:rFonts w:ascii="Arial" w:cs="Arial" w:eastAsia="Arial" w:hAnsi="Arial"/>
          <w:sz w:val="18"/>
          <w:szCs w:val="18"/>
          <w:color w:val="56C271"/>
        </w:rPr>
      </w:pPr>
    </w:p>
    <w:p>
      <w:pPr>
        <w:ind w:left="1620" w:right="379" w:hanging="270"/>
        <w:spacing w:after="0" w:line="261" w:lineRule="auto"/>
        <w:tabs>
          <w:tab w:leader="none" w:pos="1620" w:val="left"/>
        </w:tabs>
        <w:numPr>
          <w:ilvl w:val="1"/>
          <w:numId w:val="56"/>
        </w:numPr>
        <w:rPr>
          <w:rFonts w:ascii="Arial" w:cs="Arial" w:eastAsia="Arial" w:hAnsi="Arial"/>
          <w:sz w:val="18"/>
          <w:szCs w:val="18"/>
          <w:color w:val="56C271"/>
        </w:rPr>
      </w:pPr>
      <w:r>
        <w:rPr>
          <w:rFonts w:ascii="Arial" w:cs="Arial" w:eastAsia="Arial" w:hAnsi="Arial"/>
          <w:sz w:val="18"/>
          <w:szCs w:val="18"/>
          <w:color w:val="auto"/>
        </w:rPr>
        <w:t>Suppliers included represent the largest suppliers which also share lines with Arrow Electronics, but exclude Texas Instruments and both the Company’s and Arrow Electronic’s exclusive lines.</w:t>
      </w:r>
    </w:p>
    <w:p>
      <w:pPr>
        <w:spacing w:after="0" w:line="130" w:lineRule="exact"/>
        <w:rPr>
          <w:sz w:val="20"/>
          <w:szCs w:val="20"/>
          <w:color w:val="auto"/>
        </w:rPr>
      </w:pPr>
    </w:p>
    <w:p>
      <w:pPr>
        <w:ind w:left="1000" w:right="139"/>
        <w:spacing w:after="0" w:line="256" w:lineRule="auto"/>
        <w:rPr>
          <w:sz w:val="20"/>
          <w:szCs w:val="20"/>
          <w:color w:val="auto"/>
        </w:rPr>
      </w:pPr>
      <w:r>
        <w:rPr>
          <w:rFonts w:ascii="Arial" w:cs="Arial" w:eastAsia="Arial" w:hAnsi="Arial"/>
          <w:sz w:val="18"/>
          <w:szCs w:val="18"/>
          <w:color w:val="auto"/>
        </w:rPr>
        <w:t>Maximum annual cash incentive compensation relating to the financial performance goals was capped at 200% of target and no cash incentive compensation would be earned if actual performance was less than 80% of the financial targets.</w:t>
      </w:r>
    </w:p>
    <w:p>
      <w:pPr>
        <w:spacing w:after="0" w:line="112" w:lineRule="exact"/>
        <w:rPr>
          <w:sz w:val="20"/>
          <w:szCs w:val="20"/>
          <w:color w:val="auto"/>
        </w:rPr>
      </w:pPr>
    </w:p>
    <w:p>
      <w:pPr>
        <w:jc w:val="both"/>
        <w:ind w:left="1000" w:right="659"/>
        <w:spacing w:after="0" w:line="268" w:lineRule="auto"/>
        <w:rPr>
          <w:sz w:val="20"/>
          <w:szCs w:val="20"/>
          <w:color w:val="auto"/>
        </w:rPr>
      </w:pPr>
      <w:r>
        <w:rPr>
          <w:rFonts w:ascii="Arial" w:cs="Arial" w:eastAsia="Arial" w:hAnsi="Arial"/>
          <w:sz w:val="18"/>
          <w:szCs w:val="18"/>
          <w:b w:val="1"/>
          <w:bCs w:val="1"/>
          <w:color w:val="56C271"/>
        </w:rPr>
        <w:t xml:space="preserve">Non-Financial Performance Metrics. </w:t>
      </w:r>
      <w:r>
        <w:rPr>
          <w:rFonts w:ascii="Arial" w:cs="Arial" w:eastAsia="Arial" w:hAnsi="Arial"/>
          <w:sz w:val="18"/>
          <w:szCs w:val="18"/>
          <w:color w:val="000000"/>
        </w:rPr>
        <w:t>For applicable NEOs, 20% of their target annual cash incentive</w:t>
      </w:r>
      <w:r>
        <w:rPr>
          <w:rFonts w:ascii="Arial" w:cs="Arial" w:eastAsia="Arial" w:hAnsi="Arial"/>
          <w:sz w:val="18"/>
          <w:szCs w:val="18"/>
          <w:b w:val="1"/>
          <w:bCs w:val="1"/>
          <w:color w:val="56C271"/>
        </w:rPr>
        <w:t xml:space="preserve"> </w:t>
      </w:r>
      <w:r>
        <w:rPr>
          <w:rFonts w:ascii="Arial" w:cs="Arial" w:eastAsia="Arial" w:hAnsi="Arial"/>
          <w:sz w:val="18"/>
          <w:szCs w:val="18"/>
          <w:color w:val="000000"/>
        </w:rPr>
        <w:t>compensation was tied to the achievement of two non-financial performance goals: (1) ESG team goals, weighted 50%, and (2) individual goals, weighted 50%.</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ESG Team Goals</w:t>
      </w:r>
    </w:p>
    <w:p>
      <w:pPr>
        <w:spacing w:after="0" w:line="180" w:lineRule="exact"/>
        <w:rPr>
          <w:sz w:val="20"/>
          <w:szCs w:val="20"/>
          <w:color w:val="auto"/>
        </w:rPr>
      </w:pPr>
    </w:p>
    <w:p>
      <w:pPr>
        <w:ind w:left="1000" w:right="159"/>
        <w:spacing w:after="0" w:line="261" w:lineRule="auto"/>
        <w:rPr>
          <w:sz w:val="20"/>
          <w:szCs w:val="20"/>
          <w:color w:val="auto"/>
        </w:rPr>
      </w:pPr>
      <w:r>
        <w:rPr>
          <w:rFonts w:ascii="Arial" w:cs="Arial" w:eastAsia="Arial" w:hAnsi="Arial"/>
          <w:sz w:val="18"/>
          <w:szCs w:val="18"/>
          <w:color w:val="auto"/>
        </w:rPr>
        <w:t>Each year, the CEO along with his leadership team create ESG commitments in the following three main focus areas:</w:t>
      </w:r>
    </w:p>
    <w:p>
      <w:pPr>
        <w:spacing w:after="0" w:line="90" w:lineRule="exact"/>
        <w:rPr>
          <w:sz w:val="20"/>
          <w:szCs w:val="20"/>
          <w:color w:val="auto"/>
        </w:rPr>
      </w:pPr>
    </w:p>
    <w:p>
      <w:pPr>
        <w:ind w:left="1980" w:hanging="270"/>
        <w:spacing w:after="0"/>
        <w:tabs>
          <w:tab w:leader="none" w:pos="1980" w:val="left"/>
        </w:tabs>
        <w:numPr>
          <w:ilvl w:val="0"/>
          <w:numId w:val="57"/>
        </w:numPr>
        <w:rPr>
          <w:rFonts w:ascii="Arial" w:cs="Arial" w:eastAsia="Arial" w:hAnsi="Arial"/>
          <w:sz w:val="18"/>
          <w:szCs w:val="18"/>
          <w:color w:val="56C271"/>
        </w:rPr>
      </w:pPr>
      <w:r>
        <w:rPr>
          <w:rFonts w:ascii="Arial" w:cs="Arial" w:eastAsia="Arial" w:hAnsi="Arial"/>
          <w:sz w:val="18"/>
          <w:szCs w:val="18"/>
          <w:color w:val="auto"/>
        </w:rPr>
        <w:t>ESG leadership</w:t>
      </w:r>
    </w:p>
    <w:p>
      <w:pPr>
        <w:spacing w:after="0" w:line="117" w:lineRule="exact"/>
        <w:rPr>
          <w:rFonts w:ascii="Arial" w:cs="Arial" w:eastAsia="Arial" w:hAnsi="Arial"/>
          <w:sz w:val="18"/>
          <w:szCs w:val="18"/>
          <w:color w:val="56C271"/>
        </w:rPr>
      </w:pPr>
    </w:p>
    <w:p>
      <w:pPr>
        <w:ind w:left="1980" w:hanging="270"/>
        <w:spacing w:after="0"/>
        <w:tabs>
          <w:tab w:leader="none" w:pos="1980" w:val="left"/>
        </w:tabs>
        <w:numPr>
          <w:ilvl w:val="0"/>
          <w:numId w:val="57"/>
        </w:numPr>
        <w:rPr>
          <w:rFonts w:ascii="Arial" w:cs="Arial" w:eastAsia="Arial" w:hAnsi="Arial"/>
          <w:sz w:val="18"/>
          <w:szCs w:val="18"/>
          <w:color w:val="56C271"/>
        </w:rPr>
      </w:pPr>
      <w:r>
        <w:rPr>
          <w:rFonts w:ascii="Arial" w:cs="Arial" w:eastAsia="Arial" w:hAnsi="Arial"/>
          <w:sz w:val="18"/>
          <w:szCs w:val="18"/>
          <w:color w:val="auto"/>
        </w:rPr>
        <w:t>Community and social responsibility</w:t>
      </w:r>
    </w:p>
    <w:p>
      <w:pPr>
        <w:spacing w:after="0" w:line="117" w:lineRule="exact"/>
        <w:rPr>
          <w:rFonts w:ascii="Arial" w:cs="Arial" w:eastAsia="Arial" w:hAnsi="Arial"/>
          <w:sz w:val="18"/>
          <w:szCs w:val="18"/>
          <w:color w:val="56C271"/>
        </w:rPr>
      </w:pPr>
    </w:p>
    <w:p>
      <w:pPr>
        <w:ind w:left="1980" w:hanging="270"/>
        <w:spacing w:after="0"/>
        <w:tabs>
          <w:tab w:leader="none" w:pos="1980" w:val="left"/>
        </w:tabs>
        <w:numPr>
          <w:ilvl w:val="0"/>
          <w:numId w:val="57"/>
        </w:numPr>
        <w:rPr>
          <w:rFonts w:ascii="Arial" w:cs="Arial" w:eastAsia="Arial" w:hAnsi="Arial"/>
          <w:sz w:val="18"/>
          <w:szCs w:val="18"/>
          <w:color w:val="56C271"/>
        </w:rPr>
      </w:pPr>
      <w:r>
        <w:rPr>
          <w:rFonts w:ascii="Arial" w:cs="Arial" w:eastAsia="Arial" w:hAnsi="Arial"/>
          <w:sz w:val="18"/>
          <w:szCs w:val="18"/>
          <w:color w:val="auto"/>
        </w:rPr>
        <w:t>High employee engagement and morale</w:t>
      </w:r>
    </w:p>
    <w:p>
      <w:pPr>
        <w:spacing w:after="0" w:line="158" w:lineRule="exact"/>
        <w:rPr>
          <w:sz w:val="20"/>
          <w:szCs w:val="20"/>
          <w:color w:val="auto"/>
        </w:rPr>
      </w:pPr>
    </w:p>
    <w:p>
      <w:pPr>
        <w:jc w:val="both"/>
        <w:ind w:left="1000" w:right="199"/>
        <w:spacing w:after="0" w:line="291" w:lineRule="auto"/>
        <w:rPr>
          <w:sz w:val="20"/>
          <w:szCs w:val="20"/>
          <w:color w:val="auto"/>
        </w:rPr>
      </w:pPr>
      <w:r>
        <w:rPr>
          <w:rFonts w:ascii="Arial" w:cs="Arial" w:eastAsia="Arial" w:hAnsi="Arial"/>
          <w:sz w:val="17"/>
          <w:szCs w:val="17"/>
          <w:color w:val="auto"/>
        </w:rPr>
        <w:t>A variety of measures are viewed in determining the Company’s progress towards its commitments. Based on these and other factors, the CEO will recommend either a pass or fail rating on this metric to the Committee.</w:t>
      </w:r>
    </w:p>
    <w:p>
      <w:pPr>
        <w:spacing w:after="0" w:line="7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Individual Goals</w:t>
      </w:r>
    </w:p>
    <w:p>
      <w:pPr>
        <w:spacing w:after="0" w:line="180" w:lineRule="exact"/>
        <w:rPr>
          <w:sz w:val="20"/>
          <w:szCs w:val="20"/>
          <w:color w:val="auto"/>
        </w:rPr>
      </w:pPr>
    </w:p>
    <w:p>
      <w:pPr>
        <w:jc w:val="both"/>
        <w:ind w:left="1000" w:right="199"/>
        <w:spacing w:after="0" w:line="256" w:lineRule="auto"/>
        <w:rPr>
          <w:sz w:val="20"/>
          <w:szCs w:val="20"/>
          <w:color w:val="auto"/>
        </w:rPr>
      </w:pPr>
      <w:r>
        <w:rPr>
          <w:rFonts w:ascii="Arial" w:cs="Arial" w:eastAsia="Arial" w:hAnsi="Arial"/>
          <w:sz w:val="18"/>
          <w:szCs w:val="18"/>
          <w:color w:val="auto"/>
        </w:rPr>
        <w:t>To drive a high performing company, a high performing executive team to support the CEO and the Company is needed. To foster and align this performance, the CEO identified the following characteristics by which each Executive Leader would be measured for this metric:</w:t>
      </w:r>
    </w:p>
    <w:p>
      <w:pPr>
        <w:spacing w:after="0" w:line="94" w:lineRule="exact"/>
        <w:rPr>
          <w:sz w:val="20"/>
          <w:szCs w:val="20"/>
          <w:color w:val="auto"/>
        </w:rPr>
      </w:pPr>
    </w:p>
    <w:p>
      <w:pPr>
        <w:ind w:left="1620" w:hanging="270"/>
        <w:spacing w:after="0"/>
        <w:tabs>
          <w:tab w:leader="none" w:pos="1620" w:val="left"/>
        </w:tabs>
        <w:numPr>
          <w:ilvl w:val="0"/>
          <w:numId w:val="58"/>
        </w:numPr>
        <w:rPr>
          <w:rFonts w:ascii="Arial" w:cs="Arial" w:eastAsia="Arial" w:hAnsi="Arial"/>
          <w:sz w:val="18"/>
          <w:szCs w:val="18"/>
          <w:color w:val="56C271"/>
        </w:rPr>
      </w:pPr>
      <w:r>
        <w:rPr>
          <w:rFonts w:ascii="Arial" w:cs="Arial" w:eastAsia="Arial" w:hAnsi="Arial"/>
          <w:sz w:val="18"/>
          <w:szCs w:val="18"/>
          <w:color w:val="auto"/>
        </w:rPr>
        <w:t>Strategy</w:t>
      </w:r>
    </w:p>
    <w:p>
      <w:pPr>
        <w:spacing w:after="0" w:line="117" w:lineRule="exact"/>
        <w:rPr>
          <w:rFonts w:ascii="Arial" w:cs="Arial" w:eastAsia="Arial" w:hAnsi="Arial"/>
          <w:sz w:val="18"/>
          <w:szCs w:val="18"/>
          <w:color w:val="56C271"/>
        </w:rPr>
      </w:pPr>
    </w:p>
    <w:p>
      <w:pPr>
        <w:ind w:left="1620" w:hanging="270"/>
        <w:spacing w:after="0"/>
        <w:tabs>
          <w:tab w:leader="none" w:pos="1620" w:val="left"/>
        </w:tabs>
        <w:numPr>
          <w:ilvl w:val="0"/>
          <w:numId w:val="58"/>
        </w:numPr>
        <w:rPr>
          <w:rFonts w:ascii="Arial" w:cs="Arial" w:eastAsia="Arial" w:hAnsi="Arial"/>
          <w:sz w:val="18"/>
          <w:szCs w:val="18"/>
          <w:color w:val="56C271"/>
        </w:rPr>
      </w:pPr>
      <w:r>
        <w:rPr>
          <w:rFonts w:ascii="Arial" w:cs="Arial" w:eastAsia="Arial" w:hAnsi="Arial"/>
          <w:sz w:val="18"/>
          <w:szCs w:val="18"/>
          <w:color w:val="auto"/>
        </w:rPr>
        <w:t>Roles &amp; responsibilities</w:t>
      </w:r>
    </w:p>
    <w:p>
      <w:pPr>
        <w:spacing w:after="0" w:line="117" w:lineRule="exact"/>
        <w:rPr>
          <w:rFonts w:ascii="Arial" w:cs="Arial" w:eastAsia="Arial" w:hAnsi="Arial"/>
          <w:sz w:val="18"/>
          <w:szCs w:val="18"/>
          <w:color w:val="56C271"/>
        </w:rPr>
      </w:pPr>
    </w:p>
    <w:p>
      <w:pPr>
        <w:ind w:left="1620" w:hanging="270"/>
        <w:spacing w:after="0"/>
        <w:tabs>
          <w:tab w:leader="none" w:pos="1620" w:val="left"/>
        </w:tabs>
        <w:numPr>
          <w:ilvl w:val="0"/>
          <w:numId w:val="58"/>
        </w:numPr>
        <w:rPr>
          <w:rFonts w:ascii="Arial" w:cs="Arial" w:eastAsia="Arial" w:hAnsi="Arial"/>
          <w:sz w:val="18"/>
          <w:szCs w:val="18"/>
          <w:color w:val="56C271"/>
        </w:rPr>
      </w:pPr>
      <w:r>
        <w:rPr>
          <w:rFonts w:ascii="Arial" w:cs="Arial" w:eastAsia="Arial" w:hAnsi="Arial"/>
          <w:sz w:val="18"/>
          <w:szCs w:val="18"/>
          <w:color w:val="auto"/>
        </w:rPr>
        <w:t>Developing trust through open and transparent communication</w:t>
      </w:r>
    </w:p>
    <w:p>
      <w:pPr>
        <w:spacing w:after="0" w:line="117" w:lineRule="exact"/>
        <w:rPr>
          <w:rFonts w:ascii="Arial" w:cs="Arial" w:eastAsia="Arial" w:hAnsi="Arial"/>
          <w:sz w:val="18"/>
          <w:szCs w:val="18"/>
          <w:color w:val="56C271"/>
        </w:rPr>
      </w:pPr>
    </w:p>
    <w:p>
      <w:pPr>
        <w:ind w:left="1620" w:hanging="270"/>
        <w:spacing w:after="0"/>
        <w:tabs>
          <w:tab w:leader="none" w:pos="1620" w:val="left"/>
        </w:tabs>
        <w:numPr>
          <w:ilvl w:val="0"/>
          <w:numId w:val="58"/>
        </w:numPr>
        <w:rPr>
          <w:rFonts w:ascii="Arial" w:cs="Arial" w:eastAsia="Arial" w:hAnsi="Arial"/>
          <w:sz w:val="18"/>
          <w:szCs w:val="18"/>
          <w:color w:val="56C271"/>
        </w:rPr>
      </w:pPr>
      <w:r>
        <w:rPr>
          <w:rFonts w:ascii="Arial" w:cs="Arial" w:eastAsia="Arial" w:hAnsi="Arial"/>
          <w:sz w:val="18"/>
          <w:szCs w:val="18"/>
          <w:color w:val="auto"/>
        </w:rPr>
        <w:t>Responsiveness</w:t>
      </w:r>
    </w:p>
    <w:p>
      <w:pPr>
        <w:spacing w:after="0" w:line="147"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30035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620" w:hanging="270"/>
        <w:spacing w:after="0"/>
        <w:tabs>
          <w:tab w:leader="none" w:pos="1620" w:val="left"/>
        </w:tabs>
        <w:numPr>
          <w:ilvl w:val="0"/>
          <w:numId w:val="59"/>
        </w:numPr>
        <w:rPr>
          <w:rFonts w:ascii="Arial" w:cs="Arial" w:eastAsia="Arial" w:hAnsi="Arial"/>
          <w:sz w:val="18"/>
          <w:szCs w:val="18"/>
          <w:color w:val="56C271"/>
        </w:rPr>
      </w:pPr>
      <w:r>
        <w:rPr>
          <w:rFonts w:ascii="Arial" w:cs="Arial" w:eastAsia="Arial" w:hAnsi="Arial"/>
          <w:sz w:val="18"/>
          <w:szCs w:val="18"/>
          <w:color w:val="auto"/>
        </w:rPr>
        <w:t>Effective leadership</w:t>
      </w:r>
    </w:p>
    <w:p>
      <w:pPr>
        <w:spacing w:after="0" w:line="144" w:lineRule="exact"/>
        <w:rPr>
          <w:sz w:val="20"/>
          <w:szCs w:val="20"/>
          <w:color w:val="auto"/>
        </w:rPr>
      </w:pPr>
    </w:p>
    <w:p>
      <w:pPr>
        <w:ind w:left="1000" w:right="339"/>
        <w:spacing w:after="0" w:line="252" w:lineRule="auto"/>
        <w:rPr>
          <w:sz w:val="20"/>
          <w:szCs w:val="20"/>
          <w:color w:val="auto"/>
        </w:rPr>
      </w:pPr>
      <w:r>
        <w:rPr>
          <w:rFonts w:ascii="Arial" w:cs="Arial" w:eastAsia="Arial" w:hAnsi="Arial"/>
          <w:sz w:val="18"/>
          <w:szCs w:val="18"/>
          <w:color w:val="auto"/>
        </w:rPr>
        <w:t>The CEO has communicated the behaviors and activities expected in each of these characteristics to his Executive Leadership Team. At the end of the year, the CEO reviews each Executive Leader, including himself, against these categories and the desired behaviors associated with them. The CEO reviews and discusses these results with each Executive Leader prior to making the recommendations to the Committee. Based on these and other factors, the CEO will recommend either a pass or fail rating on this metric to the Committee.</w:t>
      </w:r>
    </w:p>
    <w:p>
      <w:pPr>
        <w:spacing w:after="0" w:line="118" w:lineRule="exact"/>
        <w:rPr>
          <w:sz w:val="20"/>
          <w:szCs w:val="20"/>
          <w:color w:val="auto"/>
        </w:rPr>
      </w:pPr>
    </w:p>
    <w:p>
      <w:pPr>
        <w:ind w:left="1000" w:right="759"/>
        <w:spacing w:after="0" w:line="287" w:lineRule="auto"/>
        <w:rPr>
          <w:sz w:val="20"/>
          <w:szCs w:val="20"/>
          <w:color w:val="auto"/>
        </w:rPr>
      </w:pPr>
      <w:r>
        <w:rPr>
          <w:rFonts w:ascii="Arial" w:cs="Arial" w:eastAsia="Arial" w:hAnsi="Arial"/>
          <w:sz w:val="18"/>
          <w:szCs w:val="18"/>
          <w:b w:val="1"/>
          <w:bCs w:val="1"/>
          <w:color w:val="56C271"/>
        </w:rPr>
        <w:t xml:space="preserve">Fiscal 2021 Goals. </w:t>
      </w:r>
      <w:r>
        <w:rPr>
          <w:rFonts w:ascii="Arial" w:cs="Arial" w:eastAsia="Arial" w:hAnsi="Arial"/>
          <w:sz w:val="18"/>
          <w:szCs w:val="18"/>
          <w:color w:val="000000"/>
        </w:rPr>
        <w:t>The fiscal 2021 financial performance metrics, weightings, goals, and methods for</w:t>
      </w:r>
      <w:r>
        <w:rPr>
          <w:rFonts w:ascii="Arial" w:cs="Arial" w:eastAsia="Arial" w:hAnsi="Arial"/>
          <w:sz w:val="18"/>
          <w:szCs w:val="18"/>
          <w:b w:val="1"/>
          <w:bCs w:val="1"/>
          <w:color w:val="56C271"/>
        </w:rPr>
        <w:t xml:space="preserve"> </w:t>
      </w:r>
      <w:r>
        <w:rPr>
          <w:rFonts w:ascii="Arial" w:cs="Arial" w:eastAsia="Arial" w:hAnsi="Arial"/>
          <w:sz w:val="18"/>
          <w:szCs w:val="18"/>
          <w:color w:val="000000"/>
        </w:rPr>
        <w:t>calculation are presented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85725</wp:posOffset>
            </wp:positionV>
            <wp:extent cx="5554980" cy="17227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54980" cy="1722755"/>
                    </a:xfrm>
                    <a:prstGeom prst="rect">
                      <a:avLst/>
                    </a:prstGeom>
                    <a:noFill/>
                  </pic:spPr>
                </pic:pic>
              </a:graphicData>
            </a:graphic>
          </wp:anchor>
        </w:drawing>
      </w:r>
    </w:p>
    <w:p>
      <w:pPr>
        <w:spacing w:after="0" w:line="210"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FEFEFE"/>
        </w:rPr>
        <w:t>Fiscal 2021</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FEFEFE"/>
        </w:rPr>
        <w:t>OI$ Goals</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FEFEFE"/>
        </w:rPr>
        <w:t>40% Weighting</w:t>
      </w:r>
    </w:p>
    <w:p>
      <w:pPr>
        <w:spacing w:after="0" w:line="31" w:lineRule="exact"/>
        <w:rPr>
          <w:sz w:val="20"/>
          <w:szCs w:val="20"/>
          <w:color w:val="auto"/>
        </w:rPr>
      </w:pPr>
    </w:p>
    <w:tbl>
      <w:tblPr>
        <w:tblLayout w:type="fixed"/>
        <w:tblInd w:w="990" w:type="dxa"/>
        <w:tblCellMar>
          <w:top w:w="0" w:type="dxa"/>
          <w:left w:w="0" w:type="dxa"/>
          <w:bottom w:w="0" w:type="dxa"/>
          <w:right w:w="0" w:type="dxa"/>
        </w:tblCellMar>
      </w:tblPr>
      <w:tr>
        <w:trPr>
          <w:trHeight w:val="249"/>
        </w:trPr>
        <w:tc>
          <w:tcPr>
            <w:tcW w:w="240" w:type="dxa"/>
            <w:vAlign w:val="bottom"/>
            <w:tcBorders>
              <w:left w:val="single" w:sz="8" w:color="56C271"/>
            </w:tcBorders>
          </w:tcPr>
          <w:p>
            <w:pPr>
              <w:spacing w:after="0"/>
              <w:rPr>
                <w:sz w:val="21"/>
                <w:szCs w:val="21"/>
                <w:color w:val="auto"/>
              </w:rPr>
            </w:pPr>
          </w:p>
        </w:tc>
        <w:tc>
          <w:tcPr>
            <w:tcW w:w="1660" w:type="dxa"/>
            <w:vAlign w:val="bottom"/>
            <w:tcBorders>
              <w:right w:val="single" w:sz="8" w:color="56C271"/>
            </w:tcBorders>
            <w:shd w:val="clear" w:color="auto" w:fill="56C271"/>
          </w:tcPr>
          <w:p>
            <w:pPr>
              <w:spacing w:after="0"/>
              <w:rPr>
                <w:sz w:val="21"/>
                <w:szCs w:val="21"/>
                <w:color w:val="auto"/>
              </w:rPr>
            </w:pPr>
          </w:p>
        </w:tc>
        <w:tc>
          <w:tcPr>
            <w:tcW w:w="2160" w:type="dxa"/>
            <w:vAlign w:val="bottom"/>
            <w:tcBorders>
              <w:right w:val="single" w:sz="8" w:color="56C271"/>
            </w:tcBorders>
            <w:shd w:val="clear" w:color="auto" w:fill="56C271"/>
          </w:tcPr>
          <w:p>
            <w:pPr>
              <w:ind w:left="540"/>
              <w:spacing w:after="0"/>
              <w:rPr>
                <w:sz w:val="20"/>
                <w:szCs w:val="20"/>
                <w:color w:val="auto"/>
              </w:rPr>
            </w:pPr>
            <w:r>
              <w:rPr>
                <w:rFonts w:ascii="Arial" w:cs="Arial" w:eastAsia="Arial" w:hAnsi="Arial"/>
                <w:sz w:val="14"/>
                <w:szCs w:val="14"/>
                <w:b w:val="1"/>
                <w:bCs w:val="1"/>
                <w:color w:val="FEFEFE"/>
              </w:rPr>
              <w:t>% Attainment</w:t>
            </w:r>
          </w:p>
        </w:tc>
        <w:tc>
          <w:tcPr>
            <w:tcW w:w="1500" w:type="dxa"/>
            <w:vAlign w:val="bottom"/>
            <w:tcBorders>
              <w:right w:val="single" w:sz="8" w:color="56C271"/>
            </w:tcBorders>
            <w:shd w:val="clear" w:color="auto" w:fill="56C271"/>
          </w:tcPr>
          <w:p>
            <w:pPr>
              <w:ind w:left="580"/>
              <w:spacing w:after="0"/>
              <w:rPr>
                <w:sz w:val="20"/>
                <w:szCs w:val="20"/>
                <w:color w:val="auto"/>
              </w:rPr>
            </w:pPr>
            <w:r>
              <w:rPr>
                <w:rFonts w:ascii="Arial" w:cs="Arial" w:eastAsia="Arial" w:hAnsi="Arial"/>
                <w:sz w:val="14"/>
                <w:szCs w:val="14"/>
                <w:b w:val="1"/>
                <w:bCs w:val="1"/>
                <w:color w:val="FEFEFE"/>
              </w:rPr>
              <w:t>OI$</w:t>
            </w:r>
          </w:p>
        </w:tc>
        <w:tc>
          <w:tcPr>
            <w:tcW w:w="318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 Payout</w:t>
            </w:r>
          </w:p>
        </w:tc>
        <w:tc>
          <w:tcPr>
            <w:tcW w:w="20" w:type="dxa"/>
            <w:vAlign w:val="bottom"/>
          </w:tcPr>
          <w:p>
            <w:pPr>
              <w:spacing w:after="0"/>
              <w:rPr>
                <w:sz w:val="21"/>
                <w:szCs w:val="21"/>
                <w:color w:val="auto"/>
              </w:rPr>
            </w:pPr>
          </w:p>
        </w:tc>
      </w:tr>
      <w:tr>
        <w:trPr>
          <w:trHeight w:val="263"/>
        </w:trPr>
        <w:tc>
          <w:tcPr>
            <w:tcW w:w="240" w:type="dxa"/>
            <w:vAlign w:val="bottom"/>
            <w:tcBorders>
              <w:left w:val="single" w:sz="8" w:color="56C271"/>
              <w:bottom w:val="single" w:sz="8" w:color="56C271"/>
            </w:tcBorders>
          </w:tcPr>
          <w:p>
            <w:pPr>
              <w:spacing w:after="0"/>
              <w:rPr>
                <w:sz w:val="22"/>
                <w:szCs w:val="22"/>
                <w:color w:val="auto"/>
              </w:rPr>
            </w:pPr>
          </w:p>
        </w:tc>
        <w:tc>
          <w:tcPr>
            <w:tcW w:w="1660" w:type="dxa"/>
            <w:vAlign w:val="bottom"/>
            <w:tcBorders>
              <w:bottom w:val="single" w:sz="8" w:color="56C271"/>
              <w:right w:val="single" w:sz="8" w:color="56C271"/>
            </w:tcBorders>
          </w:tcPr>
          <w:p>
            <w:pPr>
              <w:spacing w:after="0"/>
              <w:rPr>
                <w:sz w:val="20"/>
                <w:szCs w:val="20"/>
                <w:color w:val="auto"/>
              </w:rPr>
            </w:pPr>
            <w:r>
              <w:rPr>
                <w:rFonts w:ascii="Arial" w:cs="Arial" w:eastAsia="Arial" w:hAnsi="Arial"/>
                <w:sz w:val="18"/>
                <w:szCs w:val="18"/>
                <w:color w:val="auto"/>
              </w:rPr>
              <w:t>Maximum</w:t>
            </w:r>
          </w:p>
        </w:tc>
        <w:tc>
          <w:tcPr>
            <w:tcW w:w="2160" w:type="dxa"/>
            <w:vAlign w:val="bottom"/>
            <w:tcBorders>
              <w:bottom w:val="single" w:sz="8" w:color="56C271"/>
              <w:right w:val="single" w:sz="8" w:color="56C271"/>
            </w:tcBorders>
          </w:tcPr>
          <w:p>
            <w:pPr>
              <w:jc w:val="center"/>
              <w:ind w:right="94"/>
              <w:spacing w:after="0"/>
              <w:rPr>
                <w:sz w:val="20"/>
                <w:szCs w:val="20"/>
                <w:color w:val="auto"/>
              </w:rPr>
            </w:pPr>
            <w:r>
              <w:rPr>
                <w:rFonts w:ascii="Arial" w:cs="Arial" w:eastAsia="Arial" w:hAnsi="Arial"/>
                <w:sz w:val="18"/>
                <w:szCs w:val="18"/>
                <w:color w:val="auto"/>
              </w:rPr>
              <w:t>120.0%</w:t>
            </w:r>
          </w:p>
        </w:tc>
        <w:tc>
          <w:tcPr>
            <w:tcW w:w="1500" w:type="dxa"/>
            <w:vAlign w:val="bottom"/>
            <w:tcBorders>
              <w:bottom w:val="single" w:sz="8" w:color="56C271"/>
              <w:right w:val="single" w:sz="8" w:color="56C271"/>
            </w:tcBorders>
          </w:tcPr>
          <w:p>
            <w:pPr>
              <w:jc w:val="center"/>
              <w:ind w:right="35"/>
              <w:spacing w:after="0"/>
              <w:rPr>
                <w:sz w:val="20"/>
                <w:szCs w:val="20"/>
                <w:color w:val="auto"/>
              </w:rPr>
            </w:pPr>
            <w:r>
              <w:rPr>
                <w:rFonts w:ascii="Arial" w:cs="Arial" w:eastAsia="Arial" w:hAnsi="Arial"/>
                <w:sz w:val="18"/>
                <w:szCs w:val="18"/>
                <w:color w:val="auto"/>
                <w:w w:val="98"/>
              </w:rPr>
              <w:t>$337.2</w:t>
            </w:r>
          </w:p>
        </w:tc>
        <w:tc>
          <w:tcPr>
            <w:tcW w:w="31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200%</w:t>
            </w:r>
          </w:p>
        </w:tc>
        <w:tc>
          <w:tcPr>
            <w:tcW w:w="20" w:type="dxa"/>
            <w:vAlign w:val="bottom"/>
          </w:tcPr>
          <w:p>
            <w:pPr>
              <w:spacing w:after="0"/>
              <w:rPr>
                <w:sz w:val="22"/>
                <w:szCs w:val="22"/>
                <w:color w:val="auto"/>
              </w:rPr>
            </w:pPr>
          </w:p>
        </w:tc>
      </w:tr>
      <w:tr>
        <w:trPr>
          <w:trHeight w:val="242"/>
        </w:trPr>
        <w:tc>
          <w:tcPr>
            <w:tcW w:w="240" w:type="dxa"/>
            <w:vAlign w:val="bottom"/>
            <w:tcBorders>
              <w:left w:val="single" w:sz="8" w:color="56C271"/>
            </w:tcBorders>
          </w:tcPr>
          <w:p>
            <w:pPr>
              <w:spacing w:after="0"/>
              <w:rPr>
                <w:sz w:val="21"/>
                <w:szCs w:val="21"/>
                <w:color w:val="auto"/>
              </w:rPr>
            </w:pPr>
          </w:p>
        </w:tc>
        <w:tc>
          <w:tcPr>
            <w:tcW w:w="1660" w:type="dxa"/>
            <w:vAlign w:val="bottom"/>
            <w:tcBorders>
              <w:right w:val="single" w:sz="8" w:color="56C271"/>
            </w:tcBorders>
          </w:tcPr>
          <w:p>
            <w:pPr>
              <w:spacing w:after="0"/>
              <w:rPr>
                <w:sz w:val="20"/>
                <w:szCs w:val="20"/>
                <w:color w:val="auto"/>
              </w:rPr>
            </w:pPr>
            <w:r>
              <w:rPr>
                <w:rFonts w:ascii="Arial" w:cs="Arial" w:eastAsia="Arial" w:hAnsi="Arial"/>
                <w:sz w:val="18"/>
                <w:szCs w:val="18"/>
                <w:color w:val="auto"/>
              </w:rPr>
              <w:t>&gt; Target</w:t>
            </w:r>
          </w:p>
        </w:tc>
        <w:tc>
          <w:tcPr>
            <w:tcW w:w="2160" w:type="dxa"/>
            <w:vAlign w:val="bottom"/>
            <w:tcBorders>
              <w:right w:val="single" w:sz="8" w:color="56C271"/>
            </w:tcBorders>
          </w:tcPr>
          <w:p>
            <w:pPr>
              <w:ind w:left="300"/>
              <w:spacing w:after="0"/>
              <w:rPr>
                <w:sz w:val="20"/>
                <w:szCs w:val="20"/>
                <w:color w:val="auto"/>
              </w:rPr>
            </w:pPr>
            <w:r>
              <w:rPr>
                <w:rFonts w:ascii="Arial" w:cs="Arial" w:eastAsia="Arial" w:hAnsi="Arial"/>
                <w:sz w:val="18"/>
                <w:szCs w:val="18"/>
                <w:color w:val="auto"/>
              </w:rPr>
              <w:t>1% change = 1%</w:t>
            </w:r>
          </w:p>
        </w:tc>
        <w:tc>
          <w:tcPr>
            <w:tcW w:w="1500" w:type="dxa"/>
            <w:vAlign w:val="bottom"/>
            <w:tcBorders>
              <w:right w:val="single" w:sz="8" w:color="56C271"/>
            </w:tcBorders>
          </w:tcPr>
          <w:p>
            <w:pPr>
              <w:jc w:val="center"/>
              <w:ind w:right="35"/>
              <w:spacing w:after="0"/>
              <w:rPr>
                <w:sz w:val="20"/>
                <w:szCs w:val="20"/>
                <w:color w:val="auto"/>
              </w:rPr>
            </w:pPr>
            <w:r>
              <w:rPr>
                <w:rFonts w:ascii="Arial" w:cs="Arial" w:eastAsia="Arial" w:hAnsi="Arial"/>
                <w:sz w:val="18"/>
                <w:szCs w:val="18"/>
                <w:color w:val="auto"/>
                <w:w w:val="96"/>
              </w:rPr>
              <w:t>$281.0 — $337.1</w:t>
            </w:r>
          </w:p>
        </w:tc>
        <w:tc>
          <w:tcPr>
            <w:tcW w:w="3180" w:type="dxa"/>
            <w:vAlign w:val="bottom"/>
          </w:tcPr>
          <w:p>
            <w:pPr>
              <w:jc w:val="center"/>
              <w:spacing w:after="0"/>
              <w:rPr>
                <w:sz w:val="20"/>
                <w:szCs w:val="20"/>
                <w:color w:val="auto"/>
              </w:rPr>
            </w:pPr>
            <w:r>
              <w:rPr>
                <w:rFonts w:ascii="Arial" w:cs="Arial" w:eastAsia="Arial" w:hAnsi="Arial"/>
                <w:sz w:val="18"/>
                <w:szCs w:val="18"/>
                <w:color w:val="auto"/>
                <w:w w:val="99"/>
              </w:rPr>
              <w:t>5% increase in payout per 1%</w:t>
            </w:r>
          </w:p>
        </w:tc>
        <w:tc>
          <w:tcPr>
            <w:tcW w:w="20" w:type="dxa"/>
            <w:vAlign w:val="bottom"/>
          </w:tcPr>
          <w:p>
            <w:pPr>
              <w:spacing w:after="0"/>
              <w:rPr>
                <w:sz w:val="21"/>
                <w:szCs w:val="21"/>
                <w:color w:val="auto"/>
              </w:rPr>
            </w:pPr>
          </w:p>
        </w:tc>
      </w:tr>
      <w:tr>
        <w:trPr>
          <w:trHeight w:val="217"/>
        </w:trPr>
        <w:tc>
          <w:tcPr>
            <w:tcW w:w="240" w:type="dxa"/>
            <w:vAlign w:val="bottom"/>
            <w:tcBorders>
              <w:left w:val="single" w:sz="8" w:color="56C271"/>
            </w:tcBorders>
          </w:tcPr>
          <w:p>
            <w:pPr>
              <w:spacing w:after="0"/>
              <w:rPr>
                <w:sz w:val="18"/>
                <w:szCs w:val="18"/>
                <w:color w:val="auto"/>
              </w:rPr>
            </w:pPr>
          </w:p>
        </w:tc>
        <w:tc>
          <w:tcPr>
            <w:tcW w:w="1660" w:type="dxa"/>
            <w:vAlign w:val="bottom"/>
            <w:tcBorders>
              <w:right w:val="single" w:sz="8" w:color="56C271"/>
            </w:tcBorders>
          </w:tcPr>
          <w:p>
            <w:pPr>
              <w:spacing w:after="0"/>
              <w:rPr>
                <w:sz w:val="18"/>
                <w:szCs w:val="18"/>
                <w:color w:val="auto"/>
              </w:rPr>
            </w:pPr>
          </w:p>
        </w:tc>
        <w:tc>
          <w:tcPr>
            <w:tcW w:w="2160" w:type="dxa"/>
            <w:vAlign w:val="bottom"/>
            <w:tcBorders>
              <w:right w:val="single" w:sz="8" w:color="56C271"/>
            </w:tcBorders>
          </w:tcPr>
          <w:p>
            <w:pPr>
              <w:jc w:val="center"/>
              <w:spacing w:after="0"/>
              <w:rPr>
                <w:sz w:val="20"/>
                <w:szCs w:val="20"/>
                <w:color w:val="auto"/>
              </w:rPr>
            </w:pPr>
            <w:r>
              <w:rPr>
                <w:rFonts w:ascii="Arial" w:cs="Arial" w:eastAsia="Arial" w:hAnsi="Arial"/>
                <w:sz w:val="18"/>
                <w:szCs w:val="18"/>
                <w:color w:val="auto"/>
                <w:w w:val="99"/>
              </w:rPr>
              <w:t>change in attainment</w:t>
            </w:r>
          </w:p>
        </w:tc>
        <w:tc>
          <w:tcPr>
            <w:tcW w:w="1500" w:type="dxa"/>
            <w:vAlign w:val="bottom"/>
            <w:tcBorders>
              <w:right w:val="single" w:sz="8" w:color="56C271"/>
            </w:tcBorders>
          </w:tcPr>
          <w:p>
            <w:pPr>
              <w:spacing w:after="0"/>
              <w:rPr>
                <w:sz w:val="18"/>
                <w:szCs w:val="18"/>
                <w:color w:val="auto"/>
              </w:rPr>
            </w:pPr>
          </w:p>
        </w:tc>
        <w:tc>
          <w:tcPr>
            <w:tcW w:w="3180" w:type="dxa"/>
            <w:vAlign w:val="bottom"/>
          </w:tcPr>
          <w:p>
            <w:pPr>
              <w:jc w:val="center"/>
              <w:ind w:left="112"/>
              <w:spacing w:after="0"/>
              <w:rPr>
                <w:sz w:val="20"/>
                <w:szCs w:val="20"/>
                <w:color w:val="auto"/>
              </w:rPr>
            </w:pPr>
            <w:r>
              <w:rPr>
                <w:rFonts w:ascii="Arial" w:cs="Arial" w:eastAsia="Arial" w:hAnsi="Arial"/>
                <w:sz w:val="18"/>
                <w:szCs w:val="18"/>
                <w:color w:val="auto"/>
                <w:w w:val="98"/>
              </w:rPr>
              <w:t>increase in attainment</w:t>
            </w:r>
          </w:p>
        </w:tc>
        <w:tc>
          <w:tcPr>
            <w:tcW w:w="20" w:type="dxa"/>
            <w:vAlign w:val="bottom"/>
          </w:tcPr>
          <w:p>
            <w:pPr>
              <w:spacing w:after="0"/>
              <w:rPr>
                <w:sz w:val="18"/>
                <w:szCs w:val="18"/>
                <w:color w:val="auto"/>
              </w:rPr>
            </w:pPr>
          </w:p>
        </w:tc>
      </w:tr>
      <w:tr>
        <w:trPr>
          <w:trHeight w:val="27"/>
        </w:trPr>
        <w:tc>
          <w:tcPr>
            <w:tcW w:w="240" w:type="dxa"/>
            <w:vAlign w:val="bottom"/>
            <w:tcBorders>
              <w:left w:val="single" w:sz="8" w:color="56C271"/>
              <w:bottom w:val="single" w:sz="8" w:color="56C271"/>
            </w:tcBorders>
          </w:tcPr>
          <w:p>
            <w:pPr>
              <w:spacing w:after="0"/>
              <w:rPr>
                <w:sz w:val="2"/>
                <w:szCs w:val="2"/>
                <w:color w:val="auto"/>
              </w:rPr>
            </w:pPr>
          </w:p>
        </w:tc>
        <w:tc>
          <w:tcPr>
            <w:tcW w:w="1660" w:type="dxa"/>
            <w:vAlign w:val="bottom"/>
            <w:tcBorders>
              <w:bottom w:val="single" w:sz="8" w:color="56C271"/>
              <w:right w:val="single" w:sz="8" w:color="56C271"/>
            </w:tcBorders>
          </w:tcPr>
          <w:p>
            <w:pPr>
              <w:spacing w:after="0"/>
              <w:rPr>
                <w:sz w:val="2"/>
                <w:szCs w:val="2"/>
                <w:color w:val="auto"/>
              </w:rPr>
            </w:pPr>
          </w:p>
        </w:tc>
        <w:tc>
          <w:tcPr>
            <w:tcW w:w="2160" w:type="dxa"/>
            <w:vAlign w:val="bottom"/>
            <w:tcBorders>
              <w:bottom w:val="single" w:sz="8" w:color="56C271"/>
              <w:right w:val="single" w:sz="8" w:color="56C271"/>
            </w:tcBorders>
          </w:tcPr>
          <w:p>
            <w:pPr>
              <w:spacing w:after="0"/>
              <w:rPr>
                <w:sz w:val="2"/>
                <w:szCs w:val="2"/>
                <w:color w:val="auto"/>
              </w:rPr>
            </w:pPr>
          </w:p>
        </w:tc>
        <w:tc>
          <w:tcPr>
            <w:tcW w:w="1500" w:type="dxa"/>
            <w:vAlign w:val="bottom"/>
            <w:tcBorders>
              <w:bottom w:val="single" w:sz="8" w:color="56C271"/>
              <w:right w:val="single" w:sz="8" w:color="56C271"/>
            </w:tcBorders>
          </w:tcPr>
          <w:p>
            <w:pPr>
              <w:spacing w:after="0"/>
              <w:rPr>
                <w:sz w:val="2"/>
                <w:szCs w:val="2"/>
                <w:color w:val="auto"/>
              </w:rPr>
            </w:pPr>
          </w:p>
        </w:tc>
        <w:tc>
          <w:tcPr>
            <w:tcW w:w="3180" w:type="dxa"/>
            <w:vAlign w:val="bottom"/>
            <w:tcBorders>
              <w:bottom w:val="single" w:sz="8" w:color="56C271"/>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40" w:type="dxa"/>
            <w:vAlign w:val="bottom"/>
            <w:tcBorders>
              <w:left w:val="single" w:sz="8" w:color="56C271"/>
              <w:bottom w:val="single" w:sz="8" w:color="56C271"/>
            </w:tcBorders>
            <w:shd w:val="clear" w:color="auto" w:fill="CCEDD4"/>
          </w:tcPr>
          <w:p>
            <w:pPr>
              <w:spacing w:after="0"/>
              <w:rPr>
                <w:sz w:val="22"/>
                <w:szCs w:val="22"/>
                <w:color w:val="auto"/>
              </w:rPr>
            </w:pPr>
          </w:p>
        </w:tc>
        <w:tc>
          <w:tcPr>
            <w:tcW w:w="1660" w:type="dxa"/>
            <w:vAlign w:val="bottom"/>
            <w:tcBorders>
              <w:bottom w:val="single" w:sz="8" w:color="56C271"/>
              <w:right w:val="single" w:sz="8" w:color="56C271"/>
            </w:tcBorders>
            <w:shd w:val="clear" w:color="auto" w:fill="CCEDD4"/>
          </w:tcPr>
          <w:p>
            <w:pPr>
              <w:spacing w:after="0"/>
              <w:rPr>
                <w:sz w:val="20"/>
                <w:szCs w:val="20"/>
                <w:color w:val="auto"/>
              </w:rPr>
            </w:pPr>
            <w:r>
              <w:rPr>
                <w:rFonts w:ascii="Arial" w:cs="Arial" w:eastAsia="Arial" w:hAnsi="Arial"/>
                <w:sz w:val="18"/>
                <w:szCs w:val="18"/>
                <w:b w:val="1"/>
                <w:bCs w:val="1"/>
                <w:color w:val="auto"/>
              </w:rPr>
              <w:t>Target</w:t>
            </w:r>
          </w:p>
        </w:tc>
        <w:tc>
          <w:tcPr>
            <w:tcW w:w="2160" w:type="dxa"/>
            <w:vAlign w:val="bottom"/>
            <w:tcBorders>
              <w:bottom w:val="single" w:sz="8" w:color="56C271"/>
              <w:right w:val="single" w:sz="8" w:color="56C271"/>
            </w:tcBorders>
            <w:shd w:val="clear" w:color="auto" w:fill="CCEDD4"/>
          </w:tcPr>
          <w:p>
            <w:pPr>
              <w:jc w:val="center"/>
              <w:ind w:right="114"/>
              <w:spacing w:after="0"/>
              <w:rPr>
                <w:sz w:val="20"/>
                <w:szCs w:val="20"/>
                <w:color w:val="auto"/>
              </w:rPr>
            </w:pPr>
            <w:r>
              <w:rPr>
                <w:rFonts w:ascii="Arial" w:cs="Arial" w:eastAsia="Arial" w:hAnsi="Arial"/>
                <w:sz w:val="18"/>
                <w:szCs w:val="18"/>
                <w:b w:val="1"/>
                <w:bCs w:val="1"/>
                <w:color w:val="auto"/>
                <w:w w:val="98"/>
              </w:rPr>
              <w:t>100.0%</w:t>
            </w:r>
          </w:p>
        </w:tc>
        <w:tc>
          <w:tcPr>
            <w:tcW w:w="1500" w:type="dxa"/>
            <w:vAlign w:val="bottom"/>
            <w:tcBorders>
              <w:bottom w:val="single" w:sz="8" w:color="56C271"/>
              <w:right w:val="single" w:sz="8" w:color="56C271"/>
            </w:tcBorders>
            <w:shd w:val="clear" w:color="auto" w:fill="CCEDD4"/>
          </w:tcPr>
          <w:p>
            <w:pPr>
              <w:jc w:val="center"/>
              <w:ind w:right="35"/>
              <w:spacing w:after="0"/>
              <w:rPr>
                <w:sz w:val="20"/>
                <w:szCs w:val="20"/>
                <w:color w:val="auto"/>
              </w:rPr>
            </w:pPr>
            <w:r>
              <w:rPr>
                <w:rFonts w:ascii="Arial" w:cs="Arial" w:eastAsia="Arial" w:hAnsi="Arial"/>
                <w:sz w:val="18"/>
                <w:szCs w:val="18"/>
                <w:b w:val="1"/>
                <w:bCs w:val="1"/>
                <w:color w:val="auto"/>
                <w:w w:val="98"/>
              </w:rPr>
              <w:t>$280.9</w:t>
            </w:r>
          </w:p>
        </w:tc>
        <w:tc>
          <w:tcPr>
            <w:tcW w:w="3180" w:type="dxa"/>
            <w:vAlign w:val="bottom"/>
            <w:tcBorders>
              <w:bottom w:val="single" w:sz="8" w:color="56C271"/>
            </w:tcBorders>
            <w:shd w:val="clear" w:color="auto" w:fill="CCEDD4"/>
          </w:tcPr>
          <w:p>
            <w:pPr>
              <w:jc w:val="center"/>
              <w:spacing w:after="0"/>
              <w:rPr>
                <w:sz w:val="20"/>
                <w:szCs w:val="20"/>
                <w:color w:val="auto"/>
              </w:rPr>
            </w:pPr>
            <w:r>
              <w:rPr>
                <w:rFonts w:ascii="Arial" w:cs="Arial" w:eastAsia="Arial" w:hAnsi="Arial"/>
                <w:sz w:val="18"/>
                <w:szCs w:val="18"/>
                <w:b w:val="1"/>
                <w:bCs w:val="1"/>
                <w:color w:val="auto"/>
                <w:w w:val="98"/>
              </w:rPr>
              <w:t>100.0%</w:t>
            </w:r>
          </w:p>
        </w:tc>
        <w:tc>
          <w:tcPr>
            <w:tcW w:w="20" w:type="dxa"/>
            <w:vAlign w:val="bottom"/>
          </w:tcPr>
          <w:p>
            <w:pPr>
              <w:spacing w:after="0"/>
              <w:rPr>
                <w:sz w:val="22"/>
                <w:szCs w:val="22"/>
                <w:color w:val="auto"/>
              </w:rPr>
            </w:pPr>
          </w:p>
        </w:tc>
      </w:tr>
      <w:tr>
        <w:trPr>
          <w:trHeight w:val="242"/>
        </w:trPr>
        <w:tc>
          <w:tcPr>
            <w:tcW w:w="240" w:type="dxa"/>
            <w:vAlign w:val="bottom"/>
            <w:tcBorders>
              <w:left w:val="single" w:sz="8" w:color="56C271"/>
            </w:tcBorders>
          </w:tcPr>
          <w:p>
            <w:pPr>
              <w:spacing w:after="0"/>
              <w:rPr>
                <w:sz w:val="21"/>
                <w:szCs w:val="21"/>
                <w:color w:val="auto"/>
              </w:rPr>
            </w:pPr>
          </w:p>
        </w:tc>
        <w:tc>
          <w:tcPr>
            <w:tcW w:w="1660" w:type="dxa"/>
            <w:vAlign w:val="bottom"/>
            <w:tcBorders>
              <w:right w:val="single" w:sz="8" w:color="56C271"/>
            </w:tcBorders>
          </w:tcPr>
          <w:p>
            <w:pPr>
              <w:spacing w:after="0"/>
              <w:rPr>
                <w:sz w:val="20"/>
                <w:szCs w:val="20"/>
                <w:color w:val="auto"/>
              </w:rPr>
            </w:pPr>
            <w:r>
              <w:rPr>
                <w:rFonts w:ascii="Arial" w:cs="Arial" w:eastAsia="Arial" w:hAnsi="Arial"/>
                <w:sz w:val="18"/>
                <w:szCs w:val="18"/>
                <w:color w:val="auto"/>
              </w:rPr>
              <w:t>&lt; Target</w:t>
            </w:r>
          </w:p>
        </w:tc>
        <w:tc>
          <w:tcPr>
            <w:tcW w:w="2160" w:type="dxa"/>
            <w:vAlign w:val="bottom"/>
            <w:tcBorders>
              <w:right w:val="single" w:sz="8" w:color="56C271"/>
            </w:tcBorders>
          </w:tcPr>
          <w:p>
            <w:pPr>
              <w:ind w:left="300"/>
              <w:spacing w:after="0"/>
              <w:rPr>
                <w:sz w:val="20"/>
                <w:szCs w:val="20"/>
                <w:color w:val="auto"/>
              </w:rPr>
            </w:pPr>
            <w:r>
              <w:rPr>
                <w:rFonts w:ascii="Arial" w:cs="Arial" w:eastAsia="Arial" w:hAnsi="Arial"/>
                <w:sz w:val="18"/>
                <w:szCs w:val="18"/>
                <w:color w:val="auto"/>
              </w:rPr>
              <w:t>1% change = 1%</w:t>
            </w:r>
          </w:p>
        </w:tc>
        <w:tc>
          <w:tcPr>
            <w:tcW w:w="1500" w:type="dxa"/>
            <w:vAlign w:val="bottom"/>
            <w:tcBorders>
              <w:right w:val="single" w:sz="8" w:color="56C271"/>
            </w:tcBorders>
          </w:tcPr>
          <w:p>
            <w:pPr>
              <w:jc w:val="center"/>
              <w:ind w:right="35"/>
              <w:spacing w:after="0"/>
              <w:rPr>
                <w:sz w:val="20"/>
                <w:szCs w:val="20"/>
                <w:color w:val="auto"/>
              </w:rPr>
            </w:pPr>
            <w:r>
              <w:rPr>
                <w:rFonts w:ascii="Arial" w:cs="Arial" w:eastAsia="Arial" w:hAnsi="Arial"/>
                <w:sz w:val="18"/>
                <w:szCs w:val="18"/>
                <w:color w:val="auto"/>
                <w:w w:val="96"/>
              </w:rPr>
              <w:t>$224.9 — $279.9</w:t>
            </w:r>
          </w:p>
        </w:tc>
        <w:tc>
          <w:tcPr>
            <w:tcW w:w="3180" w:type="dxa"/>
            <w:vAlign w:val="bottom"/>
          </w:tcPr>
          <w:p>
            <w:pPr>
              <w:jc w:val="center"/>
              <w:spacing w:after="0"/>
              <w:rPr>
                <w:sz w:val="20"/>
                <w:szCs w:val="20"/>
                <w:color w:val="auto"/>
              </w:rPr>
            </w:pPr>
            <w:r>
              <w:rPr>
                <w:rFonts w:ascii="Arial" w:cs="Arial" w:eastAsia="Arial" w:hAnsi="Arial"/>
                <w:sz w:val="18"/>
                <w:szCs w:val="18"/>
                <w:color w:val="auto"/>
                <w:w w:val="99"/>
              </w:rPr>
              <w:t>3% decrease in payout per 1%</w:t>
            </w:r>
          </w:p>
        </w:tc>
        <w:tc>
          <w:tcPr>
            <w:tcW w:w="20" w:type="dxa"/>
            <w:vAlign w:val="bottom"/>
          </w:tcPr>
          <w:p>
            <w:pPr>
              <w:spacing w:after="0"/>
              <w:rPr>
                <w:sz w:val="21"/>
                <w:szCs w:val="21"/>
                <w:color w:val="auto"/>
              </w:rPr>
            </w:pPr>
          </w:p>
        </w:tc>
      </w:tr>
      <w:tr>
        <w:trPr>
          <w:trHeight w:val="217"/>
        </w:trPr>
        <w:tc>
          <w:tcPr>
            <w:tcW w:w="240" w:type="dxa"/>
            <w:vAlign w:val="bottom"/>
            <w:tcBorders>
              <w:left w:val="single" w:sz="8" w:color="56C271"/>
            </w:tcBorders>
          </w:tcPr>
          <w:p>
            <w:pPr>
              <w:spacing w:after="0"/>
              <w:rPr>
                <w:sz w:val="18"/>
                <w:szCs w:val="18"/>
                <w:color w:val="auto"/>
              </w:rPr>
            </w:pPr>
          </w:p>
        </w:tc>
        <w:tc>
          <w:tcPr>
            <w:tcW w:w="1660" w:type="dxa"/>
            <w:vAlign w:val="bottom"/>
            <w:tcBorders>
              <w:right w:val="single" w:sz="8" w:color="56C271"/>
            </w:tcBorders>
          </w:tcPr>
          <w:p>
            <w:pPr>
              <w:spacing w:after="0"/>
              <w:rPr>
                <w:sz w:val="18"/>
                <w:szCs w:val="18"/>
                <w:color w:val="auto"/>
              </w:rPr>
            </w:pPr>
          </w:p>
        </w:tc>
        <w:tc>
          <w:tcPr>
            <w:tcW w:w="2160" w:type="dxa"/>
            <w:vAlign w:val="bottom"/>
            <w:tcBorders>
              <w:right w:val="single" w:sz="8" w:color="56C271"/>
            </w:tcBorders>
          </w:tcPr>
          <w:p>
            <w:pPr>
              <w:jc w:val="center"/>
              <w:spacing w:after="0"/>
              <w:rPr>
                <w:sz w:val="20"/>
                <w:szCs w:val="20"/>
                <w:color w:val="auto"/>
              </w:rPr>
            </w:pPr>
            <w:r>
              <w:rPr>
                <w:rFonts w:ascii="Arial" w:cs="Arial" w:eastAsia="Arial" w:hAnsi="Arial"/>
                <w:sz w:val="18"/>
                <w:szCs w:val="18"/>
                <w:color w:val="auto"/>
                <w:w w:val="99"/>
              </w:rPr>
              <w:t>change in attainment</w:t>
            </w:r>
          </w:p>
        </w:tc>
        <w:tc>
          <w:tcPr>
            <w:tcW w:w="1500" w:type="dxa"/>
            <w:vAlign w:val="bottom"/>
            <w:tcBorders>
              <w:right w:val="single" w:sz="8" w:color="56C271"/>
            </w:tcBorders>
          </w:tcPr>
          <w:p>
            <w:pPr>
              <w:spacing w:after="0"/>
              <w:rPr>
                <w:sz w:val="18"/>
                <w:szCs w:val="18"/>
                <w:color w:val="auto"/>
              </w:rPr>
            </w:pPr>
          </w:p>
        </w:tc>
        <w:tc>
          <w:tcPr>
            <w:tcW w:w="3180" w:type="dxa"/>
            <w:vAlign w:val="bottom"/>
          </w:tcPr>
          <w:p>
            <w:pPr>
              <w:jc w:val="center"/>
              <w:ind w:left="112"/>
              <w:spacing w:after="0"/>
              <w:rPr>
                <w:sz w:val="20"/>
                <w:szCs w:val="20"/>
                <w:color w:val="auto"/>
              </w:rPr>
            </w:pPr>
            <w:r>
              <w:rPr>
                <w:rFonts w:ascii="Arial" w:cs="Arial" w:eastAsia="Arial" w:hAnsi="Arial"/>
                <w:sz w:val="18"/>
                <w:szCs w:val="18"/>
                <w:color w:val="auto"/>
                <w:w w:val="99"/>
              </w:rPr>
              <w:t>decrease in attainment</w:t>
            </w:r>
          </w:p>
        </w:tc>
        <w:tc>
          <w:tcPr>
            <w:tcW w:w="20" w:type="dxa"/>
            <w:vAlign w:val="bottom"/>
          </w:tcPr>
          <w:p>
            <w:pPr>
              <w:spacing w:after="0"/>
              <w:rPr>
                <w:sz w:val="18"/>
                <w:szCs w:val="18"/>
                <w:color w:val="auto"/>
              </w:rPr>
            </w:pPr>
          </w:p>
        </w:tc>
      </w:tr>
      <w:tr>
        <w:trPr>
          <w:trHeight w:val="27"/>
        </w:trPr>
        <w:tc>
          <w:tcPr>
            <w:tcW w:w="240" w:type="dxa"/>
            <w:vAlign w:val="bottom"/>
            <w:tcBorders>
              <w:left w:val="single" w:sz="8" w:color="56C271"/>
              <w:bottom w:val="single" w:sz="8" w:color="56C271"/>
            </w:tcBorders>
          </w:tcPr>
          <w:p>
            <w:pPr>
              <w:spacing w:after="0"/>
              <w:rPr>
                <w:sz w:val="2"/>
                <w:szCs w:val="2"/>
                <w:color w:val="auto"/>
              </w:rPr>
            </w:pPr>
          </w:p>
        </w:tc>
        <w:tc>
          <w:tcPr>
            <w:tcW w:w="1660" w:type="dxa"/>
            <w:vAlign w:val="bottom"/>
            <w:tcBorders>
              <w:bottom w:val="single" w:sz="8" w:color="56C271"/>
              <w:right w:val="single" w:sz="8" w:color="56C271"/>
            </w:tcBorders>
          </w:tcPr>
          <w:p>
            <w:pPr>
              <w:spacing w:after="0"/>
              <w:rPr>
                <w:sz w:val="2"/>
                <w:szCs w:val="2"/>
                <w:color w:val="auto"/>
              </w:rPr>
            </w:pPr>
          </w:p>
        </w:tc>
        <w:tc>
          <w:tcPr>
            <w:tcW w:w="2160" w:type="dxa"/>
            <w:vAlign w:val="bottom"/>
            <w:tcBorders>
              <w:bottom w:val="single" w:sz="8" w:color="56C271"/>
              <w:right w:val="single" w:sz="8" w:color="56C271"/>
            </w:tcBorders>
          </w:tcPr>
          <w:p>
            <w:pPr>
              <w:spacing w:after="0"/>
              <w:rPr>
                <w:sz w:val="2"/>
                <w:szCs w:val="2"/>
                <w:color w:val="auto"/>
              </w:rPr>
            </w:pPr>
          </w:p>
        </w:tc>
        <w:tc>
          <w:tcPr>
            <w:tcW w:w="1500" w:type="dxa"/>
            <w:vAlign w:val="bottom"/>
            <w:tcBorders>
              <w:bottom w:val="single" w:sz="8" w:color="56C271"/>
              <w:right w:val="single" w:sz="8" w:color="56C271"/>
            </w:tcBorders>
          </w:tcPr>
          <w:p>
            <w:pPr>
              <w:spacing w:after="0"/>
              <w:rPr>
                <w:sz w:val="2"/>
                <w:szCs w:val="2"/>
                <w:color w:val="auto"/>
              </w:rPr>
            </w:pPr>
          </w:p>
        </w:tc>
        <w:tc>
          <w:tcPr>
            <w:tcW w:w="3180" w:type="dxa"/>
            <w:vAlign w:val="bottom"/>
            <w:tcBorders>
              <w:bottom w:val="single" w:sz="8" w:color="56C271"/>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40" w:type="dxa"/>
            <w:vAlign w:val="bottom"/>
            <w:tcBorders>
              <w:left w:val="single" w:sz="8" w:color="56C271"/>
              <w:bottom w:val="single" w:sz="8" w:color="56C271"/>
            </w:tcBorders>
          </w:tcPr>
          <w:p>
            <w:pPr>
              <w:spacing w:after="0"/>
              <w:rPr>
                <w:sz w:val="21"/>
                <w:szCs w:val="21"/>
                <w:color w:val="auto"/>
              </w:rPr>
            </w:pPr>
          </w:p>
        </w:tc>
        <w:tc>
          <w:tcPr>
            <w:tcW w:w="1660" w:type="dxa"/>
            <w:vAlign w:val="bottom"/>
            <w:tcBorders>
              <w:bottom w:val="single" w:sz="8" w:color="56C271"/>
              <w:right w:val="single" w:sz="8" w:color="56C271"/>
            </w:tcBorders>
          </w:tcPr>
          <w:p>
            <w:pPr>
              <w:spacing w:after="0"/>
              <w:rPr>
                <w:sz w:val="20"/>
                <w:szCs w:val="20"/>
                <w:color w:val="auto"/>
              </w:rPr>
            </w:pPr>
            <w:r>
              <w:rPr>
                <w:rFonts w:ascii="Arial" w:cs="Arial" w:eastAsia="Arial" w:hAnsi="Arial"/>
                <w:sz w:val="18"/>
                <w:szCs w:val="18"/>
                <w:color w:val="auto"/>
              </w:rPr>
              <w:t>Threshold</w:t>
            </w:r>
          </w:p>
        </w:tc>
        <w:tc>
          <w:tcPr>
            <w:tcW w:w="2160" w:type="dxa"/>
            <w:vAlign w:val="bottom"/>
            <w:tcBorders>
              <w:bottom w:val="single" w:sz="8" w:color="56C271"/>
              <w:right w:val="single" w:sz="8" w:color="56C271"/>
            </w:tcBorders>
          </w:tcPr>
          <w:p>
            <w:pPr>
              <w:jc w:val="center"/>
              <w:ind w:right="94"/>
              <w:spacing w:after="0"/>
              <w:rPr>
                <w:sz w:val="20"/>
                <w:szCs w:val="20"/>
                <w:color w:val="auto"/>
              </w:rPr>
            </w:pPr>
            <w:r>
              <w:rPr>
                <w:rFonts w:ascii="Arial" w:cs="Arial" w:eastAsia="Arial" w:hAnsi="Arial"/>
                <w:sz w:val="18"/>
                <w:szCs w:val="18"/>
                <w:color w:val="auto"/>
                <w:w w:val="97"/>
              </w:rPr>
              <w:t>80.0%</w:t>
            </w:r>
          </w:p>
        </w:tc>
        <w:tc>
          <w:tcPr>
            <w:tcW w:w="1500" w:type="dxa"/>
            <w:vAlign w:val="bottom"/>
            <w:tcBorders>
              <w:bottom w:val="single" w:sz="8" w:color="56C271"/>
              <w:right w:val="single" w:sz="8" w:color="56C271"/>
            </w:tcBorders>
          </w:tcPr>
          <w:p>
            <w:pPr>
              <w:jc w:val="center"/>
              <w:ind w:right="35"/>
              <w:spacing w:after="0"/>
              <w:rPr>
                <w:sz w:val="20"/>
                <w:szCs w:val="20"/>
                <w:color w:val="auto"/>
              </w:rPr>
            </w:pPr>
            <w:r>
              <w:rPr>
                <w:rFonts w:ascii="Arial" w:cs="Arial" w:eastAsia="Arial" w:hAnsi="Arial"/>
                <w:sz w:val="18"/>
                <w:szCs w:val="18"/>
                <w:color w:val="auto"/>
                <w:w w:val="98"/>
              </w:rPr>
              <w:t>$224.8</w:t>
            </w:r>
          </w:p>
        </w:tc>
        <w:tc>
          <w:tcPr>
            <w:tcW w:w="31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40%</w:t>
            </w:r>
          </w:p>
        </w:tc>
        <w:tc>
          <w:tcPr>
            <w:tcW w:w="20" w:type="dxa"/>
            <w:vAlign w:val="bottom"/>
            <w:tcBorders>
              <w:bottom w:val="single" w:sz="8" w:color="56C271"/>
            </w:tcBorders>
          </w:tcPr>
          <w:p>
            <w:pPr>
              <w:spacing w:after="0"/>
              <w:rPr>
                <w:sz w:val="21"/>
                <w:szCs w:val="21"/>
                <w:color w:val="auto"/>
              </w:rPr>
            </w:pPr>
          </w:p>
        </w:tc>
      </w:tr>
      <w:tr>
        <w:trPr>
          <w:trHeight w:val="142"/>
        </w:trPr>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240" w:type="dxa"/>
            <w:vAlign w:val="bottom"/>
            <w:tcBorders>
              <w:left w:val="single" w:sz="8" w:color="56C271"/>
            </w:tcBorders>
            <w:shd w:val="clear" w:color="auto" w:fill="56C271"/>
          </w:tcPr>
          <w:p>
            <w:pPr>
              <w:spacing w:after="0"/>
              <w:rPr>
                <w:sz w:val="22"/>
                <w:szCs w:val="22"/>
                <w:color w:val="auto"/>
              </w:rPr>
            </w:pPr>
          </w:p>
        </w:tc>
        <w:tc>
          <w:tcPr>
            <w:tcW w:w="1660" w:type="dxa"/>
            <w:vAlign w:val="bottom"/>
            <w:tcBorders>
              <w:right w:val="single" w:sz="8" w:color="56C271"/>
            </w:tcBorders>
            <w:shd w:val="clear" w:color="auto" w:fill="56C271"/>
          </w:tcPr>
          <w:p>
            <w:pPr>
              <w:spacing w:after="0"/>
              <w:rPr>
                <w:sz w:val="22"/>
                <w:szCs w:val="22"/>
                <w:color w:val="auto"/>
              </w:rPr>
            </w:pPr>
          </w:p>
        </w:tc>
        <w:tc>
          <w:tcPr>
            <w:tcW w:w="3660" w:type="dxa"/>
            <w:vAlign w:val="bottom"/>
            <w:tcBorders>
              <w:right w:val="single" w:sz="8" w:color="56C271"/>
            </w:tcBorders>
            <w:gridSpan w:val="2"/>
            <w:shd w:val="clear" w:color="auto" w:fill="56C271"/>
          </w:tcPr>
          <w:p>
            <w:pPr>
              <w:jc w:val="center"/>
              <w:ind w:left="1334"/>
              <w:spacing w:after="0"/>
              <w:rPr>
                <w:sz w:val="20"/>
                <w:szCs w:val="20"/>
                <w:color w:val="auto"/>
              </w:rPr>
            </w:pPr>
            <w:r>
              <w:rPr>
                <w:rFonts w:ascii="Arial" w:cs="Arial" w:eastAsia="Arial" w:hAnsi="Arial"/>
                <w:sz w:val="14"/>
                <w:szCs w:val="14"/>
                <w:b w:val="1"/>
                <w:bCs w:val="1"/>
                <w:color w:val="FEFEFE"/>
              </w:rPr>
              <w:t>Fiscal 2021 ROWC Goals</w:t>
            </w:r>
          </w:p>
        </w:tc>
        <w:tc>
          <w:tcPr>
            <w:tcW w:w="3180" w:type="dxa"/>
            <w:vAlign w:val="bottom"/>
            <w:shd w:val="clear" w:color="auto" w:fill="56C271"/>
          </w:tcPr>
          <w:p>
            <w:pPr>
              <w:spacing w:after="0"/>
              <w:rPr>
                <w:sz w:val="22"/>
                <w:szCs w:val="22"/>
                <w:color w:val="auto"/>
              </w:rPr>
            </w:pPr>
          </w:p>
        </w:tc>
        <w:tc>
          <w:tcPr>
            <w:tcW w:w="20" w:type="dxa"/>
            <w:vAlign w:val="bottom"/>
            <w:shd w:val="clear" w:color="auto" w:fill="56C271"/>
          </w:tcPr>
          <w:p>
            <w:pPr>
              <w:spacing w:after="0"/>
              <w:rPr>
                <w:sz w:val="22"/>
                <w:szCs w:val="22"/>
                <w:color w:val="auto"/>
              </w:rPr>
            </w:pPr>
          </w:p>
        </w:tc>
      </w:tr>
      <w:tr>
        <w:trPr>
          <w:trHeight w:val="190"/>
        </w:trPr>
        <w:tc>
          <w:tcPr>
            <w:tcW w:w="240" w:type="dxa"/>
            <w:vAlign w:val="bottom"/>
            <w:tcBorders>
              <w:left w:val="single" w:sz="8" w:color="56C271"/>
            </w:tcBorders>
            <w:shd w:val="clear" w:color="auto" w:fill="56C271"/>
          </w:tcPr>
          <w:p>
            <w:pPr>
              <w:spacing w:after="0"/>
              <w:rPr>
                <w:sz w:val="16"/>
                <w:szCs w:val="16"/>
                <w:color w:val="auto"/>
              </w:rPr>
            </w:pPr>
          </w:p>
        </w:tc>
        <w:tc>
          <w:tcPr>
            <w:tcW w:w="1660" w:type="dxa"/>
            <w:vAlign w:val="bottom"/>
            <w:tcBorders>
              <w:right w:val="single" w:sz="8" w:color="56C271"/>
            </w:tcBorders>
            <w:shd w:val="clear" w:color="auto" w:fill="56C271"/>
          </w:tcPr>
          <w:p>
            <w:pPr>
              <w:spacing w:after="0"/>
              <w:rPr>
                <w:sz w:val="16"/>
                <w:szCs w:val="16"/>
                <w:color w:val="auto"/>
              </w:rPr>
            </w:pPr>
          </w:p>
        </w:tc>
        <w:tc>
          <w:tcPr>
            <w:tcW w:w="2160" w:type="dxa"/>
            <w:vAlign w:val="bottom"/>
            <w:tcBorders>
              <w:right w:val="single" w:sz="8" w:color="56C271"/>
            </w:tcBorders>
            <w:shd w:val="clear" w:color="auto" w:fill="56C271"/>
          </w:tcPr>
          <w:p>
            <w:pPr>
              <w:spacing w:after="0"/>
              <w:rPr>
                <w:sz w:val="16"/>
                <w:szCs w:val="16"/>
                <w:color w:val="auto"/>
              </w:rPr>
            </w:pPr>
          </w:p>
        </w:tc>
        <w:tc>
          <w:tcPr>
            <w:tcW w:w="1500" w:type="dxa"/>
            <w:vAlign w:val="bottom"/>
            <w:tcBorders>
              <w:right w:val="single" w:sz="8" w:color="56C271"/>
            </w:tcBorders>
            <w:shd w:val="clear" w:color="auto" w:fill="56C271"/>
          </w:tcPr>
          <w:p>
            <w:pPr>
              <w:jc w:val="center"/>
              <w:ind w:right="515"/>
              <w:spacing w:after="0"/>
              <w:rPr>
                <w:sz w:val="20"/>
                <w:szCs w:val="20"/>
                <w:color w:val="auto"/>
              </w:rPr>
            </w:pPr>
            <w:r>
              <w:rPr>
                <w:rFonts w:ascii="Arial" w:cs="Arial" w:eastAsia="Arial" w:hAnsi="Arial"/>
                <w:sz w:val="14"/>
                <w:szCs w:val="14"/>
                <w:b w:val="1"/>
                <w:bCs w:val="1"/>
                <w:color w:val="FEFEFE"/>
                <w:w w:val="90"/>
              </w:rPr>
              <w:t>40% Weighting</w:t>
            </w:r>
          </w:p>
        </w:tc>
        <w:tc>
          <w:tcPr>
            <w:tcW w:w="3180" w:type="dxa"/>
            <w:vAlign w:val="bottom"/>
            <w:shd w:val="clear" w:color="auto" w:fill="56C271"/>
          </w:tcPr>
          <w:p>
            <w:pPr>
              <w:spacing w:after="0"/>
              <w:rPr>
                <w:sz w:val="16"/>
                <w:szCs w:val="16"/>
                <w:color w:val="auto"/>
              </w:rPr>
            </w:pPr>
          </w:p>
        </w:tc>
        <w:tc>
          <w:tcPr>
            <w:tcW w:w="20" w:type="dxa"/>
            <w:vAlign w:val="bottom"/>
            <w:shd w:val="clear" w:color="auto" w:fill="56C271"/>
          </w:tcPr>
          <w:p>
            <w:pPr>
              <w:spacing w:after="0"/>
              <w:rPr>
                <w:sz w:val="16"/>
                <w:szCs w:val="16"/>
                <w:color w:val="auto"/>
              </w:rPr>
            </w:pPr>
          </w:p>
        </w:tc>
      </w:tr>
      <w:tr>
        <w:trPr>
          <w:trHeight w:val="268"/>
        </w:trPr>
        <w:tc>
          <w:tcPr>
            <w:tcW w:w="240" w:type="dxa"/>
            <w:vAlign w:val="bottom"/>
            <w:tcBorders>
              <w:left w:val="single" w:sz="8" w:color="56C271"/>
            </w:tcBorders>
            <w:shd w:val="clear" w:color="auto" w:fill="56C271"/>
          </w:tcPr>
          <w:p>
            <w:pPr>
              <w:spacing w:after="0"/>
              <w:rPr>
                <w:sz w:val="23"/>
                <w:szCs w:val="23"/>
                <w:color w:val="auto"/>
              </w:rPr>
            </w:pPr>
          </w:p>
        </w:tc>
        <w:tc>
          <w:tcPr>
            <w:tcW w:w="1660" w:type="dxa"/>
            <w:vAlign w:val="bottom"/>
            <w:tcBorders>
              <w:right w:val="single" w:sz="8" w:color="56C271"/>
            </w:tcBorders>
            <w:shd w:val="clear" w:color="auto" w:fill="56C271"/>
          </w:tcPr>
          <w:p>
            <w:pPr>
              <w:spacing w:after="0"/>
              <w:rPr>
                <w:sz w:val="23"/>
                <w:szCs w:val="23"/>
                <w:color w:val="auto"/>
              </w:rPr>
            </w:pPr>
          </w:p>
        </w:tc>
        <w:tc>
          <w:tcPr>
            <w:tcW w:w="2160" w:type="dxa"/>
            <w:vAlign w:val="bottom"/>
            <w:tcBorders>
              <w:right w:val="single" w:sz="8" w:color="56C271"/>
            </w:tcBorders>
            <w:shd w:val="clear" w:color="auto" w:fill="56C271"/>
          </w:tcPr>
          <w:p>
            <w:pPr>
              <w:jc w:val="center"/>
              <w:spacing w:after="0"/>
              <w:rPr>
                <w:sz w:val="20"/>
                <w:szCs w:val="20"/>
                <w:color w:val="auto"/>
              </w:rPr>
            </w:pPr>
            <w:r>
              <w:rPr>
                <w:rFonts w:ascii="Arial" w:cs="Arial" w:eastAsia="Arial" w:hAnsi="Arial"/>
                <w:sz w:val="14"/>
                <w:szCs w:val="14"/>
                <w:b w:val="1"/>
                <w:bCs w:val="1"/>
                <w:color w:val="FEFEFE"/>
              </w:rPr>
              <w:t>% Attainment</w:t>
            </w:r>
          </w:p>
        </w:tc>
        <w:tc>
          <w:tcPr>
            <w:tcW w:w="1500" w:type="dxa"/>
            <w:vAlign w:val="bottom"/>
            <w:tcBorders>
              <w:right w:val="single" w:sz="8" w:color="56C271"/>
            </w:tcBorders>
            <w:shd w:val="clear" w:color="auto" w:fill="56C271"/>
          </w:tcPr>
          <w:p>
            <w:pPr>
              <w:jc w:val="center"/>
              <w:spacing w:after="0"/>
              <w:rPr>
                <w:sz w:val="20"/>
                <w:szCs w:val="20"/>
                <w:color w:val="auto"/>
              </w:rPr>
            </w:pPr>
            <w:r>
              <w:rPr>
                <w:rFonts w:ascii="Arial" w:cs="Arial" w:eastAsia="Arial" w:hAnsi="Arial"/>
                <w:sz w:val="14"/>
                <w:szCs w:val="14"/>
                <w:b w:val="1"/>
                <w:bCs w:val="1"/>
                <w:color w:val="FEFEFE"/>
              </w:rPr>
              <w:t>ROWC %</w:t>
            </w:r>
          </w:p>
        </w:tc>
        <w:tc>
          <w:tcPr>
            <w:tcW w:w="318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 Payout</w:t>
            </w:r>
          </w:p>
        </w:tc>
        <w:tc>
          <w:tcPr>
            <w:tcW w:w="20" w:type="dxa"/>
            <w:vAlign w:val="bottom"/>
            <w:shd w:val="clear" w:color="auto" w:fill="56C271"/>
          </w:tcPr>
          <w:p>
            <w:pPr>
              <w:spacing w:after="0"/>
              <w:rPr>
                <w:sz w:val="23"/>
                <w:szCs w:val="23"/>
                <w:color w:val="auto"/>
              </w:rPr>
            </w:pPr>
          </w:p>
        </w:tc>
      </w:tr>
      <w:tr>
        <w:trPr>
          <w:trHeight w:val="263"/>
        </w:trPr>
        <w:tc>
          <w:tcPr>
            <w:tcW w:w="240" w:type="dxa"/>
            <w:vAlign w:val="bottom"/>
            <w:tcBorders>
              <w:left w:val="single" w:sz="8" w:color="56C271"/>
              <w:bottom w:val="single" w:sz="8" w:color="56C271"/>
            </w:tcBorders>
          </w:tcPr>
          <w:p>
            <w:pPr>
              <w:spacing w:after="0"/>
              <w:rPr>
                <w:sz w:val="22"/>
                <w:szCs w:val="22"/>
                <w:color w:val="auto"/>
              </w:rPr>
            </w:pPr>
          </w:p>
        </w:tc>
        <w:tc>
          <w:tcPr>
            <w:tcW w:w="1660" w:type="dxa"/>
            <w:vAlign w:val="bottom"/>
            <w:tcBorders>
              <w:bottom w:val="single" w:sz="8" w:color="56C271"/>
              <w:right w:val="single" w:sz="8" w:color="56C271"/>
            </w:tcBorders>
          </w:tcPr>
          <w:p>
            <w:pPr>
              <w:spacing w:after="0"/>
              <w:rPr>
                <w:sz w:val="20"/>
                <w:szCs w:val="20"/>
                <w:color w:val="auto"/>
              </w:rPr>
            </w:pPr>
            <w:r>
              <w:rPr>
                <w:rFonts w:ascii="Arial" w:cs="Arial" w:eastAsia="Arial" w:hAnsi="Arial"/>
                <w:sz w:val="18"/>
                <w:szCs w:val="18"/>
                <w:color w:val="auto"/>
              </w:rPr>
              <w:t>Maximum</w:t>
            </w:r>
          </w:p>
        </w:tc>
        <w:tc>
          <w:tcPr>
            <w:tcW w:w="216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rPr>
              <w:t>120.0%</w:t>
            </w:r>
          </w:p>
        </w:tc>
        <w:tc>
          <w:tcPr>
            <w:tcW w:w="150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7"/>
              </w:rPr>
              <w:t>8.76%</w:t>
            </w:r>
          </w:p>
        </w:tc>
        <w:tc>
          <w:tcPr>
            <w:tcW w:w="31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200%</w:t>
            </w:r>
          </w:p>
        </w:tc>
        <w:tc>
          <w:tcPr>
            <w:tcW w:w="20" w:type="dxa"/>
            <w:vAlign w:val="bottom"/>
            <w:tcBorders>
              <w:bottom w:val="single" w:sz="8" w:color="56C271"/>
            </w:tcBorders>
            <w:shd w:val="clear" w:color="auto" w:fill="56C271"/>
          </w:tcPr>
          <w:p>
            <w:pPr>
              <w:spacing w:after="0"/>
              <w:rPr>
                <w:sz w:val="22"/>
                <w:szCs w:val="22"/>
                <w:color w:val="auto"/>
              </w:rPr>
            </w:pPr>
          </w:p>
        </w:tc>
      </w:tr>
      <w:tr>
        <w:trPr>
          <w:trHeight w:val="242"/>
        </w:trPr>
        <w:tc>
          <w:tcPr>
            <w:tcW w:w="240" w:type="dxa"/>
            <w:vAlign w:val="bottom"/>
            <w:tcBorders>
              <w:left w:val="single" w:sz="8" w:color="56C271"/>
            </w:tcBorders>
          </w:tcPr>
          <w:p>
            <w:pPr>
              <w:spacing w:after="0"/>
              <w:rPr>
                <w:sz w:val="21"/>
                <w:szCs w:val="21"/>
                <w:color w:val="auto"/>
              </w:rPr>
            </w:pPr>
          </w:p>
        </w:tc>
        <w:tc>
          <w:tcPr>
            <w:tcW w:w="1660" w:type="dxa"/>
            <w:vAlign w:val="bottom"/>
            <w:tcBorders>
              <w:right w:val="single" w:sz="8" w:color="56C271"/>
            </w:tcBorders>
          </w:tcPr>
          <w:p>
            <w:pPr>
              <w:spacing w:after="0"/>
              <w:rPr>
                <w:sz w:val="20"/>
                <w:szCs w:val="20"/>
                <w:color w:val="auto"/>
              </w:rPr>
            </w:pPr>
            <w:r>
              <w:rPr>
                <w:rFonts w:ascii="Arial" w:cs="Arial" w:eastAsia="Arial" w:hAnsi="Arial"/>
                <w:sz w:val="18"/>
                <w:szCs w:val="18"/>
                <w:color w:val="auto"/>
              </w:rPr>
              <w:t>&gt; Target</w:t>
            </w:r>
          </w:p>
        </w:tc>
        <w:tc>
          <w:tcPr>
            <w:tcW w:w="2160" w:type="dxa"/>
            <w:vAlign w:val="bottom"/>
            <w:tcBorders>
              <w:right w:val="single" w:sz="8" w:color="56C271"/>
            </w:tcBorders>
          </w:tcPr>
          <w:p>
            <w:pPr>
              <w:jc w:val="center"/>
              <w:spacing w:after="0"/>
              <w:rPr>
                <w:sz w:val="20"/>
                <w:szCs w:val="20"/>
                <w:color w:val="auto"/>
              </w:rPr>
            </w:pPr>
            <w:r>
              <w:rPr>
                <w:rFonts w:ascii="Arial" w:cs="Arial" w:eastAsia="Arial" w:hAnsi="Arial"/>
                <w:sz w:val="18"/>
                <w:szCs w:val="18"/>
                <w:color w:val="auto"/>
                <w:w w:val="99"/>
              </w:rPr>
              <w:t>1% change = 1%</w:t>
            </w:r>
          </w:p>
        </w:tc>
        <w:tc>
          <w:tcPr>
            <w:tcW w:w="1500" w:type="dxa"/>
            <w:vAlign w:val="bottom"/>
            <w:tcBorders>
              <w:right w:val="single" w:sz="8" w:color="56C271"/>
            </w:tcBorders>
          </w:tcPr>
          <w:p>
            <w:pPr>
              <w:jc w:val="center"/>
              <w:spacing w:after="0"/>
              <w:rPr>
                <w:sz w:val="20"/>
                <w:szCs w:val="20"/>
                <w:color w:val="auto"/>
              </w:rPr>
            </w:pPr>
            <w:r>
              <w:rPr>
                <w:rFonts w:ascii="Arial" w:cs="Arial" w:eastAsia="Arial" w:hAnsi="Arial"/>
                <w:sz w:val="18"/>
                <w:szCs w:val="18"/>
                <w:color w:val="auto"/>
                <w:w w:val="96"/>
              </w:rPr>
              <w:t>7.26% — 8.75%</w:t>
            </w:r>
          </w:p>
        </w:tc>
        <w:tc>
          <w:tcPr>
            <w:tcW w:w="3180" w:type="dxa"/>
            <w:vAlign w:val="bottom"/>
          </w:tcPr>
          <w:p>
            <w:pPr>
              <w:jc w:val="center"/>
              <w:spacing w:after="0"/>
              <w:rPr>
                <w:sz w:val="20"/>
                <w:szCs w:val="20"/>
                <w:color w:val="auto"/>
              </w:rPr>
            </w:pPr>
            <w:r>
              <w:rPr>
                <w:rFonts w:ascii="Arial" w:cs="Arial" w:eastAsia="Arial" w:hAnsi="Arial"/>
                <w:sz w:val="18"/>
                <w:szCs w:val="18"/>
                <w:color w:val="auto"/>
                <w:w w:val="99"/>
              </w:rPr>
              <w:t>5% increase in payout per 1%</w:t>
            </w:r>
          </w:p>
        </w:tc>
        <w:tc>
          <w:tcPr>
            <w:tcW w:w="20" w:type="dxa"/>
            <w:vAlign w:val="bottom"/>
            <w:shd w:val="clear" w:color="auto" w:fill="56C271"/>
          </w:tcPr>
          <w:p>
            <w:pPr>
              <w:spacing w:after="0"/>
              <w:rPr>
                <w:sz w:val="21"/>
                <w:szCs w:val="21"/>
                <w:color w:val="auto"/>
              </w:rPr>
            </w:pPr>
          </w:p>
        </w:tc>
      </w:tr>
      <w:tr>
        <w:trPr>
          <w:trHeight w:val="217"/>
        </w:trPr>
        <w:tc>
          <w:tcPr>
            <w:tcW w:w="240" w:type="dxa"/>
            <w:vAlign w:val="bottom"/>
            <w:tcBorders>
              <w:left w:val="single" w:sz="8" w:color="56C271"/>
            </w:tcBorders>
          </w:tcPr>
          <w:p>
            <w:pPr>
              <w:spacing w:after="0"/>
              <w:rPr>
                <w:sz w:val="18"/>
                <w:szCs w:val="18"/>
                <w:color w:val="auto"/>
              </w:rPr>
            </w:pPr>
          </w:p>
        </w:tc>
        <w:tc>
          <w:tcPr>
            <w:tcW w:w="1660" w:type="dxa"/>
            <w:vAlign w:val="bottom"/>
            <w:tcBorders>
              <w:right w:val="single" w:sz="8" w:color="56C271"/>
            </w:tcBorders>
          </w:tcPr>
          <w:p>
            <w:pPr>
              <w:spacing w:after="0"/>
              <w:rPr>
                <w:sz w:val="18"/>
                <w:szCs w:val="18"/>
                <w:color w:val="auto"/>
              </w:rPr>
            </w:pPr>
          </w:p>
        </w:tc>
        <w:tc>
          <w:tcPr>
            <w:tcW w:w="2160" w:type="dxa"/>
            <w:vAlign w:val="bottom"/>
            <w:tcBorders>
              <w:right w:val="single" w:sz="8" w:color="56C271"/>
            </w:tcBorders>
          </w:tcPr>
          <w:p>
            <w:pPr>
              <w:ind w:left="320"/>
              <w:spacing w:after="0"/>
              <w:rPr>
                <w:sz w:val="20"/>
                <w:szCs w:val="20"/>
                <w:color w:val="auto"/>
              </w:rPr>
            </w:pPr>
            <w:r>
              <w:rPr>
                <w:rFonts w:ascii="Arial" w:cs="Arial" w:eastAsia="Arial" w:hAnsi="Arial"/>
                <w:sz w:val="18"/>
                <w:szCs w:val="18"/>
                <w:color w:val="auto"/>
              </w:rPr>
              <w:t>change in attainment</w:t>
            </w:r>
          </w:p>
        </w:tc>
        <w:tc>
          <w:tcPr>
            <w:tcW w:w="1500" w:type="dxa"/>
            <w:vAlign w:val="bottom"/>
            <w:tcBorders>
              <w:right w:val="single" w:sz="8" w:color="56C271"/>
            </w:tcBorders>
          </w:tcPr>
          <w:p>
            <w:pPr>
              <w:spacing w:after="0"/>
              <w:rPr>
                <w:sz w:val="18"/>
                <w:szCs w:val="18"/>
                <w:color w:val="auto"/>
              </w:rPr>
            </w:pPr>
          </w:p>
        </w:tc>
        <w:tc>
          <w:tcPr>
            <w:tcW w:w="3180" w:type="dxa"/>
            <w:vAlign w:val="bottom"/>
          </w:tcPr>
          <w:p>
            <w:pPr>
              <w:jc w:val="center"/>
              <w:ind w:left="112"/>
              <w:spacing w:after="0"/>
              <w:rPr>
                <w:sz w:val="20"/>
                <w:szCs w:val="20"/>
                <w:color w:val="auto"/>
              </w:rPr>
            </w:pPr>
            <w:r>
              <w:rPr>
                <w:rFonts w:ascii="Arial" w:cs="Arial" w:eastAsia="Arial" w:hAnsi="Arial"/>
                <w:sz w:val="18"/>
                <w:szCs w:val="18"/>
                <w:color w:val="auto"/>
                <w:w w:val="98"/>
              </w:rPr>
              <w:t>increase in attainment</w:t>
            </w:r>
          </w:p>
        </w:tc>
        <w:tc>
          <w:tcPr>
            <w:tcW w:w="20" w:type="dxa"/>
            <w:vAlign w:val="bottom"/>
            <w:shd w:val="clear" w:color="auto" w:fill="56C271"/>
          </w:tcPr>
          <w:p>
            <w:pPr>
              <w:spacing w:after="0"/>
              <w:rPr>
                <w:sz w:val="18"/>
                <w:szCs w:val="18"/>
                <w:color w:val="auto"/>
              </w:rPr>
            </w:pPr>
          </w:p>
        </w:tc>
      </w:tr>
      <w:tr>
        <w:trPr>
          <w:trHeight w:val="27"/>
        </w:trPr>
        <w:tc>
          <w:tcPr>
            <w:tcW w:w="240" w:type="dxa"/>
            <w:vAlign w:val="bottom"/>
            <w:tcBorders>
              <w:left w:val="single" w:sz="8" w:color="56C271"/>
              <w:bottom w:val="single" w:sz="8" w:color="56C271"/>
            </w:tcBorders>
          </w:tcPr>
          <w:p>
            <w:pPr>
              <w:spacing w:after="0"/>
              <w:rPr>
                <w:sz w:val="2"/>
                <w:szCs w:val="2"/>
                <w:color w:val="auto"/>
              </w:rPr>
            </w:pPr>
          </w:p>
        </w:tc>
        <w:tc>
          <w:tcPr>
            <w:tcW w:w="1660" w:type="dxa"/>
            <w:vAlign w:val="bottom"/>
            <w:tcBorders>
              <w:bottom w:val="single" w:sz="8" w:color="56C271"/>
              <w:right w:val="single" w:sz="8" w:color="56C271"/>
            </w:tcBorders>
          </w:tcPr>
          <w:p>
            <w:pPr>
              <w:spacing w:after="0"/>
              <w:rPr>
                <w:sz w:val="2"/>
                <w:szCs w:val="2"/>
                <w:color w:val="auto"/>
              </w:rPr>
            </w:pPr>
          </w:p>
        </w:tc>
        <w:tc>
          <w:tcPr>
            <w:tcW w:w="2160" w:type="dxa"/>
            <w:vAlign w:val="bottom"/>
            <w:tcBorders>
              <w:bottom w:val="single" w:sz="8" w:color="56C271"/>
              <w:right w:val="single" w:sz="8" w:color="56C271"/>
            </w:tcBorders>
          </w:tcPr>
          <w:p>
            <w:pPr>
              <w:spacing w:after="0"/>
              <w:rPr>
                <w:sz w:val="2"/>
                <w:szCs w:val="2"/>
                <w:color w:val="auto"/>
              </w:rPr>
            </w:pPr>
          </w:p>
        </w:tc>
        <w:tc>
          <w:tcPr>
            <w:tcW w:w="1500" w:type="dxa"/>
            <w:vAlign w:val="bottom"/>
            <w:tcBorders>
              <w:bottom w:val="single" w:sz="8" w:color="56C271"/>
              <w:right w:val="single" w:sz="8" w:color="56C271"/>
            </w:tcBorders>
          </w:tcPr>
          <w:p>
            <w:pPr>
              <w:spacing w:after="0"/>
              <w:rPr>
                <w:sz w:val="2"/>
                <w:szCs w:val="2"/>
                <w:color w:val="auto"/>
              </w:rPr>
            </w:pPr>
          </w:p>
        </w:tc>
        <w:tc>
          <w:tcPr>
            <w:tcW w:w="3180" w:type="dxa"/>
            <w:vAlign w:val="bottom"/>
            <w:tcBorders>
              <w:bottom w:val="single" w:sz="8" w:color="56C271"/>
            </w:tcBorders>
          </w:tcPr>
          <w:p>
            <w:pPr>
              <w:spacing w:after="0"/>
              <w:rPr>
                <w:sz w:val="2"/>
                <w:szCs w:val="2"/>
                <w:color w:val="auto"/>
              </w:rPr>
            </w:pPr>
          </w:p>
        </w:tc>
        <w:tc>
          <w:tcPr>
            <w:tcW w:w="20" w:type="dxa"/>
            <w:vAlign w:val="bottom"/>
            <w:tcBorders>
              <w:bottom w:val="single" w:sz="8" w:color="56C271"/>
            </w:tcBorders>
            <w:shd w:val="clear" w:color="auto" w:fill="56C271"/>
          </w:tcPr>
          <w:p>
            <w:pPr>
              <w:spacing w:after="0"/>
              <w:rPr>
                <w:sz w:val="2"/>
                <w:szCs w:val="2"/>
                <w:color w:val="auto"/>
              </w:rPr>
            </w:pPr>
          </w:p>
        </w:tc>
      </w:tr>
      <w:tr>
        <w:trPr>
          <w:trHeight w:val="257"/>
        </w:trPr>
        <w:tc>
          <w:tcPr>
            <w:tcW w:w="240" w:type="dxa"/>
            <w:vAlign w:val="bottom"/>
            <w:tcBorders>
              <w:left w:val="single" w:sz="8" w:color="56C271"/>
              <w:bottom w:val="single" w:sz="8" w:color="56C271"/>
            </w:tcBorders>
            <w:shd w:val="clear" w:color="auto" w:fill="CCEDD4"/>
          </w:tcPr>
          <w:p>
            <w:pPr>
              <w:spacing w:after="0"/>
              <w:rPr>
                <w:sz w:val="22"/>
                <w:szCs w:val="22"/>
                <w:color w:val="auto"/>
              </w:rPr>
            </w:pPr>
          </w:p>
        </w:tc>
        <w:tc>
          <w:tcPr>
            <w:tcW w:w="1660" w:type="dxa"/>
            <w:vAlign w:val="bottom"/>
            <w:tcBorders>
              <w:bottom w:val="single" w:sz="8" w:color="56C271"/>
              <w:right w:val="single" w:sz="8" w:color="56C271"/>
            </w:tcBorders>
            <w:shd w:val="clear" w:color="auto" w:fill="CCEDD4"/>
          </w:tcPr>
          <w:p>
            <w:pPr>
              <w:spacing w:after="0"/>
              <w:rPr>
                <w:sz w:val="20"/>
                <w:szCs w:val="20"/>
                <w:color w:val="auto"/>
              </w:rPr>
            </w:pPr>
            <w:r>
              <w:rPr>
                <w:rFonts w:ascii="Arial" w:cs="Arial" w:eastAsia="Arial" w:hAnsi="Arial"/>
                <w:sz w:val="18"/>
                <w:szCs w:val="18"/>
                <w:b w:val="1"/>
                <w:bCs w:val="1"/>
                <w:color w:val="auto"/>
              </w:rPr>
              <w:t>Target</w:t>
            </w:r>
          </w:p>
        </w:tc>
        <w:tc>
          <w:tcPr>
            <w:tcW w:w="2160" w:type="dxa"/>
            <w:vAlign w:val="bottom"/>
            <w:tcBorders>
              <w:bottom w:val="single" w:sz="8" w:color="56C271"/>
              <w:right w:val="single" w:sz="8" w:color="56C271"/>
            </w:tcBorders>
            <w:shd w:val="clear" w:color="auto" w:fill="CCEDD4"/>
          </w:tcPr>
          <w:p>
            <w:pPr>
              <w:jc w:val="center"/>
              <w:spacing w:after="0"/>
              <w:rPr>
                <w:sz w:val="20"/>
                <w:szCs w:val="20"/>
                <w:color w:val="auto"/>
              </w:rPr>
            </w:pPr>
            <w:r>
              <w:rPr>
                <w:rFonts w:ascii="Arial" w:cs="Arial" w:eastAsia="Arial" w:hAnsi="Arial"/>
                <w:sz w:val="18"/>
                <w:szCs w:val="18"/>
                <w:b w:val="1"/>
                <w:bCs w:val="1"/>
                <w:color w:val="auto"/>
                <w:w w:val="98"/>
              </w:rPr>
              <w:t>100.0%</w:t>
            </w:r>
          </w:p>
        </w:tc>
        <w:tc>
          <w:tcPr>
            <w:tcW w:w="1500" w:type="dxa"/>
            <w:vAlign w:val="bottom"/>
            <w:tcBorders>
              <w:bottom w:val="single" w:sz="8" w:color="56C271"/>
              <w:right w:val="single" w:sz="8" w:color="56C271"/>
            </w:tcBorders>
            <w:shd w:val="clear" w:color="auto" w:fill="CCEDD4"/>
          </w:tcPr>
          <w:p>
            <w:pPr>
              <w:jc w:val="center"/>
              <w:spacing w:after="0"/>
              <w:rPr>
                <w:sz w:val="20"/>
                <w:szCs w:val="20"/>
                <w:color w:val="auto"/>
              </w:rPr>
            </w:pPr>
            <w:r>
              <w:rPr>
                <w:rFonts w:ascii="Arial" w:cs="Arial" w:eastAsia="Arial" w:hAnsi="Arial"/>
                <w:sz w:val="18"/>
                <w:szCs w:val="18"/>
                <w:b w:val="1"/>
                <w:bCs w:val="1"/>
                <w:color w:val="auto"/>
                <w:w w:val="97"/>
              </w:rPr>
              <w:t>7.25%</w:t>
            </w:r>
          </w:p>
        </w:tc>
        <w:tc>
          <w:tcPr>
            <w:tcW w:w="3180" w:type="dxa"/>
            <w:vAlign w:val="bottom"/>
            <w:tcBorders>
              <w:bottom w:val="single" w:sz="8" w:color="56C271"/>
            </w:tcBorders>
            <w:shd w:val="clear" w:color="auto" w:fill="CCEDD4"/>
          </w:tcPr>
          <w:p>
            <w:pPr>
              <w:jc w:val="center"/>
              <w:spacing w:after="0"/>
              <w:rPr>
                <w:sz w:val="20"/>
                <w:szCs w:val="20"/>
                <w:color w:val="auto"/>
              </w:rPr>
            </w:pPr>
            <w:r>
              <w:rPr>
                <w:rFonts w:ascii="Arial" w:cs="Arial" w:eastAsia="Arial" w:hAnsi="Arial"/>
                <w:sz w:val="18"/>
                <w:szCs w:val="18"/>
                <w:b w:val="1"/>
                <w:bCs w:val="1"/>
                <w:color w:val="auto"/>
                <w:w w:val="98"/>
              </w:rPr>
              <w:t>100.0%</w:t>
            </w:r>
          </w:p>
        </w:tc>
        <w:tc>
          <w:tcPr>
            <w:tcW w:w="20" w:type="dxa"/>
            <w:vAlign w:val="bottom"/>
            <w:tcBorders>
              <w:bottom w:val="single" w:sz="8" w:color="56C271"/>
            </w:tcBorders>
            <w:shd w:val="clear" w:color="auto" w:fill="56C271"/>
          </w:tcPr>
          <w:p>
            <w:pPr>
              <w:spacing w:after="0"/>
              <w:rPr>
                <w:sz w:val="22"/>
                <w:szCs w:val="22"/>
                <w:color w:val="auto"/>
              </w:rPr>
            </w:pPr>
          </w:p>
        </w:tc>
      </w:tr>
      <w:tr>
        <w:trPr>
          <w:trHeight w:val="242"/>
        </w:trPr>
        <w:tc>
          <w:tcPr>
            <w:tcW w:w="240" w:type="dxa"/>
            <w:vAlign w:val="bottom"/>
            <w:tcBorders>
              <w:left w:val="single" w:sz="8" w:color="56C271"/>
            </w:tcBorders>
          </w:tcPr>
          <w:p>
            <w:pPr>
              <w:spacing w:after="0"/>
              <w:rPr>
                <w:sz w:val="21"/>
                <w:szCs w:val="21"/>
                <w:color w:val="auto"/>
              </w:rPr>
            </w:pPr>
          </w:p>
        </w:tc>
        <w:tc>
          <w:tcPr>
            <w:tcW w:w="1660" w:type="dxa"/>
            <w:vAlign w:val="bottom"/>
            <w:tcBorders>
              <w:right w:val="single" w:sz="8" w:color="56C271"/>
            </w:tcBorders>
          </w:tcPr>
          <w:p>
            <w:pPr>
              <w:spacing w:after="0"/>
              <w:rPr>
                <w:sz w:val="20"/>
                <w:szCs w:val="20"/>
                <w:color w:val="auto"/>
              </w:rPr>
            </w:pPr>
            <w:r>
              <w:rPr>
                <w:rFonts w:ascii="Arial" w:cs="Arial" w:eastAsia="Arial" w:hAnsi="Arial"/>
                <w:sz w:val="18"/>
                <w:szCs w:val="18"/>
                <w:color w:val="auto"/>
              </w:rPr>
              <w:t>&lt; Target</w:t>
            </w:r>
          </w:p>
        </w:tc>
        <w:tc>
          <w:tcPr>
            <w:tcW w:w="2160" w:type="dxa"/>
            <w:vAlign w:val="bottom"/>
            <w:tcBorders>
              <w:right w:val="single" w:sz="8" w:color="56C271"/>
            </w:tcBorders>
          </w:tcPr>
          <w:p>
            <w:pPr>
              <w:jc w:val="center"/>
              <w:spacing w:after="0"/>
              <w:rPr>
                <w:sz w:val="20"/>
                <w:szCs w:val="20"/>
                <w:color w:val="auto"/>
              </w:rPr>
            </w:pPr>
            <w:r>
              <w:rPr>
                <w:rFonts w:ascii="Arial" w:cs="Arial" w:eastAsia="Arial" w:hAnsi="Arial"/>
                <w:sz w:val="18"/>
                <w:szCs w:val="18"/>
                <w:color w:val="auto"/>
                <w:w w:val="99"/>
              </w:rPr>
              <w:t>1% change = 1%</w:t>
            </w:r>
          </w:p>
        </w:tc>
        <w:tc>
          <w:tcPr>
            <w:tcW w:w="1500" w:type="dxa"/>
            <w:vAlign w:val="bottom"/>
            <w:tcBorders>
              <w:right w:val="single" w:sz="8" w:color="56C271"/>
            </w:tcBorders>
          </w:tcPr>
          <w:p>
            <w:pPr>
              <w:jc w:val="center"/>
              <w:spacing w:after="0"/>
              <w:rPr>
                <w:sz w:val="20"/>
                <w:szCs w:val="20"/>
                <w:color w:val="auto"/>
              </w:rPr>
            </w:pPr>
            <w:r>
              <w:rPr>
                <w:rFonts w:ascii="Arial" w:cs="Arial" w:eastAsia="Arial" w:hAnsi="Arial"/>
                <w:sz w:val="18"/>
                <w:szCs w:val="18"/>
                <w:color w:val="auto"/>
                <w:w w:val="96"/>
              </w:rPr>
              <w:t>5.85% — 7.24%</w:t>
            </w:r>
          </w:p>
        </w:tc>
        <w:tc>
          <w:tcPr>
            <w:tcW w:w="3180" w:type="dxa"/>
            <w:vAlign w:val="bottom"/>
          </w:tcPr>
          <w:p>
            <w:pPr>
              <w:jc w:val="center"/>
              <w:spacing w:after="0"/>
              <w:rPr>
                <w:sz w:val="20"/>
                <w:szCs w:val="20"/>
                <w:color w:val="auto"/>
              </w:rPr>
            </w:pPr>
            <w:r>
              <w:rPr>
                <w:rFonts w:ascii="Arial" w:cs="Arial" w:eastAsia="Arial" w:hAnsi="Arial"/>
                <w:sz w:val="18"/>
                <w:szCs w:val="18"/>
                <w:color w:val="auto"/>
                <w:w w:val="99"/>
              </w:rPr>
              <w:t>3% decrease in payout per 1%</w:t>
            </w:r>
          </w:p>
        </w:tc>
        <w:tc>
          <w:tcPr>
            <w:tcW w:w="20" w:type="dxa"/>
            <w:vAlign w:val="bottom"/>
            <w:shd w:val="clear" w:color="auto" w:fill="56C271"/>
          </w:tcPr>
          <w:p>
            <w:pPr>
              <w:spacing w:after="0"/>
              <w:rPr>
                <w:sz w:val="21"/>
                <w:szCs w:val="21"/>
                <w:color w:val="auto"/>
              </w:rPr>
            </w:pPr>
          </w:p>
        </w:tc>
      </w:tr>
      <w:tr>
        <w:trPr>
          <w:trHeight w:val="217"/>
        </w:trPr>
        <w:tc>
          <w:tcPr>
            <w:tcW w:w="240" w:type="dxa"/>
            <w:vAlign w:val="bottom"/>
            <w:tcBorders>
              <w:left w:val="single" w:sz="8" w:color="56C271"/>
            </w:tcBorders>
          </w:tcPr>
          <w:p>
            <w:pPr>
              <w:spacing w:after="0"/>
              <w:rPr>
                <w:sz w:val="18"/>
                <w:szCs w:val="18"/>
                <w:color w:val="auto"/>
              </w:rPr>
            </w:pPr>
          </w:p>
        </w:tc>
        <w:tc>
          <w:tcPr>
            <w:tcW w:w="1660" w:type="dxa"/>
            <w:vAlign w:val="bottom"/>
            <w:tcBorders>
              <w:right w:val="single" w:sz="8" w:color="56C271"/>
            </w:tcBorders>
          </w:tcPr>
          <w:p>
            <w:pPr>
              <w:spacing w:after="0"/>
              <w:rPr>
                <w:sz w:val="18"/>
                <w:szCs w:val="18"/>
                <w:color w:val="auto"/>
              </w:rPr>
            </w:pPr>
          </w:p>
        </w:tc>
        <w:tc>
          <w:tcPr>
            <w:tcW w:w="2160" w:type="dxa"/>
            <w:vAlign w:val="bottom"/>
            <w:tcBorders>
              <w:right w:val="single" w:sz="8" w:color="56C271"/>
            </w:tcBorders>
          </w:tcPr>
          <w:p>
            <w:pPr>
              <w:ind w:left="320"/>
              <w:spacing w:after="0"/>
              <w:rPr>
                <w:sz w:val="20"/>
                <w:szCs w:val="20"/>
                <w:color w:val="auto"/>
              </w:rPr>
            </w:pPr>
            <w:r>
              <w:rPr>
                <w:rFonts w:ascii="Arial" w:cs="Arial" w:eastAsia="Arial" w:hAnsi="Arial"/>
                <w:sz w:val="18"/>
                <w:szCs w:val="18"/>
                <w:color w:val="auto"/>
              </w:rPr>
              <w:t>change in attainment</w:t>
            </w:r>
          </w:p>
        </w:tc>
        <w:tc>
          <w:tcPr>
            <w:tcW w:w="1500" w:type="dxa"/>
            <w:vAlign w:val="bottom"/>
            <w:tcBorders>
              <w:right w:val="single" w:sz="8" w:color="56C271"/>
            </w:tcBorders>
          </w:tcPr>
          <w:p>
            <w:pPr>
              <w:spacing w:after="0"/>
              <w:rPr>
                <w:sz w:val="18"/>
                <w:szCs w:val="18"/>
                <w:color w:val="auto"/>
              </w:rPr>
            </w:pPr>
          </w:p>
        </w:tc>
        <w:tc>
          <w:tcPr>
            <w:tcW w:w="3180" w:type="dxa"/>
            <w:vAlign w:val="bottom"/>
          </w:tcPr>
          <w:p>
            <w:pPr>
              <w:jc w:val="center"/>
              <w:ind w:left="112"/>
              <w:spacing w:after="0"/>
              <w:rPr>
                <w:sz w:val="20"/>
                <w:szCs w:val="20"/>
                <w:color w:val="auto"/>
              </w:rPr>
            </w:pPr>
            <w:r>
              <w:rPr>
                <w:rFonts w:ascii="Arial" w:cs="Arial" w:eastAsia="Arial" w:hAnsi="Arial"/>
                <w:sz w:val="18"/>
                <w:szCs w:val="18"/>
                <w:color w:val="auto"/>
                <w:w w:val="99"/>
              </w:rPr>
              <w:t>decrease in attainment</w:t>
            </w:r>
          </w:p>
        </w:tc>
        <w:tc>
          <w:tcPr>
            <w:tcW w:w="20" w:type="dxa"/>
            <w:vAlign w:val="bottom"/>
            <w:shd w:val="clear" w:color="auto" w:fill="56C271"/>
          </w:tcPr>
          <w:p>
            <w:pPr>
              <w:spacing w:after="0"/>
              <w:rPr>
                <w:sz w:val="18"/>
                <w:szCs w:val="18"/>
                <w:color w:val="auto"/>
              </w:rPr>
            </w:pPr>
          </w:p>
        </w:tc>
      </w:tr>
      <w:tr>
        <w:trPr>
          <w:trHeight w:val="27"/>
        </w:trPr>
        <w:tc>
          <w:tcPr>
            <w:tcW w:w="240" w:type="dxa"/>
            <w:vAlign w:val="bottom"/>
            <w:tcBorders>
              <w:left w:val="single" w:sz="8" w:color="56C271"/>
              <w:bottom w:val="single" w:sz="8" w:color="56C271"/>
            </w:tcBorders>
          </w:tcPr>
          <w:p>
            <w:pPr>
              <w:spacing w:after="0"/>
              <w:rPr>
                <w:sz w:val="2"/>
                <w:szCs w:val="2"/>
                <w:color w:val="auto"/>
              </w:rPr>
            </w:pPr>
          </w:p>
        </w:tc>
        <w:tc>
          <w:tcPr>
            <w:tcW w:w="1660" w:type="dxa"/>
            <w:vAlign w:val="bottom"/>
            <w:tcBorders>
              <w:bottom w:val="single" w:sz="8" w:color="56C271"/>
              <w:right w:val="single" w:sz="8" w:color="56C271"/>
            </w:tcBorders>
          </w:tcPr>
          <w:p>
            <w:pPr>
              <w:spacing w:after="0"/>
              <w:rPr>
                <w:sz w:val="2"/>
                <w:szCs w:val="2"/>
                <w:color w:val="auto"/>
              </w:rPr>
            </w:pPr>
          </w:p>
        </w:tc>
        <w:tc>
          <w:tcPr>
            <w:tcW w:w="2160" w:type="dxa"/>
            <w:vAlign w:val="bottom"/>
            <w:tcBorders>
              <w:bottom w:val="single" w:sz="8" w:color="56C271"/>
              <w:right w:val="single" w:sz="8" w:color="56C271"/>
            </w:tcBorders>
          </w:tcPr>
          <w:p>
            <w:pPr>
              <w:spacing w:after="0"/>
              <w:rPr>
                <w:sz w:val="2"/>
                <w:szCs w:val="2"/>
                <w:color w:val="auto"/>
              </w:rPr>
            </w:pPr>
          </w:p>
        </w:tc>
        <w:tc>
          <w:tcPr>
            <w:tcW w:w="1500" w:type="dxa"/>
            <w:vAlign w:val="bottom"/>
            <w:tcBorders>
              <w:bottom w:val="single" w:sz="8" w:color="56C271"/>
              <w:right w:val="single" w:sz="8" w:color="56C271"/>
            </w:tcBorders>
          </w:tcPr>
          <w:p>
            <w:pPr>
              <w:spacing w:after="0"/>
              <w:rPr>
                <w:sz w:val="2"/>
                <w:szCs w:val="2"/>
                <w:color w:val="auto"/>
              </w:rPr>
            </w:pPr>
          </w:p>
        </w:tc>
        <w:tc>
          <w:tcPr>
            <w:tcW w:w="3180" w:type="dxa"/>
            <w:vAlign w:val="bottom"/>
            <w:tcBorders>
              <w:bottom w:val="single" w:sz="8" w:color="56C271"/>
            </w:tcBorders>
          </w:tcPr>
          <w:p>
            <w:pPr>
              <w:spacing w:after="0"/>
              <w:rPr>
                <w:sz w:val="2"/>
                <w:szCs w:val="2"/>
                <w:color w:val="auto"/>
              </w:rPr>
            </w:pPr>
          </w:p>
        </w:tc>
        <w:tc>
          <w:tcPr>
            <w:tcW w:w="20" w:type="dxa"/>
            <w:vAlign w:val="bottom"/>
            <w:tcBorders>
              <w:bottom w:val="single" w:sz="8" w:color="56C271"/>
            </w:tcBorders>
            <w:shd w:val="clear" w:color="auto" w:fill="56C271"/>
          </w:tcPr>
          <w:p>
            <w:pPr>
              <w:spacing w:after="0"/>
              <w:rPr>
                <w:sz w:val="2"/>
                <w:szCs w:val="2"/>
                <w:color w:val="auto"/>
              </w:rPr>
            </w:pPr>
          </w:p>
        </w:tc>
      </w:tr>
      <w:tr>
        <w:trPr>
          <w:trHeight w:val="250"/>
        </w:trPr>
        <w:tc>
          <w:tcPr>
            <w:tcW w:w="240" w:type="dxa"/>
            <w:vAlign w:val="bottom"/>
            <w:tcBorders>
              <w:left w:val="single" w:sz="8" w:color="56C271"/>
              <w:bottom w:val="single" w:sz="8" w:color="56C271"/>
            </w:tcBorders>
          </w:tcPr>
          <w:p>
            <w:pPr>
              <w:spacing w:after="0"/>
              <w:rPr>
                <w:sz w:val="21"/>
                <w:szCs w:val="21"/>
                <w:color w:val="auto"/>
              </w:rPr>
            </w:pPr>
          </w:p>
        </w:tc>
        <w:tc>
          <w:tcPr>
            <w:tcW w:w="1660" w:type="dxa"/>
            <w:vAlign w:val="bottom"/>
            <w:tcBorders>
              <w:bottom w:val="single" w:sz="8" w:color="56C271"/>
              <w:right w:val="single" w:sz="8" w:color="56C271"/>
            </w:tcBorders>
          </w:tcPr>
          <w:p>
            <w:pPr>
              <w:spacing w:after="0"/>
              <w:rPr>
                <w:sz w:val="20"/>
                <w:szCs w:val="20"/>
                <w:color w:val="auto"/>
              </w:rPr>
            </w:pPr>
            <w:r>
              <w:rPr>
                <w:rFonts w:ascii="Arial" w:cs="Arial" w:eastAsia="Arial" w:hAnsi="Arial"/>
                <w:sz w:val="18"/>
                <w:szCs w:val="18"/>
                <w:color w:val="auto"/>
              </w:rPr>
              <w:t>Threshold</w:t>
            </w:r>
          </w:p>
        </w:tc>
        <w:tc>
          <w:tcPr>
            <w:tcW w:w="216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7"/>
              </w:rPr>
              <w:t>80.0%</w:t>
            </w:r>
          </w:p>
        </w:tc>
        <w:tc>
          <w:tcPr>
            <w:tcW w:w="150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7"/>
              </w:rPr>
              <w:t>5.84%</w:t>
            </w:r>
          </w:p>
        </w:tc>
        <w:tc>
          <w:tcPr>
            <w:tcW w:w="31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40%</w:t>
            </w:r>
          </w:p>
        </w:tc>
        <w:tc>
          <w:tcPr>
            <w:tcW w:w="20" w:type="dxa"/>
            <w:vAlign w:val="bottom"/>
            <w:tcBorders>
              <w:bottom w:val="single" w:sz="8" w:color="56C271"/>
            </w:tcBorders>
            <w:shd w:val="clear" w:color="auto" w:fill="56C271"/>
          </w:tcPr>
          <w:p>
            <w:pPr>
              <w:spacing w:after="0"/>
              <w:rPr>
                <w:sz w:val="21"/>
                <w:szCs w:val="21"/>
                <w:color w:val="auto"/>
              </w:rPr>
            </w:pPr>
          </w:p>
        </w:tc>
      </w:tr>
      <w:tr>
        <w:trPr>
          <w:trHeight w:val="142"/>
        </w:trPr>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240" w:type="dxa"/>
            <w:vAlign w:val="bottom"/>
            <w:tcBorders>
              <w:left w:val="single" w:sz="8" w:color="56C271"/>
            </w:tcBorders>
            <w:shd w:val="clear" w:color="auto" w:fill="56C271"/>
          </w:tcPr>
          <w:p>
            <w:pPr>
              <w:spacing w:after="0"/>
              <w:rPr>
                <w:sz w:val="22"/>
                <w:szCs w:val="22"/>
                <w:color w:val="auto"/>
              </w:rPr>
            </w:pPr>
          </w:p>
        </w:tc>
        <w:tc>
          <w:tcPr>
            <w:tcW w:w="1660" w:type="dxa"/>
            <w:vAlign w:val="bottom"/>
            <w:tcBorders>
              <w:right w:val="single" w:sz="8" w:color="56C271"/>
            </w:tcBorders>
            <w:shd w:val="clear" w:color="auto" w:fill="56C271"/>
          </w:tcPr>
          <w:p>
            <w:pPr>
              <w:spacing w:after="0"/>
              <w:rPr>
                <w:sz w:val="22"/>
                <w:szCs w:val="22"/>
                <w:color w:val="auto"/>
              </w:rPr>
            </w:pPr>
          </w:p>
        </w:tc>
        <w:tc>
          <w:tcPr>
            <w:tcW w:w="2160" w:type="dxa"/>
            <w:vAlign w:val="bottom"/>
            <w:tcBorders>
              <w:right w:val="single" w:sz="8" w:color="56C271"/>
            </w:tcBorders>
            <w:shd w:val="clear" w:color="auto" w:fill="56C271"/>
          </w:tcPr>
          <w:p>
            <w:pPr>
              <w:spacing w:after="0"/>
              <w:rPr>
                <w:sz w:val="22"/>
                <w:szCs w:val="22"/>
                <w:color w:val="auto"/>
              </w:rPr>
            </w:pPr>
          </w:p>
        </w:tc>
        <w:tc>
          <w:tcPr>
            <w:tcW w:w="1500" w:type="dxa"/>
            <w:vAlign w:val="bottom"/>
            <w:tcBorders>
              <w:right w:val="single" w:sz="8" w:color="56C271"/>
            </w:tcBorders>
            <w:shd w:val="clear" w:color="auto" w:fill="56C271"/>
          </w:tcPr>
          <w:p>
            <w:pPr>
              <w:jc w:val="center"/>
              <w:ind w:right="655"/>
              <w:spacing w:after="0"/>
              <w:rPr>
                <w:sz w:val="20"/>
                <w:szCs w:val="20"/>
                <w:color w:val="auto"/>
              </w:rPr>
            </w:pPr>
            <w:r>
              <w:rPr>
                <w:rFonts w:ascii="Arial" w:cs="Arial" w:eastAsia="Arial" w:hAnsi="Arial"/>
                <w:sz w:val="14"/>
                <w:szCs w:val="14"/>
                <w:b w:val="1"/>
                <w:bCs w:val="1"/>
                <w:color w:val="FEFEFE"/>
              </w:rPr>
              <w:t>Fiscal 2021</w:t>
            </w:r>
          </w:p>
        </w:tc>
        <w:tc>
          <w:tcPr>
            <w:tcW w:w="3180" w:type="dxa"/>
            <w:vAlign w:val="bottom"/>
            <w:shd w:val="clear" w:color="auto" w:fill="56C271"/>
          </w:tcPr>
          <w:p>
            <w:pPr>
              <w:spacing w:after="0"/>
              <w:rPr>
                <w:sz w:val="22"/>
                <w:szCs w:val="22"/>
                <w:color w:val="auto"/>
              </w:rPr>
            </w:pPr>
          </w:p>
        </w:tc>
        <w:tc>
          <w:tcPr>
            <w:tcW w:w="20" w:type="dxa"/>
            <w:vAlign w:val="bottom"/>
            <w:shd w:val="clear" w:color="auto" w:fill="56C271"/>
          </w:tcPr>
          <w:p>
            <w:pPr>
              <w:spacing w:after="0"/>
              <w:rPr>
                <w:sz w:val="22"/>
                <w:szCs w:val="22"/>
                <w:color w:val="auto"/>
              </w:rPr>
            </w:pPr>
          </w:p>
        </w:tc>
      </w:tr>
      <w:tr>
        <w:trPr>
          <w:trHeight w:val="162"/>
        </w:trPr>
        <w:tc>
          <w:tcPr>
            <w:tcW w:w="240" w:type="dxa"/>
            <w:vAlign w:val="bottom"/>
            <w:tcBorders>
              <w:left w:val="single" w:sz="8" w:color="56C271"/>
            </w:tcBorders>
            <w:shd w:val="clear" w:color="auto" w:fill="56C271"/>
          </w:tcPr>
          <w:p>
            <w:pPr>
              <w:spacing w:after="0"/>
              <w:rPr>
                <w:sz w:val="14"/>
                <w:szCs w:val="14"/>
                <w:color w:val="auto"/>
              </w:rPr>
            </w:pPr>
          </w:p>
        </w:tc>
        <w:tc>
          <w:tcPr>
            <w:tcW w:w="1660" w:type="dxa"/>
            <w:vAlign w:val="bottom"/>
            <w:tcBorders>
              <w:right w:val="single" w:sz="8" w:color="56C271"/>
            </w:tcBorders>
            <w:shd w:val="clear" w:color="auto" w:fill="56C271"/>
          </w:tcPr>
          <w:p>
            <w:pPr>
              <w:spacing w:after="0"/>
              <w:rPr>
                <w:sz w:val="14"/>
                <w:szCs w:val="14"/>
                <w:color w:val="auto"/>
              </w:rPr>
            </w:pPr>
          </w:p>
        </w:tc>
        <w:tc>
          <w:tcPr>
            <w:tcW w:w="3660" w:type="dxa"/>
            <w:vAlign w:val="bottom"/>
            <w:tcBorders>
              <w:right w:val="single" w:sz="8" w:color="56C271"/>
            </w:tcBorders>
            <w:gridSpan w:val="2"/>
            <w:shd w:val="clear" w:color="auto" w:fill="56C271"/>
          </w:tcPr>
          <w:p>
            <w:pPr>
              <w:jc w:val="center"/>
              <w:ind w:left="1334"/>
              <w:spacing w:after="0"/>
              <w:rPr>
                <w:sz w:val="20"/>
                <w:szCs w:val="20"/>
                <w:color w:val="auto"/>
              </w:rPr>
            </w:pPr>
            <w:r>
              <w:rPr>
                <w:rFonts w:ascii="Arial" w:cs="Arial" w:eastAsia="Arial" w:hAnsi="Arial"/>
                <w:sz w:val="14"/>
                <w:szCs w:val="14"/>
                <w:b w:val="1"/>
                <w:bCs w:val="1"/>
                <w:color w:val="FEFEFE"/>
                <w:w w:val="99"/>
              </w:rPr>
              <w:t>Relative Market Share Goals</w:t>
            </w:r>
          </w:p>
        </w:tc>
        <w:tc>
          <w:tcPr>
            <w:tcW w:w="3180" w:type="dxa"/>
            <w:vAlign w:val="bottom"/>
            <w:shd w:val="clear" w:color="auto" w:fill="56C271"/>
          </w:tcPr>
          <w:p>
            <w:pPr>
              <w:spacing w:after="0"/>
              <w:rPr>
                <w:sz w:val="14"/>
                <w:szCs w:val="14"/>
                <w:color w:val="auto"/>
              </w:rPr>
            </w:pPr>
          </w:p>
        </w:tc>
        <w:tc>
          <w:tcPr>
            <w:tcW w:w="20" w:type="dxa"/>
            <w:vAlign w:val="bottom"/>
            <w:shd w:val="clear" w:color="auto" w:fill="56C271"/>
          </w:tcPr>
          <w:p>
            <w:pPr>
              <w:spacing w:after="0"/>
              <w:rPr>
                <w:sz w:val="14"/>
                <w:szCs w:val="14"/>
                <w:color w:val="auto"/>
              </w:rPr>
            </w:pPr>
          </w:p>
        </w:tc>
      </w:tr>
      <w:tr>
        <w:trPr>
          <w:trHeight w:val="190"/>
        </w:trPr>
        <w:tc>
          <w:tcPr>
            <w:tcW w:w="240" w:type="dxa"/>
            <w:vAlign w:val="bottom"/>
            <w:tcBorders>
              <w:left w:val="single" w:sz="8" w:color="56C271"/>
            </w:tcBorders>
            <w:shd w:val="clear" w:color="auto" w:fill="56C271"/>
          </w:tcPr>
          <w:p>
            <w:pPr>
              <w:spacing w:after="0"/>
              <w:rPr>
                <w:sz w:val="16"/>
                <w:szCs w:val="16"/>
                <w:color w:val="auto"/>
              </w:rPr>
            </w:pPr>
          </w:p>
        </w:tc>
        <w:tc>
          <w:tcPr>
            <w:tcW w:w="1660" w:type="dxa"/>
            <w:vAlign w:val="bottom"/>
            <w:tcBorders>
              <w:right w:val="single" w:sz="8" w:color="56C271"/>
            </w:tcBorders>
            <w:shd w:val="clear" w:color="auto" w:fill="56C271"/>
          </w:tcPr>
          <w:p>
            <w:pPr>
              <w:spacing w:after="0"/>
              <w:rPr>
                <w:sz w:val="16"/>
                <w:szCs w:val="16"/>
                <w:color w:val="auto"/>
              </w:rPr>
            </w:pPr>
          </w:p>
        </w:tc>
        <w:tc>
          <w:tcPr>
            <w:tcW w:w="2160" w:type="dxa"/>
            <w:vAlign w:val="bottom"/>
            <w:tcBorders>
              <w:right w:val="single" w:sz="8" w:color="56C271"/>
            </w:tcBorders>
            <w:shd w:val="clear" w:color="auto" w:fill="56C271"/>
          </w:tcPr>
          <w:p>
            <w:pPr>
              <w:spacing w:after="0"/>
              <w:rPr>
                <w:sz w:val="16"/>
                <w:szCs w:val="16"/>
                <w:color w:val="auto"/>
              </w:rPr>
            </w:pPr>
          </w:p>
        </w:tc>
        <w:tc>
          <w:tcPr>
            <w:tcW w:w="1500" w:type="dxa"/>
            <w:vAlign w:val="bottom"/>
            <w:tcBorders>
              <w:right w:val="single" w:sz="8" w:color="56C271"/>
            </w:tcBorders>
            <w:shd w:val="clear" w:color="auto" w:fill="56C271"/>
          </w:tcPr>
          <w:p>
            <w:pPr>
              <w:jc w:val="center"/>
              <w:ind w:right="515"/>
              <w:spacing w:after="0"/>
              <w:rPr>
                <w:sz w:val="20"/>
                <w:szCs w:val="20"/>
                <w:color w:val="auto"/>
              </w:rPr>
            </w:pPr>
            <w:r>
              <w:rPr>
                <w:rFonts w:ascii="Arial" w:cs="Arial" w:eastAsia="Arial" w:hAnsi="Arial"/>
                <w:sz w:val="14"/>
                <w:szCs w:val="14"/>
                <w:b w:val="1"/>
                <w:bCs w:val="1"/>
                <w:color w:val="FEFEFE"/>
                <w:w w:val="90"/>
              </w:rPr>
              <w:t>20% Weighting</w:t>
            </w:r>
          </w:p>
        </w:tc>
        <w:tc>
          <w:tcPr>
            <w:tcW w:w="3180" w:type="dxa"/>
            <w:vAlign w:val="bottom"/>
            <w:shd w:val="clear" w:color="auto" w:fill="56C271"/>
          </w:tcPr>
          <w:p>
            <w:pPr>
              <w:spacing w:after="0"/>
              <w:rPr>
                <w:sz w:val="16"/>
                <w:szCs w:val="16"/>
                <w:color w:val="auto"/>
              </w:rPr>
            </w:pPr>
          </w:p>
        </w:tc>
        <w:tc>
          <w:tcPr>
            <w:tcW w:w="20" w:type="dxa"/>
            <w:vAlign w:val="bottom"/>
            <w:shd w:val="clear" w:color="auto" w:fill="56C271"/>
          </w:tcPr>
          <w:p>
            <w:pPr>
              <w:spacing w:after="0"/>
              <w:rPr>
                <w:sz w:val="16"/>
                <w:szCs w:val="16"/>
                <w:color w:val="auto"/>
              </w:rPr>
            </w:pPr>
          </w:p>
        </w:tc>
      </w:tr>
      <w:tr>
        <w:trPr>
          <w:trHeight w:val="268"/>
        </w:trPr>
        <w:tc>
          <w:tcPr>
            <w:tcW w:w="240" w:type="dxa"/>
            <w:vAlign w:val="bottom"/>
            <w:tcBorders>
              <w:left w:val="single" w:sz="8" w:color="56C271"/>
            </w:tcBorders>
            <w:shd w:val="clear" w:color="auto" w:fill="56C271"/>
          </w:tcPr>
          <w:p>
            <w:pPr>
              <w:spacing w:after="0"/>
              <w:rPr>
                <w:sz w:val="23"/>
                <w:szCs w:val="23"/>
                <w:color w:val="auto"/>
              </w:rPr>
            </w:pPr>
          </w:p>
        </w:tc>
        <w:tc>
          <w:tcPr>
            <w:tcW w:w="1660" w:type="dxa"/>
            <w:vAlign w:val="bottom"/>
            <w:tcBorders>
              <w:right w:val="single" w:sz="8" w:color="56C271"/>
            </w:tcBorders>
            <w:shd w:val="clear" w:color="auto" w:fill="56C271"/>
          </w:tcPr>
          <w:p>
            <w:pPr>
              <w:spacing w:after="0"/>
              <w:rPr>
                <w:sz w:val="23"/>
                <w:szCs w:val="23"/>
                <w:color w:val="auto"/>
              </w:rPr>
            </w:pPr>
          </w:p>
        </w:tc>
        <w:tc>
          <w:tcPr>
            <w:tcW w:w="2160" w:type="dxa"/>
            <w:vAlign w:val="bottom"/>
            <w:tcBorders>
              <w:right w:val="single" w:sz="8" w:color="56C271"/>
            </w:tcBorders>
            <w:shd w:val="clear" w:color="auto" w:fill="56C271"/>
          </w:tcPr>
          <w:p>
            <w:pPr>
              <w:jc w:val="center"/>
              <w:spacing w:after="0"/>
              <w:rPr>
                <w:sz w:val="20"/>
                <w:szCs w:val="20"/>
                <w:color w:val="auto"/>
              </w:rPr>
            </w:pPr>
            <w:r>
              <w:rPr>
                <w:rFonts w:ascii="Arial" w:cs="Arial" w:eastAsia="Arial" w:hAnsi="Arial"/>
                <w:sz w:val="14"/>
                <w:szCs w:val="14"/>
                <w:b w:val="1"/>
                <w:bCs w:val="1"/>
                <w:color w:val="FEFEFE"/>
              </w:rPr>
              <w:t>% Attainment</w:t>
            </w:r>
          </w:p>
        </w:tc>
        <w:tc>
          <w:tcPr>
            <w:tcW w:w="1500" w:type="dxa"/>
            <w:vAlign w:val="bottom"/>
            <w:tcBorders>
              <w:right w:val="single" w:sz="8" w:color="56C271"/>
            </w:tcBorders>
            <w:shd w:val="clear" w:color="auto" w:fill="56C271"/>
          </w:tcPr>
          <w:p>
            <w:pPr>
              <w:jc w:val="center"/>
              <w:spacing w:after="0"/>
              <w:rPr>
                <w:sz w:val="20"/>
                <w:szCs w:val="20"/>
                <w:color w:val="auto"/>
              </w:rPr>
            </w:pPr>
            <w:r>
              <w:rPr>
                <w:rFonts w:ascii="Arial" w:cs="Arial" w:eastAsia="Arial" w:hAnsi="Arial"/>
                <w:sz w:val="14"/>
                <w:szCs w:val="14"/>
                <w:b w:val="1"/>
                <w:bCs w:val="1"/>
                <w:color w:val="FEFEFE"/>
              </w:rPr>
              <w:t>Market Share</w:t>
            </w:r>
          </w:p>
        </w:tc>
        <w:tc>
          <w:tcPr>
            <w:tcW w:w="318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 Payout</w:t>
            </w:r>
          </w:p>
        </w:tc>
        <w:tc>
          <w:tcPr>
            <w:tcW w:w="20" w:type="dxa"/>
            <w:vAlign w:val="bottom"/>
            <w:shd w:val="clear" w:color="auto" w:fill="56C271"/>
          </w:tcPr>
          <w:p>
            <w:pPr>
              <w:spacing w:after="0"/>
              <w:rPr>
                <w:sz w:val="23"/>
                <w:szCs w:val="23"/>
                <w:color w:val="auto"/>
              </w:rPr>
            </w:pPr>
          </w:p>
        </w:tc>
      </w:tr>
      <w:tr>
        <w:trPr>
          <w:trHeight w:val="264"/>
        </w:trPr>
        <w:tc>
          <w:tcPr>
            <w:tcW w:w="240" w:type="dxa"/>
            <w:vAlign w:val="bottom"/>
            <w:tcBorders>
              <w:left w:val="single" w:sz="8" w:color="56C271"/>
              <w:bottom w:val="single" w:sz="8" w:color="56C271"/>
            </w:tcBorders>
          </w:tcPr>
          <w:p>
            <w:pPr>
              <w:spacing w:after="0"/>
              <w:rPr>
                <w:sz w:val="22"/>
                <w:szCs w:val="22"/>
                <w:color w:val="auto"/>
              </w:rPr>
            </w:pPr>
          </w:p>
        </w:tc>
        <w:tc>
          <w:tcPr>
            <w:tcW w:w="1660" w:type="dxa"/>
            <w:vAlign w:val="bottom"/>
            <w:tcBorders>
              <w:bottom w:val="single" w:sz="8" w:color="56C271"/>
              <w:right w:val="single" w:sz="8" w:color="56C271"/>
            </w:tcBorders>
          </w:tcPr>
          <w:p>
            <w:pPr>
              <w:spacing w:after="0"/>
              <w:rPr>
                <w:sz w:val="20"/>
                <w:szCs w:val="20"/>
                <w:color w:val="auto"/>
              </w:rPr>
            </w:pPr>
            <w:r>
              <w:rPr>
                <w:rFonts w:ascii="Arial" w:cs="Arial" w:eastAsia="Arial" w:hAnsi="Arial"/>
                <w:sz w:val="18"/>
                <w:szCs w:val="18"/>
                <w:color w:val="auto"/>
              </w:rPr>
              <w:t>Maximum</w:t>
            </w:r>
          </w:p>
        </w:tc>
        <w:tc>
          <w:tcPr>
            <w:tcW w:w="216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9"/>
              </w:rPr>
              <w:t>N/A</w:t>
            </w:r>
          </w:p>
        </w:tc>
        <w:tc>
          <w:tcPr>
            <w:tcW w:w="150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6"/>
              </w:rPr>
              <w:t>300 bps</w:t>
            </w:r>
          </w:p>
        </w:tc>
        <w:tc>
          <w:tcPr>
            <w:tcW w:w="31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200%</w:t>
            </w:r>
          </w:p>
        </w:tc>
        <w:tc>
          <w:tcPr>
            <w:tcW w:w="20" w:type="dxa"/>
            <w:vAlign w:val="bottom"/>
            <w:tcBorders>
              <w:bottom w:val="single" w:sz="8" w:color="56C271"/>
            </w:tcBorders>
            <w:shd w:val="clear" w:color="auto" w:fill="56C271"/>
          </w:tcPr>
          <w:p>
            <w:pPr>
              <w:spacing w:after="0"/>
              <w:rPr>
                <w:sz w:val="22"/>
                <w:szCs w:val="22"/>
                <w:color w:val="auto"/>
              </w:rPr>
            </w:pPr>
          </w:p>
        </w:tc>
      </w:tr>
      <w:tr>
        <w:trPr>
          <w:trHeight w:val="263"/>
        </w:trPr>
        <w:tc>
          <w:tcPr>
            <w:tcW w:w="240" w:type="dxa"/>
            <w:vAlign w:val="bottom"/>
            <w:tcBorders>
              <w:left w:val="single" w:sz="8" w:color="56C271"/>
              <w:bottom w:val="single" w:sz="8" w:color="56C271"/>
            </w:tcBorders>
          </w:tcPr>
          <w:p>
            <w:pPr>
              <w:spacing w:after="0"/>
              <w:rPr>
                <w:sz w:val="22"/>
                <w:szCs w:val="22"/>
                <w:color w:val="auto"/>
              </w:rPr>
            </w:pPr>
          </w:p>
        </w:tc>
        <w:tc>
          <w:tcPr>
            <w:tcW w:w="1660" w:type="dxa"/>
            <w:vAlign w:val="bottom"/>
            <w:tcBorders>
              <w:bottom w:val="single" w:sz="8" w:color="56C271"/>
              <w:right w:val="single" w:sz="8" w:color="56C271"/>
            </w:tcBorders>
          </w:tcPr>
          <w:p>
            <w:pPr>
              <w:spacing w:after="0"/>
              <w:rPr>
                <w:sz w:val="20"/>
                <w:szCs w:val="20"/>
                <w:color w:val="auto"/>
              </w:rPr>
            </w:pPr>
            <w:r>
              <w:rPr>
                <w:rFonts w:ascii="Arial" w:cs="Arial" w:eastAsia="Arial" w:hAnsi="Arial"/>
                <w:sz w:val="18"/>
                <w:szCs w:val="18"/>
                <w:color w:val="auto"/>
              </w:rPr>
              <w:t>&gt; Target</w:t>
            </w:r>
          </w:p>
        </w:tc>
        <w:tc>
          <w:tcPr>
            <w:tcW w:w="216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9"/>
              </w:rPr>
              <w:t>N/A</w:t>
            </w:r>
          </w:p>
        </w:tc>
        <w:tc>
          <w:tcPr>
            <w:tcW w:w="150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9"/>
              </w:rPr>
              <w:t>51-299 bps</w:t>
            </w:r>
          </w:p>
        </w:tc>
        <w:tc>
          <w:tcPr>
            <w:tcW w:w="31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56C271"/>
            </w:tcBorders>
            <w:shd w:val="clear" w:color="auto" w:fill="56C271"/>
          </w:tcPr>
          <w:p>
            <w:pPr>
              <w:spacing w:after="0"/>
              <w:rPr>
                <w:sz w:val="22"/>
                <w:szCs w:val="22"/>
                <w:color w:val="auto"/>
              </w:rPr>
            </w:pPr>
          </w:p>
        </w:tc>
      </w:tr>
      <w:tr>
        <w:trPr>
          <w:trHeight w:val="263"/>
        </w:trPr>
        <w:tc>
          <w:tcPr>
            <w:tcW w:w="240" w:type="dxa"/>
            <w:vAlign w:val="bottom"/>
            <w:tcBorders>
              <w:left w:val="single" w:sz="8" w:color="56C271"/>
              <w:bottom w:val="single" w:sz="8" w:color="56C271"/>
            </w:tcBorders>
            <w:shd w:val="clear" w:color="auto" w:fill="CCEDD4"/>
          </w:tcPr>
          <w:p>
            <w:pPr>
              <w:spacing w:after="0"/>
              <w:rPr>
                <w:sz w:val="22"/>
                <w:szCs w:val="22"/>
                <w:color w:val="auto"/>
              </w:rPr>
            </w:pPr>
          </w:p>
        </w:tc>
        <w:tc>
          <w:tcPr>
            <w:tcW w:w="1660" w:type="dxa"/>
            <w:vAlign w:val="bottom"/>
            <w:tcBorders>
              <w:bottom w:val="single" w:sz="8" w:color="56C271"/>
              <w:right w:val="single" w:sz="8" w:color="56C271"/>
            </w:tcBorders>
            <w:shd w:val="clear" w:color="auto" w:fill="CCEDD4"/>
          </w:tcPr>
          <w:p>
            <w:pPr>
              <w:spacing w:after="0"/>
              <w:rPr>
                <w:sz w:val="20"/>
                <w:szCs w:val="20"/>
                <w:color w:val="auto"/>
              </w:rPr>
            </w:pPr>
            <w:r>
              <w:rPr>
                <w:rFonts w:ascii="Arial" w:cs="Arial" w:eastAsia="Arial" w:hAnsi="Arial"/>
                <w:sz w:val="18"/>
                <w:szCs w:val="18"/>
                <w:b w:val="1"/>
                <w:bCs w:val="1"/>
                <w:color w:val="auto"/>
              </w:rPr>
              <w:t>Target</w:t>
            </w:r>
          </w:p>
        </w:tc>
        <w:tc>
          <w:tcPr>
            <w:tcW w:w="2160" w:type="dxa"/>
            <w:vAlign w:val="bottom"/>
            <w:tcBorders>
              <w:bottom w:val="single" w:sz="8" w:color="56C271"/>
              <w:right w:val="single" w:sz="8" w:color="56C271"/>
            </w:tcBorders>
            <w:shd w:val="clear" w:color="auto" w:fill="CCEDD4"/>
          </w:tcPr>
          <w:p>
            <w:pPr>
              <w:jc w:val="center"/>
              <w:spacing w:after="0"/>
              <w:rPr>
                <w:sz w:val="20"/>
                <w:szCs w:val="20"/>
                <w:color w:val="auto"/>
              </w:rPr>
            </w:pPr>
            <w:r>
              <w:rPr>
                <w:rFonts w:ascii="Arial" w:cs="Arial" w:eastAsia="Arial" w:hAnsi="Arial"/>
                <w:sz w:val="18"/>
                <w:szCs w:val="18"/>
                <w:b w:val="1"/>
                <w:bCs w:val="1"/>
                <w:color w:val="auto"/>
                <w:w w:val="98"/>
              </w:rPr>
              <w:t>100.0%</w:t>
            </w:r>
          </w:p>
        </w:tc>
        <w:tc>
          <w:tcPr>
            <w:tcW w:w="1500" w:type="dxa"/>
            <w:vAlign w:val="bottom"/>
            <w:tcBorders>
              <w:bottom w:val="single" w:sz="8" w:color="56C271"/>
              <w:right w:val="single" w:sz="8" w:color="56C271"/>
            </w:tcBorders>
            <w:shd w:val="clear" w:color="auto" w:fill="CCEDD4"/>
          </w:tcPr>
          <w:p>
            <w:pPr>
              <w:jc w:val="center"/>
              <w:spacing w:after="0"/>
              <w:rPr>
                <w:sz w:val="20"/>
                <w:szCs w:val="20"/>
                <w:color w:val="auto"/>
              </w:rPr>
            </w:pPr>
            <w:r>
              <w:rPr>
                <w:rFonts w:ascii="Arial" w:cs="Arial" w:eastAsia="Arial" w:hAnsi="Arial"/>
                <w:sz w:val="18"/>
                <w:szCs w:val="18"/>
                <w:b w:val="1"/>
                <w:bCs w:val="1"/>
                <w:color w:val="auto"/>
                <w:w w:val="96"/>
              </w:rPr>
              <w:t>50 basis points</w:t>
            </w:r>
          </w:p>
        </w:tc>
        <w:tc>
          <w:tcPr>
            <w:tcW w:w="3180" w:type="dxa"/>
            <w:vAlign w:val="bottom"/>
            <w:tcBorders>
              <w:bottom w:val="single" w:sz="8" w:color="56C271"/>
            </w:tcBorders>
            <w:shd w:val="clear" w:color="auto" w:fill="CCEDD4"/>
          </w:tcPr>
          <w:p>
            <w:pPr>
              <w:jc w:val="center"/>
              <w:spacing w:after="0"/>
              <w:rPr>
                <w:sz w:val="20"/>
                <w:szCs w:val="20"/>
                <w:color w:val="auto"/>
              </w:rPr>
            </w:pPr>
            <w:r>
              <w:rPr>
                <w:rFonts w:ascii="Arial" w:cs="Arial" w:eastAsia="Arial" w:hAnsi="Arial"/>
                <w:sz w:val="18"/>
                <w:szCs w:val="18"/>
                <w:b w:val="1"/>
                <w:bCs w:val="1"/>
                <w:color w:val="auto"/>
                <w:w w:val="98"/>
              </w:rPr>
              <w:t>100.0%</w:t>
            </w:r>
          </w:p>
        </w:tc>
        <w:tc>
          <w:tcPr>
            <w:tcW w:w="20" w:type="dxa"/>
            <w:vAlign w:val="bottom"/>
            <w:tcBorders>
              <w:bottom w:val="single" w:sz="8" w:color="56C271"/>
            </w:tcBorders>
            <w:shd w:val="clear" w:color="auto" w:fill="56C271"/>
          </w:tcPr>
          <w:p>
            <w:pPr>
              <w:spacing w:after="0"/>
              <w:rPr>
                <w:sz w:val="22"/>
                <w:szCs w:val="22"/>
                <w:color w:val="auto"/>
              </w:rPr>
            </w:pPr>
          </w:p>
        </w:tc>
      </w:tr>
      <w:tr>
        <w:trPr>
          <w:trHeight w:val="264"/>
        </w:trPr>
        <w:tc>
          <w:tcPr>
            <w:tcW w:w="240" w:type="dxa"/>
            <w:vAlign w:val="bottom"/>
            <w:tcBorders>
              <w:left w:val="single" w:sz="8" w:color="56C271"/>
              <w:bottom w:val="single" w:sz="8" w:color="56C271"/>
            </w:tcBorders>
          </w:tcPr>
          <w:p>
            <w:pPr>
              <w:spacing w:after="0"/>
              <w:rPr>
                <w:sz w:val="22"/>
                <w:szCs w:val="22"/>
                <w:color w:val="auto"/>
              </w:rPr>
            </w:pPr>
          </w:p>
        </w:tc>
        <w:tc>
          <w:tcPr>
            <w:tcW w:w="1660" w:type="dxa"/>
            <w:vAlign w:val="bottom"/>
            <w:tcBorders>
              <w:bottom w:val="single" w:sz="8" w:color="56C271"/>
              <w:right w:val="single" w:sz="8" w:color="56C271"/>
            </w:tcBorders>
          </w:tcPr>
          <w:p>
            <w:pPr>
              <w:spacing w:after="0"/>
              <w:rPr>
                <w:sz w:val="20"/>
                <w:szCs w:val="20"/>
                <w:color w:val="auto"/>
              </w:rPr>
            </w:pPr>
            <w:r>
              <w:rPr>
                <w:rFonts w:ascii="Arial" w:cs="Arial" w:eastAsia="Arial" w:hAnsi="Arial"/>
                <w:sz w:val="18"/>
                <w:szCs w:val="18"/>
                <w:color w:val="auto"/>
              </w:rPr>
              <w:t>&lt; Target</w:t>
            </w:r>
          </w:p>
        </w:tc>
        <w:tc>
          <w:tcPr>
            <w:tcW w:w="216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9"/>
              </w:rPr>
              <w:t>N/A</w:t>
            </w:r>
          </w:p>
        </w:tc>
        <w:tc>
          <w:tcPr>
            <w:tcW w:w="150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8"/>
              </w:rPr>
              <w:t>(269) — 49 bps</w:t>
            </w:r>
          </w:p>
        </w:tc>
        <w:tc>
          <w:tcPr>
            <w:tcW w:w="31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56C271"/>
            </w:tcBorders>
            <w:shd w:val="clear" w:color="auto" w:fill="56C271"/>
          </w:tcPr>
          <w:p>
            <w:pPr>
              <w:spacing w:after="0"/>
              <w:rPr>
                <w:sz w:val="22"/>
                <w:szCs w:val="22"/>
                <w:color w:val="auto"/>
              </w:rPr>
            </w:pPr>
          </w:p>
        </w:tc>
      </w:tr>
      <w:tr>
        <w:trPr>
          <w:trHeight w:val="263"/>
        </w:trPr>
        <w:tc>
          <w:tcPr>
            <w:tcW w:w="240" w:type="dxa"/>
            <w:vAlign w:val="bottom"/>
            <w:tcBorders>
              <w:left w:val="single" w:sz="8" w:color="56C271"/>
              <w:bottom w:val="single" w:sz="8" w:color="56C271"/>
            </w:tcBorders>
          </w:tcPr>
          <w:p>
            <w:pPr>
              <w:spacing w:after="0"/>
              <w:rPr>
                <w:sz w:val="22"/>
                <w:szCs w:val="22"/>
                <w:color w:val="auto"/>
              </w:rPr>
            </w:pPr>
          </w:p>
        </w:tc>
        <w:tc>
          <w:tcPr>
            <w:tcW w:w="1660" w:type="dxa"/>
            <w:vAlign w:val="bottom"/>
            <w:tcBorders>
              <w:bottom w:val="single" w:sz="8" w:color="56C271"/>
              <w:right w:val="single" w:sz="8" w:color="56C271"/>
            </w:tcBorders>
          </w:tcPr>
          <w:p>
            <w:pPr>
              <w:spacing w:after="0"/>
              <w:rPr>
                <w:sz w:val="20"/>
                <w:szCs w:val="20"/>
                <w:color w:val="auto"/>
              </w:rPr>
            </w:pPr>
            <w:r>
              <w:rPr>
                <w:rFonts w:ascii="Arial" w:cs="Arial" w:eastAsia="Arial" w:hAnsi="Arial"/>
                <w:sz w:val="18"/>
                <w:szCs w:val="18"/>
                <w:color w:val="auto"/>
              </w:rPr>
              <w:t>Threshold</w:t>
            </w:r>
          </w:p>
        </w:tc>
        <w:tc>
          <w:tcPr>
            <w:tcW w:w="216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9"/>
              </w:rPr>
              <w:t>N/A</w:t>
            </w:r>
          </w:p>
        </w:tc>
        <w:tc>
          <w:tcPr>
            <w:tcW w:w="150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7"/>
              </w:rPr>
              <w:t>(270) bps</w:t>
            </w:r>
          </w:p>
        </w:tc>
        <w:tc>
          <w:tcPr>
            <w:tcW w:w="31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40%</w:t>
            </w:r>
          </w:p>
        </w:tc>
        <w:tc>
          <w:tcPr>
            <w:tcW w:w="20" w:type="dxa"/>
            <w:vAlign w:val="bottom"/>
            <w:tcBorders>
              <w:bottom w:val="single" w:sz="8" w:color="56C271"/>
            </w:tcBorders>
            <w:shd w:val="clear" w:color="auto" w:fill="56C271"/>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-2725420</wp:posOffset>
            </wp:positionV>
            <wp:extent cx="43376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3768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-2879725</wp:posOffset>
            </wp:positionV>
            <wp:extent cx="55289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28945" cy="8890"/>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-908050</wp:posOffset>
            </wp:positionV>
            <wp:extent cx="433768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3768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-1062355</wp:posOffset>
            </wp:positionV>
            <wp:extent cx="55289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28945"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848360</wp:posOffset>
            </wp:positionV>
            <wp:extent cx="1482725" cy="291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9" w:lineRule="exact"/>
        <w:rPr>
          <w:sz w:val="20"/>
          <w:szCs w:val="20"/>
          <w:color w:val="auto"/>
        </w:rPr>
      </w:pPr>
    </w:p>
    <w:p>
      <w:pPr>
        <w:ind w:left="1000" w:right="159"/>
        <w:spacing w:after="0" w:line="271" w:lineRule="auto"/>
        <w:rPr>
          <w:sz w:val="20"/>
          <w:szCs w:val="20"/>
          <w:color w:val="auto"/>
        </w:rPr>
      </w:pPr>
      <w:r>
        <w:rPr>
          <w:rFonts w:ascii="Arial" w:cs="Arial" w:eastAsia="Arial" w:hAnsi="Arial"/>
          <w:sz w:val="18"/>
          <w:szCs w:val="18"/>
          <w:b w:val="1"/>
          <w:bCs w:val="1"/>
          <w:color w:val="56C271"/>
        </w:rPr>
        <w:t xml:space="preserve">Results and Payout. </w:t>
      </w:r>
      <w:r>
        <w:rPr>
          <w:rFonts w:ascii="Arial" w:cs="Arial" w:eastAsia="Arial" w:hAnsi="Arial"/>
          <w:sz w:val="18"/>
          <w:szCs w:val="18"/>
          <w:color w:val="000000"/>
        </w:rPr>
        <w:t>For fiscal 2021, achievement of the financial performance goals and the percentages of</w:t>
      </w:r>
      <w:r>
        <w:rPr>
          <w:rFonts w:ascii="Arial" w:cs="Arial" w:eastAsia="Arial" w:hAnsi="Arial"/>
          <w:sz w:val="18"/>
          <w:szCs w:val="18"/>
          <w:b w:val="1"/>
          <w:bCs w:val="1"/>
          <w:color w:val="56C271"/>
        </w:rPr>
        <w:t xml:space="preserve"> </w:t>
      </w:r>
      <w:r>
        <w:rPr>
          <w:rFonts w:ascii="Arial" w:cs="Arial" w:eastAsia="Arial" w:hAnsi="Arial"/>
          <w:sz w:val="18"/>
          <w:szCs w:val="18"/>
          <w:color w:val="000000"/>
        </w:rPr>
        <w:t>target annual cash incentive earned with respect to the financial performance goals were as follows*:</w:t>
      </w:r>
    </w:p>
    <w:p>
      <w:pPr>
        <w:spacing w:after="0" w:line="13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48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Goal</w:t>
            </w:r>
          </w:p>
        </w:tc>
        <w:tc>
          <w:tcPr>
            <w:tcW w:w="1400" w:type="dxa"/>
            <w:vAlign w:val="bottom"/>
            <w:shd w:val="clear" w:color="auto" w:fill="56C271"/>
          </w:tcPr>
          <w:p>
            <w:pPr>
              <w:jc w:val="right"/>
              <w:ind w:right="35"/>
              <w:spacing w:after="0"/>
              <w:rPr>
                <w:sz w:val="20"/>
                <w:szCs w:val="20"/>
                <w:color w:val="auto"/>
              </w:rPr>
            </w:pPr>
            <w:r>
              <w:rPr>
                <w:rFonts w:ascii="Arial" w:cs="Arial" w:eastAsia="Arial" w:hAnsi="Arial"/>
                <w:sz w:val="14"/>
                <w:szCs w:val="14"/>
                <w:b w:val="1"/>
                <w:bCs w:val="1"/>
                <w:color w:val="FEFEFE"/>
              </w:rPr>
              <w:t>Weighting</w:t>
            </w:r>
          </w:p>
        </w:tc>
        <w:tc>
          <w:tcPr>
            <w:tcW w:w="780" w:type="dxa"/>
            <w:vAlign w:val="bottom"/>
            <w:shd w:val="clear" w:color="auto" w:fill="56C271"/>
          </w:tcPr>
          <w:p>
            <w:pPr>
              <w:jc w:val="right"/>
              <w:ind w:right="35"/>
              <w:spacing w:after="0"/>
              <w:rPr>
                <w:sz w:val="20"/>
                <w:szCs w:val="20"/>
                <w:color w:val="auto"/>
              </w:rPr>
            </w:pPr>
            <w:r>
              <w:rPr>
                <w:rFonts w:ascii="Arial" w:cs="Arial" w:eastAsia="Arial" w:hAnsi="Arial"/>
                <w:sz w:val="14"/>
                <w:szCs w:val="14"/>
                <w:b w:val="1"/>
                <w:bCs w:val="1"/>
                <w:color w:val="FEFEFE"/>
              </w:rPr>
              <w:t>Target</w:t>
            </w:r>
          </w:p>
        </w:tc>
        <w:tc>
          <w:tcPr>
            <w:tcW w:w="860" w:type="dxa"/>
            <w:vAlign w:val="bottom"/>
            <w:shd w:val="clear" w:color="auto" w:fill="56C271"/>
          </w:tcPr>
          <w:p>
            <w:pPr>
              <w:jc w:val="right"/>
              <w:ind w:right="55"/>
              <w:spacing w:after="0"/>
              <w:rPr>
                <w:sz w:val="20"/>
                <w:szCs w:val="20"/>
                <w:color w:val="auto"/>
              </w:rPr>
            </w:pPr>
            <w:r>
              <w:rPr>
                <w:rFonts w:ascii="Arial" w:cs="Arial" w:eastAsia="Arial" w:hAnsi="Arial"/>
                <w:sz w:val="14"/>
                <w:szCs w:val="14"/>
                <w:b w:val="1"/>
                <w:bCs w:val="1"/>
                <w:color w:val="FEFEFE"/>
              </w:rPr>
              <w:t>Actual</w:t>
            </w:r>
          </w:p>
        </w:tc>
        <w:tc>
          <w:tcPr>
            <w:tcW w:w="1680" w:type="dxa"/>
            <w:vAlign w:val="bottom"/>
            <w:shd w:val="clear" w:color="auto" w:fill="56C271"/>
          </w:tcPr>
          <w:p>
            <w:pPr>
              <w:ind w:left="140"/>
              <w:spacing w:after="0"/>
              <w:rPr>
                <w:sz w:val="20"/>
                <w:szCs w:val="20"/>
                <w:color w:val="auto"/>
              </w:rPr>
            </w:pPr>
            <w:r>
              <w:rPr>
                <w:rFonts w:ascii="Arial" w:cs="Arial" w:eastAsia="Arial" w:hAnsi="Arial"/>
                <w:sz w:val="14"/>
                <w:szCs w:val="14"/>
                <w:b w:val="1"/>
                <w:bCs w:val="1"/>
                <w:color w:val="FEFEFE"/>
              </w:rPr>
              <w:t>% of Target Achieved</w:t>
            </w:r>
          </w:p>
        </w:tc>
        <w:tc>
          <w:tcPr>
            <w:tcW w:w="1560" w:type="dxa"/>
            <w:vAlign w:val="bottom"/>
            <w:shd w:val="clear" w:color="auto" w:fill="56C271"/>
          </w:tcPr>
          <w:p>
            <w:pPr>
              <w:jc w:val="right"/>
              <w:ind w:right="35"/>
              <w:spacing w:after="0"/>
              <w:rPr>
                <w:sz w:val="20"/>
                <w:szCs w:val="20"/>
                <w:color w:val="auto"/>
              </w:rPr>
            </w:pPr>
            <w:r>
              <w:rPr>
                <w:rFonts w:ascii="Arial" w:cs="Arial" w:eastAsia="Arial" w:hAnsi="Arial"/>
                <w:sz w:val="14"/>
                <w:szCs w:val="14"/>
                <w:b w:val="1"/>
                <w:bCs w:val="1"/>
                <w:color w:val="FEFEFE"/>
              </w:rPr>
              <w:t>Pay out % of Target</w:t>
            </w:r>
          </w:p>
        </w:tc>
      </w:tr>
      <w:tr>
        <w:trPr>
          <w:trHeight w:val="283"/>
        </w:trPr>
        <w:tc>
          <w:tcPr>
            <w:tcW w:w="2480" w:type="dxa"/>
            <w:vAlign w:val="bottom"/>
          </w:tcPr>
          <w:p>
            <w:pPr>
              <w:ind w:left="100"/>
              <w:spacing w:after="0"/>
              <w:rPr>
                <w:sz w:val="20"/>
                <w:szCs w:val="20"/>
                <w:color w:val="auto"/>
              </w:rPr>
            </w:pPr>
            <w:r>
              <w:rPr>
                <w:rFonts w:ascii="Arial" w:cs="Arial" w:eastAsia="Arial" w:hAnsi="Arial"/>
                <w:sz w:val="18"/>
                <w:szCs w:val="18"/>
                <w:color w:val="auto"/>
              </w:rPr>
              <w:t>OI$</w:t>
            </w:r>
            <w:r>
              <w:rPr>
                <w:rFonts w:ascii="Arial" w:cs="Arial" w:eastAsia="Arial" w:hAnsi="Arial"/>
                <w:sz w:val="23"/>
                <w:szCs w:val="23"/>
                <w:color w:val="auto"/>
                <w:vertAlign w:val="superscript"/>
              </w:rPr>
              <w:t>(1)</w:t>
            </w:r>
          </w:p>
        </w:tc>
        <w:tc>
          <w:tcPr>
            <w:tcW w:w="1400" w:type="dxa"/>
            <w:vAlign w:val="bottom"/>
          </w:tcPr>
          <w:p>
            <w:pPr>
              <w:jc w:val="right"/>
              <w:ind w:right="115"/>
              <w:spacing w:after="0"/>
              <w:rPr>
                <w:sz w:val="20"/>
                <w:szCs w:val="20"/>
                <w:color w:val="auto"/>
              </w:rPr>
            </w:pPr>
            <w:r>
              <w:rPr>
                <w:rFonts w:ascii="Arial" w:cs="Arial" w:eastAsia="Arial" w:hAnsi="Arial"/>
                <w:sz w:val="18"/>
                <w:szCs w:val="18"/>
                <w:color w:val="auto"/>
              </w:rPr>
              <w:t>40%</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$280.9</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$407.0</w:t>
            </w:r>
          </w:p>
        </w:tc>
        <w:tc>
          <w:tcPr>
            <w:tcW w:w="1680" w:type="dxa"/>
            <w:vAlign w:val="bottom"/>
          </w:tcPr>
          <w:p>
            <w:pPr>
              <w:jc w:val="center"/>
              <w:ind w:left="55"/>
              <w:spacing w:after="0"/>
              <w:rPr>
                <w:sz w:val="20"/>
                <w:szCs w:val="20"/>
                <w:color w:val="auto"/>
              </w:rPr>
            </w:pPr>
            <w:r>
              <w:rPr>
                <w:rFonts w:ascii="Arial" w:cs="Arial" w:eastAsia="Arial" w:hAnsi="Arial"/>
                <w:sz w:val="18"/>
                <w:szCs w:val="18"/>
                <w:color w:val="auto"/>
              </w:rPr>
              <w:t>144.9%</w:t>
            </w:r>
          </w:p>
        </w:tc>
        <w:tc>
          <w:tcPr>
            <w:tcW w:w="1560" w:type="dxa"/>
            <w:vAlign w:val="bottom"/>
          </w:tcPr>
          <w:p>
            <w:pPr>
              <w:jc w:val="right"/>
              <w:ind w:right="315"/>
              <w:spacing w:after="0"/>
              <w:rPr>
                <w:sz w:val="20"/>
                <w:szCs w:val="20"/>
                <w:color w:val="auto"/>
              </w:rPr>
            </w:pPr>
            <w:r>
              <w:rPr>
                <w:rFonts w:ascii="Arial" w:cs="Arial" w:eastAsia="Arial" w:hAnsi="Arial"/>
                <w:sz w:val="18"/>
                <w:szCs w:val="18"/>
                <w:color w:val="auto"/>
              </w:rPr>
              <w:t>200%</w:t>
            </w:r>
          </w:p>
        </w:tc>
      </w:tr>
      <w:tr>
        <w:trPr>
          <w:trHeight w:val="257"/>
        </w:trPr>
        <w:tc>
          <w:tcPr>
            <w:tcW w:w="24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ROWC</w:t>
            </w:r>
          </w:p>
        </w:tc>
        <w:tc>
          <w:tcPr>
            <w:tcW w:w="1400" w:type="dxa"/>
            <w:vAlign w:val="bottom"/>
            <w:shd w:val="clear" w:color="auto" w:fill="CCEDD4"/>
          </w:tcPr>
          <w:p>
            <w:pPr>
              <w:jc w:val="right"/>
              <w:ind w:right="115"/>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DD4"/>
          </w:tcPr>
          <w:p>
            <w:pPr>
              <w:jc w:val="right"/>
              <w:ind w:right="55"/>
              <w:spacing w:after="0"/>
              <w:rPr>
                <w:sz w:val="20"/>
                <w:szCs w:val="20"/>
                <w:color w:val="auto"/>
              </w:rPr>
            </w:pPr>
            <w:r>
              <w:rPr>
                <w:rFonts w:ascii="Arial" w:cs="Arial" w:eastAsia="Arial" w:hAnsi="Arial"/>
                <w:sz w:val="18"/>
                <w:szCs w:val="18"/>
                <w:color w:val="auto"/>
              </w:rPr>
              <w:t>7.25%</w:t>
            </w:r>
          </w:p>
        </w:tc>
        <w:tc>
          <w:tcPr>
            <w:tcW w:w="860" w:type="dxa"/>
            <w:vAlign w:val="bottom"/>
            <w:shd w:val="clear" w:color="auto" w:fill="CCEDD4"/>
          </w:tcPr>
          <w:p>
            <w:pPr>
              <w:jc w:val="right"/>
              <w:ind w:right="55"/>
              <w:spacing w:after="0"/>
              <w:rPr>
                <w:sz w:val="20"/>
                <w:szCs w:val="20"/>
                <w:color w:val="auto"/>
              </w:rPr>
            </w:pPr>
            <w:r>
              <w:rPr>
                <w:rFonts w:ascii="Arial" w:cs="Arial" w:eastAsia="Arial" w:hAnsi="Arial"/>
                <w:sz w:val="18"/>
                <w:szCs w:val="18"/>
                <w:color w:val="auto"/>
              </w:rPr>
              <w:t>10.01%</w:t>
            </w:r>
          </w:p>
        </w:tc>
        <w:tc>
          <w:tcPr>
            <w:tcW w:w="1680" w:type="dxa"/>
            <w:vAlign w:val="bottom"/>
            <w:shd w:val="clear" w:color="auto" w:fill="CCEDD4"/>
          </w:tcPr>
          <w:p>
            <w:pPr>
              <w:jc w:val="center"/>
              <w:ind w:left="55"/>
              <w:spacing w:after="0"/>
              <w:rPr>
                <w:sz w:val="20"/>
                <w:szCs w:val="20"/>
                <w:color w:val="auto"/>
              </w:rPr>
            </w:pPr>
            <w:r>
              <w:rPr>
                <w:rFonts w:ascii="Arial" w:cs="Arial" w:eastAsia="Arial" w:hAnsi="Arial"/>
                <w:sz w:val="18"/>
                <w:szCs w:val="18"/>
                <w:color w:val="auto"/>
              </w:rPr>
              <w:t>138.0%</w:t>
            </w:r>
          </w:p>
        </w:tc>
        <w:tc>
          <w:tcPr>
            <w:tcW w:w="1560" w:type="dxa"/>
            <w:vAlign w:val="bottom"/>
            <w:shd w:val="clear" w:color="auto" w:fill="CCEDD4"/>
          </w:tcPr>
          <w:p>
            <w:pPr>
              <w:jc w:val="right"/>
              <w:ind w:right="315"/>
              <w:spacing w:after="0"/>
              <w:rPr>
                <w:sz w:val="20"/>
                <w:szCs w:val="20"/>
                <w:color w:val="auto"/>
              </w:rPr>
            </w:pPr>
            <w:r>
              <w:rPr>
                <w:rFonts w:ascii="Arial" w:cs="Arial" w:eastAsia="Arial" w:hAnsi="Arial"/>
                <w:sz w:val="18"/>
                <w:szCs w:val="18"/>
                <w:color w:val="auto"/>
              </w:rPr>
              <w:t>200%</w:t>
            </w:r>
          </w:p>
        </w:tc>
      </w:tr>
      <w:tr>
        <w:trPr>
          <w:trHeight w:val="257"/>
        </w:trPr>
        <w:tc>
          <w:tcPr>
            <w:tcW w:w="2480" w:type="dxa"/>
            <w:vAlign w:val="bottom"/>
          </w:tcPr>
          <w:p>
            <w:pPr>
              <w:ind w:left="100"/>
              <w:spacing w:after="0"/>
              <w:rPr>
                <w:sz w:val="20"/>
                <w:szCs w:val="20"/>
                <w:color w:val="auto"/>
              </w:rPr>
            </w:pPr>
            <w:r>
              <w:rPr>
                <w:rFonts w:ascii="Arial" w:cs="Arial" w:eastAsia="Arial" w:hAnsi="Arial"/>
                <w:sz w:val="18"/>
                <w:szCs w:val="18"/>
                <w:color w:val="auto"/>
              </w:rPr>
              <w:t>Relative Market Share</w:t>
            </w:r>
          </w:p>
        </w:tc>
        <w:tc>
          <w:tcPr>
            <w:tcW w:w="1400" w:type="dxa"/>
            <w:vAlign w:val="bottom"/>
          </w:tcPr>
          <w:p>
            <w:pPr>
              <w:jc w:val="right"/>
              <w:ind w:right="115"/>
              <w:spacing w:after="0"/>
              <w:rPr>
                <w:sz w:val="20"/>
                <w:szCs w:val="20"/>
                <w:color w:val="auto"/>
              </w:rPr>
            </w:pPr>
            <w:r>
              <w:rPr>
                <w:rFonts w:ascii="Arial" w:cs="Arial" w:eastAsia="Arial" w:hAnsi="Arial"/>
                <w:sz w:val="18"/>
                <w:szCs w:val="18"/>
                <w:color w:val="auto"/>
              </w:rPr>
              <w:t>20%</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50 bps</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-25 bps</w:t>
            </w:r>
          </w:p>
        </w:tc>
        <w:tc>
          <w:tcPr>
            <w:tcW w:w="1680" w:type="dxa"/>
            <w:vAlign w:val="bottom"/>
          </w:tcPr>
          <w:p>
            <w:pPr>
              <w:jc w:val="center"/>
              <w:ind w:left="55"/>
              <w:spacing w:after="0"/>
              <w:rPr>
                <w:sz w:val="20"/>
                <w:szCs w:val="20"/>
                <w:color w:val="auto"/>
              </w:rPr>
            </w:pPr>
            <w:r>
              <w:rPr>
                <w:rFonts w:ascii="Arial" w:cs="Arial" w:eastAsia="Arial" w:hAnsi="Arial"/>
                <w:sz w:val="18"/>
                <w:szCs w:val="18"/>
                <w:color w:val="auto"/>
                <w:w w:val="99"/>
              </w:rPr>
              <w:t>N/A</w:t>
            </w:r>
          </w:p>
        </w:tc>
        <w:tc>
          <w:tcPr>
            <w:tcW w:w="1560" w:type="dxa"/>
            <w:vAlign w:val="bottom"/>
          </w:tcPr>
          <w:p>
            <w:pPr>
              <w:jc w:val="right"/>
              <w:ind w:right="315"/>
              <w:spacing w:after="0"/>
              <w:rPr>
                <w:sz w:val="20"/>
                <w:szCs w:val="20"/>
                <w:color w:val="auto"/>
              </w:rPr>
            </w:pPr>
            <w:r>
              <w:rPr>
                <w:rFonts w:ascii="Arial" w:cs="Arial" w:eastAsia="Arial" w:hAnsi="Arial"/>
                <w:sz w:val="18"/>
                <w:szCs w:val="18"/>
                <w:color w:val="auto"/>
              </w:rPr>
              <w:t>87.84%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25400</wp:posOffset>
            </wp:positionV>
            <wp:extent cx="555498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114" w:lineRule="exact"/>
        <w:rPr>
          <w:sz w:val="20"/>
          <w:szCs w:val="20"/>
          <w:color w:val="auto"/>
        </w:rPr>
      </w:pPr>
    </w:p>
    <w:p>
      <w:pPr>
        <w:ind w:left="1460" w:right="259" w:hanging="362"/>
        <w:spacing w:after="0" w:line="278" w:lineRule="auto"/>
        <w:tabs>
          <w:tab w:leader="none" w:pos="1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2021 performance of the Company, please refer to the Company’s Annual Report on Form 10-K for the year ended July 3, 2021.</w:t>
      </w:r>
    </w:p>
    <w:p>
      <w:pPr>
        <w:spacing w:after="0" w:line="117" w:lineRule="exact"/>
        <w:rPr>
          <w:sz w:val="20"/>
          <w:szCs w:val="20"/>
          <w:color w:val="auto"/>
        </w:rPr>
      </w:pPr>
    </w:p>
    <w:p>
      <w:pPr>
        <w:ind w:left="1000" w:right="179"/>
        <w:spacing w:after="0" w:line="238" w:lineRule="auto"/>
        <w:rPr>
          <w:sz w:val="20"/>
          <w:szCs w:val="20"/>
          <w:color w:val="auto"/>
        </w:rPr>
      </w:pPr>
      <w:r>
        <w:rPr>
          <w:rFonts w:ascii="Arial" w:cs="Arial" w:eastAsia="Arial" w:hAnsi="Arial"/>
          <w:sz w:val="18"/>
          <w:szCs w:val="18"/>
          <w:color w:val="auto"/>
        </w:rPr>
        <w:t>The combination of the OI$, ROWC and Relative Market Share performance resulted in a total financial performance of 177.57% of target. The financial incentive payout delivered to participants was 142.05% of their total short-term incentive target, after applying the 80% weighting referenced above. The Company’s financial results and corresponding short-term incentive calculations were reviewed and approved by the Audit Committee at their August 10, 2021 meeting.</w:t>
      </w:r>
    </w:p>
    <w:p>
      <w:pPr>
        <w:spacing w:after="0" w:line="135" w:lineRule="exact"/>
        <w:rPr>
          <w:sz w:val="20"/>
          <w:szCs w:val="20"/>
          <w:color w:val="auto"/>
        </w:rPr>
      </w:pPr>
    </w:p>
    <w:p>
      <w:pPr>
        <w:ind w:left="1000" w:right="279"/>
        <w:spacing w:after="0"/>
        <w:rPr>
          <w:sz w:val="20"/>
          <w:szCs w:val="20"/>
          <w:color w:val="auto"/>
        </w:rPr>
      </w:pPr>
      <w:r>
        <w:rPr>
          <w:rFonts w:ascii="Arial" w:cs="Arial" w:eastAsia="Arial" w:hAnsi="Arial"/>
          <w:sz w:val="18"/>
          <w:szCs w:val="18"/>
          <w:color w:val="auto"/>
        </w:rPr>
        <w:t>For fiscal 2021, achievement of the non-financial performance goals and the percentages of target annual cash incentive earned and approved by the Committee, or Board with respect to the CEO, with respect to the non-financial goals were as follows:</w:t>
      </w:r>
    </w:p>
    <w:p>
      <w:pPr>
        <w:spacing w:after="0" w:line="163" w:lineRule="exact"/>
        <w:rPr>
          <w:sz w:val="20"/>
          <w:szCs w:val="20"/>
          <w:color w:val="auto"/>
        </w:rPr>
      </w:pPr>
    </w:p>
    <w:tbl>
      <w:tblPr>
        <w:tblLayout w:type="fixed"/>
        <w:tblInd w:w="990" w:type="dxa"/>
        <w:tblCellMar>
          <w:top w:w="0" w:type="dxa"/>
          <w:left w:w="0" w:type="dxa"/>
          <w:bottom w:w="0" w:type="dxa"/>
          <w:right w:w="0" w:type="dxa"/>
        </w:tblCellMar>
      </w:tblPr>
      <w:tr>
        <w:trPr>
          <w:trHeight w:val="277"/>
        </w:trPr>
        <w:tc>
          <w:tcPr>
            <w:tcW w:w="5260" w:type="dxa"/>
            <w:vAlign w:val="bottom"/>
            <w:tcBorders>
              <w:left w:val="single" w:sz="8" w:color="56C271"/>
              <w:bottom w:val="single" w:sz="8" w:color="56C271"/>
              <w:right w:val="single" w:sz="8" w:color="56C271"/>
            </w:tcBorders>
            <w:shd w:val="clear" w:color="auto" w:fill="56C271"/>
          </w:tcPr>
          <w:p>
            <w:pPr>
              <w:ind w:left="220"/>
              <w:spacing w:after="0"/>
              <w:rPr>
                <w:sz w:val="20"/>
                <w:szCs w:val="20"/>
                <w:color w:val="auto"/>
              </w:rPr>
            </w:pPr>
            <w:r>
              <w:rPr>
                <w:rFonts w:ascii="Arial" w:cs="Arial" w:eastAsia="Arial" w:hAnsi="Arial"/>
                <w:sz w:val="14"/>
                <w:szCs w:val="14"/>
                <w:b w:val="1"/>
                <w:bCs w:val="1"/>
                <w:color w:val="FEFEFE"/>
              </w:rPr>
              <w:t>Non-Financial Goal</w:t>
            </w:r>
          </w:p>
        </w:tc>
        <w:tc>
          <w:tcPr>
            <w:tcW w:w="920" w:type="dxa"/>
            <w:vAlign w:val="bottom"/>
            <w:tcBorders>
              <w:bottom w:val="single" w:sz="8" w:color="56C271"/>
              <w:right w:val="single" w:sz="8" w:color="56C271"/>
            </w:tcBorders>
            <w:shd w:val="clear" w:color="auto" w:fill="56C271"/>
          </w:tcPr>
          <w:p>
            <w:pPr>
              <w:jc w:val="right"/>
              <w:ind w:right="36"/>
              <w:spacing w:after="0"/>
              <w:rPr>
                <w:sz w:val="20"/>
                <w:szCs w:val="20"/>
                <w:color w:val="auto"/>
              </w:rPr>
            </w:pPr>
            <w:r>
              <w:rPr>
                <w:rFonts w:ascii="Arial" w:cs="Arial" w:eastAsia="Arial" w:hAnsi="Arial"/>
                <w:sz w:val="14"/>
                <w:szCs w:val="14"/>
                <w:b w:val="1"/>
                <w:bCs w:val="1"/>
                <w:color w:val="FEFEFE"/>
              </w:rPr>
              <w:t>Weighting</w:t>
            </w:r>
          </w:p>
        </w:tc>
        <w:tc>
          <w:tcPr>
            <w:tcW w:w="1120" w:type="dxa"/>
            <w:vAlign w:val="bottom"/>
            <w:tcBorders>
              <w:bottom w:val="single" w:sz="8" w:color="56C271"/>
              <w:right w:val="single" w:sz="8" w:color="56C271"/>
            </w:tcBorders>
            <w:shd w:val="clear" w:color="auto" w:fill="56C271"/>
          </w:tcPr>
          <w:p>
            <w:pPr>
              <w:jc w:val="center"/>
              <w:spacing w:after="0"/>
              <w:rPr>
                <w:sz w:val="20"/>
                <w:szCs w:val="20"/>
                <w:color w:val="auto"/>
              </w:rPr>
            </w:pPr>
            <w:r>
              <w:rPr>
                <w:rFonts w:ascii="Arial" w:cs="Arial" w:eastAsia="Arial" w:hAnsi="Arial"/>
                <w:sz w:val="14"/>
                <w:szCs w:val="14"/>
                <w:b w:val="1"/>
                <w:bCs w:val="1"/>
                <w:color w:val="FEFEFE"/>
              </w:rPr>
              <w:t>Achievement</w:t>
            </w:r>
          </w:p>
        </w:tc>
        <w:tc>
          <w:tcPr>
            <w:tcW w:w="1460" w:type="dxa"/>
            <w:vAlign w:val="bottom"/>
            <w:tcBorders>
              <w:bottom w:val="single" w:sz="8" w:color="56C271"/>
              <w:right w:val="single" w:sz="8" w:color="56C271"/>
            </w:tcBorders>
            <w:shd w:val="clear" w:color="auto" w:fill="56C271"/>
          </w:tcPr>
          <w:p>
            <w:pPr>
              <w:jc w:val="right"/>
              <w:ind w:right="16"/>
              <w:spacing w:after="0"/>
              <w:rPr>
                <w:sz w:val="20"/>
                <w:szCs w:val="20"/>
                <w:color w:val="auto"/>
              </w:rPr>
            </w:pPr>
            <w:r>
              <w:rPr>
                <w:rFonts w:ascii="Arial" w:cs="Arial" w:eastAsia="Arial" w:hAnsi="Arial"/>
                <w:sz w:val="14"/>
                <w:szCs w:val="14"/>
                <w:b w:val="1"/>
                <w:bCs w:val="1"/>
                <w:color w:val="FEFEFE"/>
              </w:rPr>
              <w:t>Payout % of Target</w:t>
            </w:r>
          </w:p>
        </w:tc>
      </w:tr>
      <w:tr>
        <w:trPr>
          <w:trHeight w:val="277"/>
        </w:trPr>
        <w:tc>
          <w:tcPr>
            <w:tcW w:w="5260" w:type="dxa"/>
            <w:vAlign w:val="bottom"/>
            <w:tcBorders>
              <w:left w:val="single" w:sz="8" w:color="56C271"/>
              <w:bottom w:val="single" w:sz="8" w:color="56C271"/>
              <w:right w:val="single" w:sz="8" w:color="56C271"/>
            </w:tcBorders>
          </w:tcPr>
          <w:p>
            <w:pPr>
              <w:ind w:left="220"/>
              <w:spacing w:after="0"/>
              <w:rPr>
                <w:sz w:val="20"/>
                <w:szCs w:val="20"/>
                <w:color w:val="auto"/>
              </w:rPr>
            </w:pPr>
            <w:r>
              <w:rPr>
                <w:rFonts w:ascii="Arial" w:cs="Arial" w:eastAsia="Arial" w:hAnsi="Arial"/>
                <w:sz w:val="18"/>
                <w:szCs w:val="18"/>
                <w:color w:val="auto"/>
              </w:rPr>
              <w:t>ESG Team Goals</w:t>
            </w:r>
          </w:p>
        </w:tc>
        <w:tc>
          <w:tcPr>
            <w:tcW w:w="920" w:type="dxa"/>
            <w:vAlign w:val="bottom"/>
            <w:tcBorders>
              <w:bottom w:val="single" w:sz="8" w:color="56C271"/>
              <w:right w:val="single" w:sz="8" w:color="56C271"/>
            </w:tcBorders>
          </w:tcPr>
          <w:p>
            <w:pPr>
              <w:jc w:val="right"/>
              <w:ind w:right="116"/>
              <w:spacing w:after="0"/>
              <w:rPr>
                <w:sz w:val="20"/>
                <w:szCs w:val="20"/>
                <w:color w:val="auto"/>
              </w:rPr>
            </w:pPr>
            <w:r>
              <w:rPr>
                <w:rFonts w:ascii="Arial" w:cs="Arial" w:eastAsia="Arial" w:hAnsi="Arial"/>
                <w:sz w:val="18"/>
                <w:szCs w:val="18"/>
                <w:color w:val="auto"/>
              </w:rPr>
              <w:t>50%</w:t>
            </w:r>
          </w:p>
        </w:tc>
        <w:tc>
          <w:tcPr>
            <w:tcW w:w="1120" w:type="dxa"/>
            <w:vAlign w:val="bottom"/>
            <w:tcBorders>
              <w:bottom w:val="single" w:sz="8" w:color="56C271"/>
              <w:right w:val="single" w:sz="8" w:color="56C271"/>
            </w:tcBorders>
          </w:tcPr>
          <w:p>
            <w:pPr>
              <w:ind w:left="400"/>
              <w:spacing w:after="0"/>
              <w:rPr>
                <w:sz w:val="20"/>
                <w:szCs w:val="20"/>
                <w:color w:val="auto"/>
              </w:rPr>
            </w:pPr>
            <w:r>
              <w:rPr>
                <w:rFonts w:ascii="Arial" w:cs="Arial" w:eastAsia="Arial" w:hAnsi="Arial"/>
                <w:sz w:val="18"/>
                <w:szCs w:val="18"/>
                <w:color w:val="auto"/>
              </w:rPr>
              <w:t>Pass</w:t>
            </w:r>
          </w:p>
        </w:tc>
        <w:tc>
          <w:tcPr>
            <w:tcW w:w="1460" w:type="dxa"/>
            <w:vAlign w:val="bottom"/>
            <w:tcBorders>
              <w:bottom w:val="single" w:sz="8" w:color="56C271"/>
              <w:right w:val="single" w:sz="8" w:color="56C271"/>
            </w:tcBorders>
          </w:tcPr>
          <w:p>
            <w:pPr>
              <w:jc w:val="right"/>
              <w:ind w:right="316"/>
              <w:spacing w:after="0"/>
              <w:rPr>
                <w:sz w:val="20"/>
                <w:szCs w:val="20"/>
                <w:color w:val="auto"/>
              </w:rPr>
            </w:pPr>
            <w:r>
              <w:rPr>
                <w:rFonts w:ascii="Arial" w:cs="Arial" w:eastAsia="Arial" w:hAnsi="Arial"/>
                <w:sz w:val="18"/>
                <w:szCs w:val="18"/>
                <w:color w:val="auto"/>
              </w:rPr>
              <w:t>100%</w:t>
            </w:r>
          </w:p>
        </w:tc>
      </w:tr>
      <w:tr>
        <w:trPr>
          <w:trHeight w:val="283"/>
        </w:trPr>
        <w:tc>
          <w:tcPr>
            <w:tcW w:w="5260" w:type="dxa"/>
            <w:vAlign w:val="bottom"/>
            <w:tcBorders>
              <w:left w:val="single" w:sz="8" w:color="56C271"/>
              <w:bottom w:val="single" w:sz="8" w:color="56C271"/>
              <w:right w:val="single" w:sz="8" w:color="56C271"/>
            </w:tcBorders>
          </w:tcPr>
          <w:p>
            <w:pPr>
              <w:ind w:left="220"/>
              <w:spacing w:after="0"/>
              <w:rPr>
                <w:sz w:val="20"/>
                <w:szCs w:val="20"/>
                <w:color w:val="auto"/>
              </w:rPr>
            </w:pPr>
            <w:r>
              <w:rPr>
                <w:rFonts w:ascii="Arial" w:cs="Arial" w:eastAsia="Arial" w:hAnsi="Arial"/>
                <w:sz w:val="18"/>
                <w:szCs w:val="18"/>
                <w:color w:val="auto"/>
              </w:rPr>
              <w:t>Individual Goals</w:t>
            </w:r>
          </w:p>
        </w:tc>
        <w:tc>
          <w:tcPr>
            <w:tcW w:w="920" w:type="dxa"/>
            <w:vAlign w:val="bottom"/>
            <w:tcBorders>
              <w:bottom w:val="single" w:sz="8" w:color="56C271"/>
              <w:right w:val="single" w:sz="8" w:color="56C271"/>
            </w:tcBorders>
          </w:tcPr>
          <w:p>
            <w:pPr>
              <w:jc w:val="right"/>
              <w:ind w:right="116"/>
              <w:spacing w:after="0"/>
              <w:rPr>
                <w:sz w:val="20"/>
                <w:szCs w:val="20"/>
                <w:color w:val="auto"/>
              </w:rPr>
            </w:pPr>
            <w:r>
              <w:rPr>
                <w:rFonts w:ascii="Arial" w:cs="Arial" w:eastAsia="Arial" w:hAnsi="Arial"/>
                <w:sz w:val="18"/>
                <w:szCs w:val="18"/>
                <w:color w:val="auto"/>
              </w:rPr>
              <w:t>50%</w:t>
            </w:r>
          </w:p>
        </w:tc>
        <w:tc>
          <w:tcPr>
            <w:tcW w:w="1120" w:type="dxa"/>
            <w:vAlign w:val="bottom"/>
            <w:tcBorders>
              <w:bottom w:val="single" w:sz="8" w:color="56C271"/>
              <w:right w:val="single" w:sz="8" w:color="56C271"/>
            </w:tcBorders>
          </w:tcPr>
          <w:p>
            <w:pPr>
              <w:jc w:val="center"/>
              <w:spacing w:after="0" w:line="283" w:lineRule="exact"/>
              <w:rPr>
                <w:sz w:val="20"/>
                <w:szCs w:val="20"/>
                <w:color w:val="auto"/>
              </w:rPr>
            </w:pPr>
            <w:r>
              <w:rPr>
                <w:rFonts w:ascii="Arial" w:cs="Arial" w:eastAsia="Arial" w:hAnsi="Arial"/>
                <w:sz w:val="18"/>
                <w:szCs w:val="18"/>
                <w:color w:val="auto"/>
                <w:w w:val="94"/>
              </w:rPr>
              <w:t>Pass</w:t>
            </w:r>
            <w:r>
              <w:rPr>
                <w:rFonts w:ascii="Arial" w:cs="Arial" w:eastAsia="Arial" w:hAnsi="Arial"/>
                <w:sz w:val="26"/>
                <w:szCs w:val="26"/>
                <w:color w:val="auto"/>
                <w:w w:val="94"/>
                <w:vertAlign w:val="superscript"/>
              </w:rPr>
              <w:t>(1)</w:t>
            </w:r>
          </w:p>
        </w:tc>
        <w:tc>
          <w:tcPr>
            <w:tcW w:w="1460" w:type="dxa"/>
            <w:vAlign w:val="bottom"/>
            <w:tcBorders>
              <w:bottom w:val="single" w:sz="8" w:color="56C271"/>
              <w:right w:val="single" w:sz="8" w:color="56C271"/>
            </w:tcBorders>
          </w:tcPr>
          <w:p>
            <w:pPr>
              <w:jc w:val="right"/>
              <w:ind w:right="316"/>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-376555</wp:posOffset>
            </wp:positionV>
            <wp:extent cx="5537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14" w:lineRule="exact"/>
        <w:rPr>
          <w:sz w:val="20"/>
          <w:szCs w:val="20"/>
          <w:color w:val="auto"/>
        </w:rPr>
      </w:pPr>
    </w:p>
    <w:p>
      <w:pPr>
        <w:ind w:left="1820" w:hanging="722"/>
        <w:spacing w:after="0"/>
        <w:tabs>
          <w:tab w:leader="none" w:pos="1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applicable NEO passed this non-financial performance goal.</w:t>
      </w:r>
    </w:p>
    <w:p>
      <w:pPr>
        <w:spacing w:after="0" w:line="144" w:lineRule="exact"/>
        <w:rPr>
          <w:sz w:val="20"/>
          <w:szCs w:val="20"/>
          <w:color w:val="auto"/>
        </w:rPr>
      </w:pPr>
    </w:p>
    <w:p>
      <w:pPr>
        <w:ind w:left="1000" w:right="339"/>
        <w:spacing w:after="0" w:line="238" w:lineRule="auto"/>
        <w:rPr>
          <w:sz w:val="20"/>
          <w:szCs w:val="20"/>
          <w:color w:val="auto"/>
        </w:rPr>
      </w:pPr>
      <w:r>
        <w:rPr>
          <w:rFonts w:ascii="Arial" w:cs="Arial" w:eastAsia="Arial" w:hAnsi="Arial"/>
          <w:sz w:val="18"/>
          <w:szCs w:val="18"/>
          <w:color w:val="auto"/>
        </w:rPr>
        <w:t>Based on the achievements of both the financial and the non-financial performance goals, the total incentive payout was 162.05% of target. The below table reflects the achievement of the financial and non-financial performance goals and the total annual cash incentive payout for each of the NEOs, taking partial year participation and mid-year promotions into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113665</wp:posOffset>
            </wp:positionV>
            <wp:extent cx="5554980" cy="6089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54980" cy="608965"/>
                    </a:xfrm>
                    <a:prstGeom prst="rect">
                      <a:avLst/>
                    </a:prstGeom>
                    <a:noFill/>
                  </pic:spPr>
                </pic:pic>
              </a:graphicData>
            </a:graphic>
          </wp:anchor>
        </w:drawing>
      </w:r>
    </w:p>
    <w:p>
      <w:pPr>
        <w:spacing w:after="0" w:line="17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FEFEFE"/>
        </w:rPr>
        <w:t>FY21 Annual Cash Incentives Payouts</w:t>
      </w:r>
    </w:p>
    <w:p>
      <w:pPr>
        <w:spacing w:after="0" w:line="52" w:lineRule="exact"/>
        <w:rPr>
          <w:sz w:val="20"/>
          <w:szCs w:val="20"/>
          <w:color w:val="auto"/>
        </w:rPr>
      </w:pPr>
    </w:p>
    <w:tbl>
      <w:tblPr>
        <w:tblLayout w:type="fixed"/>
        <w:tblInd w:w="980" w:type="dxa"/>
        <w:tblCellMar>
          <w:top w:w="0" w:type="dxa"/>
          <w:left w:w="0" w:type="dxa"/>
          <w:bottom w:w="0" w:type="dxa"/>
          <w:right w:w="0" w:type="dxa"/>
        </w:tblCellMar>
      </w:tblPr>
      <w:tr>
        <w:trPr>
          <w:trHeight w:val="217"/>
        </w:trPr>
        <w:tc>
          <w:tcPr>
            <w:tcW w:w="100" w:type="dxa"/>
            <w:vAlign w:val="bottom"/>
          </w:tcPr>
          <w:p>
            <w:pPr>
              <w:spacing w:after="0"/>
              <w:rPr>
                <w:sz w:val="18"/>
                <w:szCs w:val="18"/>
                <w:color w:val="auto"/>
              </w:rPr>
            </w:pPr>
          </w:p>
        </w:tc>
        <w:tc>
          <w:tcPr>
            <w:tcW w:w="1280" w:type="dxa"/>
            <w:vAlign w:val="bottom"/>
            <w:shd w:val="clear" w:color="auto" w:fill="56C271"/>
          </w:tcPr>
          <w:p>
            <w:pPr>
              <w:spacing w:after="0"/>
              <w:rPr>
                <w:sz w:val="18"/>
                <w:szCs w:val="18"/>
                <w:color w:val="auto"/>
              </w:rPr>
            </w:pPr>
          </w:p>
        </w:tc>
        <w:tc>
          <w:tcPr>
            <w:tcW w:w="360" w:type="dxa"/>
            <w:vAlign w:val="bottom"/>
            <w:shd w:val="clear" w:color="auto" w:fill="56C271"/>
          </w:tcPr>
          <w:p>
            <w:pPr>
              <w:spacing w:after="0"/>
              <w:rPr>
                <w:sz w:val="18"/>
                <w:szCs w:val="18"/>
                <w:color w:val="auto"/>
              </w:rPr>
            </w:pPr>
          </w:p>
        </w:tc>
        <w:tc>
          <w:tcPr>
            <w:tcW w:w="840" w:type="dxa"/>
            <w:vAlign w:val="bottom"/>
            <w:shd w:val="clear" w:color="auto" w:fill="56C271"/>
          </w:tcPr>
          <w:p>
            <w:pPr>
              <w:spacing w:after="0"/>
              <w:rPr>
                <w:sz w:val="18"/>
                <w:szCs w:val="18"/>
                <w:color w:val="auto"/>
              </w:rPr>
            </w:pPr>
          </w:p>
        </w:tc>
        <w:tc>
          <w:tcPr>
            <w:tcW w:w="1960" w:type="dxa"/>
            <w:vAlign w:val="bottom"/>
            <w:tcBorders>
              <w:right w:val="single" w:sz="8" w:color="56C271"/>
            </w:tcBorders>
            <w:gridSpan w:val="4"/>
            <w:shd w:val="clear" w:color="auto" w:fill="56C271"/>
          </w:tcPr>
          <w:p>
            <w:pPr>
              <w:jc w:val="center"/>
              <w:ind w:left="101"/>
              <w:spacing w:after="0"/>
              <w:rPr>
                <w:sz w:val="20"/>
                <w:szCs w:val="20"/>
                <w:color w:val="auto"/>
              </w:rPr>
            </w:pPr>
            <w:r>
              <w:rPr>
                <w:rFonts w:ascii="Arial" w:cs="Arial" w:eastAsia="Arial" w:hAnsi="Arial"/>
                <w:sz w:val="14"/>
                <w:szCs w:val="14"/>
                <w:b w:val="1"/>
                <w:bCs w:val="1"/>
                <w:color w:val="FEFEFE"/>
              </w:rPr>
              <w:t>Financial (80% Weight)</w:t>
            </w:r>
          </w:p>
        </w:tc>
        <w:tc>
          <w:tcPr>
            <w:tcW w:w="80" w:type="dxa"/>
            <w:vAlign w:val="bottom"/>
            <w:shd w:val="clear" w:color="auto" w:fill="56C271"/>
          </w:tcPr>
          <w:p>
            <w:pPr>
              <w:spacing w:after="0"/>
              <w:rPr>
                <w:sz w:val="18"/>
                <w:szCs w:val="18"/>
                <w:color w:val="auto"/>
              </w:rPr>
            </w:pPr>
          </w:p>
        </w:tc>
        <w:tc>
          <w:tcPr>
            <w:tcW w:w="2100" w:type="dxa"/>
            <w:vAlign w:val="bottom"/>
            <w:tcBorders>
              <w:right w:val="single" w:sz="8" w:color="56C271"/>
            </w:tcBorders>
            <w:gridSpan w:val="4"/>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Non-Financial (20% Weight)</w:t>
            </w:r>
          </w:p>
        </w:tc>
        <w:tc>
          <w:tcPr>
            <w:tcW w:w="80" w:type="dxa"/>
            <w:vAlign w:val="bottom"/>
            <w:shd w:val="clear" w:color="auto" w:fill="56C271"/>
          </w:tcPr>
          <w:p>
            <w:pPr>
              <w:spacing w:after="0"/>
              <w:rPr>
                <w:sz w:val="18"/>
                <w:szCs w:val="18"/>
                <w:color w:val="auto"/>
              </w:rPr>
            </w:pPr>
          </w:p>
        </w:tc>
        <w:tc>
          <w:tcPr>
            <w:tcW w:w="1960" w:type="dxa"/>
            <w:vAlign w:val="bottom"/>
            <w:gridSpan w:val="4"/>
            <w:shd w:val="clear" w:color="auto" w:fill="56C271"/>
          </w:tcPr>
          <w:p>
            <w:pPr>
              <w:jc w:val="center"/>
              <w:ind w:left="165"/>
              <w:spacing w:after="0"/>
              <w:rPr>
                <w:sz w:val="20"/>
                <w:szCs w:val="20"/>
                <w:color w:val="auto"/>
              </w:rPr>
            </w:pPr>
            <w:r>
              <w:rPr>
                <w:rFonts w:ascii="Arial" w:cs="Arial" w:eastAsia="Arial" w:hAnsi="Arial"/>
                <w:sz w:val="14"/>
                <w:szCs w:val="14"/>
                <w:b w:val="1"/>
                <w:bCs w:val="1"/>
                <w:color w:val="FEFEFE"/>
                <w:w w:val="99"/>
              </w:rPr>
              <w:t>Total Incentive Payout</w:t>
            </w:r>
          </w:p>
        </w:tc>
      </w:tr>
      <w:tr>
        <w:trPr>
          <w:trHeight w:val="256"/>
        </w:trPr>
        <w:tc>
          <w:tcPr>
            <w:tcW w:w="100" w:type="dxa"/>
            <w:vAlign w:val="bottom"/>
          </w:tcPr>
          <w:p>
            <w:pPr>
              <w:spacing w:after="0"/>
              <w:rPr>
                <w:sz w:val="22"/>
                <w:szCs w:val="22"/>
                <w:color w:val="auto"/>
              </w:rPr>
            </w:pPr>
          </w:p>
        </w:tc>
        <w:tc>
          <w:tcPr>
            <w:tcW w:w="1280" w:type="dxa"/>
            <w:vAlign w:val="bottom"/>
            <w:tcBorders>
              <w:top w:val="single" w:sz="8" w:color="56C271"/>
            </w:tcBorders>
            <w:shd w:val="clear" w:color="auto" w:fill="56C271"/>
          </w:tcPr>
          <w:p>
            <w:pPr>
              <w:spacing w:after="0"/>
              <w:rPr>
                <w:sz w:val="22"/>
                <w:szCs w:val="22"/>
                <w:color w:val="auto"/>
              </w:rPr>
            </w:pPr>
          </w:p>
        </w:tc>
        <w:tc>
          <w:tcPr>
            <w:tcW w:w="360" w:type="dxa"/>
            <w:vAlign w:val="bottom"/>
            <w:tcBorders>
              <w:top w:val="single" w:sz="8" w:color="56C271"/>
            </w:tcBorders>
            <w:shd w:val="clear" w:color="auto" w:fill="56C271"/>
          </w:tcPr>
          <w:p>
            <w:pPr>
              <w:spacing w:after="0"/>
              <w:rPr>
                <w:sz w:val="22"/>
                <w:szCs w:val="22"/>
                <w:color w:val="auto"/>
              </w:rPr>
            </w:pPr>
          </w:p>
        </w:tc>
        <w:tc>
          <w:tcPr>
            <w:tcW w:w="840" w:type="dxa"/>
            <w:vAlign w:val="bottom"/>
            <w:tcBorders>
              <w:top w:val="single" w:sz="8" w:color="56C271"/>
            </w:tcBorders>
            <w:shd w:val="clear" w:color="auto" w:fill="56C271"/>
          </w:tcPr>
          <w:p>
            <w:pPr>
              <w:spacing w:after="0"/>
              <w:rPr>
                <w:sz w:val="22"/>
                <w:szCs w:val="22"/>
                <w:color w:val="auto"/>
              </w:rPr>
            </w:pPr>
          </w:p>
        </w:tc>
        <w:tc>
          <w:tcPr>
            <w:tcW w:w="920" w:type="dxa"/>
            <w:vAlign w:val="bottom"/>
            <w:tcBorders>
              <w:top w:val="single" w:sz="8" w:color="auto"/>
            </w:tcBorders>
            <w:shd w:val="clear" w:color="auto" w:fill="56C271"/>
          </w:tcPr>
          <w:p>
            <w:pPr>
              <w:jc w:val="right"/>
              <w:ind w:right="41"/>
              <w:spacing w:after="0"/>
              <w:rPr>
                <w:sz w:val="20"/>
                <w:szCs w:val="20"/>
                <w:color w:val="auto"/>
              </w:rPr>
            </w:pPr>
            <w:r>
              <w:rPr>
                <w:rFonts w:ascii="Arial" w:cs="Arial" w:eastAsia="Arial" w:hAnsi="Arial"/>
                <w:sz w:val="14"/>
                <w:szCs w:val="14"/>
                <w:b w:val="1"/>
                <w:bCs w:val="1"/>
                <w:color w:val="FEFEFE"/>
              </w:rPr>
              <w:t>% of Target</w:t>
            </w:r>
          </w:p>
        </w:tc>
        <w:tc>
          <w:tcPr>
            <w:tcW w:w="260" w:type="dxa"/>
            <w:vAlign w:val="bottom"/>
            <w:tcBorders>
              <w:top w:val="single" w:sz="8" w:color="auto"/>
            </w:tcBorders>
            <w:shd w:val="clear" w:color="auto" w:fill="56C271"/>
          </w:tcPr>
          <w:p>
            <w:pPr>
              <w:spacing w:after="0"/>
              <w:rPr>
                <w:sz w:val="22"/>
                <w:szCs w:val="22"/>
                <w:color w:val="auto"/>
              </w:rPr>
            </w:pPr>
          </w:p>
        </w:tc>
        <w:tc>
          <w:tcPr>
            <w:tcW w:w="660" w:type="dxa"/>
            <w:vAlign w:val="bottom"/>
            <w:tcBorders>
              <w:top w:val="single" w:sz="8" w:color="auto"/>
            </w:tcBorders>
            <w:shd w:val="clear" w:color="auto" w:fill="56C271"/>
          </w:tcPr>
          <w:p>
            <w:pPr>
              <w:spacing w:after="0"/>
              <w:rPr>
                <w:sz w:val="22"/>
                <w:szCs w:val="22"/>
                <w:color w:val="auto"/>
              </w:rPr>
            </w:pPr>
          </w:p>
        </w:tc>
        <w:tc>
          <w:tcPr>
            <w:tcW w:w="120" w:type="dxa"/>
            <w:vAlign w:val="bottom"/>
            <w:tcBorders>
              <w:top w:val="single" w:sz="8" w:color="56C271"/>
              <w:right w:val="single" w:sz="8" w:color="56C271"/>
            </w:tcBorders>
            <w:shd w:val="clear" w:color="auto" w:fill="56C271"/>
          </w:tcPr>
          <w:p>
            <w:pPr>
              <w:spacing w:after="0"/>
              <w:rPr>
                <w:sz w:val="22"/>
                <w:szCs w:val="22"/>
                <w:color w:val="auto"/>
              </w:rPr>
            </w:pPr>
          </w:p>
        </w:tc>
        <w:tc>
          <w:tcPr>
            <w:tcW w:w="80" w:type="dxa"/>
            <w:vAlign w:val="bottom"/>
            <w:tcBorders>
              <w:top w:val="single" w:sz="8" w:color="56C271"/>
            </w:tcBorders>
            <w:shd w:val="clear" w:color="auto" w:fill="56C271"/>
          </w:tcPr>
          <w:p>
            <w:pPr>
              <w:spacing w:after="0"/>
              <w:rPr>
                <w:sz w:val="22"/>
                <w:szCs w:val="22"/>
                <w:color w:val="auto"/>
              </w:rPr>
            </w:pPr>
          </w:p>
        </w:tc>
        <w:tc>
          <w:tcPr>
            <w:tcW w:w="1080" w:type="dxa"/>
            <w:vAlign w:val="bottom"/>
            <w:tcBorders>
              <w:top w:val="single" w:sz="8" w:color="auto"/>
            </w:tcBorders>
            <w:shd w:val="clear" w:color="auto" w:fill="56C271"/>
          </w:tcPr>
          <w:p>
            <w:pPr>
              <w:jc w:val="right"/>
              <w:ind w:right="104"/>
              <w:spacing w:after="0"/>
              <w:rPr>
                <w:sz w:val="20"/>
                <w:szCs w:val="20"/>
                <w:color w:val="auto"/>
              </w:rPr>
            </w:pPr>
            <w:r>
              <w:rPr>
                <w:rFonts w:ascii="Arial" w:cs="Arial" w:eastAsia="Arial" w:hAnsi="Arial"/>
                <w:sz w:val="14"/>
                <w:szCs w:val="14"/>
                <w:b w:val="1"/>
                <w:bCs w:val="1"/>
                <w:color w:val="FEFEFE"/>
              </w:rPr>
              <w:t>% of Target</w:t>
            </w:r>
          </w:p>
        </w:tc>
        <w:tc>
          <w:tcPr>
            <w:tcW w:w="280" w:type="dxa"/>
            <w:vAlign w:val="bottom"/>
            <w:tcBorders>
              <w:top w:val="single" w:sz="8" w:color="auto"/>
            </w:tcBorders>
            <w:shd w:val="clear" w:color="auto" w:fill="56C271"/>
          </w:tcPr>
          <w:p>
            <w:pPr>
              <w:spacing w:after="0"/>
              <w:rPr>
                <w:sz w:val="22"/>
                <w:szCs w:val="22"/>
                <w:color w:val="auto"/>
              </w:rPr>
            </w:pPr>
          </w:p>
        </w:tc>
        <w:tc>
          <w:tcPr>
            <w:tcW w:w="620" w:type="dxa"/>
            <w:vAlign w:val="bottom"/>
            <w:tcBorders>
              <w:top w:val="single" w:sz="8" w:color="auto"/>
            </w:tcBorders>
            <w:shd w:val="clear" w:color="auto" w:fill="56C271"/>
          </w:tcPr>
          <w:p>
            <w:pPr>
              <w:spacing w:after="0"/>
              <w:rPr>
                <w:sz w:val="22"/>
                <w:szCs w:val="22"/>
                <w:color w:val="auto"/>
              </w:rPr>
            </w:pPr>
          </w:p>
        </w:tc>
        <w:tc>
          <w:tcPr>
            <w:tcW w:w="120" w:type="dxa"/>
            <w:vAlign w:val="bottom"/>
            <w:tcBorders>
              <w:top w:val="single" w:sz="8" w:color="56C271"/>
              <w:right w:val="single" w:sz="8" w:color="56C271"/>
            </w:tcBorders>
            <w:shd w:val="clear" w:color="auto" w:fill="56C271"/>
          </w:tcPr>
          <w:p>
            <w:pPr>
              <w:spacing w:after="0"/>
              <w:rPr>
                <w:sz w:val="22"/>
                <w:szCs w:val="22"/>
                <w:color w:val="auto"/>
              </w:rPr>
            </w:pPr>
          </w:p>
        </w:tc>
        <w:tc>
          <w:tcPr>
            <w:tcW w:w="80" w:type="dxa"/>
            <w:vAlign w:val="bottom"/>
            <w:tcBorders>
              <w:top w:val="single" w:sz="8" w:color="56C271"/>
            </w:tcBorders>
            <w:shd w:val="clear" w:color="auto" w:fill="56C271"/>
          </w:tcPr>
          <w:p>
            <w:pPr>
              <w:spacing w:after="0"/>
              <w:rPr>
                <w:sz w:val="22"/>
                <w:szCs w:val="22"/>
                <w:color w:val="auto"/>
              </w:rPr>
            </w:pPr>
          </w:p>
        </w:tc>
        <w:tc>
          <w:tcPr>
            <w:tcW w:w="920" w:type="dxa"/>
            <w:vAlign w:val="bottom"/>
            <w:tcBorders>
              <w:top w:val="single" w:sz="8" w:color="auto"/>
            </w:tcBorders>
            <w:shd w:val="clear" w:color="auto" w:fill="56C271"/>
          </w:tcPr>
          <w:p>
            <w:pPr>
              <w:spacing w:after="0"/>
              <w:rPr>
                <w:sz w:val="22"/>
                <w:szCs w:val="22"/>
                <w:color w:val="auto"/>
              </w:rPr>
            </w:pPr>
          </w:p>
        </w:tc>
        <w:tc>
          <w:tcPr>
            <w:tcW w:w="280" w:type="dxa"/>
            <w:vAlign w:val="bottom"/>
            <w:tcBorders>
              <w:top w:val="single" w:sz="8" w:color="auto"/>
            </w:tcBorders>
            <w:shd w:val="clear" w:color="auto" w:fill="56C271"/>
          </w:tcPr>
          <w:p>
            <w:pPr>
              <w:spacing w:after="0"/>
              <w:rPr>
                <w:sz w:val="22"/>
                <w:szCs w:val="22"/>
                <w:color w:val="auto"/>
              </w:rPr>
            </w:pPr>
          </w:p>
        </w:tc>
        <w:tc>
          <w:tcPr>
            <w:tcW w:w="640" w:type="dxa"/>
            <w:vAlign w:val="bottom"/>
            <w:tcBorders>
              <w:top w:val="single" w:sz="8" w:color="auto"/>
            </w:tcBorders>
            <w:shd w:val="clear" w:color="auto" w:fill="56C271"/>
          </w:tcPr>
          <w:p>
            <w:pPr>
              <w:spacing w:after="0"/>
              <w:rPr>
                <w:sz w:val="22"/>
                <w:szCs w:val="22"/>
                <w:color w:val="auto"/>
              </w:rPr>
            </w:pPr>
          </w:p>
        </w:tc>
        <w:tc>
          <w:tcPr>
            <w:tcW w:w="120" w:type="dxa"/>
            <w:vAlign w:val="bottom"/>
            <w:tcBorders>
              <w:top w:val="single" w:sz="8" w:color="56C271"/>
            </w:tcBorders>
            <w:shd w:val="clear" w:color="auto" w:fill="56C271"/>
          </w:tcPr>
          <w:p>
            <w:pPr>
              <w:spacing w:after="0"/>
              <w:rPr>
                <w:sz w:val="22"/>
                <w:szCs w:val="22"/>
                <w:color w:val="auto"/>
              </w:rPr>
            </w:pPr>
          </w:p>
        </w:tc>
      </w:tr>
      <w:tr>
        <w:trPr>
          <w:trHeight w:val="189"/>
        </w:trPr>
        <w:tc>
          <w:tcPr>
            <w:tcW w:w="100" w:type="dxa"/>
            <w:vAlign w:val="bottom"/>
          </w:tcPr>
          <w:p>
            <w:pPr>
              <w:spacing w:after="0"/>
              <w:rPr>
                <w:sz w:val="16"/>
                <w:szCs w:val="16"/>
                <w:color w:val="auto"/>
              </w:rPr>
            </w:pPr>
          </w:p>
        </w:tc>
        <w:tc>
          <w:tcPr>
            <w:tcW w:w="128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NEO</w:t>
            </w:r>
          </w:p>
        </w:tc>
        <w:tc>
          <w:tcPr>
            <w:tcW w:w="360" w:type="dxa"/>
            <w:vAlign w:val="bottom"/>
            <w:shd w:val="clear" w:color="auto" w:fill="56C271"/>
          </w:tcPr>
          <w:p>
            <w:pPr>
              <w:spacing w:after="0"/>
              <w:rPr>
                <w:sz w:val="16"/>
                <w:szCs w:val="16"/>
                <w:color w:val="auto"/>
              </w:rPr>
            </w:pPr>
          </w:p>
        </w:tc>
        <w:tc>
          <w:tcPr>
            <w:tcW w:w="840" w:type="dxa"/>
            <w:vAlign w:val="bottom"/>
            <w:shd w:val="clear" w:color="auto" w:fill="56C271"/>
          </w:tcPr>
          <w:p>
            <w:pPr>
              <w:jc w:val="right"/>
              <w:ind w:right="100"/>
              <w:spacing w:after="0"/>
              <w:rPr>
                <w:sz w:val="20"/>
                <w:szCs w:val="20"/>
                <w:color w:val="auto"/>
              </w:rPr>
            </w:pPr>
            <w:r>
              <w:rPr>
                <w:rFonts w:ascii="Arial" w:cs="Arial" w:eastAsia="Arial" w:hAnsi="Arial"/>
                <w:sz w:val="14"/>
                <w:szCs w:val="14"/>
                <w:b w:val="1"/>
                <w:bCs w:val="1"/>
                <w:color w:val="FEFEFE"/>
              </w:rPr>
              <w:t>Target $</w:t>
            </w:r>
          </w:p>
        </w:tc>
        <w:tc>
          <w:tcPr>
            <w:tcW w:w="920" w:type="dxa"/>
            <w:vAlign w:val="bottom"/>
            <w:shd w:val="clear" w:color="auto" w:fill="56C271"/>
          </w:tcPr>
          <w:p>
            <w:pPr>
              <w:jc w:val="right"/>
              <w:ind w:right="41"/>
              <w:spacing w:after="0"/>
              <w:rPr>
                <w:sz w:val="20"/>
                <w:szCs w:val="20"/>
                <w:color w:val="auto"/>
              </w:rPr>
            </w:pPr>
            <w:r>
              <w:rPr>
                <w:rFonts w:ascii="Arial" w:cs="Arial" w:eastAsia="Arial" w:hAnsi="Arial"/>
                <w:sz w:val="14"/>
                <w:szCs w:val="14"/>
                <w:b w:val="1"/>
                <w:bCs w:val="1"/>
                <w:color w:val="FEFEFE"/>
              </w:rPr>
              <w:t>Earned</w:t>
            </w:r>
          </w:p>
        </w:tc>
        <w:tc>
          <w:tcPr>
            <w:tcW w:w="260" w:type="dxa"/>
            <w:vAlign w:val="bottom"/>
            <w:shd w:val="clear" w:color="auto" w:fill="56C271"/>
          </w:tcPr>
          <w:p>
            <w:pPr>
              <w:spacing w:after="0"/>
              <w:rPr>
                <w:sz w:val="16"/>
                <w:szCs w:val="16"/>
                <w:color w:val="auto"/>
              </w:rPr>
            </w:pPr>
          </w:p>
        </w:tc>
        <w:tc>
          <w:tcPr>
            <w:tcW w:w="780" w:type="dxa"/>
            <w:vAlign w:val="bottom"/>
            <w:tcBorders>
              <w:right w:val="single" w:sz="8" w:color="56C271"/>
            </w:tcBorders>
            <w:gridSpan w:val="2"/>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 Actual</w:t>
            </w:r>
          </w:p>
        </w:tc>
        <w:tc>
          <w:tcPr>
            <w:tcW w:w="80" w:type="dxa"/>
            <w:vAlign w:val="bottom"/>
            <w:shd w:val="clear" w:color="auto" w:fill="56C271"/>
          </w:tcPr>
          <w:p>
            <w:pPr>
              <w:spacing w:after="0"/>
              <w:rPr>
                <w:sz w:val="16"/>
                <w:szCs w:val="16"/>
                <w:color w:val="auto"/>
              </w:rPr>
            </w:pPr>
          </w:p>
        </w:tc>
        <w:tc>
          <w:tcPr>
            <w:tcW w:w="1080" w:type="dxa"/>
            <w:vAlign w:val="bottom"/>
            <w:shd w:val="clear" w:color="auto" w:fill="56C271"/>
          </w:tcPr>
          <w:p>
            <w:pPr>
              <w:jc w:val="right"/>
              <w:ind w:right="64"/>
              <w:spacing w:after="0"/>
              <w:rPr>
                <w:sz w:val="20"/>
                <w:szCs w:val="20"/>
                <w:color w:val="auto"/>
              </w:rPr>
            </w:pPr>
            <w:r>
              <w:rPr>
                <w:rFonts w:ascii="Arial" w:cs="Arial" w:eastAsia="Arial" w:hAnsi="Arial"/>
                <w:sz w:val="14"/>
                <w:szCs w:val="14"/>
                <w:b w:val="1"/>
                <w:bCs w:val="1"/>
                <w:color w:val="FEFEFE"/>
              </w:rPr>
              <w:t>Achieved</w:t>
            </w:r>
          </w:p>
        </w:tc>
        <w:tc>
          <w:tcPr>
            <w:tcW w:w="280" w:type="dxa"/>
            <w:vAlign w:val="bottom"/>
            <w:shd w:val="clear" w:color="auto" w:fill="56C271"/>
          </w:tcPr>
          <w:p>
            <w:pPr>
              <w:spacing w:after="0"/>
              <w:rPr>
                <w:sz w:val="16"/>
                <w:szCs w:val="16"/>
                <w:color w:val="auto"/>
              </w:rPr>
            </w:pPr>
          </w:p>
        </w:tc>
        <w:tc>
          <w:tcPr>
            <w:tcW w:w="740" w:type="dxa"/>
            <w:vAlign w:val="bottom"/>
            <w:tcBorders>
              <w:right w:val="single" w:sz="8" w:color="56C271"/>
            </w:tcBorders>
            <w:gridSpan w:val="2"/>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 Actual</w:t>
            </w:r>
          </w:p>
        </w:tc>
        <w:tc>
          <w:tcPr>
            <w:tcW w:w="80" w:type="dxa"/>
            <w:vAlign w:val="bottom"/>
            <w:shd w:val="clear" w:color="auto" w:fill="56C271"/>
          </w:tcPr>
          <w:p>
            <w:pPr>
              <w:spacing w:after="0"/>
              <w:rPr>
                <w:sz w:val="16"/>
                <w:szCs w:val="16"/>
                <w:color w:val="auto"/>
              </w:rPr>
            </w:pPr>
          </w:p>
        </w:tc>
        <w:tc>
          <w:tcPr>
            <w:tcW w:w="920" w:type="dxa"/>
            <w:vAlign w:val="bottom"/>
            <w:shd w:val="clear" w:color="auto" w:fill="56C271"/>
          </w:tcPr>
          <w:p>
            <w:pPr>
              <w:jc w:val="right"/>
              <w:ind w:right="45"/>
              <w:spacing w:after="0"/>
              <w:rPr>
                <w:sz w:val="20"/>
                <w:szCs w:val="20"/>
                <w:color w:val="auto"/>
              </w:rPr>
            </w:pPr>
            <w:r>
              <w:rPr>
                <w:rFonts w:ascii="Arial" w:cs="Arial" w:eastAsia="Arial" w:hAnsi="Arial"/>
                <w:sz w:val="14"/>
                <w:szCs w:val="14"/>
                <w:b w:val="1"/>
                <w:bCs w:val="1"/>
                <w:color w:val="FEFEFE"/>
              </w:rPr>
              <w:t>% of Target</w:t>
            </w:r>
          </w:p>
        </w:tc>
        <w:tc>
          <w:tcPr>
            <w:tcW w:w="280" w:type="dxa"/>
            <w:vAlign w:val="bottom"/>
            <w:shd w:val="clear" w:color="auto" w:fill="56C271"/>
          </w:tcPr>
          <w:p>
            <w:pPr>
              <w:spacing w:after="0"/>
              <w:rPr>
                <w:sz w:val="16"/>
                <w:szCs w:val="16"/>
                <w:color w:val="auto"/>
              </w:rPr>
            </w:pPr>
          </w:p>
        </w:tc>
        <w:tc>
          <w:tcPr>
            <w:tcW w:w="760" w:type="dxa"/>
            <w:vAlign w:val="bottom"/>
            <w:gridSpan w:val="2"/>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 Actual</w:t>
            </w:r>
          </w:p>
        </w:tc>
      </w:tr>
      <w:tr>
        <w:trPr>
          <w:trHeight w:val="256"/>
        </w:trPr>
        <w:tc>
          <w:tcPr>
            <w:tcW w:w="100" w:type="dxa"/>
            <w:vAlign w:val="bottom"/>
          </w:tcPr>
          <w:p>
            <w:pPr>
              <w:spacing w:after="0"/>
              <w:rPr>
                <w:sz w:val="22"/>
                <w:szCs w:val="22"/>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Gallagher</w:t>
            </w:r>
            <w:r>
              <w:rPr>
                <w:rFonts w:ascii="Arial" w:cs="Arial" w:eastAsia="Arial" w:hAnsi="Arial"/>
                <w:sz w:val="19"/>
                <w:szCs w:val="19"/>
                <w:color w:val="auto"/>
                <w:vertAlign w:val="superscript"/>
              </w:rPr>
              <w:t>(1)</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$1,411,793</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177.57%</w:t>
            </w:r>
          </w:p>
        </w:tc>
        <w:tc>
          <w:tcPr>
            <w:tcW w:w="1040" w:type="dxa"/>
            <w:vAlign w:val="bottom"/>
            <w:tcBorders>
              <w:right w:val="single" w:sz="8" w:color="56C271"/>
            </w:tcBorders>
            <w:gridSpan w:val="3"/>
          </w:tcPr>
          <w:p>
            <w:pPr>
              <w:jc w:val="right"/>
              <w:ind w:right="120"/>
              <w:spacing w:after="0"/>
              <w:rPr>
                <w:sz w:val="20"/>
                <w:szCs w:val="20"/>
                <w:color w:val="auto"/>
              </w:rPr>
            </w:pPr>
            <w:r>
              <w:rPr>
                <w:rFonts w:ascii="Arial" w:cs="Arial" w:eastAsia="Arial" w:hAnsi="Arial"/>
                <w:sz w:val="16"/>
                <w:szCs w:val="16"/>
                <w:color w:val="auto"/>
              </w:rPr>
              <w:t>$2,005,452</w:t>
            </w:r>
          </w:p>
        </w:tc>
        <w:tc>
          <w:tcPr>
            <w:tcW w:w="1160" w:type="dxa"/>
            <w:vAlign w:val="bottom"/>
            <w:gridSpan w:val="2"/>
          </w:tcPr>
          <w:p>
            <w:pPr>
              <w:jc w:val="right"/>
              <w:ind w:right="244"/>
              <w:spacing w:after="0"/>
              <w:rPr>
                <w:sz w:val="20"/>
                <w:szCs w:val="20"/>
                <w:color w:val="auto"/>
              </w:rPr>
            </w:pPr>
            <w:r>
              <w:rPr>
                <w:rFonts w:ascii="Arial" w:cs="Arial" w:eastAsia="Arial" w:hAnsi="Arial"/>
                <w:sz w:val="16"/>
                <w:szCs w:val="16"/>
                <w:color w:val="auto"/>
              </w:rPr>
              <w:t>100%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$282,359</w:t>
            </w:r>
          </w:p>
        </w:tc>
        <w:tc>
          <w:tcPr>
            <w:tcW w:w="120" w:type="dxa"/>
            <w:vAlign w:val="bottom"/>
            <w:tcBorders>
              <w:right w:val="single" w:sz="8" w:color="56C271"/>
            </w:tcBorders>
          </w:tcPr>
          <w:p>
            <w:pPr>
              <w:spacing w:after="0"/>
              <w:rPr>
                <w:sz w:val="22"/>
                <w:szCs w:val="22"/>
                <w:color w:val="auto"/>
              </w:rPr>
            </w:pPr>
          </w:p>
        </w:tc>
        <w:tc>
          <w:tcPr>
            <w:tcW w:w="1000" w:type="dxa"/>
            <w:vAlign w:val="bottom"/>
            <w:gridSpan w:val="2"/>
          </w:tcPr>
          <w:p>
            <w:pPr>
              <w:jc w:val="right"/>
              <w:ind w:right="45"/>
              <w:spacing w:after="0"/>
              <w:rPr>
                <w:sz w:val="20"/>
                <w:szCs w:val="20"/>
                <w:color w:val="auto"/>
              </w:rPr>
            </w:pPr>
            <w:r>
              <w:rPr>
                <w:rFonts w:ascii="Arial" w:cs="Arial" w:eastAsia="Arial" w:hAnsi="Arial"/>
                <w:sz w:val="16"/>
                <w:szCs w:val="16"/>
                <w:color w:val="auto"/>
              </w:rPr>
              <w:t>162.05%</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$2,287,811</w:t>
            </w:r>
          </w:p>
        </w:tc>
      </w:tr>
      <w:tr>
        <w:trPr>
          <w:trHeight w:val="243"/>
        </w:trPr>
        <w:tc>
          <w:tcPr>
            <w:tcW w:w="100" w:type="dxa"/>
            <w:vAlign w:val="bottom"/>
            <w:shd w:val="clear" w:color="auto" w:fill="CCEDD4"/>
          </w:tcPr>
          <w:p>
            <w:pPr>
              <w:spacing w:after="0"/>
              <w:rPr>
                <w:sz w:val="21"/>
                <w:szCs w:val="21"/>
                <w:color w:val="auto"/>
              </w:rPr>
            </w:pPr>
          </w:p>
        </w:tc>
        <w:tc>
          <w:tcPr>
            <w:tcW w:w="1280" w:type="dxa"/>
            <w:vAlign w:val="bottom"/>
            <w:shd w:val="clear" w:color="auto" w:fill="CCEDD4"/>
          </w:tcPr>
          <w:p>
            <w:pPr>
              <w:spacing w:after="0"/>
              <w:rPr>
                <w:sz w:val="20"/>
                <w:szCs w:val="20"/>
                <w:color w:val="auto"/>
              </w:rPr>
            </w:pPr>
            <w:r>
              <w:rPr>
                <w:rFonts w:ascii="Arial" w:cs="Arial" w:eastAsia="Arial" w:hAnsi="Arial"/>
                <w:sz w:val="16"/>
                <w:szCs w:val="16"/>
                <w:color w:val="auto"/>
              </w:rPr>
              <w:t>Liguori</w:t>
            </w:r>
          </w:p>
        </w:tc>
        <w:tc>
          <w:tcPr>
            <w:tcW w:w="360" w:type="dxa"/>
            <w:vAlign w:val="bottom"/>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DD4"/>
          </w:tcPr>
          <w:p>
            <w:pPr>
              <w:jc w:val="right"/>
              <w:ind w:right="100"/>
              <w:spacing w:after="0"/>
              <w:rPr>
                <w:sz w:val="20"/>
                <w:szCs w:val="20"/>
                <w:color w:val="auto"/>
              </w:rPr>
            </w:pPr>
            <w:r>
              <w:rPr>
                <w:rFonts w:ascii="Arial" w:cs="Arial" w:eastAsia="Arial" w:hAnsi="Arial"/>
                <w:sz w:val="16"/>
                <w:szCs w:val="16"/>
                <w:color w:val="auto"/>
              </w:rPr>
              <w:t>530,000</w:t>
            </w:r>
          </w:p>
        </w:tc>
        <w:tc>
          <w:tcPr>
            <w:tcW w:w="920" w:type="dxa"/>
            <w:vAlign w:val="bottom"/>
            <w:shd w:val="clear" w:color="auto" w:fill="CCEDD4"/>
          </w:tcPr>
          <w:p>
            <w:pPr>
              <w:jc w:val="right"/>
              <w:ind w:right="41"/>
              <w:spacing w:after="0"/>
              <w:rPr>
                <w:sz w:val="20"/>
                <w:szCs w:val="20"/>
                <w:color w:val="auto"/>
              </w:rPr>
            </w:pPr>
            <w:r>
              <w:rPr>
                <w:rFonts w:ascii="Arial" w:cs="Arial" w:eastAsia="Arial" w:hAnsi="Arial"/>
                <w:sz w:val="16"/>
                <w:szCs w:val="16"/>
                <w:color w:val="auto"/>
              </w:rPr>
              <w:t>177.57%</w:t>
            </w:r>
          </w:p>
        </w:tc>
        <w:tc>
          <w:tcPr>
            <w:tcW w:w="260" w:type="dxa"/>
            <w:vAlign w:val="bottom"/>
            <w:shd w:val="clear" w:color="auto" w:fill="CCEDD4"/>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56C271"/>
            </w:tcBorders>
            <w:gridSpan w:val="2"/>
            <w:shd w:val="clear" w:color="auto" w:fill="CCEDD4"/>
          </w:tcPr>
          <w:p>
            <w:pPr>
              <w:jc w:val="right"/>
              <w:ind w:right="120"/>
              <w:spacing w:after="0"/>
              <w:rPr>
                <w:sz w:val="20"/>
                <w:szCs w:val="20"/>
                <w:color w:val="auto"/>
              </w:rPr>
            </w:pPr>
            <w:r>
              <w:rPr>
                <w:rFonts w:ascii="Arial" w:cs="Arial" w:eastAsia="Arial" w:hAnsi="Arial"/>
                <w:sz w:val="16"/>
                <w:szCs w:val="16"/>
                <w:color w:val="auto"/>
              </w:rPr>
              <w:t>752,865</w:t>
            </w:r>
          </w:p>
        </w:tc>
        <w:tc>
          <w:tcPr>
            <w:tcW w:w="1160" w:type="dxa"/>
            <w:vAlign w:val="bottom"/>
            <w:gridSpan w:val="2"/>
            <w:shd w:val="clear" w:color="auto" w:fill="CCEDD4"/>
          </w:tcPr>
          <w:p>
            <w:pPr>
              <w:jc w:val="right"/>
              <w:ind w:right="244"/>
              <w:spacing w:after="0"/>
              <w:rPr>
                <w:sz w:val="20"/>
                <w:szCs w:val="20"/>
                <w:color w:val="auto"/>
              </w:rPr>
            </w:pPr>
            <w:r>
              <w:rPr>
                <w:rFonts w:ascii="Arial" w:cs="Arial" w:eastAsia="Arial" w:hAnsi="Arial"/>
                <w:sz w:val="16"/>
                <w:szCs w:val="16"/>
                <w:color w:val="auto"/>
              </w:rPr>
              <w:t>100%</w:t>
            </w:r>
          </w:p>
        </w:tc>
        <w:tc>
          <w:tcPr>
            <w:tcW w:w="900" w:type="dxa"/>
            <w:vAlign w:val="bottom"/>
            <w:gridSpan w:val="2"/>
            <w:shd w:val="clear" w:color="auto" w:fill="CCEDD4"/>
          </w:tcPr>
          <w:p>
            <w:pPr>
              <w:jc w:val="right"/>
              <w:spacing w:after="0"/>
              <w:rPr>
                <w:sz w:val="20"/>
                <w:szCs w:val="20"/>
                <w:color w:val="auto"/>
              </w:rPr>
            </w:pPr>
            <w:r>
              <w:rPr>
                <w:rFonts w:ascii="Arial" w:cs="Arial" w:eastAsia="Arial" w:hAnsi="Arial"/>
                <w:sz w:val="16"/>
                <w:szCs w:val="16"/>
                <w:color w:val="auto"/>
              </w:rPr>
              <w:t>$106,000</w:t>
            </w:r>
          </w:p>
        </w:tc>
        <w:tc>
          <w:tcPr>
            <w:tcW w:w="120" w:type="dxa"/>
            <w:vAlign w:val="bottom"/>
            <w:tcBorders>
              <w:right w:val="single" w:sz="8" w:color="56C271"/>
            </w:tcBorders>
            <w:shd w:val="clear" w:color="auto" w:fill="CCEDD4"/>
          </w:tcPr>
          <w:p>
            <w:pPr>
              <w:spacing w:after="0"/>
              <w:rPr>
                <w:sz w:val="21"/>
                <w:szCs w:val="21"/>
                <w:color w:val="auto"/>
              </w:rPr>
            </w:pPr>
          </w:p>
        </w:tc>
        <w:tc>
          <w:tcPr>
            <w:tcW w:w="1000" w:type="dxa"/>
            <w:vAlign w:val="bottom"/>
            <w:gridSpan w:val="2"/>
            <w:shd w:val="clear" w:color="auto" w:fill="CCEDD4"/>
          </w:tcPr>
          <w:p>
            <w:pPr>
              <w:jc w:val="right"/>
              <w:ind w:right="45"/>
              <w:spacing w:after="0"/>
              <w:rPr>
                <w:sz w:val="20"/>
                <w:szCs w:val="20"/>
                <w:color w:val="auto"/>
              </w:rPr>
            </w:pPr>
            <w:r>
              <w:rPr>
                <w:rFonts w:ascii="Arial" w:cs="Arial" w:eastAsia="Arial" w:hAnsi="Arial"/>
                <w:sz w:val="16"/>
                <w:szCs w:val="16"/>
                <w:color w:val="auto"/>
              </w:rPr>
              <w:t>162.05%</w:t>
            </w:r>
          </w:p>
        </w:tc>
        <w:tc>
          <w:tcPr>
            <w:tcW w:w="280" w:type="dxa"/>
            <w:vAlign w:val="bottom"/>
            <w:shd w:val="clear" w:color="auto" w:fill="CCEDD4"/>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DD4"/>
          </w:tcPr>
          <w:p>
            <w:pPr>
              <w:jc w:val="right"/>
              <w:ind w:right="100"/>
              <w:spacing w:after="0"/>
              <w:rPr>
                <w:sz w:val="20"/>
                <w:szCs w:val="20"/>
                <w:color w:val="auto"/>
              </w:rPr>
            </w:pPr>
            <w:r>
              <w:rPr>
                <w:rFonts w:ascii="Arial" w:cs="Arial" w:eastAsia="Arial" w:hAnsi="Arial"/>
                <w:sz w:val="16"/>
                <w:szCs w:val="16"/>
                <w:color w:val="auto"/>
              </w:rPr>
              <w:t>858,865</w:t>
            </w:r>
          </w:p>
        </w:tc>
      </w:tr>
      <w:tr>
        <w:trPr>
          <w:trHeight w:val="257"/>
        </w:trPr>
        <w:tc>
          <w:tcPr>
            <w:tcW w:w="100" w:type="dxa"/>
            <w:vAlign w:val="bottom"/>
          </w:tcPr>
          <w:p>
            <w:pPr>
              <w:spacing w:after="0"/>
              <w:rPr>
                <w:sz w:val="22"/>
                <w:szCs w:val="22"/>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Arnold</w:t>
            </w:r>
            <w:r>
              <w:rPr>
                <w:rFonts w:ascii="Arial" w:cs="Arial" w:eastAsia="Arial" w:hAnsi="Arial"/>
                <w:sz w:val="19"/>
                <w:szCs w:val="19"/>
                <w:color w:val="auto"/>
                <w:vertAlign w:val="superscript"/>
              </w:rPr>
              <w:t>(2)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271,000</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177.57%</w:t>
            </w:r>
          </w:p>
        </w:tc>
        <w:tc>
          <w:tcPr>
            <w:tcW w:w="26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56C271"/>
            </w:tcBorders>
            <w:gridSpan w:val="2"/>
          </w:tcPr>
          <w:p>
            <w:pPr>
              <w:jc w:val="right"/>
              <w:ind w:right="120"/>
              <w:spacing w:after="0"/>
              <w:rPr>
                <w:sz w:val="20"/>
                <w:szCs w:val="20"/>
                <w:color w:val="auto"/>
              </w:rPr>
            </w:pPr>
            <w:r>
              <w:rPr>
                <w:rFonts w:ascii="Arial" w:cs="Arial" w:eastAsia="Arial" w:hAnsi="Arial"/>
                <w:sz w:val="16"/>
                <w:szCs w:val="16"/>
                <w:color w:val="auto"/>
              </w:rPr>
              <w:t>386,108</w:t>
            </w:r>
          </w:p>
        </w:tc>
        <w:tc>
          <w:tcPr>
            <w:tcW w:w="1160" w:type="dxa"/>
            <w:vAlign w:val="bottom"/>
            <w:gridSpan w:val="2"/>
          </w:tcPr>
          <w:p>
            <w:pPr>
              <w:jc w:val="right"/>
              <w:ind w:right="244"/>
              <w:spacing w:after="0"/>
              <w:rPr>
                <w:sz w:val="20"/>
                <w:szCs w:val="20"/>
                <w:color w:val="auto"/>
              </w:rPr>
            </w:pPr>
            <w:r>
              <w:rPr>
                <w:rFonts w:ascii="Arial" w:cs="Arial" w:eastAsia="Arial" w:hAnsi="Arial"/>
                <w:sz w:val="16"/>
                <w:szCs w:val="16"/>
                <w:color w:val="auto"/>
              </w:rPr>
              <w:t>100%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54,362</w:t>
            </w:r>
          </w:p>
        </w:tc>
        <w:tc>
          <w:tcPr>
            <w:tcW w:w="120" w:type="dxa"/>
            <w:vAlign w:val="bottom"/>
            <w:tcBorders>
              <w:right w:val="single" w:sz="8" w:color="56C271"/>
            </w:tcBorders>
          </w:tcPr>
          <w:p>
            <w:pPr>
              <w:spacing w:after="0"/>
              <w:rPr>
                <w:sz w:val="22"/>
                <w:szCs w:val="22"/>
                <w:color w:val="auto"/>
              </w:rPr>
            </w:pPr>
          </w:p>
        </w:tc>
        <w:tc>
          <w:tcPr>
            <w:tcW w:w="1000" w:type="dxa"/>
            <w:vAlign w:val="bottom"/>
            <w:gridSpan w:val="2"/>
          </w:tcPr>
          <w:p>
            <w:pPr>
              <w:jc w:val="right"/>
              <w:ind w:right="45"/>
              <w:spacing w:after="0"/>
              <w:rPr>
                <w:sz w:val="20"/>
                <w:szCs w:val="20"/>
                <w:color w:val="auto"/>
              </w:rPr>
            </w:pPr>
            <w:r>
              <w:rPr>
                <w:rFonts w:ascii="Arial" w:cs="Arial" w:eastAsia="Arial" w:hAnsi="Arial"/>
                <w:sz w:val="16"/>
                <w:szCs w:val="16"/>
                <w:color w:val="auto"/>
              </w:rPr>
              <w:t>162.05%</w:t>
            </w:r>
          </w:p>
        </w:tc>
        <w:tc>
          <w:tcPr>
            <w:tcW w:w="2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440,470</w:t>
            </w:r>
          </w:p>
        </w:tc>
      </w:tr>
      <w:tr>
        <w:trPr>
          <w:trHeight w:val="256"/>
        </w:trPr>
        <w:tc>
          <w:tcPr>
            <w:tcW w:w="100" w:type="dxa"/>
            <w:vAlign w:val="bottom"/>
            <w:shd w:val="clear" w:color="auto" w:fill="CCEDD4"/>
          </w:tcPr>
          <w:p>
            <w:pPr>
              <w:spacing w:after="0"/>
              <w:rPr>
                <w:sz w:val="22"/>
                <w:szCs w:val="22"/>
                <w:color w:val="auto"/>
              </w:rPr>
            </w:pPr>
          </w:p>
        </w:tc>
        <w:tc>
          <w:tcPr>
            <w:tcW w:w="1280" w:type="dxa"/>
            <w:vAlign w:val="bottom"/>
            <w:shd w:val="clear" w:color="auto" w:fill="CCEDD4"/>
          </w:tcPr>
          <w:p>
            <w:pPr>
              <w:spacing w:after="0"/>
              <w:rPr>
                <w:sz w:val="20"/>
                <w:szCs w:val="20"/>
                <w:color w:val="auto"/>
              </w:rPr>
            </w:pPr>
            <w:r>
              <w:rPr>
                <w:rFonts w:ascii="Arial" w:cs="Arial" w:eastAsia="Arial" w:hAnsi="Arial"/>
                <w:sz w:val="16"/>
                <w:szCs w:val="16"/>
                <w:color w:val="auto"/>
              </w:rPr>
              <w:t>Chan</w:t>
            </w:r>
            <w:r>
              <w:rPr>
                <w:rFonts w:ascii="Arial" w:cs="Arial" w:eastAsia="Arial" w:hAnsi="Arial"/>
                <w:sz w:val="19"/>
                <w:szCs w:val="19"/>
                <w:color w:val="auto"/>
                <w:vertAlign w:val="superscript"/>
              </w:rPr>
              <w:t>(3)</w:t>
            </w:r>
          </w:p>
        </w:tc>
        <w:tc>
          <w:tcPr>
            <w:tcW w:w="360" w:type="dxa"/>
            <w:vAlign w:val="bottom"/>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DD4"/>
          </w:tcPr>
          <w:p>
            <w:pPr>
              <w:jc w:val="right"/>
              <w:ind w:right="100"/>
              <w:spacing w:after="0"/>
              <w:rPr>
                <w:sz w:val="20"/>
                <w:szCs w:val="20"/>
                <w:color w:val="auto"/>
              </w:rPr>
            </w:pPr>
            <w:r>
              <w:rPr>
                <w:rFonts w:ascii="Arial" w:cs="Arial" w:eastAsia="Arial" w:hAnsi="Arial"/>
                <w:sz w:val="16"/>
                <w:szCs w:val="16"/>
                <w:color w:val="auto"/>
              </w:rPr>
              <w:t>155,000</w:t>
            </w:r>
          </w:p>
        </w:tc>
        <w:tc>
          <w:tcPr>
            <w:tcW w:w="920" w:type="dxa"/>
            <w:vAlign w:val="bottom"/>
            <w:shd w:val="clear" w:color="auto" w:fill="CCEDD4"/>
          </w:tcPr>
          <w:p>
            <w:pPr>
              <w:jc w:val="right"/>
              <w:ind w:right="41"/>
              <w:spacing w:after="0"/>
              <w:rPr>
                <w:sz w:val="20"/>
                <w:szCs w:val="20"/>
                <w:color w:val="auto"/>
              </w:rPr>
            </w:pPr>
            <w:r>
              <w:rPr>
                <w:rFonts w:ascii="Arial" w:cs="Arial" w:eastAsia="Arial" w:hAnsi="Arial"/>
                <w:sz w:val="16"/>
                <w:szCs w:val="16"/>
                <w:color w:val="auto"/>
              </w:rPr>
              <w:t>200.00%</w:t>
            </w:r>
          </w:p>
        </w:tc>
        <w:tc>
          <w:tcPr>
            <w:tcW w:w="260" w:type="dxa"/>
            <w:vAlign w:val="bottom"/>
            <w:shd w:val="clear" w:color="auto" w:fill="CCEDD4"/>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56C271"/>
            </w:tcBorders>
            <w:gridSpan w:val="2"/>
            <w:shd w:val="clear" w:color="auto" w:fill="CCEDD4"/>
          </w:tcPr>
          <w:p>
            <w:pPr>
              <w:jc w:val="right"/>
              <w:ind w:right="120"/>
              <w:spacing w:after="0"/>
              <w:rPr>
                <w:sz w:val="20"/>
                <w:szCs w:val="20"/>
                <w:color w:val="auto"/>
              </w:rPr>
            </w:pPr>
            <w:r>
              <w:rPr>
                <w:rFonts w:ascii="Arial" w:cs="Arial" w:eastAsia="Arial" w:hAnsi="Arial"/>
                <w:sz w:val="16"/>
                <w:szCs w:val="16"/>
                <w:color w:val="auto"/>
              </w:rPr>
              <w:t>310,000</w:t>
            </w:r>
          </w:p>
        </w:tc>
        <w:tc>
          <w:tcPr>
            <w:tcW w:w="80" w:type="dxa"/>
            <w:vAlign w:val="bottom"/>
            <w:shd w:val="clear" w:color="auto" w:fill="CCEDD4"/>
          </w:tcPr>
          <w:p>
            <w:pPr>
              <w:spacing w:after="0"/>
              <w:rPr>
                <w:sz w:val="22"/>
                <w:szCs w:val="22"/>
                <w:color w:val="auto"/>
              </w:rPr>
            </w:pPr>
          </w:p>
        </w:tc>
        <w:tc>
          <w:tcPr>
            <w:tcW w:w="1080" w:type="dxa"/>
            <w:vAlign w:val="bottom"/>
            <w:shd w:val="clear" w:color="auto" w:fill="CCEDD4"/>
          </w:tcPr>
          <w:p>
            <w:pPr>
              <w:jc w:val="right"/>
              <w:ind w:right="384"/>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DD4"/>
          </w:tcPr>
          <w:p>
            <w:pPr>
              <w:spacing w:after="0"/>
              <w:rPr>
                <w:sz w:val="22"/>
                <w:szCs w:val="22"/>
                <w:color w:val="auto"/>
              </w:rPr>
            </w:pPr>
          </w:p>
        </w:tc>
        <w:tc>
          <w:tcPr>
            <w:tcW w:w="740" w:type="dxa"/>
            <w:vAlign w:val="bottom"/>
            <w:tcBorders>
              <w:right w:val="single" w:sz="8" w:color="56C271"/>
            </w:tcBorders>
            <w:gridSpan w:val="2"/>
            <w:shd w:val="clear" w:color="auto" w:fill="CCEDD4"/>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DD4"/>
          </w:tcPr>
          <w:p>
            <w:pPr>
              <w:jc w:val="right"/>
              <w:ind w:right="45"/>
              <w:spacing w:after="0"/>
              <w:rPr>
                <w:sz w:val="20"/>
                <w:szCs w:val="20"/>
                <w:color w:val="auto"/>
              </w:rPr>
            </w:pPr>
            <w:r>
              <w:rPr>
                <w:rFonts w:ascii="Arial" w:cs="Arial" w:eastAsia="Arial" w:hAnsi="Arial"/>
                <w:sz w:val="16"/>
                <w:szCs w:val="16"/>
                <w:color w:val="auto"/>
              </w:rPr>
              <w:t>200.00%</w:t>
            </w:r>
          </w:p>
        </w:tc>
        <w:tc>
          <w:tcPr>
            <w:tcW w:w="280" w:type="dxa"/>
            <w:vAlign w:val="bottom"/>
            <w:shd w:val="clear" w:color="auto" w:fill="CCEDD4"/>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DD4"/>
          </w:tcPr>
          <w:p>
            <w:pPr>
              <w:jc w:val="right"/>
              <w:ind w:right="100"/>
              <w:spacing w:after="0"/>
              <w:rPr>
                <w:sz w:val="20"/>
                <w:szCs w:val="20"/>
                <w:color w:val="auto"/>
              </w:rPr>
            </w:pPr>
            <w:r>
              <w:rPr>
                <w:rFonts w:ascii="Arial" w:cs="Arial" w:eastAsia="Arial" w:hAnsi="Arial"/>
                <w:sz w:val="16"/>
                <w:szCs w:val="16"/>
                <w:color w:val="auto"/>
              </w:rPr>
              <w:t>310,000</w:t>
            </w:r>
          </w:p>
        </w:tc>
      </w:tr>
      <w:tr>
        <w:trPr>
          <w:trHeight w:val="257"/>
        </w:trPr>
        <w:tc>
          <w:tcPr>
            <w:tcW w:w="100" w:type="dxa"/>
            <w:vAlign w:val="bottom"/>
          </w:tcPr>
          <w:p>
            <w:pPr>
              <w:spacing w:after="0"/>
              <w:rPr>
                <w:sz w:val="22"/>
                <w:szCs w:val="22"/>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McCoy</w:t>
            </w:r>
            <w:r>
              <w:rPr>
                <w:rFonts w:ascii="Arial" w:cs="Arial" w:eastAsia="Arial" w:hAnsi="Arial"/>
                <w:sz w:val="19"/>
                <w:szCs w:val="19"/>
                <w:color w:val="auto"/>
                <w:vertAlign w:val="superscript"/>
              </w:rPr>
              <w:t>(4)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269,812</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177.57%</w:t>
            </w:r>
          </w:p>
        </w:tc>
        <w:tc>
          <w:tcPr>
            <w:tcW w:w="26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56C271"/>
            </w:tcBorders>
            <w:gridSpan w:val="2"/>
          </w:tcPr>
          <w:p>
            <w:pPr>
              <w:jc w:val="right"/>
              <w:ind w:right="120"/>
              <w:spacing w:after="0"/>
              <w:rPr>
                <w:sz w:val="20"/>
                <w:szCs w:val="20"/>
                <w:color w:val="auto"/>
              </w:rPr>
            </w:pPr>
            <w:r>
              <w:rPr>
                <w:rFonts w:ascii="Arial" w:cs="Arial" w:eastAsia="Arial" w:hAnsi="Arial"/>
                <w:sz w:val="16"/>
                <w:szCs w:val="16"/>
                <w:color w:val="auto"/>
              </w:rPr>
              <w:t>383,268</w:t>
            </w:r>
          </w:p>
        </w:tc>
        <w:tc>
          <w:tcPr>
            <w:tcW w:w="1160" w:type="dxa"/>
            <w:vAlign w:val="bottom"/>
            <w:gridSpan w:val="2"/>
          </w:tcPr>
          <w:p>
            <w:pPr>
              <w:jc w:val="right"/>
              <w:ind w:right="244"/>
              <w:spacing w:after="0"/>
              <w:rPr>
                <w:sz w:val="20"/>
                <w:szCs w:val="20"/>
                <w:color w:val="auto"/>
              </w:rPr>
            </w:pPr>
            <w:r>
              <w:rPr>
                <w:rFonts w:ascii="Arial" w:cs="Arial" w:eastAsia="Arial" w:hAnsi="Arial"/>
                <w:sz w:val="16"/>
                <w:szCs w:val="16"/>
                <w:color w:val="auto"/>
              </w:rPr>
              <w:t>100%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53,962</w:t>
            </w:r>
          </w:p>
        </w:tc>
        <w:tc>
          <w:tcPr>
            <w:tcW w:w="120" w:type="dxa"/>
            <w:vAlign w:val="bottom"/>
            <w:tcBorders>
              <w:right w:val="single" w:sz="8" w:color="56C271"/>
            </w:tcBorders>
          </w:tcPr>
          <w:p>
            <w:pPr>
              <w:spacing w:after="0"/>
              <w:rPr>
                <w:sz w:val="22"/>
                <w:szCs w:val="22"/>
                <w:color w:val="auto"/>
              </w:rPr>
            </w:pPr>
          </w:p>
        </w:tc>
        <w:tc>
          <w:tcPr>
            <w:tcW w:w="1000" w:type="dxa"/>
            <w:vAlign w:val="bottom"/>
            <w:gridSpan w:val="2"/>
          </w:tcPr>
          <w:p>
            <w:pPr>
              <w:jc w:val="right"/>
              <w:ind w:right="45"/>
              <w:spacing w:after="0"/>
              <w:rPr>
                <w:sz w:val="20"/>
                <w:szCs w:val="20"/>
                <w:color w:val="auto"/>
              </w:rPr>
            </w:pPr>
            <w:r>
              <w:rPr>
                <w:rFonts w:ascii="Arial" w:cs="Arial" w:eastAsia="Arial" w:hAnsi="Arial"/>
                <w:sz w:val="16"/>
                <w:szCs w:val="16"/>
                <w:color w:val="auto"/>
              </w:rPr>
              <w:t>162.05%</w:t>
            </w:r>
          </w:p>
        </w:tc>
        <w:tc>
          <w:tcPr>
            <w:tcW w:w="2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437,230</w:t>
            </w:r>
          </w:p>
        </w:tc>
      </w:tr>
      <w:tr>
        <w:trPr>
          <w:trHeight w:val="257"/>
        </w:trPr>
        <w:tc>
          <w:tcPr>
            <w:tcW w:w="100" w:type="dxa"/>
            <w:vAlign w:val="bottom"/>
            <w:shd w:val="clear" w:color="auto" w:fill="CCEDD4"/>
          </w:tcPr>
          <w:p>
            <w:pPr>
              <w:spacing w:after="0"/>
              <w:rPr>
                <w:sz w:val="22"/>
                <w:szCs w:val="22"/>
                <w:color w:val="auto"/>
              </w:rPr>
            </w:pPr>
          </w:p>
        </w:tc>
        <w:tc>
          <w:tcPr>
            <w:tcW w:w="1280" w:type="dxa"/>
            <w:vAlign w:val="bottom"/>
            <w:shd w:val="clear" w:color="auto" w:fill="CCEDD4"/>
          </w:tcPr>
          <w:p>
            <w:pPr>
              <w:spacing w:after="0"/>
              <w:rPr>
                <w:sz w:val="20"/>
                <w:szCs w:val="20"/>
                <w:color w:val="auto"/>
              </w:rPr>
            </w:pPr>
            <w:r>
              <w:rPr>
                <w:rFonts w:ascii="Arial" w:cs="Arial" w:eastAsia="Arial" w:hAnsi="Arial"/>
                <w:sz w:val="16"/>
                <w:szCs w:val="16"/>
                <w:color w:val="auto"/>
              </w:rPr>
              <w:t>Amelio</w:t>
            </w:r>
            <w:r>
              <w:rPr>
                <w:rFonts w:ascii="Arial" w:cs="Arial" w:eastAsia="Arial" w:hAnsi="Arial"/>
                <w:sz w:val="19"/>
                <w:szCs w:val="19"/>
                <w:color w:val="auto"/>
                <w:vertAlign w:val="superscript"/>
              </w:rPr>
              <w:t>(5)</w:t>
            </w:r>
          </w:p>
        </w:tc>
        <w:tc>
          <w:tcPr>
            <w:tcW w:w="360" w:type="dxa"/>
            <w:vAlign w:val="bottom"/>
            <w:shd w:val="clear" w:color="auto" w:fill="CCEDD4"/>
          </w:tcPr>
          <w:p>
            <w:pPr>
              <w:spacing w:after="0"/>
              <w:rPr>
                <w:sz w:val="22"/>
                <w:szCs w:val="22"/>
                <w:color w:val="auto"/>
              </w:rPr>
            </w:pPr>
          </w:p>
        </w:tc>
        <w:tc>
          <w:tcPr>
            <w:tcW w:w="840" w:type="dxa"/>
            <w:vAlign w:val="bottom"/>
            <w:shd w:val="clear" w:color="auto" w:fill="CCEDD4"/>
          </w:tcPr>
          <w:p>
            <w:pPr>
              <w:jc w:val="right"/>
              <w:ind w:right="100"/>
              <w:spacing w:after="0"/>
              <w:rPr>
                <w:sz w:val="20"/>
                <w:szCs w:val="20"/>
                <w:color w:val="auto"/>
              </w:rPr>
            </w:pPr>
            <w:r>
              <w:rPr>
                <w:rFonts w:ascii="Arial" w:cs="Arial" w:eastAsia="Arial" w:hAnsi="Arial"/>
                <w:sz w:val="16"/>
                <w:szCs w:val="16"/>
                <w:color w:val="auto"/>
              </w:rPr>
              <w:t>N/A</w:t>
            </w:r>
          </w:p>
        </w:tc>
        <w:tc>
          <w:tcPr>
            <w:tcW w:w="920" w:type="dxa"/>
            <w:vAlign w:val="bottom"/>
            <w:shd w:val="clear" w:color="auto" w:fill="CCEDD4"/>
          </w:tcPr>
          <w:p>
            <w:pPr>
              <w:jc w:val="right"/>
              <w:ind w:right="61"/>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DD4"/>
          </w:tcPr>
          <w:p>
            <w:pPr>
              <w:spacing w:after="0"/>
              <w:rPr>
                <w:sz w:val="22"/>
                <w:szCs w:val="22"/>
                <w:color w:val="auto"/>
              </w:rPr>
            </w:pPr>
          </w:p>
        </w:tc>
        <w:tc>
          <w:tcPr>
            <w:tcW w:w="780" w:type="dxa"/>
            <w:vAlign w:val="bottom"/>
            <w:tcBorders>
              <w:right w:val="single" w:sz="8" w:color="56C271"/>
            </w:tcBorders>
            <w:gridSpan w:val="2"/>
            <w:shd w:val="clear" w:color="auto" w:fill="CCEDD4"/>
          </w:tcPr>
          <w:p>
            <w:pPr>
              <w:jc w:val="right"/>
              <w:ind w:right="12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DD4"/>
          </w:tcPr>
          <w:p>
            <w:pPr>
              <w:spacing w:after="0"/>
              <w:rPr>
                <w:sz w:val="22"/>
                <w:szCs w:val="22"/>
                <w:color w:val="auto"/>
              </w:rPr>
            </w:pPr>
          </w:p>
        </w:tc>
        <w:tc>
          <w:tcPr>
            <w:tcW w:w="1080" w:type="dxa"/>
            <w:vAlign w:val="bottom"/>
            <w:shd w:val="clear" w:color="auto" w:fill="CCEDD4"/>
          </w:tcPr>
          <w:p>
            <w:pPr>
              <w:jc w:val="right"/>
              <w:ind w:right="324"/>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DD4"/>
          </w:tcPr>
          <w:p>
            <w:pPr>
              <w:spacing w:after="0"/>
              <w:rPr>
                <w:sz w:val="22"/>
                <w:szCs w:val="22"/>
                <w:color w:val="auto"/>
              </w:rPr>
            </w:pPr>
          </w:p>
        </w:tc>
        <w:tc>
          <w:tcPr>
            <w:tcW w:w="740" w:type="dxa"/>
            <w:vAlign w:val="bottom"/>
            <w:tcBorders>
              <w:right w:val="single" w:sz="8" w:color="56C271"/>
            </w:tcBorders>
            <w:gridSpan w:val="2"/>
            <w:shd w:val="clear" w:color="auto" w:fill="CCEDD4"/>
          </w:tcPr>
          <w:p>
            <w:pPr>
              <w:ind w:left="28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DD4"/>
          </w:tcPr>
          <w:p>
            <w:pPr>
              <w:spacing w:after="0"/>
              <w:rPr>
                <w:sz w:val="22"/>
                <w:szCs w:val="22"/>
                <w:color w:val="auto"/>
              </w:rPr>
            </w:pPr>
          </w:p>
        </w:tc>
        <w:tc>
          <w:tcPr>
            <w:tcW w:w="920" w:type="dxa"/>
            <w:vAlign w:val="bottom"/>
            <w:shd w:val="clear" w:color="auto" w:fill="CCEDD4"/>
          </w:tcPr>
          <w:p>
            <w:pPr>
              <w:jc w:val="right"/>
              <w:ind w:right="85"/>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DD4"/>
          </w:tcPr>
          <w:p>
            <w:pPr>
              <w:spacing w:after="0"/>
              <w:rPr>
                <w:sz w:val="22"/>
                <w:szCs w:val="22"/>
                <w:color w:val="auto"/>
              </w:rPr>
            </w:pPr>
          </w:p>
        </w:tc>
        <w:tc>
          <w:tcPr>
            <w:tcW w:w="760" w:type="dxa"/>
            <w:vAlign w:val="bottom"/>
            <w:gridSpan w:val="2"/>
            <w:shd w:val="clear" w:color="auto" w:fill="CCEDD4"/>
          </w:tcPr>
          <w:p>
            <w:pPr>
              <w:jc w:val="right"/>
              <w:ind w:right="100"/>
              <w:spacing w:after="0"/>
              <w:rPr>
                <w:sz w:val="20"/>
                <w:szCs w:val="20"/>
                <w:color w:val="auto"/>
              </w:rPr>
            </w:pPr>
            <w:r>
              <w:rPr>
                <w:rFonts w:ascii="Arial" w:cs="Arial" w:eastAsia="Arial" w:hAnsi="Arial"/>
                <w:sz w:val="16"/>
                <w:szCs w:val="16"/>
                <w:color w:val="auto"/>
              </w:rPr>
              <w:t>N/A</w:t>
            </w:r>
          </w:p>
        </w:tc>
      </w:tr>
      <w:tr>
        <w:trPr>
          <w:trHeight w:val="256"/>
        </w:trPr>
        <w:tc>
          <w:tcPr>
            <w:tcW w:w="100" w:type="dxa"/>
            <w:vAlign w:val="bottom"/>
          </w:tcPr>
          <w:p>
            <w:pPr>
              <w:spacing w:after="0"/>
              <w:rPr>
                <w:sz w:val="22"/>
                <w:szCs w:val="22"/>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Bartolotta</w:t>
            </w:r>
            <w:r>
              <w:rPr>
                <w:rFonts w:ascii="Arial" w:cs="Arial" w:eastAsia="Arial" w:hAnsi="Arial"/>
                <w:sz w:val="19"/>
                <w:szCs w:val="19"/>
                <w:color w:val="auto"/>
                <w:vertAlign w:val="superscript"/>
              </w:rPr>
              <w:t>(6)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145,283</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177.57%</w:t>
            </w:r>
          </w:p>
        </w:tc>
        <w:tc>
          <w:tcPr>
            <w:tcW w:w="26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56C271"/>
            </w:tcBorders>
            <w:gridSpan w:val="2"/>
          </w:tcPr>
          <w:p>
            <w:pPr>
              <w:jc w:val="right"/>
              <w:ind w:right="120"/>
              <w:spacing w:after="0"/>
              <w:rPr>
                <w:sz w:val="20"/>
                <w:szCs w:val="20"/>
                <w:color w:val="auto"/>
              </w:rPr>
            </w:pPr>
            <w:r>
              <w:rPr>
                <w:rFonts w:ascii="Arial" w:cs="Arial" w:eastAsia="Arial" w:hAnsi="Arial"/>
                <w:sz w:val="16"/>
                <w:szCs w:val="16"/>
                <w:color w:val="auto"/>
              </w:rPr>
              <w:t>206,375</w:t>
            </w:r>
          </w:p>
        </w:tc>
        <w:tc>
          <w:tcPr>
            <w:tcW w:w="1160" w:type="dxa"/>
            <w:vAlign w:val="bottom"/>
            <w:gridSpan w:val="2"/>
          </w:tcPr>
          <w:p>
            <w:pPr>
              <w:jc w:val="right"/>
              <w:ind w:right="244"/>
              <w:spacing w:after="0"/>
              <w:rPr>
                <w:sz w:val="20"/>
                <w:szCs w:val="20"/>
                <w:color w:val="auto"/>
              </w:rPr>
            </w:pPr>
            <w:r>
              <w:rPr>
                <w:rFonts w:ascii="Arial" w:cs="Arial" w:eastAsia="Arial" w:hAnsi="Arial"/>
                <w:sz w:val="16"/>
                <w:szCs w:val="16"/>
                <w:color w:val="auto"/>
              </w:rPr>
              <w:t>100%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29,057</w:t>
            </w:r>
          </w:p>
        </w:tc>
        <w:tc>
          <w:tcPr>
            <w:tcW w:w="120" w:type="dxa"/>
            <w:vAlign w:val="bottom"/>
            <w:tcBorders>
              <w:right w:val="single" w:sz="8" w:color="56C271"/>
            </w:tcBorders>
          </w:tcPr>
          <w:p>
            <w:pPr>
              <w:spacing w:after="0"/>
              <w:rPr>
                <w:sz w:val="22"/>
                <w:szCs w:val="22"/>
                <w:color w:val="auto"/>
              </w:rPr>
            </w:pPr>
          </w:p>
        </w:tc>
        <w:tc>
          <w:tcPr>
            <w:tcW w:w="1000" w:type="dxa"/>
            <w:vAlign w:val="bottom"/>
            <w:gridSpan w:val="2"/>
          </w:tcPr>
          <w:p>
            <w:pPr>
              <w:jc w:val="right"/>
              <w:ind w:right="45"/>
              <w:spacing w:after="0"/>
              <w:rPr>
                <w:sz w:val="20"/>
                <w:szCs w:val="20"/>
                <w:color w:val="auto"/>
              </w:rPr>
            </w:pPr>
            <w:r>
              <w:rPr>
                <w:rFonts w:ascii="Arial" w:cs="Arial" w:eastAsia="Arial" w:hAnsi="Arial"/>
                <w:sz w:val="16"/>
                <w:szCs w:val="16"/>
                <w:color w:val="auto"/>
              </w:rPr>
              <w:t>162.05%</w:t>
            </w:r>
          </w:p>
        </w:tc>
        <w:tc>
          <w:tcPr>
            <w:tcW w:w="2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235,432</w:t>
            </w:r>
          </w:p>
        </w:tc>
      </w:tr>
      <w:tr>
        <w:trPr>
          <w:trHeight w:val="264"/>
        </w:trPr>
        <w:tc>
          <w:tcPr>
            <w:tcW w:w="100" w:type="dxa"/>
            <w:vAlign w:val="bottom"/>
            <w:tcBorders>
              <w:bottom w:val="single" w:sz="8" w:color="CCEDD4"/>
            </w:tcBorders>
            <w:shd w:val="clear" w:color="auto" w:fill="CCEDD4"/>
          </w:tcPr>
          <w:p>
            <w:pPr>
              <w:spacing w:after="0"/>
              <w:rPr>
                <w:sz w:val="22"/>
                <w:szCs w:val="22"/>
                <w:color w:val="auto"/>
              </w:rPr>
            </w:pPr>
          </w:p>
        </w:tc>
        <w:tc>
          <w:tcPr>
            <w:tcW w:w="128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Miller</w:t>
            </w:r>
          </w:p>
        </w:tc>
        <w:tc>
          <w:tcPr>
            <w:tcW w:w="3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DD4"/>
            </w:tcBorders>
            <w:shd w:val="clear" w:color="auto" w:fill="CCEDD4"/>
          </w:tcPr>
          <w:p>
            <w:pPr>
              <w:jc w:val="right"/>
              <w:ind w:right="100"/>
              <w:spacing w:after="0"/>
              <w:rPr>
                <w:sz w:val="20"/>
                <w:szCs w:val="20"/>
                <w:color w:val="auto"/>
              </w:rPr>
            </w:pPr>
            <w:r>
              <w:rPr>
                <w:rFonts w:ascii="Arial" w:cs="Arial" w:eastAsia="Arial" w:hAnsi="Arial"/>
                <w:sz w:val="16"/>
                <w:szCs w:val="16"/>
                <w:color w:val="auto"/>
              </w:rPr>
              <w:t>410,000</w:t>
            </w:r>
          </w:p>
        </w:tc>
        <w:tc>
          <w:tcPr>
            <w:tcW w:w="920" w:type="dxa"/>
            <w:vAlign w:val="bottom"/>
            <w:tcBorders>
              <w:bottom w:val="single" w:sz="8" w:color="CCEDD4"/>
            </w:tcBorders>
            <w:shd w:val="clear" w:color="auto" w:fill="CCEDD4"/>
          </w:tcPr>
          <w:p>
            <w:pPr>
              <w:jc w:val="right"/>
              <w:ind w:right="41"/>
              <w:spacing w:after="0"/>
              <w:rPr>
                <w:sz w:val="20"/>
                <w:szCs w:val="20"/>
                <w:color w:val="auto"/>
              </w:rPr>
            </w:pPr>
            <w:r>
              <w:rPr>
                <w:rFonts w:ascii="Arial" w:cs="Arial" w:eastAsia="Arial" w:hAnsi="Arial"/>
                <w:sz w:val="16"/>
                <w:szCs w:val="16"/>
                <w:color w:val="auto"/>
              </w:rPr>
              <w:t>177.57%</w:t>
            </w:r>
          </w:p>
        </w:tc>
        <w:tc>
          <w:tcPr>
            <w:tcW w:w="260" w:type="dxa"/>
            <w:vAlign w:val="bottom"/>
            <w:tcBorders>
              <w:bottom w:val="single" w:sz="8" w:color="CCEDD4"/>
            </w:tcBorders>
            <w:shd w:val="clear" w:color="auto" w:fill="CCEDD4"/>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DD4"/>
              <w:right w:val="single" w:sz="8" w:color="56C271"/>
            </w:tcBorders>
            <w:gridSpan w:val="2"/>
            <w:shd w:val="clear" w:color="auto" w:fill="CCEDD4"/>
          </w:tcPr>
          <w:p>
            <w:pPr>
              <w:jc w:val="right"/>
              <w:ind w:right="120"/>
              <w:spacing w:after="0"/>
              <w:rPr>
                <w:sz w:val="20"/>
                <w:szCs w:val="20"/>
                <w:color w:val="auto"/>
              </w:rPr>
            </w:pPr>
            <w:r>
              <w:rPr>
                <w:rFonts w:ascii="Arial" w:cs="Arial" w:eastAsia="Arial" w:hAnsi="Arial"/>
                <w:sz w:val="16"/>
                <w:szCs w:val="16"/>
                <w:color w:val="auto"/>
              </w:rPr>
              <w:t>582,405</w:t>
            </w:r>
          </w:p>
        </w:tc>
        <w:tc>
          <w:tcPr>
            <w:tcW w:w="1160" w:type="dxa"/>
            <w:vAlign w:val="bottom"/>
            <w:tcBorders>
              <w:bottom w:val="single" w:sz="8" w:color="CCEDD4"/>
            </w:tcBorders>
            <w:gridSpan w:val="2"/>
            <w:shd w:val="clear" w:color="auto" w:fill="CCEDD4"/>
          </w:tcPr>
          <w:p>
            <w:pPr>
              <w:jc w:val="right"/>
              <w:ind w:right="244"/>
              <w:spacing w:after="0"/>
              <w:rPr>
                <w:sz w:val="20"/>
                <w:szCs w:val="20"/>
                <w:color w:val="auto"/>
              </w:rPr>
            </w:pPr>
            <w:r>
              <w:rPr>
                <w:rFonts w:ascii="Arial" w:cs="Arial" w:eastAsia="Arial" w:hAnsi="Arial"/>
                <w:sz w:val="16"/>
                <w:szCs w:val="16"/>
                <w:color w:val="auto"/>
              </w:rPr>
              <w:t>100%</w:t>
            </w:r>
          </w:p>
        </w:tc>
        <w:tc>
          <w:tcPr>
            <w:tcW w:w="28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82,000</w:t>
            </w:r>
          </w:p>
        </w:tc>
        <w:tc>
          <w:tcPr>
            <w:tcW w:w="120" w:type="dxa"/>
            <w:vAlign w:val="bottom"/>
            <w:tcBorders>
              <w:bottom w:val="single" w:sz="8" w:color="CCEDD4"/>
              <w:right w:val="single" w:sz="8" w:color="56C271"/>
            </w:tcBorders>
            <w:shd w:val="clear" w:color="auto" w:fill="CCEDD4"/>
          </w:tcPr>
          <w:p>
            <w:pPr>
              <w:spacing w:after="0"/>
              <w:rPr>
                <w:sz w:val="22"/>
                <w:szCs w:val="22"/>
                <w:color w:val="auto"/>
              </w:rPr>
            </w:pPr>
          </w:p>
        </w:tc>
        <w:tc>
          <w:tcPr>
            <w:tcW w:w="1000" w:type="dxa"/>
            <w:vAlign w:val="bottom"/>
            <w:tcBorders>
              <w:bottom w:val="single" w:sz="8" w:color="CCEDD4"/>
            </w:tcBorders>
            <w:gridSpan w:val="2"/>
            <w:shd w:val="clear" w:color="auto" w:fill="CCEDD4"/>
          </w:tcPr>
          <w:p>
            <w:pPr>
              <w:jc w:val="right"/>
              <w:ind w:right="45"/>
              <w:spacing w:after="0"/>
              <w:rPr>
                <w:sz w:val="20"/>
                <w:szCs w:val="20"/>
                <w:color w:val="auto"/>
              </w:rPr>
            </w:pPr>
            <w:r>
              <w:rPr>
                <w:rFonts w:ascii="Arial" w:cs="Arial" w:eastAsia="Arial" w:hAnsi="Arial"/>
                <w:sz w:val="16"/>
                <w:szCs w:val="16"/>
                <w:color w:val="auto"/>
              </w:rPr>
              <w:t>162.05%</w:t>
            </w:r>
          </w:p>
        </w:tc>
        <w:tc>
          <w:tcPr>
            <w:tcW w:w="280" w:type="dxa"/>
            <w:vAlign w:val="bottom"/>
            <w:tcBorders>
              <w:bottom w:val="single" w:sz="8" w:color="CCEDD4"/>
            </w:tcBorders>
            <w:shd w:val="clear" w:color="auto" w:fill="CCEDD4"/>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DD4"/>
            </w:tcBorders>
            <w:gridSpan w:val="2"/>
            <w:shd w:val="clear" w:color="auto" w:fill="CCEDD4"/>
          </w:tcPr>
          <w:p>
            <w:pPr>
              <w:jc w:val="right"/>
              <w:ind w:right="100"/>
              <w:spacing w:after="0"/>
              <w:rPr>
                <w:sz w:val="20"/>
                <w:szCs w:val="20"/>
                <w:color w:val="auto"/>
              </w:rPr>
            </w:pPr>
            <w:r>
              <w:rPr>
                <w:rFonts w:ascii="Arial" w:cs="Arial" w:eastAsia="Arial" w:hAnsi="Arial"/>
                <w:sz w:val="16"/>
                <w:szCs w:val="16"/>
                <w:color w:val="auto"/>
              </w:rPr>
              <w:t>664,405</w:t>
            </w:r>
          </w:p>
        </w:tc>
      </w:tr>
      <w:tr>
        <w:trPr>
          <w:trHeight w:val="27"/>
        </w:trPr>
        <w:tc>
          <w:tcPr>
            <w:tcW w:w="100" w:type="dxa"/>
            <w:vAlign w:val="bottom"/>
            <w:shd w:val="clear" w:color="auto" w:fill="56C271"/>
          </w:tcPr>
          <w:p>
            <w:pPr>
              <w:spacing w:after="0"/>
              <w:rPr>
                <w:sz w:val="2"/>
                <w:szCs w:val="2"/>
                <w:color w:val="auto"/>
              </w:rPr>
            </w:pPr>
          </w:p>
        </w:tc>
        <w:tc>
          <w:tcPr>
            <w:tcW w:w="1280" w:type="dxa"/>
            <w:vAlign w:val="bottom"/>
            <w:shd w:val="clear" w:color="auto" w:fill="56C271"/>
          </w:tcPr>
          <w:p>
            <w:pPr>
              <w:spacing w:after="0"/>
              <w:rPr>
                <w:sz w:val="2"/>
                <w:szCs w:val="2"/>
                <w:color w:val="auto"/>
              </w:rPr>
            </w:pPr>
          </w:p>
        </w:tc>
        <w:tc>
          <w:tcPr>
            <w:tcW w:w="360" w:type="dxa"/>
            <w:vAlign w:val="bottom"/>
            <w:shd w:val="clear" w:color="auto" w:fill="56C271"/>
          </w:tcPr>
          <w:p>
            <w:pPr>
              <w:spacing w:after="0"/>
              <w:rPr>
                <w:sz w:val="2"/>
                <w:szCs w:val="2"/>
                <w:color w:val="auto"/>
              </w:rPr>
            </w:pPr>
          </w:p>
        </w:tc>
        <w:tc>
          <w:tcPr>
            <w:tcW w:w="840" w:type="dxa"/>
            <w:vAlign w:val="bottom"/>
            <w:shd w:val="clear" w:color="auto" w:fill="56C271"/>
          </w:tcPr>
          <w:p>
            <w:pPr>
              <w:spacing w:after="0"/>
              <w:rPr>
                <w:sz w:val="2"/>
                <w:szCs w:val="2"/>
                <w:color w:val="auto"/>
              </w:rPr>
            </w:pPr>
          </w:p>
        </w:tc>
        <w:tc>
          <w:tcPr>
            <w:tcW w:w="920" w:type="dxa"/>
            <w:vAlign w:val="bottom"/>
            <w:shd w:val="clear" w:color="auto" w:fill="56C271"/>
          </w:tcPr>
          <w:p>
            <w:pPr>
              <w:spacing w:after="0"/>
              <w:rPr>
                <w:sz w:val="2"/>
                <w:szCs w:val="2"/>
                <w:color w:val="auto"/>
              </w:rPr>
            </w:pPr>
          </w:p>
        </w:tc>
        <w:tc>
          <w:tcPr>
            <w:tcW w:w="260" w:type="dxa"/>
            <w:vAlign w:val="bottom"/>
            <w:shd w:val="clear" w:color="auto" w:fill="56C271"/>
          </w:tcPr>
          <w:p>
            <w:pPr>
              <w:spacing w:after="0"/>
              <w:rPr>
                <w:sz w:val="2"/>
                <w:szCs w:val="2"/>
                <w:color w:val="auto"/>
              </w:rPr>
            </w:pPr>
          </w:p>
        </w:tc>
        <w:tc>
          <w:tcPr>
            <w:tcW w:w="660" w:type="dxa"/>
            <w:vAlign w:val="bottom"/>
            <w:shd w:val="clear" w:color="auto" w:fill="56C271"/>
          </w:tcPr>
          <w:p>
            <w:pPr>
              <w:spacing w:after="0"/>
              <w:rPr>
                <w:sz w:val="2"/>
                <w:szCs w:val="2"/>
                <w:color w:val="auto"/>
              </w:rPr>
            </w:pPr>
          </w:p>
        </w:tc>
        <w:tc>
          <w:tcPr>
            <w:tcW w:w="120" w:type="dxa"/>
            <w:vAlign w:val="bottom"/>
            <w:tcBorders>
              <w:right w:val="single" w:sz="8" w:color="56C271"/>
            </w:tcBorders>
            <w:shd w:val="clear" w:color="auto" w:fill="56C271"/>
          </w:tcPr>
          <w:p>
            <w:pPr>
              <w:spacing w:after="0"/>
              <w:rPr>
                <w:sz w:val="2"/>
                <w:szCs w:val="2"/>
                <w:color w:val="auto"/>
              </w:rPr>
            </w:pPr>
          </w:p>
        </w:tc>
        <w:tc>
          <w:tcPr>
            <w:tcW w:w="80" w:type="dxa"/>
            <w:vAlign w:val="bottom"/>
            <w:shd w:val="clear" w:color="auto" w:fill="56C271"/>
          </w:tcPr>
          <w:p>
            <w:pPr>
              <w:spacing w:after="0"/>
              <w:rPr>
                <w:sz w:val="2"/>
                <w:szCs w:val="2"/>
                <w:color w:val="auto"/>
              </w:rPr>
            </w:pPr>
          </w:p>
        </w:tc>
        <w:tc>
          <w:tcPr>
            <w:tcW w:w="1080" w:type="dxa"/>
            <w:vAlign w:val="bottom"/>
            <w:shd w:val="clear" w:color="auto" w:fill="56C271"/>
          </w:tcPr>
          <w:p>
            <w:pPr>
              <w:spacing w:after="0"/>
              <w:rPr>
                <w:sz w:val="2"/>
                <w:szCs w:val="2"/>
                <w:color w:val="auto"/>
              </w:rPr>
            </w:pPr>
          </w:p>
        </w:tc>
        <w:tc>
          <w:tcPr>
            <w:tcW w:w="280" w:type="dxa"/>
            <w:vAlign w:val="bottom"/>
            <w:shd w:val="clear" w:color="auto" w:fill="56C271"/>
          </w:tcPr>
          <w:p>
            <w:pPr>
              <w:spacing w:after="0"/>
              <w:rPr>
                <w:sz w:val="2"/>
                <w:szCs w:val="2"/>
                <w:color w:val="auto"/>
              </w:rPr>
            </w:pPr>
          </w:p>
        </w:tc>
        <w:tc>
          <w:tcPr>
            <w:tcW w:w="620" w:type="dxa"/>
            <w:vAlign w:val="bottom"/>
            <w:shd w:val="clear" w:color="auto" w:fill="56C271"/>
          </w:tcPr>
          <w:p>
            <w:pPr>
              <w:spacing w:after="0"/>
              <w:rPr>
                <w:sz w:val="2"/>
                <w:szCs w:val="2"/>
                <w:color w:val="auto"/>
              </w:rPr>
            </w:pPr>
          </w:p>
        </w:tc>
        <w:tc>
          <w:tcPr>
            <w:tcW w:w="120" w:type="dxa"/>
            <w:vAlign w:val="bottom"/>
            <w:tcBorders>
              <w:right w:val="single" w:sz="8" w:color="56C271"/>
            </w:tcBorders>
            <w:shd w:val="clear" w:color="auto" w:fill="56C271"/>
          </w:tcPr>
          <w:p>
            <w:pPr>
              <w:spacing w:after="0"/>
              <w:rPr>
                <w:sz w:val="2"/>
                <w:szCs w:val="2"/>
                <w:color w:val="auto"/>
              </w:rPr>
            </w:pPr>
          </w:p>
        </w:tc>
        <w:tc>
          <w:tcPr>
            <w:tcW w:w="80" w:type="dxa"/>
            <w:vAlign w:val="bottom"/>
            <w:shd w:val="clear" w:color="auto" w:fill="56C271"/>
          </w:tcPr>
          <w:p>
            <w:pPr>
              <w:spacing w:after="0"/>
              <w:rPr>
                <w:sz w:val="2"/>
                <w:szCs w:val="2"/>
                <w:color w:val="auto"/>
              </w:rPr>
            </w:pPr>
          </w:p>
        </w:tc>
        <w:tc>
          <w:tcPr>
            <w:tcW w:w="920" w:type="dxa"/>
            <w:vAlign w:val="bottom"/>
            <w:shd w:val="clear" w:color="auto" w:fill="56C271"/>
          </w:tcPr>
          <w:p>
            <w:pPr>
              <w:spacing w:after="0"/>
              <w:rPr>
                <w:sz w:val="2"/>
                <w:szCs w:val="2"/>
                <w:color w:val="auto"/>
              </w:rPr>
            </w:pPr>
          </w:p>
        </w:tc>
        <w:tc>
          <w:tcPr>
            <w:tcW w:w="280" w:type="dxa"/>
            <w:vAlign w:val="bottom"/>
            <w:shd w:val="clear" w:color="auto" w:fill="56C271"/>
          </w:tcPr>
          <w:p>
            <w:pPr>
              <w:spacing w:after="0"/>
              <w:rPr>
                <w:sz w:val="2"/>
                <w:szCs w:val="2"/>
                <w:color w:val="auto"/>
              </w:rPr>
            </w:pPr>
          </w:p>
        </w:tc>
        <w:tc>
          <w:tcPr>
            <w:tcW w:w="640" w:type="dxa"/>
            <w:vAlign w:val="bottom"/>
            <w:shd w:val="clear" w:color="auto" w:fill="56C271"/>
          </w:tcPr>
          <w:p>
            <w:pPr>
              <w:spacing w:after="0"/>
              <w:rPr>
                <w:sz w:val="2"/>
                <w:szCs w:val="2"/>
                <w:color w:val="auto"/>
              </w:rPr>
            </w:pPr>
          </w:p>
        </w:tc>
        <w:tc>
          <w:tcPr>
            <w:tcW w:w="120" w:type="dxa"/>
            <w:vAlign w:val="bottom"/>
            <w:shd w:val="clear" w:color="auto" w:fill="56C271"/>
          </w:tcPr>
          <w:p>
            <w:pPr>
              <w:spacing w:after="0"/>
              <w:rPr>
                <w:sz w:val="2"/>
                <w:szCs w:val="2"/>
                <w:color w:val="auto"/>
              </w:rPr>
            </w:pPr>
          </w:p>
        </w:tc>
      </w:tr>
    </w:tbl>
    <w:p>
      <w:pPr>
        <w:spacing w:after="0" w:line="67" w:lineRule="exact"/>
        <w:rPr>
          <w:sz w:val="20"/>
          <w:szCs w:val="20"/>
          <w:color w:val="auto"/>
        </w:rPr>
      </w:pPr>
    </w:p>
    <w:p>
      <w:pPr>
        <w:ind w:left="1820" w:right="419" w:hanging="722"/>
        <w:spacing w:after="0" w:line="261" w:lineRule="auto"/>
        <w:tabs>
          <w:tab w:leader="none" w:pos="1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Gallagher’s target and payments are prorated based on $565,000 for July 1, 2020 to July 31, 2020 and $1,500,000 for the remainder of the year.</w:t>
      </w:r>
    </w:p>
    <w:p>
      <w:pPr>
        <w:spacing w:after="0" w:line="35" w:lineRule="exact"/>
        <w:rPr>
          <w:rFonts w:ascii="Arial" w:cs="Arial" w:eastAsia="Arial" w:hAnsi="Arial"/>
          <w:sz w:val="18"/>
          <w:szCs w:val="18"/>
          <w:color w:val="auto"/>
        </w:rPr>
      </w:pPr>
    </w:p>
    <w:p>
      <w:pPr>
        <w:ind w:left="1820" w:right="359" w:hanging="722"/>
        <w:spacing w:after="0" w:line="261" w:lineRule="auto"/>
        <w:tabs>
          <w:tab w:leader="none" w:pos="1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Arnold’s target and payments are prorated based on $210,000 for July 1, 2020 to July 5, 2020 and $273,000 for remainder of the year.</w:t>
      </w:r>
    </w:p>
    <w:p>
      <w:pPr>
        <w:spacing w:after="0" w:line="35" w:lineRule="exact"/>
        <w:rPr>
          <w:rFonts w:ascii="Arial" w:cs="Arial" w:eastAsia="Arial" w:hAnsi="Arial"/>
          <w:sz w:val="18"/>
          <w:szCs w:val="18"/>
          <w:color w:val="auto"/>
        </w:rPr>
      </w:pPr>
    </w:p>
    <w:p>
      <w:pPr>
        <w:ind w:left="1820" w:right="379" w:hanging="722"/>
        <w:spacing w:after="0" w:line="265" w:lineRule="auto"/>
        <w:tabs>
          <w:tab w:leader="none" w:pos="18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Mr. Chan’s annual cash incentive award was granted prior to him being promoted to Avnet Leadership Team. For this reason, his annual cash incentive award was granted under a different plan, which was based on the achievement of two financial performance goals: (1) OI$ and</w:t>
      </w:r>
    </w:p>
    <w:p>
      <w:pPr>
        <w:ind w:left="1820"/>
        <w:spacing w:after="0"/>
        <w:rPr>
          <w:rFonts w:ascii="Arial" w:cs="Arial" w:eastAsia="Arial" w:hAnsi="Arial"/>
          <w:sz w:val="17"/>
          <w:szCs w:val="17"/>
          <w:color w:val="auto"/>
        </w:rPr>
      </w:pPr>
      <w:r>
        <w:rPr>
          <w:rFonts w:ascii="Arial" w:cs="Arial" w:eastAsia="Arial" w:hAnsi="Arial"/>
          <w:sz w:val="18"/>
          <w:szCs w:val="18"/>
          <w:color w:val="auto"/>
        </w:rPr>
        <w:t>(2) ROWC, each</w:t>
      </w:r>
    </w:p>
    <w:p>
      <w:pPr>
        <w:sectPr>
          <w:pgSz w:w="11900" w:h="16838" w:orient="portrait"/>
          <w:cols w:equalWidth="0" w:num="1">
            <w:col w:w="9879"/>
          </w:cols>
          <w:pgMar w:left="580" w:top="132" w:right="1440" w:bottom="1440" w:gutter="0" w:footer="0" w:header="0"/>
        </w:sectPr>
      </w:pPr>
    </w:p>
    <w:p>
      <w:pPr>
        <w:spacing w:after="0" w:line="160"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972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82725" cy="299720"/>
                    </a:xfrm>
                    <a:prstGeom prst="rect">
                      <a:avLst/>
                    </a:prstGeom>
                    <a:noFill/>
                    <a:ln>
                      <a:noFill/>
                    </a:ln>
                  </pic:spPr>
                </pic:pic>
              </a:graphicData>
            </a:graphic>
          </wp:inline>
        </w:drawing>
      </w: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820" w:right="299"/>
        <w:spacing w:after="0" w:line="238" w:lineRule="auto"/>
        <w:rPr>
          <w:sz w:val="20"/>
          <w:szCs w:val="20"/>
          <w:color w:val="auto"/>
        </w:rPr>
      </w:pPr>
      <w:r>
        <w:rPr>
          <w:rFonts w:ascii="Arial" w:cs="Arial" w:eastAsia="Arial" w:hAnsi="Arial"/>
          <w:sz w:val="18"/>
          <w:szCs w:val="18"/>
          <w:color w:val="auto"/>
        </w:rPr>
        <w:t>weighted 50%. Based on the achievement results, the combined payout was 141.47% of target. In addition, a supplemental fiscal 2021 incentive program was provided to key business leaders to create further leverage in the payout scale for achieved OI$ performance. After including the leverage from this program to the OI$ performance above, the total incentive payout was determined to be 200% of target for fiscal 2021.</w:t>
      </w:r>
    </w:p>
    <w:p>
      <w:pPr>
        <w:spacing w:after="0" w:line="54" w:lineRule="exact"/>
        <w:rPr>
          <w:sz w:val="20"/>
          <w:szCs w:val="20"/>
          <w:color w:val="auto"/>
        </w:rPr>
      </w:pPr>
    </w:p>
    <w:p>
      <w:pPr>
        <w:ind w:left="1820" w:right="1179" w:hanging="722"/>
        <w:spacing w:after="0" w:line="261" w:lineRule="auto"/>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McCoy’s target and payments are prorated based on $200,000 from July 1, 2020 to September 27, 2020 and $292,500 for the remainder of the fiscal year.</w:t>
      </w:r>
    </w:p>
    <w:p>
      <w:pPr>
        <w:spacing w:after="0" w:line="49" w:lineRule="exact"/>
        <w:rPr>
          <w:rFonts w:ascii="Arial" w:cs="Arial" w:eastAsia="Arial" w:hAnsi="Arial"/>
          <w:sz w:val="18"/>
          <w:szCs w:val="18"/>
          <w:color w:val="auto"/>
        </w:rPr>
      </w:pPr>
    </w:p>
    <w:p>
      <w:pPr>
        <w:ind w:left="1820" w:right="179" w:hanging="722"/>
        <w:spacing w:after="0" w:line="261" w:lineRule="auto"/>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 the terms of his separation agreement, Mr. Amelio was not granted a fiscal 2021 annual cash incentive award.</w:t>
      </w:r>
    </w:p>
    <w:p>
      <w:pPr>
        <w:spacing w:after="0" w:line="49" w:lineRule="exact"/>
        <w:rPr>
          <w:rFonts w:ascii="Arial" w:cs="Arial" w:eastAsia="Arial" w:hAnsi="Arial"/>
          <w:sz w:val="18"/>
          <w:szCs w:val="18"/>
          <w:color w:val="auto"/>
        </w:rPr>
      </w:pPr>
    </w:p>
    <w:p>
      <w:pPr>
        <w:ind w:left="1820" w:right="539" w:hanging="722"/>
        <w:spacing w:after="0" w:line="261" w:lineRule="auto"/>
        <w:tabs>
          <w:tab w:leader="none" w:pos="1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 the terms of his separation agreement, Mr. Bartolotta’s fiscal 2021 annual cash incentive award was prorated to reflect his separation date of October 1, 2020.</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Long-Term Incentives</w:t>
      </w:r>
    </w:p>
    <w:p>
      <w:pPr>
        <w:spacing w:after="0" w:line="175" w:lineRule="exact"/>
        <w:rPr>
          <w:sz w:val="20"/>
          <w:szCs w:val="20"/>
          <w:color w:val="auto"/>
        </w:rPr>
      </w:pPr>
    </w:p>
    <w:p>
      <w:pPr>
        <w:ind w:left="1000" w:right="219"/>
        <w:spacing w:after="0" w:line="238" w:lineRule="auto"/>
        <w:rPr>
          <w:sz w:val="20"/>
          <w:szCs w:val="20"/>
          <w:color w:val="auto"/>
        </w:rPr>
      </w:pPr>
      <w:r>
        <w:rPr>
          <w:rFonts w:ascii="Arial" w:cs="Arial" w:eastAsia="Arial" w:hAnsi="Arial"/>
          <w:sz w:val="18"/>
          <w:szCs w:val="18"/>
          <w:color w:val="auto"/>
        </w:rPr>
        <w:t>For fiscal 2021, the Committee approved the NEOs participation in the Company’s long-term incentive plan, whereby they were eligible to receive a mix of equity awards, to provide a strong incentive to increase shareholder value over time, align the NEOs’ interests with that of the shareholders, and encourage retention. The FY21 equity awards consisted of restricted stock units (“RSUs”) and stock options as set forth in the following table.</w:t>
      </w:r>
    </w:p>
    <w:p>
      <w:pPr>
        <w:spacing w:after="0" w:line="163" w:lineRule="exact"/>
        <w:rPr>
          <w:sz w:val="20"/>
          <w:szCs w:val="20"/>
          <w:color w:val="auto"/>
        </w:rPr>
      </w:pPr>
    </w:p>
    <w:tbl>
      <w:tblPr>
        <w:tblLayout w:type="fixed"/>
        <w:tblInd w:w="990" w:type="dxa"/>
        <w:tblCellMar>
          <w:top w:w="0" w:type="dxa"/>
          <w:left w:w="0" w:type="dxa"/>
          <w:bottom w:w="0" w:type="dxa"/>
          <w:right w:w="0" w:type="dxa"/>
        </w:tblCellMar>
      </w:tblPr>
      <w:tr>
        <w:trPr>
          <w:trHeight w:val="230"/>
        </w:trPr>
        <w:tc>
          <w:tcPr>
            <w:tcW w:w="5420" w:type="dxa"/>
            <w:vAlign w:val="bottom"/>
            <w:tcBorders>
              <w:left w:val="single" w:sz="8" w:color="56C271"/>
              <w:right w:val="single" w:sz="8" w:color="56C271"/>
            </w:tcBorders>
            <w:shd w:val="clear" w:color="auto" w:fill="56C271"/>
          </w:tcPr>
          <w:p>
            <w:pPr>
              <w:spacing w:after="0"/>
              <w:rPr>
                <w:sz w:val="19"/>
                <w:szCs w:val="19"/>
                <w:color w:val="auto"/>
              </w:rPr>
            </w:pPr>
          </w:p>
        </w:tc>
        <w:tc>
          <w:tcPr>
            <w:tcW w:w="1580" w:type="dxa"/>
            <w:vAlign w:val="bottom"/>
            <w:tcBorders>
              <w:right w:val="single" w:sz="8" w:color="56C271"/>
            </w:tcBorders>
            <w:shd w:val="clear" w:color="auto" w:fill="56C271"/>
          </w:tcPr>
          <w:p>
            <w:pPr>
              <w:jc w:val="right"/>
              <w:ind w:right="79"/>
              <w:spacing w:after="0"/>
              <w:rPr>
                <w:sz w:val="20"/>
                <w:szCs w:val="20"/>
                <w:color w:val="auto"/>
              </w:rPr>
            </w:pPr>
            <w:r>
              <w:rPr>
                <w:rFonts w:ascii="Arial" w:cs="Arial" w:eastAsia="Arial" w:hAnsi="Arial"/>
                <w:sz w:val="14"/>
                <w:szCs w:val="14"/>
                <w:b w:val="1"/>
                <w:bCs w:val="1"/>
                <w:color w:val="FEFEFE"/>
              </w:rPr>
              <w:t>% of Target Value of</w:t>
            </w:r>
          </w:p>
        </w:tc>
        <w:tc>
          <w:tcPr>
            <w:tcW w:w="1760" w:type="dxa"/>
            <w:vAlign w:val="bottom"/>
            <w:tcBorders>
              <w:right w:val="single" w:sz="8" w:color="56C271"/>
            </w:tcBorders>
            <w:shd w:val="clear" w:color="auto" w:fill="56C271"/>
          </w:tcPr>
          <w:p>
            <w:pPr>
              <w:spacing w:after="0"/>
              <w:rPr>
                <w:sz w:val="19"/>
                <w:szCs w:val="19"/>
                <w:color w:val="auto"/>
              </w:rPr>
            </w:pPr>
          </w:p>
        </w:tc>
      </w:tr>
      <w:tr>
        <w:trPr>
          <w:trHeight w:val="202"/>
        </w:trPr>
        <w:tc>
          <w:tcPr>
            <w:tcW w:w="5420" w:type="dxa"/>
            <w:vAlign w:val="bottom"/>
            <w:tcBorders>
              <w:left w:val="single" w:sz="8" w:color="56C271"/>
              <w:right w:val="single" w:sz="8" w:color="56C271"/>
            </w:tcBorders>
            <w:shd w:val="clear" w:color="auto" w:fill="56C271"/>
          </w:tcPr>
          <w:p>
            <w:pPr>
              <w:ind w:left="240"/>
              <w:spacing w:after="0"/>
              <w:rPr>
                <w:sz w:val="20"/>
                <w:szCs w:val="20"/>
                <w:color w:val="auto"/>
              </w:rPr>
            </w:pPr>
            <w:r>
              <w:rPr>
                <w:rFonts w:ascii="Arial" w:cs="Arial" w:eastAsia="Arial" w:hAnsi="Arial"/>
                <w:sz w:val="14"/>
                <w:szCs w:val="14"/>
                <w:b w:val="1"/>
                <w:bCs w:val="1"/>
                <w:color w:val="FEFEFE"/>
              </w:rPr>
              <w:t>Equity Vehicles</w:t>
            </w:r>
          </w:p>
        </w:tc>
        <w:tc>
          <w:tcPr>
            <w:tcW w:w="1580" w:type="dxa"/>
            <w:vAlign w:val="bottom"/>
            <w:tcBorders>
              <w:right w:val="single" w:sz="8" w:color="56C271"/>
            </w:tcBorders>
            <w:shd w:val="clear" w:color="auto" w:fill="56C271"/>
          </w:tcPr>
          <w:p>
            <w:pPr>
              <w:jc w:val="right"/>
              <w:ind w:right="339"/>
              <w:spacing w:after="0"/>
              <w:rPr>
                <w:sz w:val="20"/>
                <w:szCs w:val="20"/>
                <w:color w:val="auto"/>
              </w:rPr>
            </w:pPr>
            <w:r>
              <w:rPr>
                <w:rFonts w:ascii="Arial" w:cs="Arial" w:eastAsia="Arial" w:hAnsi="Arial"/>
                <w:sz w:val="14"/>
                <w:szCs w:val="14"/>
                <w:b w:val="1"/>
                <w:bCs w:val="1"/>
                <w:color w:val="FEFEFE"/>
              </w:rPr>
              <w:t>LTIP Award</w:t>
            </w:r>
          </w:p>
        </w:tc>
        <w:tc>
          <w:tcPr>
            <w:tcW w:w="1760" w:type="dxa"/>
            <w:vAlign w:val="bottom"/>
            <w:tcBorders>
              <w:right w:val="single" w:sz="8" w:color="56C271"/>
            </w:tcBorders>
            <w:shd w:val="clear" w:color="auto" w:fill="56C271"/>
          </w:tcPr>
          <w:p>
            <w:pPr>
              <w:jc w:val="center"/>
              <w:spacing w:after="0"/>
              <w:rPr>
                <w:sz w:val="20"/>
                <w:szCs w:val="20"/>
                <w:color w:val="auto"/>
              </w:rPr>
            </w:pPr>
            <w:r>
              <w:rPr>
                <w:rFonts w:ascii="Arial" w:cs="Arial" w:eastAsia="Arial" w:hAnsi="Arial"/>
                <w:sz w:val="14"/>
                <w:szCs w:val="14"/>
                <w:b w:val="1"/>
                <w:bCs w:val="1"/>
                <w:color w:val="FEFEFE"/>
              </w:rPr>
              <w:t>Metrics</w:t>
            </w:r>
          </w:p>
        </w:tc>
      </w:tr>
      <w:tr>
        <w:trPr>
          <w:trHeight w:val="277"/>
        </w:trPr>
        <w:tc>
          <w:tcPr>
            <w:tcW w:w="5420" w:type="dxa"/>
            <w:vAlign w:val="bottom"/>
            <w:tcBorders>
              <w:left w:val="single" w:sz="8" w:color="56C271"/>
              <w:bottom w:val="single" w:sz="8" w:color="56C271"/>
              <w:right w:val="single" w:sz="8" w:color="56C271"/>
            </w:tcBorders>
          </w:tcPr>
          <w:p>
            <w:pPr>
              <w:ind w:left="240"/>
              <w:spacing w:after="0"/>
              <w:rPr>
                <w:sz w:val="20"/>
                <w:szCs w:val="20"/>
                <w:color w:val="auto"/>
              </w:rPr>
            </w:pPr>
            <w:r>
              <w:rPr>
                <w:rFonts w:ascii="Arial" w:cs="Arial" w:eastAsia="Arial" w:hAnsi="Arial"/>
                <w:sz w:val="18"/>
                <w:szCs w:val="18"/>
                <w:color w:val="auto"/>
              </w:rPr>
              <w:t>RSUs</w:t>
            </w:r>
          </w:p>
        </w:tc>
        <w:tc>
          <w:tcPr>
            <w:tcW w:w="1580" w:type="dxa"/>
            <w:vAlign w:val="bottom"/>
            <w:tcBorders>
              <w:bottom w:val="single" w:sz="8" w:color="56C271"/>
              <w:right w:val="single" w:sz="8" w:color="56C271"/>
            </w:tcBorders>
          </w:tcPr>
          <w:p>
            <w:pPr>
              <w:jc w:val="right"/>
              <w:ind w:right="459"/>
              <w:spacing w:after="0"/>
              <w:rPr>
                <w:sz w:val="20"/>
                <w:szCs w:val="20"/>
                <w:color w:val="auto"/>
              </w:rPr>
            </w:pPr>
            <w:r>
              <w:rPr>
                <w:rFonts w:ascii="Arial" w:cs="Arial" w:eastAsia="Arial" w:hAnsi="Arial"/>
                <w:sz w:val="18"/>
                <w:szCs w:val="18"/>
                <w:color w:val="auto"/>
              </w:rPr>
              <w:t>50%</w:t>
            </w:r>
          </w:p>
        </w:tc>
        <w:tc>
          <w:tcPr>
            <w:tcW w:w="176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8"/>
              </w:rPr>
              <w:t>Time-based Vesting</w:t>
            </w:r>
          </w:p>
        </w:tc>
      </w:tr>
      <w:tr>
        <w:trPr>
          <w:trHeight w:val="264"/>
        </w:trPr>
        <w:tc>
          <w:tcPr>
            <w:tcW w:w="5420" w:type="dxa"/>
            <w:vAlign w:val="bottom"/>
            <w:tcBorders>
              <w:left w:val="single" w:sz="8" w:color="56C271"/>
              <w:bottom w:val="single" w:sz="8" w:color="56C271"/>
              <w:right w:val="single" w:sz="8" w:color="56C271"/>
            </w:tcBorders>
          </w:tcPr>
          <w:p>
            <w:pPr>
              <w:ind w:left="240"/>
              <w:spacing w:after="0"/>
              <w:rPr>
                <w:sz w:val="20"/>
                <w:szCs w:val="20"/>
                <w:color w:val="auto"/>
              </w:rPr>
            </w:pPr>
            <w:r>
              <w:rPr>
                <w:rFonts w:ascii="Arial" w:cs="Arial" w:eastAsia="Arial" w:hAnsi="Arial"/>
                <w:sz w:val="18"/>
                <w:szCs w:val="18"/>
                <w:color w:val="auto"/>
              </w:rPr>
              <w:t>Options</w:t>
            </w:r>
          </w:p>
        </w:tc>
        <w:tc>
          <w:tcPr>
            <w:tcW w:w="1580" w:type="dxa"/>
            <w:vAlign w:val="bottom"/>
            <w:tcBorders>
              <w:bottom w:val="single" w:sz="8" w:color="56C271"/>
              <w:right w:val="single" w:sz="8" w:color="56C271"/>
            </w:tcBorders>
          </w:tcPr>
          <w:p>
            <w:pPr>
              <w:jc w:val="right"/>
              <w:ind w:right="459"/>
              <w:spacing w:after="0"/>
              <w:rPr>
                <w:sz w:val="20"/>
                <w:szCs w:val="20"/>
                <w:color w:val="auto"/>
              </w:rPr>
            </w:pPr>
            <w:r>
              <w:rPr>
                <w:rFonts w:ascii="Arial" w:cs="Arial" w:eastAsia="Arial" w:hAnsi="Arial"/>
                <w:sz w:val="18"/>
                <w:szCs w:val="18"/>
                <w:color w:val="auto"/>
              </w:rPr>
              <w:t>50%</w:t>
            </w:r>
          </w:p>
        </w:tc>
        <w:tc>
          <w:tcPr>
            <w:tcW w:w="1760" w:type="dxa"/>
            <w:vAlign w:val="bottom"/>
            <w:tcBorders>
              <w:bottom w:val="single" w:sz="8" w:color="56C271"/>
              <w:right w:val="single" w:sz="8" w:color="56C271"/>
            </w:tcBorders>
          </w:tcPr>
          <w:p>
            <w:pPr>
              <w:jc w:val="center"/>
              <w:spacing w:after="0"/>
              <w:rPr>
                <w:sz w:val="20"/>
                <w:szCs w:val="20"/>
                <w:color w:val="auto"/>
              </w:rPr>
            </w:pPr>
            <w:r>
              <w:rPr>
                <w:rFonts w:ascii="Arial" w:cs="Arial" w:eastAsia="Arial" w:hAnsi="Arial"/>
                <w:sz w:val="18"/>
                <w:szCs w:val="18"/>
                <w:color w:val="auto"/>
                <w:w w:val="98"/>
              </w:rPr>
              <w:t>Time-based Vesting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-368300</wp:posOffset>
            </wp:positionV>
            <wp:extent cx="5537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92" w:lineRule="exact"/>
        <w:rPr>
          <w:sz w:val="20"/>
          <w:szCs w:val="20"/>
          <w:color w:val="auto"/>
        </w:rPr>
      </w:pPr>
    </w:p>
    <w:p>
      <w:pPr>
        <w:ind w:left="1000" w:right="159"/>
        <w:spacing w:after="0" w:line="247" w:lineRule="auto"/>
        <w:rPr>
          <w:sz w:val="20"/>
          <w:szCs w:val="20"/>
          <w:color w:val="auto"/>
        </w:rPr>
      </w:pPr>
      <w:r>
        <w:rPr>
          <w:rFonts w:ascii="Arial" w:cs="Arial" w:eastAsia="Arial" w:hAnsi="Arial"/>
          <w:sz w:val="18"/>
          <w:szCs w:val="18"/>
          <w:b w:val="1"/>
          <w:bCs w:val="1"/>
          <w:color w:val="56C271"/>
        </w:rPr>
        <w:t xml:space="preserve">Target Long-Term Incentive Awards. </w:t>
      </w:r>
      <w:r>
        <w:rPr>
          <w:rFonts w:ascii="Arial" w:cs="Arial" w:eastAsia="Arial" w:hAnsi="Arial"/>
          <w:sz w:val="18"/>
          <w:szCs w:val="18"/>
          <w:color w:val="000000"/>
        </w:rPr>
        <w:t>The Committee sets each NEO’s target LITP award value based on a</w:t>
      </w:r>
      <w:r>
        <w:rPr>
          <w:rFonts w:ascii="Arial" w:cs="Arial" w:eastAsia="Arial" w:hAnsi="Arial"/>
          <w:sz w:val="18"/>
          <w:szCs w:val="18"/>
          <w:b w:val="1"/>
          <w:bCs w:val="1"/>
          <w:color w:val="56C271"/>
        </w:rPr>
        <w:t xml:space="preserve"> </w:t>
      </w:r>
      <w:r>
        <w:rPr>
          <w:rFonts w:ascii="Arial" w:cs="Arial" w:eastAsia="Arial" w:hAnsi="Arial"/>
          <w:sz w:val="18"/>
          <w:szCs w:val="18"/>
          <w:color w:val="000000"/>
        </w:rPr>
        <w:t>number of factors including, benchmark data, NEO’s responsibilities and duties, NEO’s prior-year performance and Company performance. As a result, fiscal 2021 target LTIP award values vary among the NEOs and can vary from year to year.</w:t>
      </w:r>
    </w:p>
    <w:p>
      <w:pPr>
        <w:spacing w:after="0" w:line="12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fiscal 2021 LTIP awards are listed in the following table.</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2760" w:type="dxa"/>
            <w:vAlign w:val="bottom"/>
            <w:shd w:val="clear" w:color="auto" w:fill="56C271"/>
          </w:tcPr>
          <w:p>
            <w:pPr>
              <w:spacing w:after="0"/>
              <w:rPr>
                <w:sz w:val="16"/>
                <w:szCs w:val="16"/>
                <w:color w:val="auto"/>
              </w:rPr>
            </w:pPr>
          </w:p>
        </w:tc>
        <w:tc>
          <w:tcPr>
            <w:tcW w:w="2440" w:type="dxa"/>
            <w:vAlign w:val="bottom"/>
            <w:shd w:val="clear" w:color="auto" w:fill="56C271"/>
          </w:tcPr>
          <w:p>
            <w:pPr>
              <w:spacing w:after="0"/>
              <w:rPr>
                <w:sz w:val="16"/>
                <w:szCs w:val="16"/>
                <w:color w:val="auto"/>
              </w:rPr>
            </w:pPr>
          </w:p>
        </w:tc>
        <w:tc>
          <w:tcPr>
            <w:tcW w:w="1420" w:type="dxa"/>
            <w:vAlign w:val="bottom"/>
            <w:shd w:val="clear" w:color="auto" w:fill="56C271"/>
          </w:tcPr>
          <w:p>
            <w:pPr>
              <w:spacing w:after="0"/>
              <w:rPr>
                <w:sz w:val="16"/>
                <w:szCs w:val="16"/>
                <w:color w:val="auto"/>
              </w:rPr>
            </w:pPr>
          </w:p>
        </w:tc>
        <w:tc>
          <w:tcPr>
            <w:tcW w:w="1140" w:type="dxa"/>
            <w:vAlign w:val="bottom"/>
            <w:gridSpan w:val="2"/>
            <w:shd w:val="clear" w:color="auto" w:fill="56C271"/>
          </w:tcPr>
          <w:p>
            <w:pPr>
              <w:jc w:val="right"/>
              <w:ind w:right="75"/>
              <w:spacing w:after="0"/>
              <w:rPr>
                <w:sz w:val="20"/>
                <w:szCs w:val="20"/>
                <w:color w:val="auto"/>
              </w:rPr>
            </w:pPr>
            <w:r>
              <w:rPr>
                <w:rFonts w:ascii="Arial" w:cs="Arial" w:eastAsia="Arial" w:hAnsi="Arial"/>
                <w:sz w:val="14"/>
                <w:szCs w:val="14"/>
                <w:b w:val="1"/>
                <w:bCs w:val="1"/>
                <w:color w:val="FEFEFE"/>
              </w:rPr>
              <w:t>Target Value</w:t>
            </w:r>
          </w:p>
        </w:tc>
        <w:tc>
          <w:tcPr>
            <w:tcW w:w="1000" w:type="dxa"/>
            <w:vAlign w:val="bottom"/>
            <w:shd w:val="clear" w:color="auto" w:fill="56C271"/>
          </w:tcPr>
          <w:p>
            <w:pPr>
              <w:jc w:val="right"/>
              <w:ind w:right="75"/>
              <w:spacing w:after="0"/>
              <w:rPr>
                <w:sz w:val="20"/>
                <w:szCs w:val="20"/>
                <w:color w:val="auto"/>
              </w:rPr>
            </w:pPr>
            <w:r>
              <w:rPr>
                <w:rFonts w:ascii="Arial" w:cs="Arial" w:eastAsia="Arial" w:hAnsi="Arial"/>
                <w:sz w:val="14"/>
                <w:szCs w:val="14"/>
                <w:b w:val="1"/>
                <w:bCs w:val="1"/>
                <w:color w:val="FEFEFE"/>
              </w:rPr>
              <w:t>Total Value</w:t>
            </w:r>
          </w:p>
        </w:tc>
      </w:tr>
      <w:tr>
        <w:trPr>
          <w:trHeight w:val="189"/>
        </w:trPr>
        <w:tc>
          <w:tcPr>
            <w:tcW w:w="2760" w:type="dxa"/>
            <w:vAlign w:val="bottom"/>
            <w:shd w:val="clear" w:color="auto" w:fill="56C271"/>
          </w:tcPr>
          <w:p>
            <w:pPr>
              <w:spacing w:after="0"/>
              <w:rPr>
                <w:sz w:val="16"/>
                <w:szCs w:val="16"/>
                <w:color w:val="auto"/>
              </w:rPr>
            </w:pPr>
          </w:p>
        </w:tc>
        <w:tc>
          <w:tcPr>
            <w:tcW w:w="2440" w:type="dxa"/>
            <w:vAlign w:val="bottom"/>
            <w:shd w:val="clear" w:color="auto" w:fill="56C271"/>
          </w:tcPr>
          <w:p>
            <w:pPr>
              <w:spacing w:after="0"/>
              <w:rPr>
                <w:sz w:val="16"/>
                <w:szCs w:val="16"/>
                <w:color w:val="auto"/>
              </w:rPr>
            </w:pPr>
          </w:p>
        </w:tc>
        <w:tc>
          <w:tcPr>
            <w:tcW w:w="1420" w:type="dxa"/>
            <w:vAlign w:val="bottom"/>
            <w:shd w:val="clear" w:color="auto" w:fill="56C271"/>
          </w:tcPr>
          <w:p>
            <w:pPr>
              <w:spacing w:after="0"/>
              <w:rPr>
                <w:sz w:val="16"/>
                <w:szCs w:val="16"/>
                <w:color w:val="auto"/>
              </w:rPr>
            </w:pPr>
          </w:p>
        </w:tc>
        <w:tc>
          <w:tcPr>
            <w:tcW w:w="260" w:type="dxa"/>
            <w:vAlign w:val="bottom"/>
            <w:shd w:val="clear" w:color="auto" w:fill="56C271"/>
          </w:tcPr>
          <w:p>
            <w:pPr>
              <w:spacing w:after="0"/>
              <w:rPr>
                <w:sz w:val="16"/>
                <w:szCs w:val="16"/>
                <w:color w:val="auto"/>
              </w:rPr>
            </w:pPr>
          </w:p>
        </w:tc>
        <w:tc>
          <w:tcPr>
            <w:tcW w:w="880" w:type="dxa"/>
            <w:vAlign w:val="bottom"/>
            <w:shd w:val="clear" w:color="auto" w:fill="56C271"/>
          </w:tcPr>
          <w:p>
            <w:pPr>
              <w:jc w:val="right"/>
              <w:ind w:right="35"/>
              <w:spacing w:after="0"/>
              <w:rPr>
                <w:sz w:val="20"/>
                <w:szCs w:val="20"/>
                <w:color w:val="auto"/>
              </w:rPr>
            </w:pPr>
            <w:r>
              <w:rPr>
                <w:rFonts w:ascii="Arial" w:cs="Arial" w:eastAsia="Arial" w:hAnsi="Arial"/>
                <w:sz w:val="14"/>
                <w:szCs w:val="14"/>
                <w:b w:val="1"/>
                <w:bCs w:val="1"/>
                <w:color w:val="FEFEFE"/>
              </w:rPr>
              <w:t>of LTIP</w:t>
            </w:r>
          </w:p>
        </w:tc>
        <w:tc>
          <w:tcPr>
            <w:tcW w:w="1000" w:type="dxa"/>
            <w:vAlign w:val="bottom"/>
            <w:shd w:val="clear" w:color="auto" w:fill="56C271"/>
          </w:tcPr>
          <w:p>
            <w:pPr>
              <w:jc w:val="right"/>
              <w:ind w:right="35"/>
              <w:spacing w:after="0"/>
              <w:rPr>
                <w:sz w:val="20"/>
                <w:szCs w:val="20"/>
                <w:color w:val="auto"/>
              </w:rPr>
            </w:pPr>
            <w:r>
              <w:rPr>
                <w:rFonts w:ascii="Arial" w:cs="Arial" w:eastAsia="Arial" w:hAnsi="Arial"/>
                <w:sz w:val="14"/>
                <w:szCs w:val="14"/>
                <w:b w:val="1"/>
                <w:bCs w:val="1"/>
                <w:color w:val="FEFEFE"/>
              </w:rPr>
              <w:t>% Change</w:t>
            </w:r>
          </w:p>
        </w:tc>
      </w:tr>
      <w:tr>
        <w:trPr>
          <w:trHeight w:val="216"/>
        </w:trPr>
        <w:tc>
          <w:tcPr>
            <w:tcW w:w="276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NEO</w:t>
            </w:r>
          </w:p>
        </w:tc>
        <w:tc>
          <w:tcPr>
            <w:tcW w:w="2440" w:type="dxa"/>
            <w:vAlign w:val="bottom"/>
            <w:shd w:val="clear" w:color="auto" w:fill="56C271"/>
          </w:tcPr>
          <w:p>
            <w:pPr>
              <w:jc w:val="right"/>
              <w:ind w:right="32"/>
              <w:spacing w:after="0"/>
              <w:rPr>
                <w:sz w:val="20"/>
                <w:szCs w:val="20"/>
                <w:color w:val="auto"/>
              </w:rPr>
            </w:pPr>
            <w:r>
              <w:rPr>
                <w:rFonts w:ascii="Arial" w:cs="Arial" w:eastAsia="Arial" w:hAnsi="Arial"/>
                <w:sz w:val="14"/>
                <w:szCs w:val="14"/>
                <w:b w:val="1"/>
                <w:bCs w:val="1"/>
                <w:color w:val="FEFEFE"/>
              </w:rPr>
              <w:t>RSUs (#)</w:t>
            </w:r>
          </w:p>
        </w:tc>
        <w:tc>
          <w:tcPr>
            <w:tcW w:w="1420" w:type="dxa"/>
            <w:vAlign w:val="bottom"/>
            <w:shd w:val="clear" w:color="auto" w:fill="56C271"/>
          </w:tcPr>
          <w:p>
            <w:pPr>
              <w:jc w:val="right"/>
              <w:ind w:right="32"/>
              <w:spacing w:after="0"/>
              <w:rPr>
                <w:sz w:val="20"/>
                <w:szCs w:val="20"/>
                <w:color w:val="auto"/>
              </w:rPr>
            </w:pPr>
            <w:r>
              <w:rPr>
                <w:rFonts w:ascii="Arial" w:cs="Arial" w:eastAsia="Arial" w:hAnsi="Arial"/>
                <w:sz w:val="14"/>
                <w:szCs w:val="14"/>
                <w:b w:val="1"/>
                <w:bCs w:val="1"/>
                <w:color w:val="FEFEFE"/>
              </w:rPr>
              <w:t>Stock Options (#)</w:t>
            </w:r>
          </w:p>
        </w:tc>
        <w:tc>
          <w:tcPr>
            <w:tcW w:w="260" w:type="dxa"/>
            <w:vAlign w:val="bottom"/>
            <w:shd w:val="clear" w:color="auto" w:fill="56C271"/>
          </w:tcPr>
          <w:p>
            <w:pPr>
              <w:spacing w:after="0"/>
              <w:rPr>
                <w:sz w:val="18"/>
                <w:szCs w:val="18"/>
                <w:color w:val="auto"/>
              </w:rPr>
            </w:pPr>
          </w:p>
        </w:tc>
        <w:tc>
          <w:tcPr>
            <w:tcW w:w="880" w:type="dxa"/>
            <w:vAlign w:val="bottom"/>
            <w:shd w:val="clear" w:color="auto" w:fill="56C271"/>
          </w:tcPr>
          <w:p>
            <w:pPr>
              <w:jc w:val="right"/>
              <w:ind w:right="35"/>
              <w:spacing w:after="0"/>
              <w:rPr>
                <w:sz w:val="20"/>
                <w:szCs w:val="20"/>
                <w:color w:val="auto"/>
              </w:rPr>
            </w:pPr>
            <w:r>
              <w:rPr>
                <w:rFonts w:ascii="Arial" w:cs="Arial" w:eastAsia="Arial" w:hAnsi="Arial"/>
                <w:sz w:val="14"/>
                <w:szCs w:val="14"/>
                <w:b w:val="1"/>
                <w:bCs w:val="1"/>
                <w:color w:val="FEFEFE"/>
              </w:rPr>
              <w:t>Awards ($)</w:t>
            </w:r>
          </w:p>
        </w:tc>
        <w:tc>
          <w:tcPr>
            <w:tcW w:w="1000" w:type="dxa"/>
            <w:vAlign w:val="bottom"/>
            <w:shd w:val="clear" w:color="auto" w:fill="56C271"/>
          </w:tcPr>
          <w:p>
            <w:pPr>
              <w:jc w:val="right"/>
              <w:ind w:right="35"/>
              <w:spacing w:after="0"/>
              <w:rPr>
                <w:sz w:val="20"/>
                <w:szCs w:val="20"/>
                <w:color w:val="auto"/>
              </w:rPr>
            </w:pPr>
            <w:r>
              <w:rPr>
                <w:rFonts w:ascii="Arial" w:cs="Arial" w:eastAsia="Arial" w:hAnsi="Arial"/>
                <w:sz w:val="14"/>
                <w:szCs w:val="14"/>
                <w:b w:val="1"/>
                <w:bCs w:val="1"/>
                <w:color w:val="FEFEFE"/>
              </w:rPr>
              <w:t>from FY20</w:t>
            </w:r>
          </w:p>
        </w:tc>
      </w:tr>
      <w:tr>
        <w:trPr>
          <w:trHeight w:val="283"/>
        </w:trPr>
        <w:tc>
          <w:tcPr>
            <w:tcW w:w="2760" w:type="dxa"/>
            <w:vAlign w:val="bottom"/>
          </w:tcPr>
          <w:p>
            <w:pPr>
              <w:ind w:left="100"/>
              <w:spacing w:after="0"/>
              <w:rPr>
                <w:sz w:val="20"/>
                <w:szCs w:val="20"/>
                <w:color w:val="auto"/>
              </w:rPr>
            </w:pPr>
            <w:r>
              <w:rPr>
                <w:rFonts w:ascii="Arial" w:cs="Arial" w:eastAsia="Arial" w:hAnsi="Arial"/>
                <w:sz w:val="18"/>
                <w:szCs w:val="18"/>
                <w:color w:val="auto"/>
              </w:rPr>
              <w:t>Gallagher</w:t>
            </w:r>
            <w:r>
              <w:rPr>
                <w:rFonts w:ascii="Arial" w:cs="Arial" w:eastAsia="Arial" w:hAnsi="Arial"/>
                <w:sz w:val="23"/>
                <w:szCs w:val="23"/>
                <w:color w:val="auto"/>
                <w:vertAlign w:val="superscript"/>
              </w:rPr>
              <w:t>(1)</w:t>
            </w:r>
          </w:p>
        </w:tc>
        <w:tc>
          <w:tcPr>
            <w:tcW w:w="2440" w:type="dxa"/>
            <w:vAlign w:val="bottom"/>
          </w:tcPr>
          <w:p>
            <w:pPr>
              <w:jc w:val="right"/>
              <w:ind w:right="52"/>
              <w:spacing w:after="0"/>
              <w:rPr>
                <w:sz w:val="20"/>
                <w:szCs w:val="20"/>
                <w:color w:val="auto"/>
              </w:rPr>
            </w:pPr>
            <w:r>
              <w:rPr>
                <w:rFonts w:ascii="Arial" w:cs="Arial" w:eastAsia="Arial" w:hAnsi="Arial"/>
                <w:sz w:val="18"/>
                <w:szCs w:val="18"/>
                <w:color w:val="auto"/>
              </w:rPr>
              <w:t>59,564</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191,048</w:t>
            </w:r>
          </w:p>
        </w:tc>
        <w:tc>
          <w:tcPr>
            <w:tcW w:w="1140" w:type="dxa"/>
            <w:vAlign w:val="bottom"/>
            <w:gridSpan w:val="2"/>
          </w:tcPr>
          <w:p>
            <w:pPr>
              <w:jc w:val="right"/>
              <w:ind w:right="15"/>
              <w:spacing w:after="0"/>
              <w:rPr>
                <w:sz w:val="20"/>
                <w:szCs w:val="20"/>
                <w:color w:val="auto"/>
              </w:rPr>
            </w:pPr>
            <w:r>
              <w:rPr>
                <w:rFonts w:ascii="Arial" w:cs="Arial" w:eastAsia="Arial" w:hAnsi="Arial"/>
                <w:sz w:val="18"/>
                <w:szCs w:val="18"/>
                <w:color w:val="auto"/>
              </w:rPr>
              <w:t>$3,500,000</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159.3%</w:t>
            </w:r>
          </w:p>
        </w:tc>
      </w:tr>
      <w:tr>
        <w:trPr>
          <w:trHeight w:val="257"/>
        </w:trPr>
        <w:tc>
          <w:tcPr>
            <w:tcW w:w="2760" w:type="dxa"/>
            <w:vAlign w:val="bottom"/>
            <w:shd w:val="clear" w:color="auto" w:fill="CCEDD4"/>
          </w:tcPr>
          <w:p>
            <w:pPr>
              <w:ind w:left="100"/>
              <w:spacing w:after="0"/>
              <w:rPr>
                <w:sz w:val="20"/>
                <w:szCs w:val="20"/>
                <w:color w:val="auto"/>
              </w:rPr>
            </w:pPr>
            <w:r>
              <w:rPr>
                <w:rFonts w:ascii="Arial" w:cs="Arial" w:eastAsia="Arial" w:hAnsi="Arial"/>
                <w:sz w:val="18"/>
                <w:szCs w:val="18"/>
                <w:color w:val="auto"/>
              </w:rPr>
              <w:t>Liguori</w:t>
            </w:r>
          </w:p>
        </w:tc>
        <w:tc>
          <w:tcPr>
            <w:tcW w:w="2440" w:type="dxa"/>
            <w:vAlign w:val="bottom"/>
            <w:shd w:val="clear" w:color="auto" w:fill="CCEDD4"/>
          </w:tcPr>
          <w:p>
            <w:pPr>
              <w:jc w:val="right"/>
              <w:ind w:right="52"/>
              <w:spacing w:after="0"/>
              <w:rPr>
                <w:sz w:val="20"/>
                <w:szCs w:val="20"/>
                <w:color w:val="auto"/>
              </w:rPr>
            </w:pPr>
            <w:r>
              <w:rPr>
                <w:rFonts w:ascii="Arial" w:cs="Arial" w:eastAsia="Arial" w:hAnsi="Arial"/>
                <w:sz w:val="18"/>
                <w:szCs w:val="18"/>
                <w:color w:val="auto"/>
              </w:rPr>
              <w:t>25,124</w:t>
            </w:r>
          </w:p>
        </w:tc>
        <w:tc>
          <w:tcPr>
            <w:tcW w:w="1420" w:type="dxa"/>
            <w:vAlign w:val="bottom"/>
            <w:shd w:val="clear" w:color="auto" w:fill="CCEDD4"/>
          </w:tcPr>
          <w:p>
            <w:pPr>
              <w:jc w:val="right"/>
              <w:ind w:right="292"/>
              <w:spacing w:after="0"/>
              <w:rPr>
                <w:sz w:val="20"/>
                <w:szCs w:val="20"/>
                <w:color w:val="auto"/>
              </w:rPr>
            </w:pPr>
            <w:r>
              <w:rPr>
                <w:rFonts w:ascii="Arial" w:cs="Arial" w:eastAsia="Arial" w:hAnsi="Arial"/>
                <w:sz w:val="18"/>
                <w:szCs w:val="18"/>
                <w:color w:val="auto"/>
              </w:rPr>
              <w:t>80,644</w:t>
            </w:r>
          </w:p>
        </w:tc>
        <w:tc>
          <w:tcPr>
            <w:tcW w:w="1140" w:type="dxa"/>
            <w:vAlign w:val="bottom"/>
            <w:gridSpan w:val="2"/>
            <w:shd w:val="clear" w:color="auto" w:fill="CCEDD4"/>
          </w:tcPr>
          <w:p>
            <w:pPr>
              <w:jc w:val="right"/>
              <w:ind w:right="15"/>
              <w:spacing w:after="0"/>
              <w:rPr>
                <w:sz w:val="20"/>
                <w:szCs w:val="20"/>
                <w:color w:val="auto"/>
              </w:rPr>
            </w:pPr>
            <w:r>
              <w:rPr>
                <w:rFonts w:ascii="Arial" w:cs="Arial" w:eastAsia="Arial" w:hAnsi="Arial"/>
                <w:sz w:val="18"/>
                <w:szCs w:val="18"/>
                <w:color w:val="auto"/>
              </w:rPr>
              <w:t>$1,500,000</w:t>
            </w:r>
          </w:p>
        </w:tc>
        <w:tc>
          <w:tcPr>
            <w:tcW w:w="1000" w:type="dxa"/>
            <w:vAlign w:val="bottom"/>
            <w:shd w:val="clear" w:color="auto" w:fill="CCEDD4"/>
          </w:tcPr>
          <w:p>
            <w:pPr>
              <w:jc w:val="right"/>
              <w:ind w:right="35"/>
              <w:spacing w:after="0"/>
              <w:rPr>
                <w:sz w:val="20"/>
                <w:szCs w:val="20"/>
                <w:color w:val="auto"/>
              </w:rPr>
            </w:pPr>
            <w:r>
              <w:rPr>
                <w:rFonts w:ascii="Arial" w:cs="Arial" w:eastAsia="Arial" w:hAnsi="Arial"/>
                <w:sz w:val="18"/>
                <w:szCs w:val="18"/>
                <w:color w:val="auto"/>
              </w:rPr>
              <w:t>0%</w:t>
            </w:r>
          </w:p>
        </w:tc>
      </w:tr>
      <w:tr>
        <w:trPr>
          <w:trHeight w:val="256"/>
        </w:trPr>
        <w:tc>
          <w:tcPr>
            <w:tcW w:w="2760" w:type="dxa"/>
            <w:vAlign w:val="bottom"/>
          </w:tcPr>
          <w:p>
            <w:pPr>
              <w:ind w:left="100"/>
              <w:spacing w:after="0"/>
              <w:rPr>
                <w:sz w:val="20"/>
                <w:szCs w:val="20"/>
                <w:color w:val="auto"/>
              </w:rPr>
            </w:pPr>
            <w:r>
              <w:rPr>
                <w:rFonts w:ascii="Arial" w:cs="Arial" w:eastAsia="Arial" w:hAnsi="Arial"/>
                <w:sz w:val="18"/>
                <w:szCs w:val="18"/>
                <w:color w:val="auto"/>
              </w:rPr>
              <w:t>Arnold</w:t>
            </w:r>
          </w:p>
        </w:tc>
        <w:tc>
          <w:tcPr>
            <w:tcW w:w="2440" w:type="dxa"/>
            <w:vAlign w:val="bottom"/>
          </w:tcPr>
          <w:p>
            <w:pPr>
              <w:jc w:val="right"/>
              <w:ind w:right="52"/>
              <w:spacing w:after="0"/>
              <w:rPr>
                <w:sz w:val="20"/>
                <w:szCs w:val="20"/>
                <w:color w:val="auto"/>
              </w:rPr>
            </w:pPr>
            <w:r>
              <w:rPr>
                <w:rFonts w:ascii="Arial" w:cs="Arial" w:eastAsia="Arial" w:hAnsi="Arial"/>
                <w:sz w:val="18"/>
                <w:szCs w:val="18"/>
                <w:color w:val="auto"/>
              </w:rPr>
              <w:t>10,468</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33,604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625,000</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19.0%</w:t>
            </w:r>
          </w:p>
        </w:tc>
      </w:tr>
      <w:tr>
        <w:trPr>
          <w:trHeight w:val="284"/>
        </w:trPr>
        <w:tc>
          <w:tcPr>
            <w:tcW w:w="2760" w:type="dxa"/>
            <w:vAlign w:val="bottom"/>
            <w:shd w:val="clear" w:color="auto" w:fill="CCEDD4"/>
          </w:tcPr>
          <w:p>
            <w:pPr>
              <w:ind w:left="100"/>
              <w:spacing w:after="0"/>
              <w:rPr>
                <w:sz w:val="20"/>
                <w:szCs w:val="20"/>
                <w:color w:val="auto"/>
              </w:rPr>
            </w:pPr>
            <w:r>
              <w:rPr>
                <w:rFonts w:ascii="Arial" w:cs="Arial" w:eastAsia="Arial" w:hAnsi="Arial"/>
                <w:sz w:val="18"/>
                <w:szCs w:val="18"/>
                <w:color w:val="auto"/>
              </w:rPr>
              <w:t>Chan</w:t>
            </w:r>
            <w:r>
              <w:rPr>
                <w:rFonts w:ascii="Arial" w:cs="Arial" w:eastAsia="Arial" w:hAnsi="Arial"/>
                <w:sz w:val="23"/>
                <w:szCs w:val="23"/>
                <w:color w:val="auto"/>
                <w:vertAlign w:val="superscript"/>
              </w:rPr>
              <w:t>(2)</w:t>
            </w:r>
          </w:p>
        </w:tc>
        <w:tc>
          <w:tcPr>
            <w:tcW w:w="2440" w:type="dxa"/>
            <w:vAlign w:val="bottom"/>
            <w:shd w:val="clear" w:color="auto" w:fill="CCEDD4"/>
          </w:tcPr>
          <w:p>
            <w:pPr>
              <w:jc w:val="right"/>
              <w:ind w:right="52"/>
              <w:spacing w:after="0"/>
              <w:rPr>
                <w:sz w:val="20"/>
                <w:szCs w:val="20"/>
                <w:color w:val="auto"/>
              </w:rPr>
            </w:pPr>
            <w:r>
              <w:rPr>
                <w:rFonts w:ascii="Arial" w:cs="Arial" w:eastAsia="Arial" w:hAnsi="Arial"/>
                <w:sz w:val="18"/>
                <w:szCs w:val="18"/>
                <w:color w:val="auto"/>
              </w:rPr>
              <w:t>9,552</w:t>
            </w:r>
          </w:p>
        </w:tc>
        <w:tc>
          <w:tcPr>
            <w:tcW w:w="1420" w:type="dxa"/>
            <w:vAlign w:val="bottom"/>
            <w:shd w:val="clear" w:color="auto" w:fill="CCEDD4"/>
          </w:tcPr>
          <w:p>
            <w:pPr>
              <w:jc w:val="right"/>
              <w:ind w:right="292"/>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DD4"/>
          </w:tcPr>
          <w:p>
            <w:pPr>
              <w:jc w:val="right"/>
              <w:ind w:right="15"/>
              <w:spacing w:after="0"/>
              <w:rPr>
                <w:sz w:val="20"/>
                <w:szCs w:val="20"/>
                <w:color w:val="auto"/>
              </w:rPr>
            </w:pPr>
            <w:r>
              <w:rPr>
                <w:rFonts w:ascii="Arial" w:cs="Arial" w:eastAsia="Arial" w:hAnsi="Arial"/>
                <w:sz w:val="18"/>
                <w:szCs w:val="18"/>
                <w:color w:val="auto"/>
              </w:rPr>
              <w:t>350,000</w:t>
            </w:r>
          </w:p>
        </w:tc>
        <w:tc>
          <w:tcPr>
            <w:tcW w:w="1000" w:type="dxa"/>
            <w:vAlign w:val="bottom"/>
            <w:shd w:val="clear" w:color="auto" w:fill="CCEDD4"/>
          </w:tcPr>
          <w:p>
            <w:pPr>
              <w:jc w:val="right"/>
              <w:ind w:right="35"/>
              <w:spacing w:after="0"/>
              <w:rPr>
                <w:sz w:val="20"/>
                <w:szCs w:val="20"/>
                <w:color w:val="auto"/>
              </w:rPr>
            </w:pPr>
            <w:r>
              <w:rPr>
                <w:rFonts w:ascii="Arial" w:cs="Arial" w:eastAsia="Arial" w:hAnsi="Arial"/>
                <w:sz w:val="18"/>
                <w:szCs w:val="18"/>
                <w:color w:val="auto"/>
              </w:rPr>
              <w:t>16.7%</w:t>
            </w:r>
          </w:p>
        </w:tc>
      </w:tr>
      <w:tr>
        <w:trPr>
          <w:trHeight w:val="283"/>
        </w:trPr>
        <w:tc>
          <w:tcPr>
            <w:tcW w:w="2760" w:type="dxa"/>
            <w:vAlign w:val="bottom"/>
          </w:tcPr>
          <w:p>
            <w:pPr>
              <w:ind w:left="100"/>
              <w:spacing w:after="0"/>
              <w:rPr>
                <w:sz w:val="20"/>
                <w:szCs w:val="20"/>
                <w:color w:val="auto"/>
              </w:rPr>
            </w:pPr>
            <w:r>
              <w:rPr>
                <w:rFonts w:ascii="Arial" w:cs="Arial" w:eastAsia="Arial" w:hAnsi="Arial"/>
                <w:sz w:val="18"/>
                <w:szCs w:val="18"/>
                <w:color w:val="auto"/>
              </w:rPr>
              <w:t>McCoy</w:t>
            </w:r>
            <w:r>
              <w:rPr>
                <w:rFonts w:ascii="Arial" w:cs="Arial" w:eastAsia="Arial" w:hAnsi="Arial"/>
                <w:sz w:val="23"/>
                <w:szCs w:val="23"/>
                <w:color w:val="auto"/>
                <w:vertAlign w:val="superscript"/>
              </w:rPr>
              <w:t>(3)</w:t>
            </w:r>
          </w:p>
        </w:tc>
        <w:tc>
          <w:tcPr>
            <w:tcW w:w="2440" w:type="dxa"/>
            <w:vAlign w:val="bottom"/>
          </w:tcPr>
          <w:p>
            <w:pPr>
              <w:jc w:val="right"/>
              <w:ind w:right="52"/>
              <w:spacing w:after="0"/>
              <w:rPr>
                <w:sz w:val="20"/>
                <w:szCs w:val="20"/>
                <w:color w:val="auto"/>
              </w:rPr>
            </w:pPr>
            <w:r>
              <w:rPr>
                <w:rFonts w:ascii="Arial" w:cs="Arial" w:eastAsia="Arial" w:hAnsi="Arial"/>
                <w:sz w:val="18"/>
                <w:szCs w:val="18"/>
                <w:color w:val="auto"/>
              </w:rPr>
              <w:t>11,308</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36,292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675,000</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206.8%</w:t>
            </w:r>
          </w:p>
        </w:tc>
      </w:tr>
      <w:tr>
        <w:trPr>
          <w:trHeight w:val="283"/>
        </w:trPr>
        <w:tc>
          <w:tcPr>
            <w:tcW w:w="2760" w:type="dxa"/>
            <w:vAlign w:val="bottom"/>
            <w:shd w:val="clear" w:color="auto" w:fill="CCEDD4"/>
          </w:tcPr>
          <w:p>
            <w:pPr>
              <w:ind w:left="100"/>
              <w:spacing w:after="0"/>
              <w:rPr>
                <w:sz w:val="20"/>
                <w:szCs w:val="20"/>
                <w:color w:val="auto"/>
              </w:rPr>
            </w:pPr>
            <w:r>
              <w:rPr>
                <w:rFonts w:ascii="Arial" w:cs="Arial" w:eastAsia="Arial" w:hAnsi="Arial"/>
                <w:sz w:val="18"/>
                <w:szCs w:val="18"/>
                <w:color w:val="auto"/>
              </w:rPr>
              <w:t>Amelio</w:t>
            </w:r>
            <w:r>
              <w:rPr>
                <w:rFonts w:ascii="Arial" w:cs="Arial" w:eastAsia="Arial" w:hAnsi="Arial"/>
                <w:sz w:val="23"/>
                <w:szCs w:val="23"/>
                <w:color w:val="auto"/>
                <w:vertAlign w:val="superscript"/>
              </w:rPr>
              <w:t>(4)</w:t>
            </w:r>
          </w:p>
        </w:tc>
        <w:tc>
          <w:tcPr>
            <w:tcW w:w="2440" w:type="dxa"/>
            <w:vAlign w:val="bottom"/>
            <w:shd w:val="clear" w:color="auto" w:fill="CCEDD4"/>
          </w:tcPr>
          <w:p>
            <w:pPr>
              <w:jc w:val="right"/>
              <w:ind w:right="52"/>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DD4"/>
          </w:tcPr>
          <w:p>
            <w:pPr>
              <w:jc w:val="right"/>
              <w:ind w:right="292"/>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DD4"/>
          </w:tcPr>
          <w:p>
            <w:pPr>
              <w:jc w:val="right"/>
              <w:ind w:right="15"/>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DD4"/>
          </w:tcPr>
          <w:p>
            <w:pPr>
              <w:jc w:val="right"/>
              <w:ind w:right="35"/>
              <w:spacing w:after="0"/>
              <w:rPr>
                <w:sz w:val="20"/>
                <w:szCs w:val="20"/>
                <w:color w:val="auto"/>
              </w:rPr>
            </w:pPr>
            <w:r>
              <w:rPr>
                <w:rFonts w:ascii="Arial" w:cs="Arial" w:eastAsia="Arial" w:hAnsi="Arial"/>
                <w:sz w:val="18"/>
                <w:szCs w:val="18"/>
                <w:color w:val="auto"/>
              </w:rPr>
              <w:t>n/a</w:t>
            </w:r>
          </w:p>
        </w:tc>
      </w:tr>
      <w:tr>
        <w:trPr>
          <w:trHeight w:val="284"/>
        </w:trPr>
        <w:tc>
          <w:tcPr>
            <w:tcW w:w="2760" w:type="dxa"/>
            <w:vAlign w:val="bottom"/>
          </w:tcPr>
          <w:p>
            <w:pPr>
              <w:ind w:left="100"/>
              <w:spacing w:after="0"/>
              <w:rPr>
                <w:sz w:val="20"/>
                <w:szCs w:val="20"/>
                <w:color w:val="auto"/>
              </w:rPr>
            </w:pPr>
            <w:r>
              <w:rPr>
                <w:rFonts w:ascii="Arial" w:cs="Arial" w:eastAsia="Arial" w:hAnsi="Arial"/>
                <w:sz w:val="18"/>
                <w:szCs w:val="18"/>
                <w:color w:val="auto"/>
              </w:rPr>
              <w:t>Bartolotta</w:t>
            </w:r>
            <w:r>
              <w:rPr>
                <w:rFonts w:ascii="Arial" w:cs="Arial" w:eastAsia="Arial" w:hAnsi="Arial"/>
                <w:sz w:val="23"/>
                <w:szCs w:val="23"/>
                <w:color w:val="auto"/>
                <w:vertAlign w:val="superscript"/>
              </w:rPr>
              <w:t>(4)</w:t>
            </w:r>
          </w:p>
        </w:tc>
        <w:tc>
          <w:tcPr>
            <w:tcW w:w="244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n/a</w:t>
            </w:r>
          </w:p>
        </w:tc>
      </w:tr>
      <w:tr>
        <w:trPr>
          <w:trHeight w:val="277"/>
        </w:trPr>
        <w:tc>
          <w:tcPr>
            <w:tcW w:w="2760" w:type="dxa"/>
            <w:vAlign w:val="bottom"/>
            <w:tcBorders>
              <w:bottom w:val="single" w:sz="8" w:color="CCEDD4"/>
            </w:tcBorders>
            <w:shd w:val="clear" w:color="auto" w:fill="CCEDD4"/>
          </w:tcPr>
          <w:p>
            <w:pPr>
              <w:ind w:left="100"/>
              <w:spacing w:after="0"/>
              <w:rPr>
                <w:sz w:val="20"/>
                <w:szCs w:val="20"/>
                <w:color w:val="auto"/>
              </w:rPr>
            </w:pPr>
            <w:r>
              <w:rPr>
                <w:rFonts w:ascii="Arial" w:cs="Arial" w:eastAsia="Arial" w:hAnsi="Arial"/>
                <w:sz w:val="18"/>
                <w:szCs w:val="18"/>
                <w:color w:val="auto"/>
              </w:rPr>
              <w:t>Miller</w:t>
            </w:r>
          </w:p>
        </w:tc>
        <w:tc>
          <w:tcPr>
            <w:tcW w:w="2440" w:type="dxa"/>
            <w:vAlign w:val="bottom"/>
            <w:tcBorders>
              <w:bottom w:val="single" w:sz="8" w:color="CCEDD4"/>
            </w:tcBorders>
            <w:shd w:val="clear" w:color="auto" w:fill="CCEDD4"/>
          </w:tcPr>
          <w:p>
            <w:pPr>
              <w:jc w:val="right"/>
              <w:ind w:right="52"/>
              <w:spacing w:after="0"/>
              <w:rPr>
                <w:sz w:val="20"/>
                <w:szCs w:val="20"/>
                <w:color w:val="auto"/>
              </w:rPr>
            </w:pPr>
            <w:r>
              <w:rPr>
                <w:rFonts w:ascii="Arial" w:cs="Arial" w:eastAsia="Arial" w:hAnsi="Arial"/>
                <w:sz w:val="18"/>
                <w:szCs w:val="18"/>
                <w:color w:val="auto"/>
              </w:rPr>
              <w:t>20,520</w:t>
            </w:r>
          </w:p>
        </w:tc>
        <w:tc>
          <w:tcPr>
            <w:tcW w:w="1420" w:type="dxa"/>
            <w:vAlign w:val="bottom"/>
            <w:tcBorders>
              <w:bottom w:val="single" w:sz="8" w:color="CCEDD4"/>
            </w:tcBorders>
            <w:shd w:val="clear" w:color="auto" w:fill="CCEDD4"/>
          </w:tcPr>
          <w:p>
            <w:pPr>
              <w:jc w:val="right"/>
              <w:ind w:right="292"/>
              <w:spacing w:after="0"/>
              <w:rPr>
                <w:sz w:val="20"/>
                <w:szCs w:val="20"/>
                <w:color w:val="auto"/>
              </w:rPr>
            </w:pPr>
            <w:r>
              <w:rPr>
                <w:rFonts w:ascii="Arial" w:cs="Arial" w:eastAsia="Arial" w:hAnsi="Arial"/>
                <w:sz w:val="18"/>
                <w:szCs w:val="18"/>
                <w:color w:val="auto"/>
              </w:rPr>
              <w:t>65,860</w:t>
            </w:r>
          </w:p>
        </w:tc>
        <w:tc>
          <w:tcPr>
            <w:tcW w:w="1140" w:type="dxa"/>
            <w:vAlign w:val="bottom"/>
            <w:tcBorders>
              <w:bottom w:val="single" w:sz="8" w:color="CCEDD4"/>
            </w:tcBorders>
            <w:gridSpan w:val="2"/>
            <w:shd w:val="clear" w:color="auto" w:fill="CCEDD4"/>
          </w:tcPr>
          <w:p>
            <w:pPr>
              <w:jc w:val="right"/>
              <w:ind w:right="15"/>
              <w:spacing w:after="0"/>
              <w:rPr>
                <w:sz w:val="20"/>
                <w:szCs w:val="20"/>
                <w:color w:val="auto"/>
              </w:rPr>
            </w:pPr>
            <w:r>
              <w:rPr>
                <w:rFonts w:ascii="Arial" w:cs="Arial" w:eastAsia="Arial" w:hAnsi="Arial"/>
                <w:sz w:val="18"/>
                <w:szCs w:val="18"/>
                <w:color w:val="auto"/>
              </w:rPr>
              <w:t>$1,225,000</w:t>
            </w:r>
          </w:p>
        </w:tc>
        <w:tc>
          <w:tcPr>
            <w:tcW w:w="1000" w:type="dxa"/>
            <w:vAlign w:val="bottom"/>
            <w:tcBorders>
              <w:bottom w:val="single" w:sz="8" w:color="CCEDD4"/>
            </w:tcBorders>
            <w:shd w:val="clear" w:color="auto" w:fill="CCEDD4"/>
          </w:tcPr>
          <w:p>
            <w:pPr>
              <w:jc w:val="right"/>
              <w:ind w:right="35"/>
              <w:spacing w:after="0"/>
              <w:rPr>
                <w:sz w:val="20"/>
                <w:szCs w:val="20"/>
                <w:color w:val="auto"/>
              </w:rPr>
            </w:pPr>
            <w:r>
              <w:rPr>
                <w:rFonts w:ascii="Arial" w:cs="Arial" w:eastAsia="Arial" w:hAnsi="Arial"/>
                <w:sz w:val="18"/>
                <w:szCs w:val="18"/>
                <w:color w:val="auto"/>
              </w:rPr>
              <w:t>0%</w:t>
            </w:r>
          </w:p>
        </w:tc>
      </w:tr>
      <w:tr>
        <w:trPr>
          <w:trHeight w:val="27"/>
        </w:trPr>
        <w:tc>
          <w:tcPr>
            <w:tcW w:w="2760" w:type="dxa"/>
            <w:vAlign w:val="bottom"/>
            <w:shd w:val="clear" w:color="auto" w:fill="56C271"/>
          </w:tcPr>
          <w:p>
            <w:pPr>
              <w:spacing w:after="0"/>
              <w:rPr>
                <w:sz w:val="2"/>
                <w:szCs w:val="2"/>
                <w:color w:val="auto"/>
              </w:rPr>
            </w:pPr>
          </w:p>
        </w:tc>
        <w:tc>
          <w:tcPr>
            <w:tcW w:w="2440" w:type="dxa"/>
            <w:vAlign w:val="bottom"/>
            <w:shd w:val="clear" w:color="auto" w:fill="56C271"/>
          </w:tcPr>
          <w:p>
            <w:pPr>
              <w:spacing w:after="0"/>
              <w:rPr>
                <w:sz w:val="2"/>
                <w:szCs w:val="2"/>
                <w:color w:val="auto"/>
              </w:rPr>
            </w:pPr>
          </w:p>
        </w:tc>
        <w:tc>
          <w:tcPr>
            <w:tcW w:w="1420" w:type="dxa"/>
            <w:vAlign w:val="bottom"/>
            <w:shd w:val="clear" w:color="auto" w:fill="56C271"/>
          </w:tcPr>
          <w:p>
            <w:pPr>
              <w:spacing w:after="0"/>
              <w:rPr>
                <w:sz w:val="2"/>
                <w:szCs w:val="2"/>
                <w:color w:val="auto"/>
              </w:rPr>
            </w:pPr>
          </w:p>
        </w:tc>
        <w:tc>
          <w:tcPr>
            <w:tcW w:w="260" w:type="dxa"/>
            <w:vAlign w:val="bottom"/>
            <w:shd w:val="clear" w:color="auto" w:fill="56C271"/>
          </w:tcPr>
          <w:p>
            <w:pPr>
              <w:spacing w:after="0"/>
              <w:rPr>
                <w:sz w:val="2"/>
                <w:szCs w:val="2"/>
                <w:color w:val="auto"/>
              </w:rPr>
            </w:pPr>
          </w:p>
        </w:tc>
        <w:tc>
          <w:tcPr>
            <w:tcW w:w="880" w:type="dxa"/>
            <w:vAlign w:val="bottom"/>
            <w:shd w:val="clear" w:color="auto" w:fill="56C271"/>
          </w:tcPr>
          <w:p>
            <w:pPr>
              <w:spacing w:after="0"/>
              <w:rPr>
                <w:sz w:val="2"/>
                <w:szCs w:val="2"/>
                <w:color w:val="auto"/>
              </w:rPr>
            </w:pPr>
          </w:p>
        </w:tc>
        <w:tc>
          <w:tcPr>
            <w:tcW w:w="1000" w:type="dxa"/>
            <w:vAlign w:val="bottom"/>
            <w:shd w:val="clear" w:color="auto" w:fill="56C271"/>
          </w:tcPr>
          <w:p>
            <w:pPr>
              <w:spacing w:after="0"/>
              <w:rPr>
                <w:sz w:val="2"/>
                <w:szCs w:val="2"/>
                <w:color w:val="auto"/>
              </w:rPr>
            </w:pPr>
          </w:p>
        </w:tc>
      </w:tr>
    </w:tbl>
    <w:p>
      <w:pPr>
        <w:spacing w:after="0" w:line="67" w:lineRule="exact"/>
        <w:rPr>
          <w:sz w:val="20"/>
          <w:szCs w:val="20"/>
          <w:color w:val="auto"/>
        </w:rPr>
      </w:pPr>
    </w:p>
    <w:p>
      <w:pPr>
        <w:ind w:left="1820" w:right="539" w:hanging="722"/>
        <w:spacing w:after="0" w:line="261" w:lineRule="auto"/>
        <w:tabs>
          <w:tab w:leader="none" w:pos="1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Gallagher’s long-term incentive award value increased for fiscal 2021 in connection with his promotion to Chief Executive Officer in November 2020.</w:t>
      </w:r>
    </w:p>
    <w:p>
      <w:pPr>
        <w:spacing w:after="0" w:line="49" w:lineRule="exact"/>
        <w:rPr>
          <w:rFonts w:ascii="Arial" w:cs="Arial" w:eastAsia="Arial" w:hAnsi="Arial"/>
          <w:sz w:val="18"/>
          <w:szCs w:val="18"/>
          <w:color w:val="auto"/>
        </w:rPr>
      </w:pPr>
    </w:p>
    <w:p>
      <w:pPr>
        <w:jc w:val="both"/>
        <w:ind w:left="1820" w:right="219" w:hanging="722"/>
        <w:spacing w:after="0" w:line="256" w:lineRule="auto"/>
        <w:tabs>
          <w:tab w:leader="none" w:pos="1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Chan’s long-term incentive award was granted prior to him being promoted to Avnet Leadership Team. For this reason, his LTIP award was granted under a different plan, which consisted solely of RSUs.</w:t>
      </w:r>
    </w:p>
    <w:p>
      <w:pPr>
        <w:spacing w:after="0" w:line="53" w:lineRule="exact"/>
        <w:rPr>
          <w:rFonts w:ascii="Arial" w:cs="Arial" w:eastAsia="Arial" w:hAnsi="Arial"/>
          <w:sz w:val="18"/>
          <w:szCs w:val="18"/>
          <w:color w:val="auto"/>
        </w:rPr>
      </w:pPr>
    </w:p>
    <w:p>
      <w:pPr>
        <w:ind w:left="1820" w:right="759" w:hanging="722"/>
        <w:spacing w:after="0" w:line="291" w:lineRule="auto"/>
        <w:tabs>
          <w:tab w:leader="none" w:pos="18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Mr. McCoy’s long-term incentive award value increased for fiscal 2021 in connection with his promotion to Senior Vice President, Chief Legal Officer and General Counsel in April 2020.</w:t>
      </w:r>
    </w:p>
    <w:p>
      <w:pPr>
        <w:spacing w:after="0" w:line="25" w:lineRule="exact"/>
        <w:rPr>
          <w:rFonts w:ascii="Arial" w:cs="Arial" w:eastAsia="Arial" w:hAnsi="Arial"/>
          <w:sz w:val="17"/>
          <w:szCs w:val="17"/>
          <w:color w:val="auto"/>
        </w:rPr>
      </w:pPr>
    </w:p>
    <w:p>
      <w:pPr>
        <w:ind w:left="1820" w:right="679" w:hanging="722"/>
        <w:spacing w:after="0" w:line="261" w:lineRule="auto"/>
        <w:tabs>
          <w:tab w:leader="none" w:pos="1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Under the terms of their separation agreements and based on their separation dates, Messrs. Amelio and Bartolotta were not granted fiscal 2021 LTIP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109220</wp:posOffset>
            </wp:positionV>
            <wp:extent cx="1482725" cy="291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9" w:lineRule="exact"/>
        <w:rPr>
          <w:sz w:val="20"/>
          <w:szCs w:val="20"/>
          <w:color w:val="auto"/>
        </w:rPr>
      </w:pPr>
    </w:p>
    <w:p>
      <w:pPr>
        <w:ind w:left="1000" w:right="199"/>
        <w:spacing w:after="0" w:line="282" w:lineRule="auto"/>
        <w:rPr>
          <w:sz w:val="20"/>
          <w:szCs w:val="20"/>
          <w:color w:val="auto"/>
        </w:rPr>
      </w:pPr>
      <w:r>
        <w:rPr>
          <w:rFonts w:ascii="Arial" w:cs="Arial" w:eastAsia="Arial" w:hAnsi="Arial"/>
          <w:sz w:val="17"/>
          <w:szCs w:val="17"/>
          <w:b w:val="1"/>
          <w:bCs w:val="1"/>
          <w:color w:val="56C271"/>
        </w:rPr>
        <w:t xml:space="preserve">Restricted Stock Units. </w:t>
      </w:r>
      <w:r>
        <w:rPr>
          <w:rFonts w:ascii="Arial" w:cs="Arial" w:eastAsia="Arial" w:hAnsi="Arial"/>
          <w:sz w:val="17"/>
          <w:szCs w:val="17"/>
          <w:color w:val="000000"/>
        </w:rPr>
        <w:t>RSUs provide the NEOs the opportunity to earn shares of the Company’s common</w:t>
      </w:r>
      <w:r>
        <w:rPr>
          <w:rFonts w:ascii="Arial" w:cs="Arial" w:eastAsia="Arial" w:hAnsi="Arial"/>
          <w:sz w:val="17"/>
          <w:szCs w:val="17"/>
          <w:b w:val="1"/>
          <w:bCs w:val="1"/>
          <w:color w:val="56C271"/>
        </w:rPr>
        <w:t xml:space="preserve"> </w:t>
      </w:r>
      <w:r>
        <w:rPr>
          <w:rFonts w:ascii="Arial" w:cs="Arial" w:eastAsia="Arial" w:hAnsi="Arial"/>
          <w:sz w:val="17"/>
          <w:szCs w:val="17"/>
          <w:color w:val="000000"/>
        </w:rPr>
        <w:t>stock over a stated vesting period. Each RSU is the economic equivalent of one share of the Company’s common stock. When vested, the number of RSUs will be settled in a like number of shares of the Company’s common stock. RSUs granted in fiscal 2021 vest in four equal installments over three-and-a-half years.</w:t>
      </w:r>
    </w:p>
    <w:p>
      <w:pPr>
        <w:spacing w:after="0" w:line="80" w:lineRule="exact"/>
        <w:rPr>
          <w:sz w:val="20"/>
          <w:szCs w:val="20"/>
          <w:color w:val="auto"/>
        </w:rPr>
      </w:pPr>
    </w:p>
    <w:p>
      <w:pPr>
        <w:ind w:left="1000" w:right="219"/>
        <w:spacing w:after="0" w:line="257" w:lineRule="auto"/>
        <w:rPr>
          <w:sz w:val="20"/>
          <w:szCs w:val="20"/>
          <w:color w:val="auto"/>
        </w:rPr>
      </w:pPr>
      <w:r>
        <w:rPr>
          <w:rFonts w:ascii="Arial" w:cs="Arial" w:eastAsia="Arial" w:hAnsi="Arial"/>
          <w:sz w:val="18"/>
          <w:szCs w:val="18"/>
          <w:b w:val="1"/>
          <w:bCs w:val="1"/>
          <w:color w:val="56C271"/>
        </w:rPr>
        <w:t xml:space="preserve">Stock Options. </w:t>
      </w:r>
      <w:r>
        <w:rPr>
          <w:rFonts w:ascii="Arial" w:cs="Arial" w:eastAsia="Arial" w:hAnsi="Arial"/>
          <w:sz w:val="18"/>
          <w:szCs w:val="18"/>
          <w:color w:val="000000"/>
        </w:rPr>
        <w:t>Stock options provide the NEOs the opportunity to purchase a fixed number of shares of the</w:t>
      </w:r>
      <w:r>
        <w:rPr>
          <w:rFonts w:ascii="Arial" w:cs="Arial" w:eastAsia="Arial" w:hAnsi="Arial"/>
          <w:sz w:val="18"/>
          <w:szCs w:val="18"/>
          <w:b w:val="1"/>
          <w:bCs w:val="1"/>
          <w:color w:val="56C271"/>
        </w:rPr>
        <w:t xml:space="preserve"> </w:t>
      </w:r>
      <w:r>
        <w:rPr>
          <w:rFonts w:ascii="Arial" w:cs="Arial" w:eastAsia="Arial" w:hAnsi="Arial"/>
          <w:sz w:val="18"/>
          <w:szCs w:val="18"/>
          <w:color w:val="000000"/>
        </w:rPr>
        <w:t>Company’s common stock at a fixed exercise price over a fixed period of time. Stock options granted in fiscal 2021 vest in four equal annual installments over a four-year period, and the vested portion can generally be exercised during a ten-year term. The exercise price is equal to the closing share price of the Company’s common stock on the date of grant. Stock options provide the opportunity for compensation only if the stock price appreciates from the date of grant.</w:t>
      </w:r>
    </w:p>
    <w:p>
      <w:pPr>
        <w:spacing w:after="0" w:line="115" w:lineRule="exact"/>
        <w:rPr>
          <w:sz w:val="20"/>
          <w:szCs w:val="20"/>
          <w:color w:val="auto"/>
        </w:rPr>
      </w:pPr>
    </w:p>
    <w:p>
      <w:pPr>
        <w:ind w:left="1000" w:right="159"/>
        <w:spacing w:after="0" w:line="259" w:lineRule="auto"/>
        <w:rPr>
          <w:sz w:val="20"/>
          <w:szCs w:val="20"/>
          <w:color w:val="auto"/>
        </w:rPr>
      </w:pPr>
      <w:r>
        <w:rPr>
          <w:rFonts w:ascii="Arial" w:cs="Arial" w:eastAsia="Arial" w:hAnsi="Arial"/>
          <w:sz w:val="18"/>
          <w:szCs w:val="18"/>
          <w:b w:val="1"/>
          <w:bCs w:val="1"/>
          <w:color w:val="56C271"/>
        </w:rPr>
        <w:t xml:space="preserve">PSU Earnouts for Fiscal 2021 </w:t>
      </w:r>
      <w:r>
        <w:rPr>
          <w:rFonts w:ascii="Arial" w:cs="Arial" w:eastAsia="Arial" w:hAnsi="Arial"/>
          <w:sz w:val="18"/>
          <w:szCs w:val="18"/>
          <w:color w:val="000000"/>
        </w:rPr>
        <w:t>Performance Share Units (“PSUs”) previously granted in fiscal 2019 vested to</w:t>
      </w:r>
      <w:r>
        <w:rPr>
          <w:rFonts w:ascii="Arial" w:cs="Arial" w:eastAsia="Arial" w:hAnsi="Arial"/>
          <w:sz w:val="18"/>
          <w:szCs w:val="18"/>
          <w:b w:val="1"/>
          <w:bCs w:val="1"/>
          <w:color w:val="56C271"/>
        </w:rPr>
        <w:t xml:space="preserve"> </w:t>
      </w:r>
      <w:r>
        <w:rPr>
          <w:rFonts w:ascii="Arial" w:cs="Arial" w:eastAsia="Arial" w:hAnsi="Arial"/>
          <w:sz w:val="18"/>
          <w:szCs w:val="18"/>
          <w:color w:val="000000"/>
        </w:rPr>
        <w:t>the extent earned at the end of fiscal year 2021. The design of the fiscal 2019 PSUs, goals and number of PSUs earned by each NEO are summarized in the following tables. For additional information regarding the fiscal 2019 PSUs, please refer to the Company’s Proxy Statement for the Annual Shareholder Meeting on November 16, 2019.</w:t>
      </w:r>
    </w:p>
    <w:p>
      <w:pPr>
        <w:spacing w:after="0" w:line="162" w:lineRule="exact"/>
        <w:rPr>
          <w:sz w:val="20"/>
          <w:szCs w:val="20"/>
          <w:color w:val="auto"/>
        </w:rPr>
      </w:pPr>
    </w:p>
    <w:tbl>
      <w:tblPr>
        <w:tblLayout w:type="fixed"/>
        <w:tblInd w:w="990" w:type="dxa"/>
        <w:tblCellMar>
          <w:top w:w="0" w:type="dxa"/>
          <w:left w:w="0" w:type="dxa"/>
          <w:bottom w:w="0" w:type="dxa"/>
          <w:right w:w="0" w:type="dxa"/>
        </w:tblCellMar>
      </w:tblPr>
      <w:tr>
        <w:trPr>
          <w:trHeight w:val="271"/>
        </w:trPr>
        <w:tc>
          <w:tcPr>
            <w:tcW w:w="3320" w:type="dxa"/>
            <w:vAlign w:val="bottom"/>
            <w:tcBorders>
              <w:left w:val="single" w:sz="8" w:color="56C271"/>
            </w:tcBorders>
            <w:shd w:val="clear" w:color="auto" w:fill="56C271"/>
          </w:tcPr>
          <w:p>
            <w:pPr>
              <w:ind w:left="220"/>
              <w:spacing w:after="0"/>
              <w:rPr>
                <w:sz w:val="20"/>
                <w:szCs w:val="20"/>
                <w:color w:val="auto"/>
              </w:rPr>
            </w:pPr>
            <w:r>
              <w:rPr>
                <w:rFonts w:ascii="Arial" w:cs="Arial" w:eastAsia="Arial" w:hAnsi="Arial"/>
                <w:sz w:val="14"/>
                <w:szCs w:val="14"/>
                <w:b w:val="1"/>
                <w:bCs w:val="1"/>
                <w:color w:val="FEFEFE"/>
              </w:rPr>
              <w:t>Performance Metrics:</w:t>
            </w:r>
          </w:p>
        </w:tc>
        <w:tc>
          <w:tcPr>
            <w:tcW w:w="1160" w:type="dxa"/>
            <w:vAlign w:val="bottom"/>
            <w:tcBorders>
              <w:right w:val="single" w:sz="8" w:color="56C271"/>
            </w:tcBorders>
            <w:shd w:val="clear" w:color="auto" w:fill="56C271"/>
          </w:tcPr>
          <w:p>
            <w:pPr>
              <w:spacing w:after="0"/>
              <w:rPr>
                <w:sz w:val="23"/>
                <w:szCs w:val="23"/>
                <w:color w:val="auto"/>
              </w:rPr>
            </w:pPr>
          </w:p>
        </w:tc>
        <w:tc>
          <w:tcPr>
            <w:tcW w:w="1240" w:type="dxa"/>
            <w:vAlign w:val="bottom"/>
            <w:shd w:val="clear" w:color="auto" w:fill="56C271"/>
          </w:tcPr>
          <w:p>
            <w:pPr>
              <w:spacing w:after="0"/>
              <w:rPr>
                <w:sz w:val="23"/>
                <w:szCs w:val="23"/>
                <w:color w:val="auto"/>
              </w:rPr>
            </w:pPr>
          </w:p>
        </w:tc>
        <w:tc>
          <w:tcPr>
            <w:tcW w:w="1960" w:type="dxa"/>
            <w:vAlign w:val="bottom"/>
            <w:gridSpan w:val="2"/>
            <w:shd w:val="clear" w:color="auto" w:fill="56C271"/>
          </w:tcPr>
          <w:p>
            <w:pPr>
              <w:ind w:left="280"/>
              <w:spacing w:after="0"/>
              <w:rPr>
                <w:sz w:val="20"/>
                <w:szCs w:val="20"/>
                <w:color w:val="auto"/>
              </w:rPr>
            </w:pPr>
            <w:r>
              <w:rPr>
                <w:rFonts w:ascii="Arial" w:cs="Arial" w:eastAsia="Arial" w:hAnsi="Arial"/>
                <w:sz w:val="14"/>
                <w:szCs w:val="14"/>
                <w:b w:val="1"/>
                <w:bCs w:val="1"/>
                <w:color w:val="FEFEFE"/>
              </w:rPr>
              <w:t>Weight of PSU Award:</w:t>
            </w:r>
          </w:p>
        </w:tc>
        <w:tc>
          <w:tcPr>
            <w:tcW w:w="1080" w:type="dxa"/>
            <w:vAlign w:val="bottom"/>
            <w:tcBorders>
              <w:right w:val="single" w:sz="8" w:color="56C271"/>
            </w:tcBorders>
            <w:shd w:val="clear" w:color="auto" w:fill="56C271"/>
          </w:tcPr>
          <w:p>
            <w:pPr>
              <w:spacing w:after="0"/>
              <w:rPr>
                <w:sz w:val="23"/>
                <w:szCs w:val="23"/>
                <w:color w:val="auto"/>
              </w:rPr>
            </w:pPr>
          </w:p>
        </w:tc>
      </w:tr>
      <w:tr>
        <w:trPr>
          <w:trHeight w:val="66"/>
        </w:trPr>
        <w:tc>
          <w:tcPr>
            <w:tcW w:w="3320" w:type="dxa"/>
            <w:vAlign w:val="bottom"/>
            <w:tcBorders>
              <w:left w:val="single" w:sz="8" w:color="56C271"/>
            </w:tcBorders>
            <w:shd w:val="clear" w:color="auto" w:fill="56C271"/>
          </w:tcPr>
          <w:p>
            <w:pPr>
              <w:spacing w:after="0"/>
              <w:rPr>
                <w:sz w:val="5"/>
                <w:szCs w:val="5"/>
                <w:color w:val="auto"/>
              </w:rPr>
            </w:pPr>
          </w:p>
        </w:tc>
        <w:tc>
          <w:tcPr>
            <w:tcW w:w="1160" w:type="dxa"/>
            <w:vAlign w:val="bottom"/>
            <w:tcBorders>
              <w:right w:val="single" w:sz="8" w:color="56C271"/>
            </w:tcBorders>
            <w:shd w:val="clear" w:color="auto" w:fill="56C271"/>
          </w:tcPr>
          <w:p>
            <w:pPr>
              <w:spacing w:after="0"/>
              <w:rPr>
                <w:sz w:val="5"/>
                <w:szCs w:val="5"/>
                <w:color w:val="auto"/>
              </w:rPr>
            </w:pPr>
          </w:p>
        </w:tc>
        <w:tc>
          <w:tcPr>
            <w:tcW w:w="1240" w:type="dxa"/>
            <w:vAlign w:val="bottom"/>
            <w:shd w:val="clear" w:color="auto" w:fill="56C271"/>
          </w:tcPr>
          <w:p>
            <w:pPr>
              <w:spacing w:after="0"/>
              <w:rPr>
                <w:sz w:val="5"/>
                <w:szCs w:val="5"/>
                <w:color w:val="auto"/>
              </w:rPr>
            </w:pPr>
          </w:p>
        </w:tc>
        <w:tc>
          <w:tcPr>
            <w:tcW w:w="780" w:type="dxa"/>
            <w:vAlign w:val="bottom"/>
            <w:shd w:val="clear" w:color="auto" w:fill="56C271"/>
          </w:tcPr>
          <w:p>
            <w:pPr>
              <w:spacing w:after="0"/>
              <w:rPr>
                <w:sz w:val="5"/>
                <w:szCs w:val="5"/>
                <w:color w:val="auto"/>
              </w:rPr>
            </w:pPr>
          </w:p>
        </w:tc>
        <w:tc>
          <w:tcPr>
            <w:tcW w:w="1180" w:type="dxa"/>
            <w:vAlign w:val="bottom"/>
            <w:shd w:val="clear" w:color="auto" w:fill="56C271"/>
          </w:tcPr>
          <w:p>
            <w:pPr>
              <w:spacing w:after="0"/>
              <w:rPr>
                <w:sz w:val="5"/>
                <w:szCs w:val="5"/>
                <w:color w:val="auto"/>
              </w:rPr>
            </w:pPr>
          </w:p>
        </w:tc>
        <w:tc>
          <w:tcPr>
            <w:tcW w:w="1080" w:type="dxa"/>
            <w:vAlign w:val="bottom"/>
            <w:tcBorders>
              <w:right w:val="single" w:sz="8" w:color="56C271"/>
            </w:tcBorders>
            <w:shd w:val="clear" w:color="auto" w:fill="56C271"/>
          </w:tcPr>
          <w:p>
            <w:pPr>
              <w:spacing w:after="0"/>
              <w:rPr>
                <w:sz w:val="5"/>
                <w:szCs w:val="5"/>
                <w:color w:val="auto"/>
              </w:rPr>
            </w:pPr>
          </w:p>
        </w:tc>
      </w:tr>
      <w:tr>
        <w:trPr>
          <w:trHeight w:val="311"/>
        </w:trPr>
        <w:tc>
          <w:tcPr>
            <w:tcW w:w="3320" w:type="dxa"/>
            <w:vAlign w:val="bottom"/>
            <w:tcBorders>
              <w:left w:val="single" w:sz="8" w:color="56C271"/>
            </w:tcBorders>
          </w:tcPr>
          <w:p>
            <w:pPr>
              <w:ind w:left="220"/>
              <w:spacing w:after="0"/>
              <w:rPr>
                <w:sz w:val="20"/>
                <w:szCs w:val="20"/>
                <w:color w:val="auto"/>
              </w:rPr>
            </w:pPr>
            <w:r>
              <w:rPr>
                <w:rFonts w:ascii="Arial" w:cs="Arial" w:eastAsia="Arial" w:hAnsi="Arial"/>
                <w:sz w:val="18"/>
                <w:szCs w:val="18"/>
                <w:b w:val="1"/>
                <w:bCs w:val="1"/>
                <w:color w:val="auto"/>
              </w:rPr>
              <w:t>Cumulative Three-Year EPS</w:t>
            </w:r>
          </w:p>
        </w:tc>
        <w:tc>
          <w:tcPr>
            <w:tcW w:w="1160" w:type="dxa"/>
            <w:vAlign w:val="bottom"/>
            <w:tcBorders>
              <w:right w:val="single" w:sz="8" w:color="56C271"/>
            </w:tcBorders>
          </w:tcPr>
          <w:p>
            <w:pPr>
              <w:spacing w:after="0"/>
              <w:rPr>
                <w:sz w:val="24"/>
                <w:szCs w:val="24"/>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Borders>
              <w:right w:val="single" w:sz="8" w:color="56C271"/>
            </w:tcBorders>
          </w:tcPr>
          <w:p>
            <w:pPr>
              <w:spacing w:after="0"/>
              <w:rPr>
                <w:sz w:val="24"/>
                <w:szCs w:val="24"/>
                <w:color w:val="auto"/>
              </w:rPr>
            </w:pPr>
          </w:p>
        </w:tc>
      </w:tr>
      <w:tr>
        <w:trPr>
          <w:trHeight w:val="40"/>
        </w:trPr>
        <w:tc>
          <w:tcPr>
            <w:tcW w:w="4480" w:type="dxa"/>
            <w:vAlign w:val="bottom"/>
            <w:tcBorders>
              <w:left w:val="single" w:sz="8" w:color="56C271"/>
              <w:bottom w:val="single" w:sz="8" w:color="56C271"/>
              <w:right w:val="single" w:sz="8" w:color="56C271"/>
            </w:tcBorders>
            <w:gridSpan w:val="2"/>
          </w:tcPr>
          <w:p>
            <w:pPr>
              <w:spacing w:after="0"/>
              <w:rPr>
                <w:sz w:val="3"/>
                <w:szCs w:val="3"/>
                <w:color w:val="auto"/>
              </w:rPr>
            </w:pPr>
          </w:p>
        </w:tc>
        <w:tc>
          <w:tcPr>
            <w:tcW w:w="4280" w:type="dxa"/>
            <w:vAlign w:val="bottom"/>
            <w:tcBorders>
              <w:bottom w:val="single" w:sz="8" w:color="56C271"/>
              <w:right w:val="single" w:sz="8" w:color="56C271"/>
            </w:tcBorders>
            <w:gridSpan w:val="4"/>
          </w:tcPr>
          <w:p>
            <w:pPr>
              <w:spacing w:after="0"/>
              <w:rPr>
                <w:sz w:val="3"/>
                <w:szCs w:val="3"/>
                <w:color w:val="auto"/>
              </w:rPr>
            </w:pPr>
          </w:p>
        </w:tc>
      </w:tr>
      <w:tr>
        <w:trPr>
          <w:trHeight w:val="263"/>
        </w:trPr>
        <w:tc>
          <w:tcPr>
            <w:tcW w:w="4480" w:type="dxa"/>
            <w:vAlign w:val="bottom"/>
            <w:tcBorders>
              <w:left w:val="single" w:sz="8" w:color="56C271"/>
              <w:right w:val="single" w:sz="8" w:color="56C271"/>
            </w:tcBorders>
            <w:gridSpan w:val="2"/>
          </w:tcPr>
          <w:p>
            <w:pPr>
              <w:ind w:left="220"/>
              <w:spacing w:after="0"/>
              <w:rPr>
                <w:sz w:val="20"/>
                <w:szCs w:val="20"/>
                <w:color w:val="auto"/>
              </w:rPr>
            </w:pPr>
            <w:r>
              <w:rPr>
                <w:rFonts w:ascii="Arial" w:cs="Arial" w:eastAsia="Arial" w:hAnsi="Arial"/>
                <w:sz w:val="18"/>
                <w:szCs w:val="18"/>
                <w:b w:val="1"/>
                <w:bCs w:val="1"/>
                <w:color w:val="auto"/>
              </w:rPr>
              <w:t xml:space="preserve">Relative TSR Modifier: </w:t>
            </w:r>
            <w:r>
              <w:rPr>
                <w:rFonts w:ascii="Arial" w:cs="Arial" w:eastAsia="Arial" w:hAnsi="Arial"/>
                <w:sz w:val="18"/>
                <w:szCs w:val="18"/>
                <w:color w:val="auto"/>
              </w:rPr>
              <w:t>Cumulative relative</w:t>
            </w:r>
          </w:p>
        </w:tc>
        <w:tc>
          <w:tcPr>
            <w:tcW w:w="4280" w:type="dxa"/>
            <w:vAlign w:val="bottom"/>
            <w:tcBorders>
              <w:right w:val="single" w:sz="8" w:color="56C271"/>
            </w:tcBorders>
            <w:gridSpan w:val="4"/>
          </w:tcPr>
          <w:p>
            <w:pPr>
              <w:ind w:left="320"/>
              <w:spacing w:after="0"/>
              <w:rPr>
                <w:sz w:val="20"/>
                <w:szCs w:val="20"/>
                <w:color w:val="auto"/>
              </w:rPr>
            </w:pPr>
            <w:r>
              <w:rPr>
                <w:rFonts w:ascii="Arial" w:cs="Arial" w:eastAsia="Arial" w:hAnsi="Arial"/>
                <w:sz w:val="18"/>
                <w:szCs w:val="18"/>
                <w:color w:val="auto"/>
              </w:rPr>
              <w:t>+/- 20% modifier based on TSR performance</w:t>
            </w:r>
          </w:p>
        </w:tc>
      </w:tr>
      <w:tr>
        <w:trPr>
          <w:trHeight w:val="217"/>
        </w:trPr>
        <w:tc>
          <w:tcPr>
            <w:tcW w:w="3320" w:type="dxa"/>
            <w:vAlign w:val="bottom"/>
            <w:tcBorders>
              <w:left w:val="single" w:sz="8" w:color="56C271"/>
            </w:tcBorders>
          </w:tcPr>
          <w:p>
            <w:pPr>
              <w:ind w:left="400"/>
              <w:spacing w:after="0"/>
              <w:rPr>
                <w:sz w:val="20"/>
                <w:szCs w:val="20"/>
                <w:color w:val="auto"/>
              </w:rPr>
            </w:pPr>
            <w:r>
              <w:rPr>
                <w:rFonts w:ascii="Arial" w:cs="Arial" w:eastAsia="Arial" w:hAnsi="Arial"/>
                <w:sz w:val="18"/>
                <w:szCs w:val="18"/>
                <w:color w:val="auto"/>
              </w:rPr>
              <w:t>three-year TSR against peer group</w:t>
            </w:r>
          </w:p>
        </w:tc>
        <w:tc>
          <w:tcPr>
            <w:tcW w:w="1160" w:type="dxa"/>
            <w:vAlign w:val="bottom"/>
            <w:tcBorders>
              <w:right w:val="single" w:sz="8" w:color="56C271"/>
            </w:tcBorders>
          </w:tcPr>
          <w:p>
            <w:pPr>
              <w:spacing w:after="0"/>
              <w:rPr>
                <w:sz w:val="18"/>
                <w:szCs w:val="18"/>
                <w:color w:val="auto"/>
              </w:rPr>
            </w:pPr>
          </w:p>
        </w:tc>
        <w:tc>
          <w:tcPr>
            <w:tcW w:w="3200" w:type="dxa"/>
            <w:vAlign w:val="bottom"/>
            <w:gridSpan w:val="3"/>
          </w:tcPr>
          <w:p>
            <w:pPr>
              <w:ind w:left="500"/>
              <w:spacing w:after="0"/>
              <w:rPr>
                <w:sz w:val="20"/>
                <w:szCs w:val="20"/>
                <w:color w:val="auto"/>
              </w:rPr>
            </w:pPr>
            <w:r>
              <w:rPr>
                <w:rFonts w:ascii="Arial" w:cs="Arial" w:eastAsia="Arial" w:hAnsi="Arial"/>
                <w:sz w:val="18"/>
                <w:szCs w:val="18"/>
                <w:color w:val="auto"/>
              </w:rPr>
              <w:t>applied to EPS payout factor</w:t>
            </w:r>
          </w:p>
        </w:tc>
        <w:tc>
          <w:tcPr>
            <w:tcW w:w="1080" w:type="dxa"/>
            <w:vAlign w:val="bottom"/>
            <w:tcBorders>
              <w:right w:val="single" w:sz="8" w:color="56C271"/>
            </w:tcBorders>
          </w:tcPr>
          <w:p>
            <w:pPr>
              <w:spacing w:after="0"/>
              <w:rPr>
                <w:sz w:val="18"/>
                <w:szCs w:val="18"/>
                <w:color w:val="auto"/>
              </w:rPr>
            </w:pPr>
          </w:p>
        </w:tc>
      </w:tr>
      <w:tr>
        <w:trPr>
          <w:trHeight w:val="67"/>
        </w:trPr>
        <w:tc>
          <w:tcPr>
            <w:tcW w:w="3320" w:type="dxa"/>
            <w:vAlign w:val="bottom"/>
            <w:tcBorders>
              <w:left w:val="single" w:sz="8" w:color="56C271"/>
              <w:bottom w:val="single" w:sz="8" w:color="56C271"/>
            </w:tcBorders>
          </w:tcPr>
          <w:p>
            <w:pPr>
              <w:spacing w:after="0"/>
              <w:rPr>
                <w:sz w:val="5"/>
                <w:szCs w:val="5"/>
                <w:color w:val="auto"/>
              </w:rPr>
            </w:pPr>
          </w:p>
        </w:tc>
        <w:tc>
          <w:tcPr>
            <w:tcW w:w="1160" w:type="dxa"/>
            <w:vAlign w:val="bottom"/>
            <w:tcBorders>
              <w:bottom w:val="single" w:sz="8" w:color="56C271"/>
              <w:right w:val="single" w:sz="8" w:color="56C271"/>
            </w:tcBorders>
          </w:tcPr>
          <w:p>
            <w:pPr>
              <w:spacing w:after="0"/>
              <w:rPr>
                <w:sz w:val="5"/>
                <w:szCs w:val="5"/>
                <w:color w:val="auto"/>
              </w:rPr>
            </w:pPr>
          </w:p>
        </w:tc>
        <w:tc>
          <w:tcPr>
            <w:tcW w:w="1240" w:type="dxa"/>
            <w:vAlign w:val="bottom"/>
            <w:tcBorders>
              <w:bottom w:val="single" w:sz="8" w:color="56C271"/>
            </w:tcBorders>
          </w:tcPr>
          <w:p>
            <w:pPr>
              <w:spacing w:after="0"/>
              <w:rPr>
                <w:sz w:val="5"/>
                <w:szCs w:val="5"/>
                <w:color w:val="auto"/>
              </w:rPr>
            </w:pPr>
          </w:p>
        </w:tc>
        <w:tc>
          <w:tcPr>
            <w:tcW w:w="780" w:type="dxa"/>
            <w:vAlign w:val="bottom"/>
            <w:tcBorders>
              <w:bottom w:val="single" w:sz="8" w:color="56C271"/>
            </w:tcBorders>
          </w:tcPr>
          <w:p>
            <w:pPr>
              <w:spacing w:after="0"/>
              <w:rPr>
                <w:sz w:val="5"/>
                <w:szCs w:val="5"/>
                <w:color w:val="auto"/>
              </w:rPr>
            </w:pPr>
          </w:p>
        </w:tc>
        <w:tc>
          <w:tcPr>
            <w:tcW w:w="1180" w:type="dxa"/>
            <w:vAlign w:val="bottom"/>
            <w:tcBorders>
              <w:bottom w:val="single" w:sz="8" w:color="56C271"/>
            </w:tcBorders>
          </w:tcPr>
          <w:p>
            <w:pPr>
              <w:spacing w:after="0"/>
              <w:rPr>
                <w:sz w:val="5"/>
                <w:szCs w:val="5"/>
                <w:color w:val="auto"/>
              </w:rPr>
            </w:pPr>
          </w:p>
        </w:tc>
        <w:tc>
          <w:tcPr>
            <w:tcW w:w="1080" w:type="dxa"/>
            <w:vAlign w:val="bottom"/>
            <w:tcBorders>
              <w:bottom w:val="single" w:sz="8" w:color="56C271"/>
              <w:right w:val="single" w:sz="8" w:color="56C271"/>
            </w:tcBorders>
          </w:tcPr>
          <w:p>
            <w:pPr>
              <w:spacing w:after="0"/>
              <w:rPr>
                <w:sz w:val="5"/>
                <w:szCs w:val="5"/>
                <w:color w:val="auto"/>
              </w:rPr>
            </w:pPr>
          </w:p>
        </w:tc>
      </w:tr>
      <w:tr>
        <w:trPr>
          <w:trHeight w:val="142"/>
        </w:trPr>
        <w:tc>
          <w:tcPr>
            <w:tcW w:w="3320" w:type="dxa"/>
            <w:vAlign w:val="bottom"/>
            <w:tcBorders>
              <w:bottom w:val="single" w:sz="8" w:color="56C271"/>
            </w:tcBorders>
          </w:tcPr>
          <w:p>
            <w:pPr>
              <w:spacing w:after="0"/>
              <w:rPr>
                <w:sz w:val="12"/>
                <w:szCs w:val="12"/>
                <w:color w:val="auto"/>
              </w:rPr>
            </w:pPr>
          </w:p>
        </w:tc>
        <w:tc>
          <w:tcPr>
            <w:tcW w:w="1160" w:type="dxa"/>
            <w:vAlign w:val="bottom"/>
            <w:tcBorders>
              <w:bottom w:val="single" w:sz="8" w:color="56C271"/>
            </w:tcBorders>
          </w:tcPr>
          <w:p>
            <w:pPr>
              <w:spacing w:after="0"/>
              <w:rPr>
                <w:sz w:val="12"/>
                <w:szCs w:val="12"/>
                <w:color w:val="auto"/>
              </w:rPr>
            </w:pPr>
          </w:p>
        </w:tc>
        <w:tc>
          <w:tcPr>
            <w:tcW w:w="1240" w:type="dxa"/>
            <w:vAlign w:val="bottom"/>
            <w:tcBorders>
              <w:bottom w:val="single" w:sz="8" w:color="56C271"/>
            </w:tcBorders>
          </w:tcPr>
          <w:p>
            <w:pPr>
              <w:spacing w:after="0"/>
              <w:rPr>
                <w:sz w:val="12"/>
                <w:szCs w:val="12"/>
                <w:color w:val="auto"/>
              </w:rPr>
            </w:pPr>
          </w:p>
        </w:tc>
        <w:tc>
          <w:tcPr>
            <w:tcW w:w="780" w:type="dxa"/>
            <w:vAlign w:val="bottom"/>
            <w:tcBorders>
              <w:bottom w:val="single" w:sz="8" w:color="56C271"/>
            </w:tcBorders>
          </w:tcPr>
          <w:p>
            <w:pPr>
              <w:spacing w:after="0"/>
              <w:rPr>
                <w:sz w:val="12"/>
                <w:szCs w:val="12"/>
                <w:color w:val="auto"/>
              </w:rPr>
            </w:pPr>
          </w:p>
        </w:tc>
        <w:tc>
          <w:tcPr>
            <w:tcW w:w="1180" w:type="dxa"/>
            <w:vAlign w:val="bottom"/>
            <w:tcBorders>
              <w:bottom w:val="single" w:sz="8" w:color="56C271"/>
            </w:tcBorders>
          </w:tcPr>
          <w:p>
            <w:pPr>
              <w:spacing w:after="0"/>
              <w:rPr>
                <w:sz w:val="12"/>
                <w:szCs w:val="12"/>
                <w:color w:val="auto"/>
              </w:rPr>
            </w:pPr>
          </w:p>
        </w:tc>
        <w:tc>
          <w:tcPr>
            <w:tcW w:w="1080" w:type="dxa"/>
            <w:vAlign w:val="bottom"/>
            <w:tcBorders>
              <w:bottom w:val="single" w:sz="8" w:color="56C271"/>
            </w:tcBorders>
          </w:tcPr>
          <w:p>
            <w:pPr>
              <w:spacing w:after="0"/>
              <w:rPr>
                <w:sz w:val="12"/>
                <w:szCs w:val="12"/>
                <w:color w:val="auto"/>
              </w:rPr>
            </w:pPr>
          </w:p>
        </w:tc>
      </w:tr>
      <w:tr>
        <w:trPr>
          <w:trHeight w:val="263"/>
        </w:trPr>
        <w:tc>
          <w:tcPr>
            <w:tcW w:w="3320" w:type="dxa"/>
            <w:vAlign w:val="bottom"/>
            <w:tcBorders>
              <w:left w:val="single" w:sz="8" w:color="56C271"/>
            </w:tcBorders>
            <w:shd w:val="clear" w:color="auto" w:fill="CCEDD4"/>
          </w:tcPr>
          <w:p>
            <w:pPr>
              <w:ind w:left="140"/>
              <w:spacing w:after="0"/>
              <w:rPr>
                <w:sz w:val="20"/>
                <w:szCs w:val="20"/>
                <w:color w:val="auto"/>
              </w:rPr>
            </w:pPr>
            <w:r>
              <w:rPr>
                <w:rFonts w:ascii="Arial" w:cs="Arial" w:eastAsia="Arial" w:hAnsi="Arial"/>
                <w:sz w:val="18"/>
                <w:szCs w:val="18"/>
                <w:b w:val="1"/>
                <w:bCs w:val="1"/>
                <w:color w:val="auto"/>
              </w:rPr>
              <w:t>Cumulative EPS</w:t>
            </w:r>
          </w:p>
        </w:tc>
        <w:tc>
          <w:tcPr>
            <w:tcW w:w="1160" w:type="dxa"/>
            <w:vAlign w:val="bottom"/>
            <w:tcBorders>
              <w:right w:val="single" w:sz="8" w:color="CCEDD4"/>
            </w:tcBorders>
            <w:shd w:val="clear" w:color="auto" w:fill="CCEDD4"/>
          </w:tcPr>
          <w:p>
            <w:pPr>
              <w:spacing w:after="0"/>
              <w:rPr>
                <w:sz w:val="22"/>
                <w:szCs w:val="22"/>
                <w:color w:val="auto"/>
              </w:rPr>
            </w:pPr>
          </w:p>
        </w:tc>
        <w:tc>
          <w:tcPr>
            <w:tcW w:w="1240" w:type="dxa"/>
            <w:vAlign w:val="bottom"/>
            <w:shd w:val="clear" w:color="auto" w:fill="CCEDD4"/>
          </w:tcPr>
          <w:p>
            <w:pPr>
              <w:spacing w:after="0"/>
              <w:rPr>
                <w:sz w:val="22"/>
                <w:szCs w:val="22"/>
                <w:color w:val="auto"/>
              </w:rPr>
            </w:pPr>
          </w:p>
        </w:tc>
        <w:tc>
          <w:tcPr>
            <w:tcW w:w="780" w:type="dxa"/>
            <w:vAlign w:val="bottom"/>
            <w:shd w:val="clear" w:color="auto" w:fill="CCEDD4"/>
          </w:tcPr>
          <w:p>
            <w:pPr>
              <w:spacing w:after="0"/>
              <w:rPr>
                <w:sz w:val="22"/>
                <w:szCs w:val="22"/>
                <w:color w:val="auto"/>
              </w:rPr>
            </w:pPr>
          </w:p>
        </w:tc>
        <w:tc>
          <w:tcPr>
            <w:tcW w:w="1180" w:type="dxa"/>
            <w:vAlign w:val="bottom"/>
            <w:shd w:val="clear" w:color="auto" w:fill="CCEDD4"/>
          </w:tcPr>
          <w:p>
            <w:pPr>
              <w:spacing w:after="0"/>
              <w:rPr>
                <w:sz w:val="22"/>
                <w:szCs w:val="22"/>
                <w:color w:val="auto"/>
              </w:rPr>
            </w:pPr>
          </w:p>
        </w:tc>
        <w:tc>
          <w:tcPr>
            <w:tcW w:w="1080" w:type="dxa"/>
            <w:vAlign w:val="bottom"/>
            <w:tcBorders>
              <w:right w:val="single" w:sz="8" w:color="56C271"/>
            </w:tcBorders>
            <w:shd w:val="clear" w:color="auto" w:fill="CCEDD4"/>
          </w:tcPr>
          <w:p>
            <w:pPr>
              <w:spacing w:after="0"/>
              <w:rPr>
                <w:sz w:val="22"/>
                <w:szCs w:val="22"/>
                <w:color w:val="auto"/>
              </w:rPr>
            </w:pPr>
          </w:p>
        </w:tc>
      </w:tr>
      <w:tr>
        <w:trPr>
          <w:trHeight w:val="257"/>
        </w:trPr>
        <w:tc>
          <w:tcPr>
            <w:tcW w:w="3320" w:type="dxa"/>
            <w:vAlign w:val="bottom"/>
            <w:tcBorders>
              <w:left w:val="single" w:sz="8" w:color="56C271"/>
            </w:tcBorders>
            <w:shd w:val="clear" w:color="auto" w:fill="CCEDD4"/>
          </w:tcPr>
          <w:p>
            <w:pPr>
              <w:ind w:left="140"/>
              <w:spacing w:after="0"/>
              <w:rPr>
                <w:sz w:val="20"/>
                <w:szCs w:val="20"/>
                <w:color w:val="auto"/>
              </w:rPr>
            </w:pPr>
            <w:r>
              <w:rPr>
                <w:rFonts w:ascii="Arial" w:cs="Arial" w:eastAsia="Arial" w:hAnsi="Arial"/>
                <w:sz w:val="18"/>
                <w:szCs w:val="18"/>
                <w:color w:val="auto"/>
              </w:rPr>
              <w:t>Cumulative EPS Performance</w:t>
            </w:r>
          </w:p>
        </w:tc>
        <w:tc>
          <w:tcPr>
            <w:tcW w:w="1160" w:type="dxa"/>
            <w:vAlign w:val="bottom"/>
            <w:tcBorders>
              <w:right w:val="single" w:sz="8" w:color="CCEDD4"/>
            </w:tcBorders>
            <w:shd w:val="clear" w:color="auto" w:fill="CCEDD4"/>
          </w:tcPr>
          <w:p>
            <w:pPr>
              <w:jc w:val="center"/>
              <w:ind w:right="90"/>
              <w:spacing w:after="0"/>
              <w:rPr>
                <w:sz w:val="20"/>
                <w:szCs w:val="20"/>
                <w:color w:val="auto"/>
              </w:rPr>
            </w:pPr>
            <w:r>
              <w:rPr>
                <w:rFonts w:ascii="Arial" w:cs="Arial" w:eastAsia="Arial" w:hAnsi="Arial"/>
                <w:sz w:val="18"/>
                <w:szCs w:val="18"/>
                <w:color w:val="auto"/>
              </w:rPr>
              <w:t>&lt;$11.00</w:t>
            </w:r>
          </w:p>
        </w:tc>
        <w:tc>
          <w:tcPr>
            <w:tcW w:w="1240" w:type="dxa"/>
            <w:vAlign w:val="bottom"/>
            <w:shd w:val="clear" w:color="auto" w:fill="CCEDD4"/>
          </w:tcPr>
          <w:p>
            <w:pPr>
              <w:jc w:val="right"/>
              <w:ind w:right="450"/>
              <w:spacing w:after="0"/>
              <w:rPr>
                <w:sz w:val="20"/>
                <w:szCs w:val="20"/>
                <w:color w:val="auto"/>
              </w:rPr>
            </w:pPr>
            <w:r>
              <w:rPr>
                <w:rFonts w:ascii="Arial" w:cs="Arial" w:eastAsia="Arial" w:hAnsi="Arial"/>
                <w:sz w:val="18"/>
                <w:szCs w:val="18"/>
                <w:color w:val="auto"/>
              </w:rPr>
              <w:t>$11.00</w:t>
            </w:r>
          </w:p>
        </w:tc>
        <w:tc>
          <w:tcPr>
            <w:tcW w:w="780" w:type="dxa"/>
            <w:vAlign w:val="bottom"/>
            <w:shd w:val="clear" w:color="auto" w:fill="CCEDD4"/>
          </w:tcPr>
          <w:p>
            <w:pPr>
              <w:jc w:val="right"/>
              <w:ind w:right="136"/>
              <w:spacing w:after="0"/>
              <w:rPr>
                <w:sz w:val="20"/>
                <w:szCs w:val="20"/>
                <w:color w:val="auto"/>
              </w:rPr>
            </w:pPr>
            <w:r>
              <w:rPr>
                <w:rFonts w:ascii="Arial" w:cs="Arial" w:eastAsia="Arial" w:hAnsi="Arial"/>
                <w:sz w:val="18"/>
                <w:szCs w:val="18"/>
                <w:color w:val="auto"/>
                <w:w w:val="98"/>
              </w:rPr>
              <w:t>$13.75</w:t>
            </w:r>
          </w:p>
        </w:tc>
        <w:tc>
          <w:tcPr>
            <w:tcW w:w="1180" w:type="dxa"/>
            <w:vAlign w:val="bottom"/>
            <w:shd w:val="clear" w:color="auto" w:fill="CCEDD4"/>
          </w:tcPr>
          <w:p>
            <w:pPr>
              <w:jc w:val="center"/>
              <w:spacing w:after="0"/>
              <w:rPr>
                <w:sz w:val="20"/>
                <w:szCs w:val="20"/>
                <w:color w:val="auto"/>
              </w:rPr>
            </w:pPr>
            <w:r>
              <w:rPr>
                <w:rFonts w:ascii="Arial" w:cs="Arial" w:eastAsia="Arial" w:hAnsi="Arial"/>
                <w:sz w:val="18"/>
                <w:szCs w:val="18"/>
                <w:color w:val="auto"/>
                <w:w w:val="98"/>
              </w:rPr>
              <w:t>$15.47</w:t>
            </w:r>
          </w:p>
        </w:tc>
        <w:tc>
          <w:tcPr>
            <w:tcW w:w="1080" w:type="dxa"/>
            <w:vAlign w:val="bottom"/>
            <w:tcBorders>
              <w:right w:val="single" w:sz="8" w:color="56C271"/>
            </w:tcBorders>
            <w:shd w:val="clear" w:color="auto" w:fill="CCEDD4"/>
          </w:tcPr>
          <w:p>
            <w:pPr>
              <w:jc w:val="center"/>
              <w:spacing w:after="0"/>
              <w:rPr>
                <w:sz w:val="20"/>
                <w:szCs w:val="20"/>
                <w:color w:val="auto"/>
              </w:rPr>
            </w:pPr>
            <w:r>
              <w:rPr>
                <w:rFonts w:ascii="Arial" w:cs="Arial" w:eastAsia="Arial" w:hAnsi="Arial"/>
                <w:sz w:val="18"/>
                <w:szCs w:val="18"/>
                <w:color w:val="auto"/>
              </w:rPr>
              <w:t>≥$17.18</w:t>
            </w:r>
          </w:p>
        </w:tc>
      </w:tr>
      <w:tr>
        <w:trPr>
          <w:trHeight w:val="263"/>
        </w:trPr>
        <w:tc>
          <w:tcPr>
            <w:tcW w:w="3320" w:type="dxa"/>
            <w:vAlign w:val="bottom"/>
            <w:tcBorders>
              <w:left w:val="single" w:sz="8" w:color="56C271"/>
              <w:bottom w:val="single" w:sz="8" w:color="56C271"/>
            </w:tcBorders>
          </w:tcPr>
          <w:p>
            <w:pPr>
              <w:ind w:left="140"/>
              <w:spacing w:after="0"/>
              <w:rPr>
                <w:sz w:val="20"/>
                <w:szCs w:val="20"/>
                <w:color w:val="auto"/>
              </w:rPr>
            </w:pPr>
            <w:r>
              <w:rPr>
                <w:rFonts w:ascii="Arial" w:cs="Arial" w:eastAsia="Arial" w:hAnsi="Arial"/>
                <w:sz w:val="18"/>
                <w:szCs w:val="18"/>
                <w:color w:val="auto"/>
              </w:rPr>
              <w:t>Payout Percent of Target</w:t>
            </w:r>
          </w:p>
        </w:tc>
        <w:tc>
          <w:tcPr>
            <w:tcW w:w="1160" w:type="dxa"/>
            <w:vAlign w:val="bottom"/>
            <w:tcBorders>
              <w:bottom w:val="single" w:sz="8" w:color="56C271"/>
            </w:tcBorders>
          </w:tcPr>
          <w:p>
            <w:pPr>
              <w:jc w:val="center"/>
              <w:ind w:right="90"/>
              <w:spacing w:after="0"/>
              <w:rPr>
                <w:sz w:val="20"/>
                <w:szCs w:val="20"/>
                <w:color w:val="auto"/>
              </w:rPr>
            </w:pPr>
            <w:r>
              <w:rPr>
                <w:rFonts w:ascii="Arial" w:cs="Arial" w:eastAsia="Arial" w:hAnsi="Arial"/>
                <w:sz w:val="18"/>
                <w:szCs w:val="18"/>
                <w:color w:val="auto"/>
                <w:w w:val="99"/>
              </w:rPr>
              <w:t>0%</w:t>
            </w:r>
          </w:p>
        </w:tc>
        <w:tc>
          <w:tcPr>
            <w:tcW w:w="1240" w:type="dxa"/>
            <w:vAlign w:val="bottom"/>
            <w:tcBorders>
              <w:bottom w:val="single" w:sz="8" w:color="56C271"/>
            </w:tcBorders>
          </w:tcPr>
          <w:p>
            <w:pPr>
              <w:jc w:val="right"/>
              <w:ind w:right="550"/>
              <w:spacing w:after="0"/>
              <w:rPr>
                <w:sz w:val="20"/>
                <w:szCs w:val="20"/>
                <w:color w:val="auto"/>
              </w:rPr>
            </w:pPr>
            <w:r>
              <w:rPr>
                <w:rFonts w:ascii="Arial" w:cs="Arial" w:eastAsia="Arial" w:hAnsi="Arial"/>
                <w:sz w:val="18"/>
                <w:szCs w:val="18"/>
                <w:color w:val="auto"/>
              </w:rPr>
              <w:t>40%</w:t>
            </w:r>
          </w:p>
        </w:tc>
        <w:tc>
          <w:tcPr>
            <w:tcW w:w="780" w:type="dxa"/>
            <w:vAlign w:val="bottom"/>
            <w:tcBorders>
              <w:bottom w:val="single" w:sz="8" w:color="56C271"/>
            </w:tcBorders>
          </w:tcPr>
          <w:p>
            <w:pPr>
              <w:jc w:val="right"/>
              <w:ind w:right="196"/>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150%</w:t>
            </w:r>
          </w:p>
        </w:tc>
        <w:tc>
          <w:tcPr>
            <w:tcW w:w="1080" w:type="dxa"/>
            <w:vAlign w:val="bottom"/>
            <w:tcBorders>
              <w:bottom w:val="single" w:sz="8" w:color="56C271"/>
              <w:right w:val="single" w:sz="8" w:color="56C271"/>
            </w:tcBorders>
          </w:tcPr>
          <w:p>
            <w:pPr>
              <w:jc w:val="right"/>
              <w:ind w:right="250"/>
              <w:spacing w:after="0"/>
              <w:rPr>
                <w:sz w:val="20"/>
                <w:szCs w:val="20"/>
                <w:color w:val="auto"/>
              </w:rPr>
            </w:pPr>
            <w:r>
              <w:rPr>
                <w:rFonts w:ascii="Arial" w:cs="Arial" w:eastAsia="Arial" w:hAnsi="Arial"/>
                <w:sz w:val="18"/>
                <w:szCs w:val="18"/>
                <w:color w:val="auto"/>
              </w:rPr>
              <w:t>200%</w:t>
            </w:r>
          </w:p>
        </w:tc>
      </w:tr>
      <w:tr>
        <w:trPr>
          <w:trHeight w:val="256"/>
        </w:trPr>
        <w:tc>
          <w:tcPr>
            <w:tcW w:w="3320" w:type="dxa"/>
            <w:vAlign w:val="bottom"/>
            <w:tcBorders>
              <w:left w:val="single" w:sz="8" w:color="56C271"/>
            </w:tcBorders>
            <w:shd w:val="clear" w:color="auto" w:fill="CCEDD4"/>
          </w:tcPr>
          <w:p>
            <w:pPr>
              <w:ind w:left="140"/>
              <w:spacing w:after="0"/>
              <w:rPr>
                <w:sz w:val="20"/>
                <w:szCs w:val="20"/>
                <w:color w:val="auto"/>
              </w:rPr>
            </w:pPr>
            <w:r>
              <w:rPr>
                <w:rFonts w:ascii="Arial" w:cs="Arial" w:eastAsia="Arial" w:hAnsi="Arial"/>
                <w:sz w:val="18"/>
                <w:szCs w:val="18"/>
                <w:b w:val="1"/>
                <w:bCs w:val="1"/>
                <w:color w:val="auto"/>
              </w:rPr>
              <w:t>Relative TSR Modifier</w:t>
            </w:r>
          </w:p>
        </w:tc>
        <w:tc>
          <w:tcPr>
            <w:tcW w:w="1160" w:type="dxa"/>
            <w:vAlign w:val="bottom"/>
            <w:tcBorders>
              <w:right w:val="single" w:sz="8" w:color="CCEDD4"/>
            </w:tcBorders>
            <w:shd w:val="clear" w:color="auto" w:fill="CCEDD4"/>
          </w:tcPr>
          <w:p>
            <w:pPr>
              <w:spacing w:after="0"/>
              <w:rPr>
                <w:sz w:val="22"/>
                <w:szCs w:val="22"/>
                <w:color w:val="auto"/>
              </w:rPr>
            </w:pPr>
          </w:p>
        </w:tc>
        <w:tc>
          <w:tcPr>
            <w:tcW w:w="1240" w:type="dxa"/>
            <w:vAlign w:val="bottom"/>
            <w:shd w:val="clear" w:color="auto" w:fill="CCEDD4"/>
          </w:tcPr>
          <w:p>
            <w:pPr>
              <w:spacing w:after="0"/>
              <w:rPr>
                <w:sz w:val="22"/>
                <w:szCs w:val="22"/>
                <w:color w:val="auto"/>
              </w:rPr>
            </w:pPr>
          </w:p>
        </w:tc>
        <w:tc>
          <w:tcPr>
            <w:tcW w:w="780" w:type="dxa"/>
            <w:vAlign w:val="bottom"/>
            <w:shd w:val="clear" w:color="auto" w:fill="CCEDD4"/>
          </w:tcPr>
          <w:p>
            <w:pPr>
              <w:spacing w:after="0"/>
              <w:rPr>
                <w:sz w:val="22"/>
                <w:szCs w:val="22"/>
                <w:color w:val="auto"/>
              </w:rPr>
            </w:pPr>
          </w:p>
        </w:tc>
        <w:tc>
          <w:tcPr>
            <w:tcW w:w="1180" w:type="dxa"/>
            <w:vAlign w:val="bottom"/>
            <w:shd w:val="clear" w:color="auto" w:fill="CCEDD4"/>
          </w:tcPr>
          <w:p>
            <w:pPr>
              <w:spacing w:after="0"/>
              <w:rPr>
                <w:sz w:val="22"/>
                <w:szCs w:val="22"/>
                <w:color w:val="auto"/>
              </w:rPr>
            </w:pPr>
          </w:p>
        </w:tc>
        <w:tc>
          <w:tcPr>
            <w:tcW w:w="1080" w:type="dxa"/>
            <w:vAlign w:val="bottom"/>
            <w:tcBorders>
              <w:right w:val="single" w:sz="8" w:color="56C271"/>
            </w:tcBorders>
            <w:shd w:val="clear" w:color="auto" w:fill="CCEDD4"/>
          </w:tcPr>
          <w:p>
            <w:pPr>
              <w:spacing w:after="0"/>
              <w:rPr>
                <w:sz w:val="22"/>
                <w:szCs w:val="22"/>
                <w:color w:val="auto"/>
              </w:rPr>
            </w:pPr>
          </w:p>
        </w:tc>
      </w:tr>
      <w:tr>
        <w:trPr>
          <w:trHeight w:val="263"/>
        </w:trPr>
        <w:tc>
          <w:tcPr>
            <w:tcW w:w="3320" w:type="dxa"/>
            <w:vAlign w:val="bottom"/>
            <w:tcBorders>
              <w:left w:val="single" w:sz="8" w:color="56C271"/>
            </w:tcBorders>
          </w:tcPr>
          <w:p>
            <w:pPr>
              <w:ind w:left="140"/>
              <w:spacing w:after="0"/>
              <w:rPr>
                <w:sz w:val="20"/>
                <w:szCs w:val="20"/>
                <w:color w:val="auto"/>
              </w:rPr>
            </w:pPr>
            <w:r>
              <w:rPr>
                <w:rFonts w:ascii="Arial" w:cs="Arial" w:eastAsia="Arial" w:hAnsi="Arial"/>
                <w:sz w:val="18"/>
                <w:szCs w:val="18"/>
                <w:color w:val="auto"/>
              </w:rPr>
              <w:t>Percentile Rank</w:t>
            </w:r>
          </w:p>
        </w:tc>
        <w:tc>
          <w:tcPr>
            <w:tcW w:w="1160" w:type="dxa"/>
            <w:vAlign w:val="bottom"/>
          </w:tcPr>
          <w:p>
            <w:pPr>
              <w:jc w:val="center"/>
              <w:ind w:right="70"/>
              <w:spacing w:after="0"/>
              <w:rPr>
                <w:sz w:val="20"/>
                <w:szCs w:val="20"/>
                <w:color w:val="auto"/>
              </w:rPr>
            </w:pPr>
            <w:r>
              <w:rPr>
                <w:rFonts w:ascii="Arial" w:cs="Arial" w:eastAsia="Arial" w:hAnsi="Arial"/>
                <w:sz w:val="18"/>
                <w:szCs w:val="18"/>
                <w:color w:val="auto"/>
              </w:rPr>
              <w:t>≤30%ile</w:t>
            </w:r>
          </w:p>
        </w:tc>
        <w:tc>
          <w:tcPr>
            <w:tcW w:w="1240" w:type="dxa"/>
            <w:vAlign w:val="bottom"/>
          </w:tcPr>
          <w:p>
            <w:pPr>
              <w:jc w:val="center"/>
              <w:ind w:left="610"/>
              <w:spacing w:after="0"/>
              <w:rPr>
                <w:sz w:val="20"/>
                <w:szCs w:val="20"/>
                <w:color w:val="auto"/>
              </w:rPr>
            </w:pPr>
            <w:r>
              <w:rPr>
                <w:rFonts w:ascii="Arial" w:cs="Arial" w:eastAsia="Arial" w:hAnsi="Arial"/>
                <w:sz w:val="18"/>
                <w:szCs w:val="18"/>
                <w:color w:val="auto"/>
                <w:w w:val="99"/>
              </w:rPr>
              <w:t>50%ile</w:t>
            </w:r>
          </w:p>
        </w:tc>
        <w:tc>
          <w:tcPr>
            <w:tcW w:w="7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≥75%ile+</w:t>
            </w:r>
          </w:p>
        </w:tc>
        <w:tc>
          <w:tcPr>
            <w:tcW w:w="1080" w:type="dxa"/>
            <w:vAlign w:val="bottom"/>
            <w:tcBorders>
              <w:right w:val="single" w:sz="8" w:color="56C271"/>
            </w:tcBorders>
          </w:tcPr>
          <w:p>
            <w:pPr>
              <w:spacing w:after="0"/>
              <w:rPr>
                <w:sz w:val="22"/>
                <w:szCs w:val="22"/>
                <w:color w:val="auto"/>
              </w:rPr>
            </w:pPr>
          </w:p>
        </w:tc>
      </w:tr>
      <w:tr>
        <w:trPr>
          <w:trHeight w:val="263"/>
        </w:trPr>
        <w:tc>
          <w:tcPr>
            <w:tcW w:w="3320" w:type="dxa"/>
            <w:vAlign w:val="bottom"/>
            <w:tcBorders>
              <w:left w:val="single" w:sz="8" w:color="56C271"/>
            </w:tcBorders>
            <w:shd w:val="clear" w:color="auto" w:fill="CCEDD4"/>
          </w:tcPr>
          <w:p>
            <w:pPr>
              <w:ind w:left="140"/>
              <w:spacing w:after="0"/>
              <w:rPr>
                <w:sz w:val="20"/>
                <w:szCs w:val="20"/>
                <w:color w:val="auto"/>
              </w:rPr>
            </w:pPr>
            <w:r>
              <w:rPr>
                <w:rFonts w:ascii="Arial" w:cs="Arial" w:eastAsia="Arial" w:hAnsi="Arial"/>
                <w:sz w:val="18"/>
                <w:szCs w:val="18"/>
                <w:color w:val="auto"/>
              </w:rPr>
              <w:t>Payout Percent of Target</w:t>
            </w:r>
          </w:p>
        </w:tc>
        <w:tc>
          <w:tcPr>
            <w:tcW w:w="1160" w:type="dxa"/>
            <w:vAlign w:val="bottom"/>
            <w:tcBorders>
              <w:right w:val="single" w:sz="8" w:color="CCEDD4"/>
            </w:tcBorders>
            <w:shd w:val="clear" w:color="auto" w:fill="CCEDD4"/>
          </w:tcPr>
          <w:p>
            <w:pPr>
              <w:jc w:val="center"/>
              <w:ind w:right="90"/>
              <w:spacing w:after="0"/>
              <w:rPr>
                <w:sz w:val="20"/>
                <w:szCs w:val="20"/>
                <w:color w:val="auto"/>
              </w:rPr>
            </w:pPr>
            <w:r>
              <w:rPr>
                <w:rFonts w:ascii="Arial" w:cs="Arial" w:eastAsia="Arial" w:hAnsi="Arial"/>
                <w:sz w:val="18"/>
                <w:szCs w:val="18"/>
                <w:color w:val="auto"/>
                <w:w w:val="98"/>
              </w:rPr>
              <w:t>−20%</w:t>
            </w:r>
          </w:p>
        </w:tc>
        <w:tc>
          <w:tcPr>
            <w:tcW w:w="2020" w:type="dxa"/>
            <w:vAlign w:val="bottom"/>
            <w:gridSpan w:val="2"/>
            <w:shd w:val="clear" w:color="auto" w:fill="CCEDD4"/>
          </w:tcPr>
          <w:p>
            <w:pPr>
              <w:jc w:val="center"/>
              <w:spacing w:after="0"/>
              <w:rPr>
                <w:sz w:val="20"/>
                <w:szCs w:val="20"/>
                <w:color w:val="auto"/>
              </w:rPr>
            </w:pPr>
            <w:r>
              <w:rPr>
                <w:rFonts w:ascii="Arial" w:cs="Arial" w:eastAsia="Arial" w:hAnsi="Arial"/>
                <w:sz w:val="18"/>
                <w:szCs w:val="18"/>
                <w:color w:val="auto"/>
                <w:w w:val="99"/>
              </w:rPr>
              <w:t>No Adjustment</w:t>
            </w:r>
          </w:p>
        </w:tc>
        <w:tc>
          <w:tcPr>
            <w:tcW w:w="1180" w:type="dxa"/>
            <w:vAlign w:val="bottom"/>
            <w:shd w:val="clear" w:color="auto" w:fill="CCEDD4"/>
          </w:tcPr>
          <w:p>
            <w:pPr>
              <w:jc w:val="center"/>
              <w:spacing w:after="0"/>
              <w:rPr>
                <w:sz w:val="20"/>
                <w:szCs w:val="20"/>
                <w:color w:val="auto"/>
              </w:rPr>
            </w:pPr>
            <w:r>
              <w:rPr>
                <w:rFonts w:ascii="Arial" w:cs="Arial" w:eastAsia="Arial" w:hAnsi="Arial"/>
                <w:sz w:val="18"/>
                <w:szCs w:val="18"/>
                <w:color w:val="auto"/>
                <w:w w:val="98"/>
              </w:rPr>
              <w:t>+20%</w:t>
            </w:r>
          </w:p>
        </w:tc>
        <w:tc>
          <w:tcPr>
            <w:tcW w:w="1080" w:type="dxa"/>
            <w:vAlign w:val="bottom"/>
            <w:tcBorders>
              <w:right w:val="single" w:sz="8" w:color="56C271"/>
            </w:tcBorders>
            <w:shd w:val="clear" w:color="auto" w:fill="CCEDD4"/>
          </w:tcPr>
          <w:p>
            <w:pPr>
              <w:spacing w:after="0"/>
              <w:rPr>
                <w:sz w:val="22"/>
                <w:szCs w:val="22"/>
                <w:color w:val="auto"/>
              </w:rPr>
            </w:pPr>
          </w:p>
        </w:tc>
      </w:tr>
      <w:tr>
        <w:trPr>
          <w:trHeight w:val="95"/>
        </w:trPr>
        <w:tc>
          <w:tcPr>
            <w:tcW w:w="3320" w:type="dxa"/>
            <w:vAlign w:val="bottom"/>
            <w:tcBorders>
              <w:left w:val="single" w:sz="8" w:color="56C271"/>
              <w:bottom w:val="single" w:sz="8" w:color="56C271"/>
            </w:tcBorders>
            <w:shd w:val="clear" w:color="auto" w:fill="CCEDD4"/>
          </w:tcPr>
          <w:p>
            <w:pPr>
              <w:spacing w:after="0"/>
              <w:rPr>
                <w:sz w:val="8"/>
                <w:szCs w:val="8"/>
                <w:color w:val="auto"/>
              </w:rPr>
            </w:pPr>
          </w:p>
        </w:tc>
        <w:tc>
          <w:tcPr>
            <w:tcW w:w="1160" w:type="dxa"/>
            <w:vAlign w:val="bottom"/>
            <w:tcBorders>
              <w:bottom w:val="single" w:sz="8" w:color="56C271"/>
              <w:right w:val="single" w:sz="8" w:color="CCEDD4"/>
            </w:tcBorders>
            <w:shd w:val="clear" w:color="auto" w:fill="CCEDD4"/>
          </w:tcPr>
          <w:p>
            <w:pPr>
              <w:spacing w:after="0"/>
              <w:rPr>
                <w:sz w:val="8"/>
                <w:szCs w:val="8"/>
                <w:color w:val="auto"/>
              </w:rPr>
            </w:pPr>
          </w:p>
        </w:tc>
        <w:tc>
          <w:tcPr>
            <w:tcW w:w="1240" w:type="dxa"/>
            <w:vAlign w:val="bottom"/>
            <w:tcBorders>
              <w:bottom w:val="single" w:sz="8" w:color="56C271"/>
            </w:tcBorders>
            <w:shd w:val="clear" w:color="auto" w:fill="CCEDD4"/>
          </w:tcPr>
          <w:p>
            <w:pPr>
              <w:spacing w:after="0"/>
              <w:rPr>
                <w:sz w:val="8"/>
                <w:szCs w:val="8"/>
                <w:color w:val="auto"/>
              </w:rPr>
            </w:pPr>
          </w:p>
        </w:tc>
        <w:tc>
          <w:tcPr>
            <w:tcW w:w="780" w:type="dxa"/>
            <w:vAlign w:val="bottom"/>
            <w:tcBorders>
              <w:bottom w:val="single" w:sz="8" w:color="56C271"/>
            </w:tcBorders>
            <w:shd w:val="clear" w:color="auto" w:fill="CCEDD4"/>
          </w:tcPr>
          <w:p>
            <w:pPr>
              <w:spacing w:after="0"/>
              <w:rPr>
                <w:sz w:val="8"/>
                <w:szCs w:val="8"/>
                <w:color w:val="auto"/>
              </w:rPr>
            </w:pPr>
          </w:p>
        </w:tc>
        <w:tc>
          <w:tcPr>
            <w:tcW w:w="1180" w:type="dxa"/>
            <w:vAlign w:val="bottom"/>
            <w:tcBorders>
              <w:bottom w:val="single" w:sz="8" w:color="56C271"/>
            </w:tcBorders>
            <w:shd w:val="clear" w:color="auto" w:fill="CCEDD4"/>
          </w:tcPr>
          <w:p>
            <w:pPr>
              <w:spacing w:after="0"/>
              <w:rPr>
                <w:sz w:val="8"/>
                <w:szCs w:val="8"/>
                <w:color w:val="auto"/>
              </w:rPr>
            </w:pPr>
          </w:p>
        </w:tc>
        <w:tc>
          <w:tcPr>
            <w:tcW w:w="1080" w:type="dxa"/>
            <w:vAlign w:val="bottom"/>
            <w:tcBorders>
              <w:bottom w:val="single" w:sz="8" w:color="56C271"/>
              <w:right w:val="single" w:sz="8" w:color="56C271"/>
            </w:tcBorders>
            <w:shd w:val="clear" w:color="auto" w:fill="CCEDD4"/>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-1773555</wp:posOffset>
            </wp:positionV>
            <wp:extent cx="5537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41" w:lineRule="exact"/>
        <w:rPr>
          <w:sz w:val="20"/>
          <w:szCs w:val="20"/>
          <w:color w:val="auto"/>
        </w:rPr>
      </w:pPr>
    </w:p>
    <w:p>
      <w:pPr>
        <w:jc w:val="both"/>
        <w:ind w:left="1000" w:right="359"/>
        <w:spacing w:after="0" w:line="261" w:lineRule="auto"/>
        <w:rPr>
          <w:sz w:val="20"/>
          <w:szCs w:val="20"/>
          <w:color w:val="auto"/>
        </w:rPr>
      </w:pPr>
      <w:r>
        <w:rPr>
          <w:rFonts w:ascii="Arial" w:cs="Arial" w:eastAsia="Arial" w:hAnsi="Arial"/>
          <w:sz w:val="18"/>
          <w:szCs w:val="18"/>
          <w:color w:val="auto"/>
        </w:rPr>
        <w:t>If the Company’s actual Cumulative EPS or Relative TSR is between two achievement levels set forth in the table above, the percentage vesting shall be determined by linear interpolation.</w:t>
      </w:r>
    </w:p>
    <w:p>
      <w:pPr>
        <w:spacing w:after="0" w:line="117" w:lineRule="exact"/>
        <w:rPr>
          <w:sz w:val="20"/>
          <w:szCs w:val="20"/>
          <w:color w:val="auto"/>
        </w:rPr>
      </w:pPr>
    </w:p>
    <w:p>
      <w:pPr>
        <w:ind w:left="1000" w:right="719"/>
        <w:spacing w:after="0" w:line="261" w:lineRule="auto"/>
        <w:rPr>
          <w:sz w:val="20"/>
          <w:szCs w:val="20"/>
          <w:color w:val="auto"/>
        </w:rPr>
      </w:pPr>
      <w:r>
        <w:rPr>
          <w:rFonts w:ascii="Arial" w:cs="Arial" w:eastAsia="Arial" w:hAnsi="Arial"/>
          <w:sz w:val="18"/>
          <w:szCs w:val="18"/>
          <w:color w:val="auto"/>
        </w:rPr>
        <w:t>Achievement of such financial performance goals and the percentages of fiscal 2019 PSUs earned with respect to the financial performance goals were as follows*:</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26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Goal</w:t>
            </w:r>
          </w:p>
        </w:tc>
        <w:tc>
          <w:tcPr>
            <w:tcW w:w="1640" w:type="dxa"/>
            <w:vAlign w:val="bottom"/>
            <w:shd w:val="clear" w:color="auto" w:fill="56C271"/>
          </w:tcPr>
          <w:p>
            <w:pPr>
              <w:jc w:val="right"/>
              <w:ind w:right="47"/>
              <w:spacing w:after="0"/>
              <w:rPr>
                <w:sz w:val="20"/>
                <w:szCs w:val="20"/>
                <w:color w:val="auto"/>
              </w:rPr>
            </w:pPr>
            <w:r>
              <w:rPr>
                <w:rFonts w:ascii="Arial" w:cs="Arial" w:eastAsia="Arial" w:hAnsi="Arial"/>
                <w:sz w:val="14"/>
                <w:szCs w:val="14"/>
                <w:b w:val="1"/>
                <w:bCs w:val="1"/>
                <w:color w:val="FEFEFE"/>
              </w:rPr>
              <w:t>Target</w:t>
            </w:r>
          </w:p>
        </w:tc>
        <w:tc>
          <w:tcPr>
            <w:tcW w:w="68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Actual</w:t>
            </w:r>
          </w:p>
        </w:tc>
        <w:tc>
          <w:tcPr>
            <w:tcW w:w="168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 of Target Achieved</w:t>
            </w:r>
          </w:p>
        </w:tc>
        <w:tc>
          <w:tcPr>
            <w:tcW w:w="150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w w:val="99"/>
              </w:rPr>
              <w:t>Payout % of Target</w:t>
            </w:r>
          </w:p>
        </w:tc>
      </w:tr>
      <w:tr>
        <w:trPr>
          <w:trHeight w:val="263"/>
        </w:trPr>
        <w:tc>
          <w:tcPr>
            <w:tcW w:w="3260" w:type="dxa"/>
            <w:vAlign w:val="bottom"/>
          </w:tcPr>
          <w:p>
            <w:pPr>
              <w:ind w:left="100"/>
              <w:spacing w:after="0"/>
              <w:rPr>
                <w:sz w:val="20"/>
                <w:szCs w:val="20"/>
                <w:color w:val="auto"/>
              </w:rPr>
            </w:pPr>
            <w:r>
              <w:rPr>
                <w:rFonts w:ascii="Arial" w:cs="Arial" w:eastAsia="Arial" w:hAnsi="Arial"/>
                <w:sz w:val="18"/>
                <w:szCs w:val="18"/>
                <w:color w:val="auto"/>
              </w:rPr>
              <w:t>Cumulative three-year EPS</w:t>
            </w:r>
          </w:p>
        </w:tc>
        <w:tc>
          <w:tcPr>
            <w:tcW w:w="1640" w:type="dxa"/>
            <w:vAlign w:val="bottom"/>
          </w:tcPr>
          <w:p>
            <w:pPr>
              <w:jc w:val="right"/>
              <w:ind w:right="47"/>
              <w:spacing w:after="0"/>
              <w:rPr>
                <w:sz w:val="20"/>
                <w:szCs w:val="20"/>
                <w:color w:val="auto"/>
              </w:rPr>
            </w:pPr>
            <w:r>
              <w:rPr>
                <w:rFonts w:ascii="Arial" w:cs="Arial" w:eastAsia="Arial" w:hAnsi="Arial"/>
                <w:sz w:val="18"/>
                <w:szCs w:val="18"/>
                <w:color w:val="auto"/>
              </w:rPr>
              <w:t>$13.75</w:t>
            </w: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$8.86</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324"/>
        </w:trPr>
        <w:tc>
          <w:tcPr>
            <w:tcW w:w="3260" w:type="dxa"/>
            <w:vAlign w:val="bottom"/>
            <w:tcBorders>
              <w:bottom w:val="single" w:sz="8" w:color="56C271"/>
            </w:tcBorders>
            <w:shd w:val="clear" w:color="auto" w:fill="CCEDD4"/>
          </w:tcPr>
          <w:p>
            <w:pPr>
              <w:ind w:left="100"/>
              <w:spacing w:after="0"/>
              <w:rPr>
                <w:sz w:val="20"/>
                <w:szCs w:val="20"/>
                <w:color w:val="auto"/>
              </w:rPr>
            </w:pPr>
            <w:r>
              <w:rPr>
                <w:rFonts w:ascii="Arial" w:cs="Arial" w:eastAsia="Arial" w:hAnsi="Arial"/>
                <w:sz w:val="18"/>
                <w:szCs w:val="18"/>
                <w:color w:val="auto"/>
              </w:rPr>
              <w:t>Relative TSR Modifier</w:t>
            </w:r>
          </w:p>
        </w:tc>
        <w:tc>
          <w:tcPr>
            <w:tcW w:w="1640" w:type="dxa"/>
            <w:vAlign w:val="bottom"/>
            <w:tcBorders>
              <w:bottom w:val="single" w:sz="8" w:color="56C271"/>
            </w:tcBorders>
            <w:shd w:val="clear" w:color="auto" w:fill="CCEDD4"/>
          </w:tcPr>
          <w:p>
            <w:pPr>
              <w:jc w:val="right"/>
              <w:ind w:right="107"/>
              <w:spacing w:after="0" w:line="317" w:lineRule="exact"/>
              <w:rPr>
                <w:sz w:val="20"/>
                <w:szCs w:val="20"/>
                <w:color w:val="auto"/>
              </w:rPr>
            </w:pPr>
            <w:r>
              <w:rPr>
                <w:rFonts w:ascii="Arial" w:cs="Arial" w:eastAsia="Arial" w:hAnsi="Arial"/>
                <w:sz w:val="35"/>
                <w:szCs w:val="35"/>
                <w:color w:val="auto"/>
                <w:vertAlign w:val="subscript"/>
              </w:rPr>
              <w:t>50</w:t>
            </w:r>
            <w:r>
              <w:rPr>
                <w:rFonts w:ascii="Arial" w:cs="Arial" w:eastAsia="Arial" w:hAnsi="Arial"/>
                <w:sz w:val="12"/>
                <w:szCs w:val="12"/>
                <w:color w:val="auto"/>
              </w:rPr>
              <w:t>%ile</w:t>
            </w:r>
          </w:p>
        </w:tc>
        <w:tc>
          <w:tcPr>
            <w:tcW w:w="680" w:type="dxa"/>
            <w:vAlign w:val="bottom"/>
            <w:tcBorders>
              <w:bottom w:val="single" w:sz="8" w:color="56C271"/>
            </w:tcBorders>
            <w:shd w:val="clear" w:color="auto" w:fill="CCEDD4"/>
          </w:tcPr>
          <w:p>
            <w:pPr>
              <w:jc w:val="center"/>
              <w:spacing w:after="0"/>
              <w:rPr>
                <w:sz w:val="20"/>
                <w:szCs w:val="20"/>
                <w:color w:val="auto"/>
              </w:rPr>
            </w:pPr>
            <w:r>
              <w:rPr>
                <w:rFonts w:ascii="Arial" w:cs="Arial" w:eastAsia="Arial" w:hAnsi="Arial"/>
                <w:sz w:val="18"/>
                <w:szCs w:val="18"/>
                <w:color w:val="auto"/>
                <w:w w:val="99"/>
              </w:rPr>
              <w:t>N/A</w:t>
            </w:r>
          </w:p>
        </w:tc>
        <w:tc>
          <w:tcPr>
            <w:tcW w:w="1680" w:type="dxa"/>
            <w:vAlign w:val="bottom"/>
            <w:tcBorders>
              <w:bottom w:val="single" w:sz="8" w:color="56C271"/>
            </w:tcBorders>
            <w:shd w:val="clear" w:color="auto" w:fill="CCEDD4"/>
          </w:tcPr>
          <w:p>
            <w:pPr>
              <w:jc w:val="center"/>
              <w:spacing w:after="0"/>
              <w:rPr>
                <w:sz w:val="20"/>
                <w:szCs w:val="20"/>
                <w:color w:val="auto"/>
              </w:rPr>
            </w:pPr>
            <w:r>
              <w:rPr>
                <w:rFonts w:ascii="Arial" w:cs="Arial" w:eastAsia="Arial" w:hAnsi="Arial"/>
                <w:sz w:val="18"/>
                <w:szCs w:val="18"/>
                <w:color w:val="auto"/>
                <w:w w:val="99"/>
              </w:rPr>
              <w:t>N/A</w:t>
            </w:r>
          </w:p>
        </w:tc>
        <w:tc>
          <w:tcPr>
            <w:tcW w:w="1500" w:type="dxa"/>
            <w:vAlign w:val="bottom"/>
            <w:tcBorders>
              <w:bottom w:val="single" w:sz="8" w:color="56C271"/>
            </w:tcBorders>
            <w:shd w:val="clear" w:color="auto" w:fill="CCEDD4"/>
          </w:tcPr>
          <w:p>
            <w:pPr>
              <w:jc w:val="center"/>
              <w:spacing w:after="0"/>
              <w:rPr>
                <w:sz w:val="20"/>
                <w:szCs w:val="20"/>
                <w:color w:val="auto"/>
              </w:rPr>
            </w:pPr>
            <w:r>
              <w:rPr>
                <w:rFonts w:ascii="Arial" w:cs="Arial" w:eastAsia="Arial" w:hAnsi="Arial"/>
                <w:sz w:val="18"/>
                <w:szCs w:val="18"/>
                <w:color w:val="auto"/>
                <w:w w:val="99"/>
              </w:rPr>
              <w:t>N/A</w:t>
            </w:r>
          </w:p>
        </w:tc>
      </w:tr>
    </w:tbl>
    <w:p>
      <w:pPr>
        <w:spacing w:after="0" w:line="80" w:lineRule="exact"/>
        <w:rPr>
          <w:sz w:val="20"/>
          <w:szCs w:val="20"/>
          <w:color w:val="auto"/>
        </w:rPr>
      </w:pPr>
    </w:p>
    <w:p>
      <w:pPr>
        <w:ind w:left="1460" w:right="259" w:hanging="362"/>
        <w:spacing w:after="0" w:line="278" w:lineRule="auto"/>
        <w:tabs>
          <w:tab w:leader="none" w:pos="1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2021 performance of the Company, please refer to the Company’s Annual Report on Form 10-K for the year ended July 3, 2021.</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fiscal 2021, the number of fiscal 2019 PSUs earned for each of the NEOs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3820" w:type="dxa"/>
            <w:vAlign w:val="bottom"/>
          </w:tcPr>
          <w:p>
            <w:pPr>
              <w:ind w:left="20"/>
              <w:spacing w:after="0"/>
              <w:rPr>
                <w:sz w:val="20"/>
                <w:szCs w:val="20"/>
                <w:color w:val="auto"/>
              </w:rPr>
            </w:pPr>
            <w:r>
              <w:rPr>
                <w:rFonts w:ascii="Arial" w:cs="Arial" w:eastAsia="Arial" w:hAnsi="Arial"/>
                <w:sz w:val="14"/>
                <w:szCs w:val="14"/>
                <w:b w:val="1"/>
                <w:bCs w:val="1"/>
                <w:color w:val="56C271"/>
              </w:rPr>
              <w:t>2021 ANNUAL</w:t>
            </w:r>
          </w:p>
        </w:tc>
        <w:tc>
          <w:tcPr>
            <w:tcW w:w="4940" w:type="dxa"/>
            <w:vAlign w:val="bottom"/>
            <w:gridSpan w:val="2"/>
            <w:vMerge w:val="restart"/>
          </w:tcPr>
          <w:p>
            <w:pPr>
              <w:jc w:val="right"/>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108"/>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4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20" w:type="dxa"/>
            <w:vAlign w:val="bottom"/>
            <w:vMerge w:val="continue"/>
          </w:tcPr>
          <w:p>
            <w:pPr>
              <w:spacing w:after="0"/>
              <w:rPr>
                <w:sz w:val="9"/>
                <w:szCs w:val="9"/>
                <w:color w:val="auto"/>
              </w:rPr>
            </w:pPr>
          </w:p>
        </w:tc>
        <w:tc>
          <w:tcPr>
            <w:tcW w:w="3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1"/>
        </w:trPr>
        <w:tc>
          <w:tcPr>
            <w:tcW w:w="38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NEO</w:t>
            </w:r>
          </w:p>
        </w:tc>
        <w:tc>
          <w:tcPr>
            <w:tcW w:w="3600" w:type="dxa"/>
            <w:vAlign w:val="bottom"/>
            <w:shd w:val="clear" w:color="auto" w:fill="56C271"/>
          </w:tcPr>
          <w:p>
            <w:pPr>
              <w:jc w:val="right"/>
              <w:ind w:right="54"/>
              <w:spacing w:after="0"/>
              <w:rPr>
                <w:sz w:val="20"/>
                <w:szCs w:val="20"/>
                <w:color w:val="auto"/>
              </w:rPr>
            </w:pPr>
            <w:r>
              <w:rPr>
                <w:rFonts w:ascii="Arial" w:cs="Arial" w:eastAsia="Arial" w:hAnsi="Arial"/>
                <w:sz w:val="14"/>
                <w:szCs w:val="14"/>
                <w:b w:val="1"/>
                <w:bCs w:val="1"/>
                <w:color w:val="FEFEFE"/>
              </w:rPr>
              <w:t>Target PSUS</w:t>
            </w:r>
          </w:p>
        </w:tc>
        <w:tc>
          <w:tcPr>
            <w:tcW w:w="1340" w:type="dxa"/>
            <w:vAlign w:val="bottom"/>
            <w:shd w:val="clear" w:color="auto" w:fill="56C271"/>
          </w:tcPr>
          <w:p>
            <w:pPr>
              <w:jc w:val="right"/>
              <w:ind w:right="32"/>
              <w:spacing w:after="0"/>
              <w:rPr>
                <w:sz w:val="20"/>
                <w:szCs w:val="20"/>
                <w:color w:val="auto"/>
              </w:rPr>
            </w:pPr>
            <w:r>
              <w:rPr>
                <w:rFonts w:ascii="Arial" w:cs="Arial" w:eastAsia="Arial" w:hAnsi="Arial"/>
                <w:sz w:val="14"/>
                <w:szCs w:val="14"/>
                <w:b w:val="1"/>
                <w:bCs w:val="1"/>
                <w:color w:val="FEFEFE"/>
              </w:rPr>
              <w:t>PSUs (#) Earned</w:t>
            </w:r>
          </w:p>
        </w:tc>
        <w:tc>
          <w:tcPr>
            <w:tcW w:w="0" w:type="dxa"/>
            <w:vAlign w:val="bottom"/>
          </w:tcPr>
          <w:p>
            <w:pPr>
              <w:spacing w:after="0"/>
              <w:rPr>
                <w:sz w:val="1"/>
                <w:szCs w:val="1"/>
                <w:color w:val="auto"/>
              </w:rPr>
            </w:pPr>
          </w:p>
        </w:tc>
      </w:tr>
      <w:tr>
        <w:trPr>
          <w:trHeight w:val="256"/>
        </w:trPr>
        <w:tc>
          <w:tcPr>
            <w:tcW w:w="3820" w:type="dxa"/>
            <w:vAlign w:val="bottom"/>
          </w:tcPr>
          <w:p>
            <w:pPr>
              <w:ind w:left="100"/>
              <w:spacing w:after="0"/>
              <w:rPr>
                <w:sz w:val="20"/>
                <w:szCs w:val="20"/>
                <w:color w:val="auto"/>
              </w:rPr>
            </w:pPr>
            <w:r>
              <w:rPr>
                <w:rFonts w:ascii="Arial" w:cs="Arial" w:eastAsia="Arial" w:hAnsi="Arial"/>
                <w:sz w:val="18"/>
                <w:szCs w:val="18"/>
                <w:color w:val="auto"/>
              </w:rPr>
              <w:t>Gallagher</w:t>
            </w:r>
          </w:p>
        </w:tc>
        <w:tc>
          <w:tcPr>
            <w:tcW w:w="3600" w:type="dxa"/>
            <w:vAlign w:val="bottom"/>
          </w:tcPr>
          <w:p>
            <w:pPr>
              <w:jc w:val="right"/>
              <w:ind w:right="214"/>
              <w:spacing w:after="0"/>
              <w:rPr>
                <w:sz w:val="20"/>
                <w:szCs w:val="20"/>
                <w:color w:val="auto"/>
              </w:rPr>
            </w:pPr>
            <w:r>
              <w:rPr>
                <w:rFonts w:ascii="Arial" w:cs="Arial" w:eastAsia="Arial" w:hAnsi="Arial"/>
                <w:sz w:val="18"/>
                <w:szCs w:val="18"/>
                <w:color w:val="auto"/>
              </w:rPr>
              <w:t>13,884</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3820" w:type="dxa"/>
            <w:vAlign w:val="bottom"/>
            <w:shd w:val="clear" w:color="auto" w:fill="CCEDD4"/>
          </w:tcPr>
          <w:p>
            <w:pPr>
              <w:ind w:left="100"/>
              <w:spacing w:after="0"/>
              <w:rPr>
                <w:sz w:val="20"/>
                <w:szCs w:val="20"/>
                <w:color w:val="auto"/>
              </w:rPr>
            </w:pPr>
            <w:r>
              <w:rPr>
                <w:rFonts w:ascii="Arial" w:cs="Arial" w:eastAsia="Arial" w:hAnsi="Arial"/>
                <w:sz w:val="18"/>
                <w:szCs w:val="18"/>
                <w:color w:val="auto"/>
              </w:rPr>
              <w:t>Liguori</w:t>
            </w:r>
          </w:p>
        </w:tc>
        <w:tc>
          <w:tcPr>
            <w:tcW w:w="3600" w:type="dxa"/>
            <w:vAlign w:val="bottom"/>
            <w:shd w:val="clear" w:color="auto" w:fill="CCEDD4"/>
          </w:tcPr>
          <w:p>
            <w:pPr>
              <w:jc w:val="right"/>
              <w:ind w:right="214"/>
              <w:spacing w:after="0"/>
              <w:rPr>
                <w:sz w:val="20"/>
                <w:szCs w:val="20"/>
                <w:color w:val="auto"/>
              </w:rPr>
            </w:pPr>
            <w:r>
              <w:rPr>
                <w:rFonts w:ascii="Arial" w:cs="Arial" w:eastAsia="Arial" w:hAnsi="Arial"/>
                <w:sz w:val="18"/>
                <w:szCs w:val="18"/>
                <w:color w:val="auto"/>
              </w:rPr>
              <w:t>12,855</w:t>
            </w:r>
          </w:p>
        </w:tc>
        <w:tc>
          <w:tcPr>
            <w:tcW w:w="1340" w:type="dxa"/>
            <w:vAlign w:val="bottom"/>
            <w:shd w:val="clear" w:color="auto" w:fill="CCEDD4"/>
          </w:tcPr>
          <w:p>
            <w:pPr>
              <w:jc w:val="right"/>
              <w:ind w:right="4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3820" w:type="dxa"/>
            <w:vAlign w:val="bottom"/>
          </w:tcPr>
          <w:p>
            <w:pPr>
              <w:ind w:left="100"/>
              <w:spacing w:after="0"/>
              <w:rPr>
                <w:sz w:val="20"/>
                <w:szCs w:val="20"/>
                <w:color w:val="auto"/>
              </w:rPr>
            </w:pPr>
            <w:r>
              <w:rPr>
                <w:rFonts w:ascii="Arial" w:cs="Arial" w:eastAsia="Arial" w:hAnsi="Arial"/>
                <w:sz w:val="18"/>
                <w:szCs w:val="18"/>
                <w:color w:val="auto"/>
              </w:rPr>
              <w:t>Arnold</w:t>
            </w:r>
          </w:p>
        </w:tc>
        <w:tc>
          <w:tcPr>
            <w:tcW w:w="3600" w:type="dxa"/>
            <w:vAlign w:val="bottom"/>
          </w:tcPr>
          <w:p>
            <w:pPr>
              <w:jc w:val="right"/>
              <w:ind w:right="214"/>
              <w:spacing w:after="0"/>
              <w:rPr>
                <w:sz w:val="20"/>
                <w:szCs w:val="20"/>
                <w:color w:val="auto"/>
              </w:rPr>
            </w:pPr>
            <w:r>
              <w:rPr>
                <w:rFonts w:ascii="Arial" w:cs="Arial" w:eastAsia="Arial" w:hAnsi="Arial"/>
                <w:sz w:val="18"/>
                <w:szCs w:val="18"/>
                <w:color w:val="auto"/>
              </w:rPr>
              <w:t>4,533</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3"/>
        </w:trPr>
        <w:tc>
          <w:tcPr>
            <w:tcW w:w="3820" w:type="dxa"/>
            <w:vAlign w:val="bottom"/>
            <w:shd w:val="clear" w:color="auto" w:fill="CCEDD4"/>
          </w:tcPr>
          <w:p>
            <w:pPr>
              <w:ind w:left="100"/>
              <w:spacing w:after="0"/>
              <w:rPr>
                <w:sz w:val="20"/>
                <w:szCs w:val="20"/>
                <w:color w:val="auto"/>
              </w:rPr>
            </w:pPr>
            <w:r>
              <w:rPr>
                <w:rFonts w:ascii="Arial" w:cs="Arial" w:eastAsia="Arial" w:hAnsi="Arial"/>
                <w:sz w:val="18"/>
                <w:szCs w:val="18"/>
                <w:color w:val="auto"/>
              </w:rPr>
              <w:t>Chan</w:t>
            </w:r>
            <w:r>
              <w:rPr>
                <w:rFonts w:ascii="Arial" w:cs="Arial" w:eastAsia="Arial" w:hAnsi="Arial"/>
                <w:sz w:val="23"/>
                <w:szCs w:val="23"/>
                <w:color w:val="auto"/>
                <w:vertAlign w:val="superscript"/>
              </w:rPr>
              <w:t>(1)</w:t>
            </w:r>
          </w:p>
        </w:tc>
        <w:tc>
          <w:tcPr>
            <w:tcW w:w="3600" w:type="dxa"/>
            <w:vAlign w:val="bottom"/>
            <w:shd w:val="clear" w:color="auto" w:fill="CCEDD4"/>
          </w:tcPr>
          <w:p>
            <w:pPr>
              <w:jc w:val="right"/>
              <w:ind w:right="214"/>
              <w:spacing w:after="0"/>
              <w:rPr>
                <w:sz w:val="20"/>
                <w:szCs w:val="20"/>
                <w:color w:val="auto"/>
              </w:rPr>
            </w:pPr>
            <w:r>
              <w:rPr>
                <w:rFonts w:ascii="Arial" w:cs="Arial" w:eastAsia="Arial" w:hAnsi="Arial"/>
                <w:sz w:val="18"/>
                <w:szCs w:val="18"/>
                <w:color w:val="auto"/>
              </w:rPr>
              <w:t>n/a</w:t>
            </w:r>
          </w:p>
        </w:tc>
        <w:tc>
          <w:tcPr>
            <w:tcW w:w="1340" w:type="dxa"/>
            <w:vAlign w:val="bottom"/>
            <w:shd w:val="clear" w:color="auto" w:fill="CCEDD4"/>
          </w:tcPr>
          <w:p>
            <w:pPr>
              <w:jc w:val="right"/>
              <w:ind w:right="47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3"/>
        </w:trPr>
        <w:tc>
          <w:tcPr>
            <w:tcW w:w="3820" w:type="dxa"/>
            <w:vAlign w:val="bottom"/>
          </w:tcPr>
          <w:p>
            <w:pPr>
              <w:ind w:left="100"/>
              <w:spacing w:after="0"/>
              <w:rPr>
                <w:sz w:val="20"/>
                <w:szCs w:val="20"/>
                <w:color w:val="auto"/>
              </w:rPr>
            </w:pPr>
            <w:r>
              <w:rPr>
                <w:rFonts w:ascii="Arial" w:cs="Arial" w:eastAsia="Arial" w:hAnsi="Arial"/>
                <w:sz w:val="18"/>
                <w:szCs w:val="18"/>
                <w:color w:val="auto"/>
              </w:rPr>
              <w:t>McCoy</w:t>
            </w:r>
            <w:r>
              <w:rPr>
                <w:rFonts w:ascii="Arial" w:cs="Arial" w:eastAsia="Arial" w:hAnsi="Arial"/>
                <w:sz w:val="23"/>
                <w:szCs w:val="23"/>
                <w:color w:val="auto"/>
                <w:vertAlign w:val="superscript"/>
              </w:rPr>
              <w:t>(1)</w:t>
            </w:r>
          </w:p>
        </w:tc>
        <w:tc>
          <w:tcPr>
            <w:tcW w:w="3600" w:type="dxa"/>
            <w:vAlign w:val="bottom"/>
          </w:tcPr>
          <w:p>
            <w:pPr>
              <w:jc w:val="right"/>
              <w:ind w:right="214"/>
              <w:spacing w:after="0"/>
              <w:rPr>
                <w:sz w:val="20"/>
                <w:szCs w:val="20"/>
                <w:color w:val="auto"/>
              </w:rPr>
            </w:pPr>
            <w:r>
              <w:rPr>
                <w:rFonts w:ascii="Arial" w:cs="Arial" w:eastAsia="Arial" w:hAnsi="Arial"/>
                <w:sz w:val="18"/>
                <w:szCs w:val="18"/>
                <w:color w:val="auto"/>
              </w:rPr>
              <w:t>n/a</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3820" w:type="dxa"/>
            <w:vAlign w:val="bottom"/>
            <w:shd w:val="clear" w:color="auto" w:fill="CCEDD4"/>
          </w:tcPr>
          <w:p>
            <w:pPr>
              <w:ind w:left="100"/>
              <w:spacing w:after="0"/>
              <w:rPr>
                <w:sz w:val="20"/>
                <w:szCs w:val="20"/>
                <w:color w:val="auto"/>
              </w:rPr>
            </w:pPr>
            <w:r>
              <w:rPr>
                <w:rFonts w:ascii="Arial" w:cs="Arial" w:eastAsia="Arial" w:hAnsi="Arial"/>
                <w:sz w:val="18"/>
                <w:szCs w:val="18"/>
                <w:color w:val="auto"/>
              </w:rPr>
              <w:t>Amelio</w:t>
            </w:r>
            <w:r>
              <w:rPr>
                <w:rFonts w:ascii="Arial" w:cs="Arial" w:eastAsia="Arial" w:hAnsi="Arial"/>
                <w:sz w:val="23"/>
                <w:szCs w:val="23"/>
                <w:color w:val="auto"/>
                <w:vertAlign w:val="superscript"/>
              </w:rPr>
              <w:t>(2)</w:t>
            </w:r>
          </w:p>
        </w:tc>
        <w:tc>
          <w:tcPr>
            <w:tcW w:w="3600" w:type="dxa"/>
            <w:vAlign w:val="bottom"/>
            <w:shd w:val="clear" w:color="auto" w:fill="CCEDD4"/>
          </w:tcPr>
          <w:p>
            <w:pPr>
              <w:jc w:val="right"/>
              <w:ind w:right="214"/>
              <w:spacing w:after="0"/>
              <w:rPr>
                <w:sz w:val="20"/>
                <w:szCs w:val="20"/>
                <w:color w:val="auto"/>
              </w:rPr>
            </w:pPr>
            <w:r>
              <w:rPr>
                <w:rFonts w:ascii="Arial" w:cs="Arial" w:eastAsia="Arial" w:hAnsi="Arial"/>
                <w:sz w:val="18"/>
                <w:szCs w:val="18"/>
                <w:color w:val="auto"/>
              </w:rPr>
              <w:t>66,846</w:t>
            </w:r>
          </w:p>
        </w:tc>
        <w:tc>
          <w:tcPr>
            <w:tcW w:w="1340" w:type="dxa"/>
            <w:vAlign w:val="bottom"/>
            <w:shd w:val="clear" w:color="auto" w:fill="CCEDD4"/>
          </w:tcPr>
          <w:p>
            <w:pPr>
              <w:jc w:val="right"/>
              <w:ind w:right="4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3"/>
        </w:trPr>
        <w:tc>
          <w:tcPr>
            <w:tcW w:w="3820" w:type="dxa"/>
            <w:vAlign w:val="bottom"/>
          </w:tcPr>
          <w:p>
            <w:pPr>
              <w:ind w:left="100"/>
              <w:spacing w:after="0"/>
              <w:rPr>
                <w:sz w:val="20"/>
                <w:szCs w:val="20"/>
                <w:color w:val="auto"/>
              </w:rPr>
            </w:pPr>
            <w:r>
              <w:rPr>
                <w:rFonts w:ascii="Arial" w:cs="Arial" w:eastAsia="Arial" w:hAnsi="Arial"/>
                <w:sz w:val="18"/>
                <w:szCs w:val="18"/>
                <w:color w:val="auto"/>
              </w:rPr>
              <w:t>Bartolotta</w:t>
            </w:r>
            <w:r>
              <w:rPr>
                <w:rFonts w:ascii="Arial" w:cs="Arial" w:eastAsia="Arial" w:hAnsi="Arial"/>
                <w:sz w:val="23"/>
                <w:szCs w:val="23"/>
                <w:color w:val="auto"/>
                <w:vertAlign w:val="superscript"/>
              </w:rPr>
              <w:t>(2)</w:t>
            </w:r>
          </w:p>
        </w:tc>
        <w:tc>
          <w:tcPr>
            <w:tcW w:w="3600" w:type="dxa"/>
            <w:vAlign w:val="bottom"/>
          </w:tcPr>
          <w:p>
            <w:pPr>
              <w:jc w:val="right"/>
              <w:ind w:right="214"/>
              <w:spacing w:after="0"/>
              <w:rPr>
                <w:sz w:val="20"/>
                <w:szCs w:val="20"/>
                <w:color w:val="auto"/>
              </w:rPr>
            </w:pPr>
            <w:r>
              <w:rPr>
                <w:rFonts w:ascii="Arial" w:cs="Arial" w:eastAsia="Arial" w:hAnsi="Arial"/>
                <w:sz w:val="18"/>
                <w:szCs w:val="18"/>
                <w:color w:val="auto"/>
              </w:rPr>
              <w:t>11,313</w:t>
            </w:r>
          </w:p>
        </w:tc>
        <w:tc>
          <w:tcPr>
            <w:tcW w:w="1340" w:type="dxa"/>
            <w:vAlign w:val="bottom"/>
          </w:tcPr>
          <w:p>
            <w:pPr>
              <w:jc w:val="right"/>
              <w:ind w:right="4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7"/>
        </w:trPr>
        <w:tc>
          <w:tcPr>
            <w:tcW w:w="3820" w:type="dxa"/>
            <w:vAlign w:val="bottom"/>
            <w:tcBorders>
              <w:bottom w:val="single" w:sz="8" w:color="CCEDD4"/>
            </w:tcBorders>
            <w:shd w:val="clear" w:color="auto" w:fill="CCEDD4"/>
          </w:tcPr>
          <w:p>
            <w:pPr>
              <w:ind w:left="100"/>
              <w:spacing w:after="0"/>
              <w:rPr>
                <w:sz w:val="20"/>
                <w:szCs w:val="20"/>
                <w:color w:val="auto"/>
              </w:rPr>
            </w:pPr>
            <w:r>
              <w:rPr>
                <w:rFonts w:ascii="Arial" w:cs="Arial" w:eastAsia="Arial" w:hAnsi="Arial"/>
                <w:sz w:val="18"/>
                <w:szCs w:val="18"/>
                <w:color w:val="auto"/>
              </w:rPr>
              <w:t>Miller</w:t>
            </w:r>
          </w:p>
        </w:tc>
        <w:tc>
          <w:tcPr>
            <w:tcW w:w="3600" w:type="dxa"/>
            <w:vAlign w:val="bottom"/>
            <w:tcBorders>
              <w:bottom w:val="single" w:sz="8" w:color="CCEDD4"/>
            </w:tcBorders>
            <w:shd w:val="clear" w:color="auto" w:fill="CCEDD4"/>
          </w:tcPr>
          <w:p>
            <w:pPr>
              <w:jc w:val="right"/>
              <w:ind w:right="214"/>
              <w:spacing w:after="0"/>
              <w:rPr>
                <w:sz w:val="20"/>
                <w:szCs w:val="20"/>
                <w:color w:val="auto"/>
              </w:rPr>
            </w:pPr>
            <w:r>
              <w:rPr>
                <w:rFonts w:ascii="Arial" w:cs="Arial" w:eastAsia="Arial" w:hAnsi="Arial"/>
                <w:sz w:val="18"/>
                <w:szCs w:val="18"/>
                <w:color w:val="auto"/>
              </w:rPr>
              <w:t>12,597</w:t>
            </w:r>
          </w:p>
        </w:tc>
        <w:tc>
          <w:tcPr>
            <w:tcW w:w="1340" w:type="dxa"/>
            <w:vAlign w:val="bottom"/>
            <w:tcBorders>
              <w:bottom w:val="single" w:sz="8" w:color="CCEDD4"/>
            </w:tcBorders>
            <w:shd w:val="clear" w:color="auto" w:fill="CCEDD4"/>
          </w:tcPr>
          <w:p>
            <w:pPr>
              <w:jc w:val="right"/>
              <w:ind w:right="4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820" w:type="dxa"/>
            <w:vAlign w:val="bottom"/>
            <w:shd w:val="clear" w:color="auto" w:fill="56C271"/>
          </w:tcPr>
          <w:p>
            <w:pPr>
              <w:spacing w:after="0"/>
              <w:rPr>
                <w:sz w:val="2"/>
                <w:szCs w:val="2"/>
                <w:color w:val="auto"/>
              </w:rPr>
            </w:pPr>
          </w:p>
        </w:tc>
        <w:tc>
          <w:tcPr>
            <w:tcW w:w="3600" w:type="dxa"/>
            <w:vAlign w:val="bottom"/>
            <w:shd w:val="clear" w:color="auto" w:fill="56C271"/>
          </w:tcPr>
          <w:p>
            <w:pPr>
              <w:spacing w:after="0"/>
              <w:rPr>
                <w:sz w:val="2"/>
                <w:szCs w:val="2"/>
                <w:color w:val="auto"/>
              </w:rPr>
            </w:pPr>
          </w:p>
        </w:tc>
        <w:tc>
          <w:tcPr>
            <w:tcW w:w="1340" w:type="dxa"/>
            <w:vAlign w:val="bottom"/>
            <w:shd w:val="clear" w:color="auto" w:fill="56C27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820" w:hanging="722"/>
        <w:spacing w:after="0"/>
        <w:tabs>
          <w:tab w:leader="none" w:pos="1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Messrs. Chan and McCoy did not participate in the 2019 LTIP plan.</w:t>
      </w:r>
    </w:p>
    <w:p>
      <w:pPr>
        <w:spacing w:after="0" w:line="144" w:lineRule="exact"/>
        <w:rPr>
          <w:rFonts w:ascii="Arial" w:cs="Arial" w:eastAsia="Arial" w:hAnsi="Arial"/>
          <w:sz w:val="18"/>
          <w:szCs w:val="18"/>
          <w:color w:val="auto"/>
        </w:rPr>
      </w:pPr>
    </w:p>
    <w:p>
      <w:pPr>
        <w:ind w:left="1820" w:right="279" w:hanging="722"/>
        <w:spacing w:after="0" w:line="261" w:lineRule="auto"/>
        <w:tabs>
          <w:tab w:leader="none" w:pos="1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Due to Messrs. Amelio and Bartolotta’s separation dates from the company, their fiscal 2019 PSUs were forfeited.</w:t>
      </w:r>
    </w:p>
    <w:p>
      <w:pPr>
        <w:spacing w:after="0" w:line="1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payout percentages for the PSU awards granted for the past five years are set forth in the following table:</w:t>
      </w:r>
    </w:p>
    <w:p>
      <w:pPr>
        <w:spacing w:after="0" w:line="185"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376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Performance Period</w:t>
            </w:r>
          </w:p>
        </w:tc>
        <w:tc>
          <w:tcPr>
            <w:tcW w:w="2280" w:type="dxa"/>
            <w:vAlign w:val="bottom"/>
            <w:shd w:val="clear" w:color="auto" w:fill="56C271"/>
          </w:tcPr>
          <w:p>
            <w:pPr>
              <w:jc w:val="right"/>
              <w:ind w:right="13"/>
              <w:spacing w:after="0"/>
              <w:rPr>
                <w:sz w:val="20"/>
                <w:szCs w:val="20"/>
                <w:color w:val="auto"/>
              </w:rPr>
            </w:pPr>
            <w:r>
              <w:rPr>
                <w:rFonts w:ascii="Arial" w:cs="Arial" w:eastAsia="Arial" w:hAnsi="Arial"/>
                <w:sz w:val="14"/>
                <w:szCs w:val="14"/>
                <w:b w:val="1"/>
                <w:bCs w:val="1"/>
                <w:color w:val="FEFEFE"/>
              </w:rPr>
              <w:t>Payout</w:t>
            </w:r>
          </w:p>
        </w:tc>
      </w:tr>
      <w:tr>
        <w:trPr>
          <w:trHeight w:val="257"/>
        </w:trPr>
        <w:tc>
          <w:tcPr>
            <w:tcW w:w="3760" w:type="dxa"/>
            <w:vAlign w:val="bottom"/>
          </w:tcPr>
          <w:p>
            <w:pPr>
              <w:ind w:left="100"/>
              <w:spacing w:after="0"/>
              <w:rPr>
                <w:sz w:val="20"/>
                <w:szCs w:val="20"/>
                <w:color w:val="auto"/>
              </w:rPr>
            </w:pPr>
            <w:r>
              <w:rPr>
                <w:rFonts w:ascii="Arial" w:cs="Arial" w:eastAsia="Arial" w:hAnsi="Arial"/>
                <w:sz w:val="18"/>
                <w:szCs w:val="18"/>
                <w:color w:val="auto"/>
              </w:rPr>
              <w:t>Fiscal Years 2019 - 2021</w:t>
            </w:r>
          </w:p>
        </w:tc>
        <w:tc>
          <w:tcPr>
            <w:tcW w:w="22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6"/>
        </w:trPr>
        <w:tc>
          <w:tcPr>
            <w:tcW w:w="3760" w:type="dxa"/>
            <w:vAlign w:val="bottom"/>
            <w:shd w:val="clear" w:color="auto" w:fill="CCEDD4"/>
          </w:tcPr>
          <w:p>
            <w:pPr>
              <w:ind w:left="100"/>
              <w:spacing w:after="0"/>
              <w:rPr>
                <w:sz w:val="20"/>
                <w:szCs w:val="20"/>
                <w:color w:val="auto"/>
              </w:rPr>
            </w:pPr>
            <w:r>
              <w:rPr>
                <w:rFonts w:ascii="Arial" w:cs="Arial" w:eastAsia="Arial" w:hAnsi="Arial"/>
                <w:sz w:val="18"/>
                <w:szCs w:val="18"/>
                <w:color w:val="auto"/>
              </w:rPr>
              <w:t>Fiscal Years 2018 - 2020</w:t>
            </w:r>
          </w:p>
        </w:tc>
        <w:tc>
          <w:tcPr>
            <w:tcW w:w="2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3760" w:type="dxa"/>
            <w:vAlign w:val="bottom"/>
          </w:tcPr>
          <w:p>
            <w:pPr>
              <w:ind w:left="100"/>
              <w:spacing w:after="0"/>
              <w:rPr>
                <w:sz w:val="20"/>
                <w:szCs w:val="20"/>
                <w:color w:val="auto"/>
              </w:rPr>
            </w:pPr>
            <w:r>
              <w:rPr>
                <w:rFonts w:ascii="Arial" w:cs="Arial" w:eastAsia="Arial" w:hAnsi="Arial"/>
                <w:sz w:val="18"/>
                <w:szCs w:val="18"/>
                <w:color w:val="auto"/>
              </w:rPr>
              <w:t>Fiscal Years 2017 - 2019</w:t>
            </w:r>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3760" w:type="dxa"/>
            <w:vAlign w:val="bottom"/>
            <w:shd w:val="clear" w:color="auto" w:fill="CCEDD4"/>
          </w:tcPr>
          <w:p>
            <w:pPr>
              <w:ind w:left="100"/>
              <w:spacing w:after="0"/>
              <w:rPr>
                <w:sz w:val="20"/>
                <w:szCs w:val="20"/>
                <w:color w:val="auto"/>
              </w:rPr>
            </w:pPr>
            <w:r>
              <w:rPr>
                <w:rFonts w:ascii="Arial" w:cs="Arial" w:eastAsia="Arial" w:hAnsi="Arial"/>
                <w:sz w:val="18"/>
                <w:szCs w:val="18"/>
                <w:color w:val="auto"/>
              </w:rPr>
              <w:t>Fiscal Years 2016 - 2018</w:t>
            </w:r>
          </w:p>
        </w:tc>
        <w:tc>
          <w:tcPr>
            <w:tcW w:w="2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38%</w:t>
            </w:r>
          </w:p>
        </w:tc>
      </w:tr>
      <w:tr>
        <w:trPr>
          <w:trHeight w:val="257"/>
        </w:trPr>
        <w:tc>
          <w:tcPr>
            <w:tcW w:w="3760" w:type="dxa"/>
            <w:vAlign w:val="bottom"/>
          </w:tcPr>
          <w:p>
            <w:pPr>
              <w:ind w:left="100"/>
              <w:spacing w:after="0"/>
              <w:rPr>
                <w:sz w:val="20"/>
                <w:szCs w:val="20"/>
                <w:color w:val="auto"/>
              </w:rPr>
            </w:pPr>
            <w:r>
              <w:rPr>
                <w:rFonts w:ascii="Arial" w:cs="Arial" w:eastAsia="Arial" w:hAnsi="Arial"/>
                <w:sz w:val="18"/>
                <w:szCs w:val="18"/>
                <w:color w:val="auto"/>
              </w:rPr>
              <w:t>Fiscal Years 2015 - 2017</w:t>
            </w: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7"/>
        </w:trPr>
        <w:tc>
          <w:tcPr>
            <w:tcW w:w="3760" w:type="dxa"/>
            <w:vAlign w:val="bottom"/>
            <w:tcBorders>
              <w:bottom w:val="single" w:sz="8" w:color="56C271"/>
            </w:tcBorders>
          </w:tcPr>
          <w:p>
            <w:pPr>
              <w:spacing w:after="0"/>
              <w:rPr>
                <w:sz w:val="4"/>
                <w:szCs w:val="4"/>
                <w:color w:val="auto"/>
              </w:rPr>
            </w:pPr>
          </w:p>
        </w:tc>
        <w:tc>
          <w:tcPr>
            <w:tcW w:w="2280" w:type="dxa"/>
            <w:vAlign w:val="bottom"/>
            <w:tcBorders>
              <w:bottom w:val="single" w:sz="8" w:color="56C271"/>
            </w:tcBorders>
          </w:tcPr>
          <w:p>
            <w:pPr>
              <w:spacing w:after="0"/>
              <w:rPr>
                <w:sz w:val="4"/>
                <w:szCs w:val="4"/>
                <w:color w:val="auto"/>
              </w:rPr>
            </w:pPr>
          </w:p>
        </w:tc>
      </w:tr>
    </w:tbl>
    <w:p>
      <w:pPr>
        <w:spacing w:after="0" w:line="8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Additional Compensation Elements</w:t>
      </w:r>
    </w:p>
    <w:p>
      <w:pPr>
        <w:spacing w:after="0" w:line="139" w:lineRule="exact"/>
        <w:rPr>
          <w:sz w:val="20"/>
          <w:szCs w:val="20"/>
          <w:color w:val="auto"/>
        </w:rPr>
      </w:pPr>
    </w:p>
    <w:p>
      <w:pPr>
        <w:ind w:left="1000" w:right="179"/>
        <w:spacing w:after="0"/>
        <w:rPr>
          <w:sz w:val="20"/>
          <w:szCs w:val="20"/>
          <w:color w:val="auto"/>
        </w:rPr>
      </w:pPr>
      <w:r>
        <w:rPr>
          <w:rFonts w:ascii="Arial" w:cs="Arial" w:eastAsia="Arial" w:hAnsi="Arial"/>
          <w:sz w:val="18"/>
          <w:szCs w:val="18"/>
          <w:b w:val="1"/>
          <w:bCs w:val="1"/>
          <w:color w:val="56C271"/>
        </w:rPr>
        <w:t xml:space="preserve">Qualified Pension Plan. </w:t>
      </w:r>
      <w:r>
        <w:rPr>
          <w:rFonts w:ascii="Arial" w:cs="Arial" w:eastAsia="Arial" w:hAnsi="Arial"/>
          <w:sz w:val="18"/>
          <w:szCs w:val="18"/>
          <w:color w:val="000000"/>
        </w:rPr>
        <w:t>The Company provides a retirement benefit to certain employees under a tax-qualified retirement plan (a type of tax-qualified defined benefit plan commonly referred to as a cash balance plan). Cash balance plans are similar in nature to a defined contribution plan in that a participant’s benefit is defined in terms of a stated account balance. As a cash balance plan, the Pension Plan provides the Company with the benefit of applying any earnings on the Plan’s investments beyond the fixed return provided to participants toward the Company’s future cash funding obligations. The Pension Plan, including NEO participation, is more fully described in the “Pension Benefits” section.</w:t>
      </w:r>
    </w:p>
    <w:p>
      <w:pPr>
        <w:spacing w:after="0" w:line="117" w:lineRule="exact"/>
        <w:rPr>
          <w:sz w:val="20"/>
          <w:szCs w:val="20"/>
          <w:color w:val="auto"/>
        </w:rPr>
      </w:pPr>
    </w:p>
    <w:p>
      <w:pPr>
        <w:ind w:left="1000" w:right="139"/>
        <w:spacing w:after="0" w:line="242" w:lineRule="auto"/>
        <w:rPr>
          <w:sz w:val="20"/>
          <w:szCs w:val="20"/>
          <w:color w:val="auto"/>
        </w:rPr>
      </w:pPr>
      <w:r>
        <w:rPr>
          <w:rFonts w:ascii="Arial" w:cs="Arial" w:eastAsia="Arial" w:hAnsi="Arial"/>
          <w:sz w:val="18"/>
          <w:szCs w:val="18"/>
          <w:b w:val="1"/>
          <w:bCs w:val="1"/>
          <w:color w:val="56C271"/>
        </w:rPr>
        <w:t xml:space="preserve">401(k) Plan. </w:t>
      </w:r>
      <w:r>
        <w:rPr>
          <w:rFonts w:ascii="Arial" w:cs="Arial" w:eastAsia="Arial" w:hAnsi="Arial"/>
          <w:sz w:val="18"/>
          <w:szCs w:val="18"/>
          <w:color w:val="000000"/>
        </w:rPr>
        <w:t>The Company provides a tax-qualified defined contribution 401(k) Plan for employees after a</w:t>
      </w:r>
      <w:r>
        <w:rPr>
          <w:rFonts w:ascii="Arial" w:cs="Arial" w:eastAsia="Arial" w:hAnsi="Arial"/>
          <w:sz w:val="18"/>
          <w:szCs w:val="18"/>
          <w:b w:val="1"/>
          <w:bCs w:val="1"/>
          <w:color w:val="56C271"/>
        </w:rPr>
        <w:t xml:space="preserve"> </w:t>
      </w:r>
      <w:r>
        <w:rPr>
          <w:rFonts w:ascii="Arial" w:cs="Arial" w:eastAsia="Arial" w:hAnsi="Arial"/>
          <w:sz w:val="18"/>
          <w:szCs w:val="18"/>
          <w:color w:val="000000"/>
        </w:rPr>
        <w:t>30-day waiting period. The plan allows eligible employees to make contributions on a pre- and post-tax basis through payroll deductions up to IRS limits and invest their contributions in one or more of the 401(k) Plan investment options. New employees are automatically enrolled for a 3% pre-tax contribution, but have the ability to opt out before the effective date. The plan does not provide a Company match. Instead, the Company provides retirement contributions to eligible employees through the Pension Plan.</w:t>
      </w:r>
    </w:p>
    <w:p>
      <w:pPr>
        <w:spacing w:after="0" w:line="111" w:lineRule="exact"/>
        <w:rPr>
          <w:sz w:val="20"/>
          <w:szCs w:val="20"/>
          <w:color w:val="auto"/>
        </w:rPr>
      </w:pPr>
    </w:p>
    <w:p>
      <w:pPr>
        <w:ind w:left="1000" w:right="199"/>
        <w:spacing w:after="0" w:line="238" w:lineRule="auto"/>
        <w:rPr>
          <w:sz w:val="20"/>
          <w:szCs w:val="20"/>
          <w:color w:val="auto"/>
        </w:rPr>
      </w:pPr>
      <w:r>
        <w:rPr>
          <w:rFonts w:ascii="Arial" w:cs="Arial" w:eastAsia="Arial" w:hAnsi="Arial"/>
          <w:sz w:val="18"/>
          <w:szCs w:val="18"/>
          <w:b w:val="1"/>
          <w:bCs w:val="1"/>
          <w:color w:val="56C271"/>
        </w:rPr>
        <w:t xml:space="preserve">Nonqualified Retirement Plans. </w:t>
      </w:r>
      <w:r>
        <w:rPr>
          <w:rFonts w:ascii="Arial" w:cs="Arial" w:eastAsia="Arial" w:hAnsi="Arial"/>
          <w:sz w:val="18"/>
          <w:szCs w:val="18"/>
          <w:color w:val="000000"/>
        </w:rPr>
        <w:t>The Company provides a retirement benefit to certain employees under the</w:t>
      </w:r>
      <w:r>
        <w:rPr>
          <w:rFonts w:ascii="Arial" w:cs="Arial" w:eastAsia="Arial" w:hAnsi="Arial"/>
          <w:sz w:val="18"/>
          <w:szCs w:val="18"/>
          <w:b w:val="1"/>
          <w:bCs w:val="1"/>
          <w:color w:val="56C271"/>
        </w:rPr>
        <w:t xml:space="preserve"> </w:t>
      </w:r>
      <w:r>
        <w:rPr>
          <w:rFonts w:ascii="Arial" w:cs="Arial" w:eastAsia="Arial" w:hAnsi="Arial"/>
          <w:sz w:val="18"/>
          <w:szCs w:val="18"/>
          <w:color w:val="000000"/>
        </w:rPr>
        <w:t>following nonqualified retirement plans: (1) the restoration pension plan (the “Restoration Plan”) and (1) the supplemental executive officers’ retirement plan (the “SERP”). The SERP was closed to new participants effective December 31, 2011, and the Restoration Plan was adopted effective January 1, 2012. Pursuant to the terms of the Restoration Plan and the SERP, any benefit payable under the Restoration Plan reduces the benefit payable under the SERP. A retirement plan is an important retention tool in the Company’s compensation program because the receipt of benefits is contingent upon the satisfaction of certain age and service requirements. Additionally, as the benefits provided under the nonqualified retirement plans are based in part on a participant’s yearly cash compensation, including a participant’s annual cash incentive compensation, the plans include a performance-based element. The Company balances the effectiveness of these plans as a compensation and retention tool with the cost of these plans. The SERP and Restoration Plan, including NEO participation, are more fully described in the “Pension Benefits”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104775</wp:posOffset>
            </wp:positionV>
            <wp:extent cx="1482725" cy="291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6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4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9" w:lineRule="exact"/>
        <w:rPr>
          <w:sz w:val="20"/>
          <w:szCs w:val="20"/>
          <w:color w:val="auto"/>
        </w:rPr>
      </w:pPr>
    </w:p>
    <w:p>
      <w:pPr>
        <w:ind w:left="1000" w:right="199"/>
        <w:spacing w:after="0" w:line="253" w:lineRule="auto"/>
        <w:rPr>
          <w:sz w:val="20"/>
          <w:szCs w:val="20"/>
          <w:color w:val="auto"/>
        </w:rPr>
      </w:pPr>
      <w:r>
        <w:rPr>
          <w:rFonts w:ascii="Arial" w:cs="Arial" w:eastAsia="Arial" w:hAnsi="Arial"/>
          <w:sz w:val="18"/>
          <w:szCs w:val="18"/>
          <w:b w:val="1"/>
          <w:bCs w:val="1"/>
          <w:color w:val="56C271"/>
        </w:rPr>
        <w:t xml:space="preserve">Nonqualified Deferred Compensation Plan. </w:t>
      </w:r>
      <w:r>
        <w:rPr>
          <w:rFonts w:ascii="Arial" w:cs="Arial" w:eastAsia="Arial" w:hAnsi="Arial"/>
          <w:sz w:val="18"/>
          <w:szCs w:val="18"/>
          <w:color w:val="000000"/>
        </w:rPr>
        <w:t>Previously, the Company maintained a nonqualified deferred</w:t>
      </w:r>
      <w:r>
        <w:rPr>
          <w:rFonts w:ascii="Arial" w:cs="Arial" w:eastAsia="Arial" w:hAnsi="Arial"/>
          <w:sz w:val="18"/>
          <w:szCs w:val="18"/>
          <w:b w:val="1"/>
          <w:bCs w:val="1"/>
          <w:color w:val="56C271"/>
        </w:rPr>
        <w:t xml:space="preserve"> </w:t>
      </w:r>
      <w:r>
        <w:rPr>
          <w:rFonts w:ascii="Arial" w:cs="Arial" w:eastAsia="Arial" w:hAnsi="Arial"/>
          <w:sz w:val="18"/>
          <w:szCs w:val="18"/>
          <w:color w:val="000000"/>
        </w:rPr>
        <w:t>compensation plan for highly compensated U.S. employees, which included each NEO (“Elective Deferral Plan”). Under the Elective Deferral Plan, a covered employee could elect to contribute a portion of their compensation to the Plan on a pre-tax basis, in addition to the amounts allowed under the Company’s 401(k) Plan. Employee contributions and any deemed investment earnings on these contributions were held under the Avnet Deferred Compensation Rabbi Trust, but were subject to the claims of general creditors of the Company. The Company did not offer preferential or above market returns on the compensation deferred under the plan. On February 6, 2020, the Elective Deferral Plan was amended to freeze future participation in the plan by not permitting new participants to enter the plan and not permitting existing participants to make new contributions to the plan effective for plan years beginning on or after March 1, 2020. Effective as of November 17, 2020, the plan was terminated. The Elective Deferral Plan, including NEO participation, is more fully described in the “Nonqualified Deferred Compensation” section.</w:t>
      </w:r>
    </w:p>
    <w:p>
      <w:pPr>
        <w:spacing w:after="0" w:line="109" w:lineRule="exact"/>
        <w:rPr>
          <w:sz w:val="20"/>
          <w:szCs w:val="20"/>
          <w:color w:val="auto"/>
        </w:rPr>
      </w:pPr>
    </w:p>
    <w:p>
      <w:pPr>
        <w:ind w:left="1000" w:right="219"/>
        <w:spacing w:after="0" w:line="257" w:lineRule="auto"/>
        <w:rPr>
          <w:sz w:val="20"/>
          <w:szCs w:val="20"/>
          <w:color w:val="auto"/>
        </w:rPr>
      </w:pPr>
      <w:r>
        <w:rPr>
          <w:rFonts w:ascii="Arial" w:cs="Arial" w:eastAsia="Arial" w:hAnsi="Arial"/>
          <w:sz w:val="18"/>
          <w:szCs w:val="18"/>
          <w:b w:val="1"/>
          <w:bCs w:val="1"/>
          <w:color w:val="56C271"/>
        </w:rPr>
        <w:t xml:space="preserve">Executive Benefits. </w:t>
      </w:r>
      <w:r>
        <w:rPr>
          <w:rFonts w:ascii="Arial" w:cs="Arial" w:eastAsia="Arial" w:hAnsi="Arial"/>
          <w:sz w:val="18"/>
          <w:szCs w:val="18"/>
          <w:color w:val="000000"/>
        </w:rPr>
        <w:t>The Company provides NEOs with a limited number of perquisites that the Company</w:t>
      </w:r>
      <w:r>
        <w:rPr>
          <w:rFonts w:ascii="Arial" w:cs="Arial" w:eastAsia="Arial" w:hAnsi="Arial"/>
          <w:sz w:val="18"/>
          <w:szCs w:val="18"/>
          <w:b w:val="1"/>
          <w:bCs w:val="1"/>
          <w:color w:val="56C271"/>
        </w:rPr>
        <w:t xml:space="preserve"> </w:t>
      </w:r>
      <w:r>
        <w:rPr>
          <w:rFonts w:ascii="Arial" w:cs="Arial" w:eastAsia="Arial" w:hAnsi="Arial"/>
          <w:sz w:val="18"/>
          <w:szCs w:val="18"/>
          <w:color w:val="000000"/>
        </w:rPr>
        <w:t>and the Committee believe are reasonable and consistent with the Company’s overall compensation program and necessary to remain competitive. Perquisites include Company-paid travel for executives residing outside of Arizona, automobile program, and cost of annual physical exams. Costs associated with the perquisites provided by the Company are included in the “All Other Compensation” column in the Summary Compensation Table.</w:t>
      </w:r>
    </w:p>
    <w:p>
      <w:pPr>
        <w:spacing w:after="0" w:line="115"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b w:val="1"/>
          <w:bCs w:val="1"/>
          <w:color w:val="56C271"/>
        </w:rPr>
        <w:t xml:space="preserve">Change of Control Agreements. </w:t>
      </w:r>
      <w:r>
        <w:rPr>
          <w:rFonts w:ascii="Arial" w:cs="Arial" w:eastAsia="Arial" w:hAnsi="Arial"/>
          <w:sz w:val="18"/>
          <w:szCs w:val="18"/>
          <w:color w:val="000000"/>
        </w:rPr>
        <w:t>The Company has entered into a change of control agreement with each of</w:t>
      </w:r>
      <w:r>
        <w:rPr>
          <w:rFonts w:ascii="Arial" w:cs="Arial" w:eastAsia="Arial" w:hAnsi="Arial"/>
          <w:sz w:val="18"/>
          <w:szCs w:val="18"/>
          <w:b w:val="1"/>
          <w:bCs w:val="1"/>
          <w:color w:val="56C271"/>
        </w:rPr>
        <w:t xml:space="preserve"> </w:t>
      </w:r>
      <w:r>
        <w:rPr>
          <w:rFonts w:ascii="Arial" w:cs="Arial" w:eastAsia="Arial" w:hAnsi="Arial"/>
          <w:sz w:val="18"/>
          <w:szCs w:val="18"/>
          <w:color w:val="000000"/>
        </w:rPr>
        <w:t>the NEOs. The change of control agreements are intended to encourage retention in the face of the disruptive impact of an actual or attempted change of control of the Company. The agreements are also intended to align NEOs’ interests with those of the shareholders by enabling the NEOs to consider corporate transactions that are in the best interests of the shareholders and other constituents of the Company without undue concern over whether the transactions may jeopardize the NEOs’ own employment. The change of control agreements do not provide for excise tax reimbursements to any of the NEOs. For more information, see “Potential Payouts Upon Termination and Change of Control” section.</w:t>
      </w:r>
    </w:p>
    <w:p>
      <w:pPr>
        <w:spacing w:after="0" w:line="117" w:lineRule="exact"/>
        <w:rPr>
          <w:sz w:val="20"/>
          <w:szCs w:val="20"/>
          <w:color w:val="auto"/>
        </w:rPr>
      </w:pPr>
    </w:p>
    <w:p>
      <w:pPr>
        <w:ind w:left="1000" w:right="219"/>
        <w:spacing w:after="0" w:line="255" w:lineRule="auto"/>
        <w:rPr>
          <w:sz w:val="20"/>
          <w:szCs w:val="20"/>
          <w:color w:val="auto"/>
        </w:rPr>
      </w:pPr>
      <w:r>
        <w:rPr>
          <w:rFonts w:ascii="Arial" w:cs="Arial" w:eastAsia="Arial" w:hAnsi="Arial"/>
          <w:sz w:val="18"/>
          <w:szCs w:val="18"/>
          <w:b w:val="1"/>
          <w:bCs w:val="1"/>
          <w:color w:val="56C271"/>
        </w:rPr>
        <w:t xml:space="preserve">Executive Severance Plan. </w:t>
      </w:r>
      <w:r>
        <w:rPr>
          <w:rFonts w:ascii="Arial" w:cs="Arial" w:eastAsia="Arial" w:hAnsi="Arial"/>
          <w:sz w:val="18"/>
          <w:szCs w:val="18"/>
          <w:color w:val="000000"/>
        </w:rPr>
        <w:t>The Company approved an Executive Severance Plan on August 10, 2017</w:t>
      </w:r>
      <w:r>
        <w:rPr>
          <w:rFonts w:ascii="Arial" w:cs="Arial" w:eastAsia="Arial" w:hAnsi="Arial"/>
          <w:sz w:val="18"/>
          <w:szCs w:val="18"/>
          <w:b w:val="1"/>
          <w:bCs w:val="1"/>
          <w:color w:val="56C271"/>
        </w:rPr>
        <w:t xml:space="preserve"> </w:t>
      </w:r>
      <w:r>
        <w:rPr>
          <w:rFonts w:ascii="Arial" w:cs="Arial" w:eastAsia="Arial" w:hAnsi="Arial"/>
          <w:sz w:val="18"/>
          <w:szCs w:val="18"/>
          <w:color w:val="000000"/>
        </w:rPr>
        <w:t>(“Executive Severance Plan”), whereby executive officers may be eligible to receive severance benefits if they are not entitled to severance payments under any other employment agreement. Under the Executive Severance Plan, if the Company terminates an executive’s employment without cause, the executive will receive: (1) one times their annual base salary, or in the case of the CEO two times their annual base salary;</w:t>
      </w:r>
    </w:p>
    <w:p>
      <w:pPr>
        <w:spacing w:after="0" w:line="2" w:lineRule="exact"/>
        <w:rPr>
          <w:sz w:val="20"/>
          <w:szCs w:val="20"/>
          <w:color w:val="auto"/>
        </w:rPr>
      </w:pPr>
    </w:p>
    <w:p>
      <w:pPr>
        <w:ind w:left="1000" w:right="479" w:hanging="10"/>
        <w:spacing w:after="0" w:line="265" w:lineRule="auto"/>
        <w:tabs>
          <w:tab w:leader="none" w:pos="12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health care benefit continuation for the duration of the severance period; and (3) the incentive payment based on the relevant performance factors in the year of termination. For purposes of the above, “cause” generally includes gross misconduct, breach of any material term of the agreement, willful breach, habitual neglect or wanton disregard of the executive’s duties, or conviction of certain criminal acts. Currently,</w:t>
      </w:r>
    </w:p>
    <w:p>
      <w:pPr>
        <w:ind w:left="1000"/>
        <w:spacing w:after="0"/>
        <w:rPr>
          <w:rFonts w:ascii="Arial" w:cs="Arial" w:eastAsia="Arial" w:hAnsi="Arial"/>
          <w:sz w:val="17"/>
          <w:szCs w:val="17"/>
          <w:color w:val="auto"/>
        </w:rPr>
      </w:pPr>
      <w:r>
        <w:rPr>
          <w:rFonts w:ascii="Arial" w:cs="Arial" w:eastAsia="Arial" w:hAnsi="Arial"/>
          <w:sz w:val="18"/>
          <w:szCs w:val="18"/>
          <w:color w:val="auto"/>
        </w:rPr>
        <w:t>Mr. Liguori is covered by the Executive Severance Plan, while Messrs. Gallagher, Arnold, McCoy and</w:t>
      </w:r>
    </w:p>
    <w:p>
      <w:pPr>
        <w:spacing w:after="0" w:line="9" w:lineRule="exact"/>
        <w:rPr>
          <w:rFonts w:ascii="Arial" w:cs="Arial" w:eastAsia="Arial" w:hAnsi="Arial"/>
          <w:sz w:val="17"/>
          <w:szCs w:val="17"/>
          <w:color w:val="auto"/>
        </w:rPr>
      </w:pPr>
    </w:p>
    <w:p>
      <w:pPr>
        <w:ind w:left="1000" w:right="179"/>
        <w:spacing w:after="0" w:line="253" w:lineRule="auto"/>
        <w:rPr>
          <w:rFonts w:ascii="Arial" w:cs="Arial" w:eastAsia="Arial" w:hAnsi="Arial"/>
          <w:sz w:val="17"/>
          <w:szCs w:val="17"/>
          <w:color w:val="auto"/>
        </w:rPr>
      </w:pPr>
      <w:r>
        <w:rPr>
          <w:rFonts w:ascii="Arial" w:cs="Arial" w:eastAsia="Arial" w:hAnsi="Arial"/>
          <w:sz w:val="18"/>
          <w:szCs w:val="18"/>
          <w:color w:val="auto"/>
        </w:rPr>
        <w:t>Ms. Miller are each covered by their employment agreements. In addition, Messrs. Amelio and Bartolotta were each covered by their employment agreements at the time of their departure. Mr. Chan is not eligible to participate in the Executive Severance Plan and does not have an employment agreement with the Company. Rather, Mr. Chan is covered by the Avnet Severance Plan, as revised on August 1, 2015, which generally covers U.S. employees.</w:t>
      </w:r>
    </w:p>
    <w:p>
      <w:pPr>
        <w:spacing w:after="0" w:line="124" w:lineRule="exact"/>
        <w:rPr>
          <w:sz w:val="20"/>
          <w:szCs w:val="20"/>
          <w:color w:val="auto"/>
        </w:rPr>
      </w:pPr>
    </w:p>
    <w:p>
      <w:pPr>
        <w:ind w:left="1000" w:right="279"/>
        <w:spacing w:after="0" w:line="252" w:lineRule="auto"/>
        <w:rPr>
          <w:sz w:val="20"/>
          <w:szCs w:val="20"/>
          <w:color w:val="auto"/>
        </w:rPr>
      </w:pPr>
      <w:r>
        <w:rPr>
          <w:rFonts w:ascii="Arial" w:cs="Arial" w:eastAsia="Arial" w:hAnsi="Arial"/>
          <w:sz w:val="18"/>
          <w:szCs w:val="18"/>
          <w:color w:val="auto"/>
        </w:rPr>
        <w:t>The employment agreements for Messrs. Gallagher, Arnold and McCoy provide, and the employment agreements for Messrs. Amelio and Bartolotta provided, that if the Company terminates their employment without cause, they will receive a lump sum equal to: (1) base annual salary and (2) target bonus for the year in which the termination occurs. For purposes of the above, “cause” generally includes gross misconduct, breach of any material term of the agreement, willful breach, habitual neglect or wanton disregard of the executive’s duties, or conviction of any criminal act.</w:t>
      </w:r>
    </w:p>
    <w:p>
      <w:pPr>
        <w:spacing w:after="0" w:line="140" w:lineRule="exact"/>
        <w:rPr>
          <w:sz w:val="20"/>
          <w:szCs w:val="20"/>
          <w:color w:val="auto"/>
        </w:rPr>
      </w:pPr>
    </w:p>
    <w:p>
      <w:pPr>
        <w:jc w:val="both"/>
        <w:ind w:left="1000" w:right="159"/>
        <w:spacing w:after="0" w:line="256" w:lineRule="auto"/>
        <w:rPr>
          <w:sz w:val="20"/>
          <w:szCs w:val="20"/>
          <w:color w:val="auto"/>
        </w:rPr>
      </w:pPr>
      <w:r>
        <w:rPr>
          <w:rFonts w:ascii="Arial" w:cs="Arial" w:eastAsia="Arial" w:hAnsi="Arial"/>
          <w:sz w:val="18"/>
          <w:szCs w:val="18"/>
          <w:color w:val="auto"/>
        </w:rPr>
        <w:t>The employment agreement for Ms. Miller is terminable by either the individual or the Company upon one-year advance written notice to the other. Per the terms of the Executive Severance plan, Ms. Miller is not eligible to participate in the Executive Severance Plan.</w:t>
      </w:r>
    </w:p>
    <w:p>
      <w:pPr>
        <w:sectPr>
          <w:pgSz w:w="11900" w:h="16838" w:orient="portrait"/>
          <w:cols w:equalWidth="0" w:num="1">
            <w:col w:w="9879"/>
          </w:cols>
          <w:pgMar w:left="580" w:top="132" w:right="1440" w:bottom="1440" w:gutter="0" w:footer="0" w:header="0"/>
        </w:sectPr>
      </w:pPr>
    </w:p>
    <w:p>
      <w:pPr>
        <w:spacing w:after="0" w:line="137"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30035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more information, see “Potential Payouts Upon Termination and Change of Control” section.</w:t>
      </w:r>
    </w:p>
    <w:p>
      <w:pPr>
        <w:spacing w:after="0" w:line="122" w:lineRule="exact"/>
        <w:rPr>
          <w:sz w:val="20"/>
          <w:szCs w:val="20"/>
          <w:color w:val="auto"/>
        </w:rPr>
      </w:pPr>
    </w:p>
    <w:p>
      <w:pPr>
        <w:ind w:left="1000" w:right="199"/>
        <w:spacing w:after="0" w:line="244" w:lineRule="auto"/>
        <w:rPr>
          <w:sz w:val="20"/>
          <w:szCs w:val="20"/>
          <w:color w:val="auto"/>
        </w:rPr>
      </w:pPr>
      <w:r>
        <w:rPr>
          <w:rFonts w:ascii="Arial" w:cs="Arial" w:eastAsia="Arial" w:hAnsi="Arial"/>
          <w:sz w:val="18"/>
          <w:szCs w:val="18"/>
          <w:b w:val="1"/>
          <w:bCs w:val="1"/>
          <w:color w:val="56C271"/>
        </w:rPr>
        <w:t xml:space="preserve">Employee Stock Purchase Plan (ESPP). </w:t>
      </w:r>
      <w:r>
        <w:rPr>
          <w:rFonts w:ascii="Arial" w:cs="Arial" w:eastAsia="Arial" w:hAnsi="Arial"/>
          <w:sz w:val="18"/>
          <w:szCs w:val="18"/>
          <w:color w:val="000000"/>
        </w:rPr>
        <w:t>The Company maintains the ESPP, which is a tax-qualified plan</w:t>
      </w:r>
      <w:r>
        <w:rPr>
          <w:rFonts w:ascii="Arial" w:cs="Arial" w:eastAsia="Arial" w:hAnsi="Arial"/>
          <w:sz w:val="18"/>
          <w:szCs w:val="18"/>
          <w:b w:val="1"/>
          <w:bCs w:val="1"/>
          <w:color w:val="56C271"/>
        </w:rPr>
        <w:t xml:space="preserve"> </w:t>
      </w:r>
      <w:r>
        <w:rPr>
          <w:rFonts w:ascii="Arial" w:cs="Arial" w:eastAsia="Arial" w:hAnsi="Arial"/>
          <w:sz w:val="18"/>
          <w:szCs w:val="18"/>
          <w:color w:val="000000"/>
        </w:rPr>
        <w:t>available to all employees of the Company and designated U.S. and Canadian subsidiaries who have been employed for at least three continuous months on the basis of at least 20 hours per week. The ESPP provides an opportunity to acquire an ownership interest in the Company through the purchase of the Company’s Common Stock at a 5% discount through payroll deductions.</w:t>
      </w:r>
    </w:p>
    <w:p>
      <w:pPr>
        <w:spacing w:after="0" w:line="14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ADDITIONAL PRACTICES, POLICIES AND GUIDELINES</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Stock Ownership Guidelines</w:t>
      </w:r>
    </w:p>
    <w:p>
      <w:pPr>
        <w:spacing w:after="0" w:line="175" w:lineRule="exact"/>
        <w:rPr>
          <w:sz w:val="20"/>
          <w:szCs w:val="20"/>
          <w:color w:val="auto"/>
        </w:rPr>
      </w:pPr>
    </w:p>
    <w:p>
      <w:pPr>
        <w:ind w:left="1000" w:right="259"/>
        <w:spacing w:after="0" w:line="238" w:lineRule="auto"/>
        <w:rPr>
          <w:sz w:val="20"/>
          <w:szCs w:val="20"/>
          <w:color w:val="auto"/>
        </w:rPr>
      </w:pPr>
      <w:r>
        <w:rPr>
          <w:rFonts w:ascii="Arial" w:cs="Arial" w:eastAsia="Arial" w:hAnsi="Arial"/>
          <w:sz w:val="18"/>
          <w:szCs w:val="18"/>
          <w:color w:val="auto"/>
        </w:rPr>
        <w:t>With a significant portion of each NEO’s total compensation delivered in the form of equity-based incentives, NEOs have a substantial interest and incentive to ensure profitable growth of the Company and to drive long-term shareholder value. To further reinforce this focus, the Committee has established stock ownership guidelines for all NEOs. The guidelines provide that the NEOs are required to hold shares of the Company’s Common Stock with a market value equal to a multiple of each NEO’s base salary, as set forth below:</w:t>
      </w:r>
    </w:p>
    <w:p>
      <w:pPr>
        <w:spacing w:after="0" w:line="143" w:lineRule="exact"/>
        <w:rPr>
          <w:sz w:val="20"/>
          <w:szCs w:val="20"/>
          <w:color w:val="auto"/>
        </w:rPr>
      </w:pPr>
    </w:p>
    <w:tbl>
      <w:tblPr>
        <w:tblLayout w:type="fixed"/>
        <w:tblInd w:w="980" w:type="dxa"/>
        <w:tblCellMar>
          <w:top w:w="0" w:type="dxa"/>
          <w:left w:w="0" w:type="dxa"/>
          <w:bottom w:w="0" w:type="dxa"/>
          <w:right w:w="0" w:type="dxa"/>
        </w:tblCellMar>
      </w:tblPr>
      <w:tr>
        <w:trPr>
          <w:trHeight w:val="277"/>
        </w:trPr>
        <w:tc>
          <w:tcPr>
            <w:tcW w:w="4480" w:type="dxa"/>
            <w:vAlign w:val="bottom"/>
            <w:tcBorders>
              <w:top w:val="single" w:sz="8" w:color="56C271"/>
              <w:bottom w:val="single" w:sz="8" w:color="CCEDD4"/>
            </w:tcBorders>
            <w:shd w:val="clear" w:color="auto" w:fill="CCEDD4"/>
          </w:tcPr>
          <w:p>
            <w:pPr>
              <w:ind w:left="60"/>
              <w:spacing w:after="0"/>
              <w:rPr>
                <w:sz w:val="20"/>
                <w:szCs w:val="20"/>
                <w:color w:val="auto"/>
              </w:rPr>
            </w:pPr>
            <w:r>
              <w:rPr>
                <w:rFonts w:ascii="Arial" w:cs="Arial" w:eastAsia="Arial" w:hAnsi="Arial"/>
                <w:sz w:val="18"/>
                <w:szCs w:val="18"/>
                <w:color w:val="auto"/>
              </w:rPr>
              <w:t>CEO</w:t>
            </w:r>
          </w:p>
        </w:tc>
        <w:tc>
          <w:tcPr>
            <w:tcW w:w="4280" w:type="dxa"/>
            <w:vAlign w:val="bottom"/>
            <w:tcBorders>
              <w:top w:val="single" w:sz="8" w:color="56C271"/>
              <w:bottom w:val="single" w:sz="8" w:color="CCEDD4"/>
            </w:tcBorders>
            <w:shd w:val="clear" w:color="auto" w:fill="CCEDD4"/>
          </w:tcPr>
          <w:p>
            <w:pPr>
              <w:ind w:left="2280"/>
              <w:spacing w:after="0"/>
              <w:rPr>
                <w:sz w:val="20"/>
                <w:szCs w:val="20"/>
                <w:color w:val="auto"/>
              </w:rPr>
            </w:pPr>
            <w:r>
              <w:rPr>
                <w:rFonts w:ascii="Arial" w:cs="Arial" w:eastAsia="Arial" w:hAnsi="Arial"/>
                <w:sz w:val="18"/>
                <w:szCs w:val="18"/>
                <w:color w:val="auto"/>
              </w:rPr>
              <w:t>5x base salary</w:t>
            </w:r>
          </w:p>
        </w:tc>
      </w:tr>
      <w:tr>
        <w:trPr>
          <w:trHeight w:val="229"/>
        </w:trPr>
        <w:tc>
          <w:tcPr>
            <w:tcW w:w="4480" w:type="dxa"/>
            <w:vAlign w:val="bottom"/>
          </w:tcPr>
          <w:p>
            <w:pPr>
              <w:ind w:left="60"/>
              <w:spacing w:after="0"/>
              <w:rPr>
                <w:sz w:val="20"/>
                <w:szCs w:val="20"/>
                <w:color w:val="auto"/>
              </w:rPr>
            </w:pPr>
            <w:r>
              <w:rPr>
                <w:rFonts w:ascii="Arial" w:cs="Arial" w:eastAsia="Arial" w:hAnsi="Arial"/>
                <w:sz w:val="18"/>
                <w:szCs w:val="18"/>
                <w:color w:val="auto"/>
              </w:rPr>
              <w:t>CFO and General Counsel</w:t>
            </w:r>
          </w:p>
        </w:tc>
        <w:tc>
          <w:tcPr>
            <w:tcW w:w="4280" w:type="dxa"/>
            <w:vAlign w:val="bottom"/>
          </w:tcPr>
          <w:p>
            <w:pPr>
              <w:ind w:left="2280"/>
              <w:spacing w:after="0"/>
              <w:rPr>
                <w:sz w:val="20"/>
                <w:szCs w:val="20"/>
                <w:color w:val="auto"/>
              </w:rPr>
            </w:pPr>
            <w:r>
              <w:rPr>
                <w:rFonts w:ascii="Arial" w:cs="Arial" w:eastAsia="Arial" w:hAnsi="Arial"/>
                <w:sz w:val="18"/>
                <w:szCs w:val="18"/>
                <w:color w:val="auto"/>
              </w:rPr>
              <w:t>3x base salary</w:t>
            </w:r>
          </w:p>
        </w:tc>
      </w:tr>
      <w:tr>
        <w:trPr>
          <w:trHeight w:val="27"/>
        </w:trPr>
        <w:tc>
          <w:tcPr>
            <w:tcW w:w="448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7"/>
        </w:trPr>
        <w:tc>
          <w:tcPr>
            <w:tcW w:w="4480" w:type="dxa"/>
            <w:vAlign w:val="bottom"/>
            <w:tcBorders>
              <w:bottom w:val="single" w:sz="8" w:color="CCEDD4"/>
            </w:tcBorders>
            <w:shd w:val="clear" w:color="auto" w:fill="CCEDD4"/>
          </w:tcPr>
          <w:p>
            <w:pPr>
              <w:ind w:left="60"/>
              <w:spacing w:after="0"/>
              <w:rPr>
                <w:sz w:val="20"/>
                <w:szCs w:val="20"/>
                <w:color w:val="auto"/>
              </w:rPr>
            </w:pPr>
            <w:r>
              <w:rPr>
                <w:rFonts w:ascii="Arial" w:cs="Arial" w:eastAsia="Arial" w:hAnsi="Arial"/>
                <w:sz w:val="18"/>
                <w:szCs w:val="18"/>
                <w:color w:val="auto"/>
              </w:rPr>
              <w:t>Other Officers</w:t>
            </w:r>
          </w:p>
        </w:tc>
        <w:tc>
          <w:tcPr>
            <w:tcW w:w="4280" w:type="dxa"/>
            <w:vAlign w:val="bottom"/>
            <w:tcBorders>
              <w:bottom w:val="single" w:sz="8" w:color="CCEDD4"/>
            </w:tcBorders>
            <w:shd w:val="clear" w:color="auto" w:fill="CCEDD4"/>
          </w:tcPr>
          <w:p>
            <w:pPr>
              <w:ind w:left="2280"/>
              <w:spacing w:after="0"/>
              <w:rPr>
                <w:sz w:val="20"/>
                <w:szCs w:val="20"/>
                <w:color w:val="auto"/>
              </w:rPr>
            </w:pPr>
            <w:r>
              <w:rPr>
                <w:rFonts w:ascii="Arial" w:cs="Arial" w:eastAsia="Arial" w:hAnsi="Arial"/>
                <w:sz w:val="18"/>
                <w:szCs w:val="18"/>
                <w:color w:val="auto"/>
              </w:rPr>
              <w:t>1x base salary</w:t>
            </w:r>
          </w:p>
        </w:tc>
      </w:tr>
      <w:tr>
        <w:trPr>
          <w:trHeight w:val="27"/>
        </w:trPr>
        <w:tc>
          <w:tcPr>
            <w:tcW w:w="4480" w:type="dxa"/>
            <w:vAlign w:val="bottom"/>
            <w:shd w:val="clear" w:color="auto" w:fill="56C271"/>
          </w:tcPr>
          <w:p>
            <w:pPr>
              <w:spacing w:after="0"/>
              <w:rPr>
                <w:sz w:val="2"/>
                <w:szCs w:val="2"/>
                <w:color w:val="auto"/>
              </w:rPr>
            </w:pPr>
          </w:p>
        </w:tc>
        <w:tc>
          <w:tcPr>
            <w:tcW w:w="4280" w:type="dxa"/>
            <w:vAlign w:val="bottom"/>
            <w:shd w:val="clear" w:color="auto" w:fill="56C271"/>
          </w:tcPr>
          <w:p>
            <w:pPr>
              <w:spacing w:after="0"/>
              <w:rPr>
                <w:sz w:val="2"/>
                <w:szCs w:val="2"/>
                <w:color w:val="auto"/>
              </w:rPr>
            </w:pPr>
          </w:p>
        </w:tc>
      </w:tr>
    </w:tbl>
    <w:p>
      <w:pPr>
        <w:spacing w:after="0" w:line="53" w:lineRule="exact"/>
        <w:rPr>
          <w:sz w:val="20"/>
          <w:szCs w:val="20"/>
          <w:color w:val="auto"/>
        </w:rPr>
      </w:pPr>
    </w:p>
    <w:p>
      <w:pPr>
        <w:ind w:left="1000" w:right="659"/>
        <w:spacing w:after="0" w:line="235" w:lineRule="auto"/>
        <w:rPr>
          <w:sz w:val="20"/>
          <w:szCs w:val="20"/>
          <w:color w:val="auto"/>
        </w:rPr>
      </w:pPr>
      <w:r>
        <w:rPr>
          <w:rFonts w:ascii="Arial" w:cs="Arial" w:eastAsia="Arial" w:hAnsi="Arial"/>
          <w:sz w:val="18"/>
          <w:szCs w:val="18"/>
          <w:color w:val="auto"/>
        </w:rPr>
        <w:t>Shares that count towards the guidelines include shares actually owned, RSUs regardless if vested, and shares acquired from the exercise of stock options.</w:t>
      </w:r>
    </w:p>
    <w:p>
      <w:pPr>
        <w:spacing w:after="0" w:line="121" w:lineRule="exact"/>
        <w:rPr>
          <w:sz w:val="20"/>
          <w:szCs w:val="20"/>
          <w:color w:val="auto"/>
        </w:rPr>
      </w:pPr>
    </w:p>
    <w:p>
      <w:pPr>
        <w:ind w:left="1000" w:right="559"/>
        <w:spacing w:after="0" w:line="238" w:lineRule="auto"/>
        <w:rPr>
          <w:sz w:val="20"/>
          <w:szCs w:val="20"/>
          <w:color w:val="auto"/>
        </w:rPr>
      </w:pPr>
      <w:r>
        <w:rPr>
          <w:rFonts w:ascii="Arial" w:cs="Arial" w:eastAsia="Arial" w:hAnsi="Arial"/>
          <w:sz w:val="18"/>
          <w:szCs w:val="18"/>
          <w:color w:val="auto"/>
        </w:rPr>
        <w:t>The guidelines do not provide a time frame by which ownership must be achieved. However, until the ownership level under the guidelines is met, the NEO must hold at least 50% of any net shares he or she receives upon the exercise of stock options or upon the delivery of any RSU or PSU awards. As of July 1, 2021, all NEOs who are subject to these guidelines satisfy these requirements.</w:t>
      </w:r>
    </w:p>
    <w:p>
      <w:pPr>
        <w:spacing w:after="0" w:line="11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Hedging/Pledging Policy</w:t>
      </w:r>
    </w:p>
    <w:p>
      <w:pPr>
        <w:spacing w:after="0" w:line="161" w:lineRule="exact"/>
        <w:rPr>
          <w:sz w:val="20"/>
          <w:szCs w:val="20"/>
          <w:color w:val="auto"/>
        </w:rPr>
      </w:pPr>
    </w:p>
    <w:p>
      <w:pPr>
        <w:ind w:left="1000" w:right="159"/>
        <w:spacing w:after="0" w:line="237" w:lineRule="auto"/>
        <w:rPr>
          <w:sz w:val="20"/>
          <w:szCs w:val="20"/>
          <w:color w:val="auto"/>
        </w:rPr>
      </w:pPr>
      <w:r>
        <w:rPr>
          <w:rFonts w:ascii="Arial" w:cs="Arial" w:eastAsia="Arial" w:hAnsi="Arial"/>
          <w:sz w:val="18"/>
          <w:szCs w:val="18"/>
          <w:color w:val="auto"/>
        </w:rPr>
        <w:t>The Trading Procedures for Insiders, which is part of the Company’s Insider Trading Policy, expressly prohibits executive officers, including their spouses, other persons living in their household and minor children and entities over which they exercise control, from entering into hedging or monetization transactions to hedge the economic risk associated with owning the Company’s securities and from holding the Company’s securities in a margin account or pledging the Company’s securities as collateral for loans without advance approval from the Compliance Officer.</w:t>
      </w:r>
    </w:p>
    <w:p>
      <w:pPr>
        <w:spacing w:after="0" w:line="11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Recoupment Policy</w:t>
      </w:r>
    </w:p>
    <w:p>
      <w:pPr>
        <w:spacing w:after="0" w:line="161" w:lineRule="exact"/>
        <w:rPr>
          <w:sz w:val="20"/>
          <w:szCs w:val="20"/>
          <w:color w:val="auto"/>
        </w:rPr>
      </w:pPr>
    </w:p>
    <w:p>
      <w:pPr>
        <w:ind w:left="1000" w:right="139"/>
        <w:spacing w:after="0" w:line="235" w:lineRule="auto"/>
        <w:rPr>
          <w:sz w:val="20"/>
          <w:szCs w:val="20"/>
          <w:color w:val="auto"/>
        </w:rPr>
      </w:pPr>
      <w:r>
        <w:rPr>
          <w:rFonts w:ascii="Arial" w:cs="Arial" w:eastAsia="Arial" w:hAnsi="Arial"/>
          <w:sz w:val="18"/>
          <w:szCs w:val="18"/>
          <w:color w:val="auto"/>
        </w:rPr>
        <w:t>Pursuant to the Company’s amended Incentive Compensation Recoupment Policy, otherwise known as a clawback policy, in the event of a mandatory restatement of the Company’s financial results, or in the event of misconduct by an executive officer (or if an executive officer knew or should have known about the misconduct and failed to report it to the Company) or if required by law, the Independent Directors are authorized to take action to recoup all or part of any incentive compensation received by an executive officer. For purposes of this policy, incentive compensation includes any cash or stock-based award under the Company’s annual cash incentive plan or long-term incentive plan, the amount of which is determined in whole or in part upon the application of objective performance criteria or the achievement of specific financial performance targets. The policy defines misconduct as the willful commission of an illegal act, fraud, intentional misconduct or gross recklessness in the performance of an employee’s duties and responsibilities. In determining whether to take action to recoup any incentive compensation received by an executive officer, the Independent Directors will take into consideration whether the executive officer engaged in the misconduct or was in a position, including in a supervisory role, to have been able to have reasonably prevented the misconduct that caused the restatement.</w:t>
      </w:r>
    </w:p>
    <w:p>
      <w:pPr>
        <w:spacing w:after="0" w:line="106"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Equity Grant Practices</w:t>
      </w:r>
    </w:p>
    <w:p>
      <w:pPr>
        <w:spacing w:after="0" w:line="175" w:lineRule="exact"/>
        <w:rPr>
          <w:sz w:val="20"/>
          <w:szCs w:val="20"/>
          <w:color w:val="auto"/>
        </w:rPr>
      </w:pPr>
    </w:p>
    <w:p>
      <w:pPr>
        <w:ind w:left="1000" w:right="639"/>
        <w:spacing w:after="0"/>
        <w:rPr>
          <w:sz w:val="20"/>
          <w:szCs w:val="20"/>
          <w:color w:val="auto"/>
        </w:rPr>
      </w:pPr>
      <w:r>
        <w:rPr>
          <w:rFonts w:ascii="Arial" w:cs="Arial" w:eastAsia="Arial" w:hAnsi="Arial"/>
          <w:sz w:val="18"/>
          <w:szCs w:val="18"/>
          <w:color w:val="auto"/>
        </w:rPr>
        <w:t>Equity award decisions are generally made at the Board or Committee’s regularly scheduled meetings in August, which are generally scheduled at least one year in advance. Pursuant to the Company’s equity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103505</wp:posOffset>
            </wp:positionV>
            <wp:extent cx="1482725" cy="2997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82725" cy="299720"/>
                    </a:xfrm>
                    <a:prstGeom prst="rect">
                      <a:avLst/>
                    </a:prstGeom>
                    <a:noFill/>
                  </pic:spPr>
                </pic:pic>
              </a:graphicData>
            </a:graphic>
          </wp:anchor>
        </w:drawing>
      </w:r>
    </w:p>
    <w:p>
      <w:pPr>
        <w:spacing w:after="0" w:line="3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259"/>
        <w:spacing w:after="0" w:line="253" w:lineRule="auto"/>
        <w:rPr>
          <w:sz w:val="20"/>
          <w:szCs w:val="20"/>
          <w:color w:val="auto"/>
        </w:rPr>
      </w:pPr>
      <w:r>
        <w:rPr>
          <w:rFonts w:ascii="Arial" w:cs="Arial" w:eastAsia="Arial" w:hAnsi="Arial"/>
          <w:sz w:val="18"/>
          <w:szCs w:val="18"/>
          <w:color w:val="auto"/>
        </w:rPr>
        <w:t>plans, the exercise price of each stock option awarded to the executive officers is the closing price of the Company’s Common Stock on the date of grant. Options and other equity-based awards may be granted in connection with a new hire or a promotion, in which case awards may be granted at the Compensation Committee meeting at or about the time of hiring or promotion. Grants are made without regard to anticipated earnings or major announcements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30035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Discussion and Analysis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306070</wp:posOffset>
            </wp:positionV>
            <wp:extent cx="5554980" cy="685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FEFEFE"/>
        </w:rPr>
        <w:t>COMPENSATION AND LEADERSHIP</w:t>
      </w:r>
    </w:p>
    <w:p>
      <w:pPr>
        <w:spacing w:after="0" w:line="63"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FEFEFE"/>
        </w:rPr>
        <w:t>DEVELOPMENT COMMITTEE REPORT</w:t>
      </w:r>
    </w:p>
    <w:p>
      <w:pPr>
        <w:spacing w:after="0" w:line="397" w:lineRule="exact"/>
        <w:rPr>
          <w:sz w:val="20"/>
          <w:szCs w:val="20"/>
          <w:color w:val="auto"/>
        </w:rPr>
      </w:pPr>
    </w:p>
    <w:p>
      <w:pPr>
        <w:ind w:left="1000" w:right="199"/>
        <w:spacing w:after="0" w:line="253" w:lineRule="auto"/>
        <w:rPr>
          <w:sz w:val="20"/>
          <w:szCs w:val="20"/>
          <w:color w:val="auto"/>
        </w:rPr>
      </w:pPr>
      <w:r>
        <w:rPr>
          <w:rFonts w:ascii="Arial" w:cs="Arial" w:eastAsia="Arial" w:hAnsi="Arial"/>
          <w:sz w:val="18"/>
          <w:szCs w:val="18"/>
          <w:color w:val="auto"/>
        </w:rPr>
        <w:t>The Compensation and Leadership Development Committee has reviewed the Compensation Discussion and Analysis (“CD&amp;A”) and discussed it with management. Based on its review and discussion with management, the Committee recommended to the Board of Directors that the CD&amp;A be included in the Company’s 2021 Proxy Statement and incorporated by reference into the Company’s annual report on Form 10-K. This Report is provided by the following Independent Directors, who comprise the Committee: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James A. Lawrence, Chair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Jo Ann Jenkins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Avid Modjtabai</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Adalio T.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5252720</wp:posOffset>
            </wp:positionV>
            <wp:extent cx="1482725" cy="3003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80"/>
        <w:spacing w:after="0"/>
        <w:rPr>
          <w:sz w:val="20"/>
          <w:szCs w:val="20"/>
          <w:color w:val="auto"/>
        </w:rPr>
      </w:pPr>
      <w:r>
        <w:rPr>
          <w:rFonts w:ascii="Arial" w:cs="Arial" w:eastAsia="Arial" w:hAnsi="Arial"/>
          <w:sz w:val="40"/>
          <w:szCs w:val="40"/>
          <w:b w:val="1"/>
          <w:bCs w:val="1"/>
          <w:color w:val="FEFEFE"/>
        </w:rPr>
        <w:t>COMPENSATION OF EXECUTIVE OFFICERS</w:t>
      </w:r>
    </w:p>
    <w:p>
      <w:pPr>
        <w:spacing w:after="0" w:line="366" w:lineRule="exact"/>
        <w:rPr>
          <w:sz w:val="20"/>
          <w:szCs w:val="20"/>
          <w:color w:val="auto"/>
        </w:rPr>
      </w:pPr>
    </w:p>
    <w:p>
      <w:pPr>
        <w:ind w:left="1000" w:right="500"/>
        <w:spacing w:after="0" w:line="261" w:lineRule="auto"/>
        <w:rPr>
          <w:sz w:val="20"/>
          <w:szCs w:val="20"/>
          <w:color w:val="auto"/>
        </w:rPr>
      </w:pPr>
      <w:r>
        <w:rPr>
          <w:rFonts w:ascii="Arial" w:cs="Arial" w:eastAsia="Arial" w:hAnsi="Arial"/>
          <w:sz w:val="18"/>
          <w:szCs w:val="18"/>
          <w:color w:val="auto"/>
        </w:rPr>
        <w:t>The following table sets forth information concerning the compensation provided by the Company for the years indicated to the NEOs.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SUMMARY COMPENSATION TABLE</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10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780" w:type="dxa"/>
            <w:vAlign w:val="bottom"/>
            <w:shd w:val="clear" w:color="auto" w:fill="56C271"/>
          </w:tcPr>
          <w:p>
            <w:pPr>
              <w:spacing w:after="0"/>
              <w:rPr>
                <w:sz w:val="14"/>
                <w:szCs w:val="14"/>
                <w:color w:val="auto"/>
              </w:rPr>
            </w:pPr>
          </w:p>
        </w:tc>
        <w:tc>
          <w:tcPr>
            <w:tcW w:w="580" w:type="dxa"/>
            <w:vAlign w:val="bottom"/>
            <w:shd w:val="clear" w:color="auto" w:fill="56C271"/>
          </w:tcPr>
          <w:p>
            <w:pPr>
              <w:spacing w:after="0"/>
              <w:rPr>
                <w:sz w:val="14"/>
                <w:szCs w:val="14"/>
                <w:color w:val="auto"/>
              </w:rPr>
            </w:pPr>
          </w:p>
        </w:tc>
        <w:tc>
          <w:tcPr>
            <w:tcW w:w="76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c>
          <w:tcPr>
            <w:tcW w:w="1140" w:type="dxa"/>
            <w:vAlign w:val="bottom"/>
            <w:shd w:val="clear" w:color="auto" w:fill="56C271"/>
          </w:tcPr>
          <w:p>
            <w:pPr>
              <w:spacing w:after="0"/>
              <w:rPr>
                <w:sz w:val="14"/>
                <w:szCs w:val="14"/>
                <w:color w:val="auto"/>
              </w:rPr>
            </w:pP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Change in</w:t>
            </w:r>
          </w:p>
        </w:tc>
        <w:tc>
          <w:tcPr>
            <w:tcW w:w="114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r>
      <w:tr>
        <w:trPr>
          <w:trHeight w:val="162"/>
        </w:trPr>
        <w:tc>
          <w:tcPr>
            <w:tcW w:w="210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780" w:type="dxa"/>
            <w:vAlign w:val="bottom"/>
            <w:shd w:val="clear" w:color="auto" w:fill="56C271"/>
          </w:tcPr>
          <w:p>
            <w:pPr>
              <w:spacing w:after="0"/>
              <w:rPr>
                <w:sz w:val="14"/>
                <w:szCs w:val="14"/>
                <w:color w:val="auto"/>
              </w:rPr>
            </w:pPr>
          </w:p>
        </w:tc>
        <w:tc>
          <w:tcPr>
            <w:tcW w:w="580" w:type="dxa"/>
            <w:vAlign w:val="bottom"/>
            <w:shd w:val="clear" w:color="auto" w:fill="56C271"/>
          </w:tcPr>
          <w:p>
            <w:pPr>
              <w:spacing w:after="0"/>
              <w:rPr>
                <w:sz w:val="14"/>
                <w:szCs w:val="14"/>
                <w:color w:val="auto"/>
              </w:rPr>
            </w:pPr>
          </w:p>
        </w:tc>
        <w:tc>
          <w:tcPr>
            <w:tcW w:w="76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c>
          <w:tcPr>
            <w:tcW w:w="1140" w:type="dxa"/>
            <w:vAlign w:val="bottom"/>
            <w:shd w:val="clear" w:color="auto" w:fill="56C271"/>
          </w:tcPr>
          <w:p>
            <w:pPr>
              <w:spacing w:after="0"/>
              <w:rPr>
                <w:sz w:val="14"/>
                <w:szCs w:val="14"/>
                <w:color w:val="auto"/>
              </w:rPr>
            </w:pP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Pension</w:t>
            </w:r>
          </w:p>
        </w:tc>
        <w:tc>
          <w:tcPr>
            <w:tcW w:w="114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r>
      <w:tr>
        <w:trPr>
          <w:trHeight w:val="162"/>
        </w:trPr>
        <w:tc>
          <w:tcPr>
            <w:tcW w:w="210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780" w:type="dxa"/>
            <w:vAlign w:val="bottom"/>
            <w:shd w:val="clear" w:color="auto" w:fill="56C271"/>
          </w:tcPr>
          <w:p>
            <w:pPr>
              <w:spacing w:after="0"/>
              <w:rPr>
                <w:sz w:val="14"/>
                <w:szCs w:val="14"/>
                <w:color w:val="auto"/>
              </w:rPr>
            </w:pPr>
          </w:p>
        </w:tc>
        <w:tc>
          <w:tcPr>
            <w:tcW w:w="580" w:type="dxa"/>
            <w:vAlign w:val="bottom"/>
            <w:shd w:val="clear" w:color="auto" w:fill="56C271"/>
          </w:tcPr>
          <w:p>
            <w:pPr>
              <w:spacing w:after="0"/>
              <w:rPr>
                <w:sz w:val="14"/>
                <w:szCs w:val="14"/>
                <w:color w:val="auto"/>
              </w:rPr>
            </w:pPr>
          </w:p>
        </w:tc>
        <w:tc>
          <w:tcPr>
            <w:tcW w:w="76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c>
          <w:tcPr>
            <w:tcW w:w="1140" w:type="dxa"/>
            <w:vAlign w:val="bottom"/>
            <w:shd w:val="clear" w:color="auto" w:fill="56C271"/>
          </w:tcPr>
          <w:p>
            <w:pPr>
              <w:spacing w:after="0"/>
              <w:rPr>
                <w:sz w:val="14"/>
                <w:szCs w:val="14"/>
                <w:color w:val="auto"/>
              </w:rPr>
            </w:pP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Value and</w:t>
            </w:r>
          </w:p>
        </w:tc>
        <w:tc>
          <w:tcPr>
            <w:tcW w:w="114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r>
      <w:tr>
        <w:trPr>
          <w:trHeight w:val="162"/>
        </w:trPr>
        <w:tc>
          <w:tcPr>
            <w:tcW w:w="210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780" w:type="dxa"/>
            <w:vAlign w:val="bottom"/>
            <w:shd w:val="clear" w:color="auto" w:fill="56C271"/>
          </w:tcPr>
          <w:p>
            <w:pPr>
              <w:spacing w:after="0"/>
              <w:rPr>
                <w:sz w:val="14"/>
                <w:szCs w:val="14"/>
                <w:color w:val="auto"/>
              </w:rPr>
            </w:pPr>
          </w:p>
        </w:tc>
        <w:tc>
          <w:tcPr>
            <w:tcW w:w="580" w:type="dxa"/>
            <w:vAlign w:val="bottom"/>
            <w:shd w:val="clear" w:color="auto" w:fill="56C271"/>
          </w:tcPr>
          <w:p>
            <w:pPr>
              <w:spacing w:after="0"/>
              <w:rPr>
                <w:sz w:val="14"/>
                <w:szCs w:val="14"/>
                <w:color w:val="auto"/>
              </w:rPr>
            </w:pPr>
          </w:p>
        </w:tc>
        <w:tc>
          <w:tcPr>
            <w:tcW w:w="76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c>
          <w:tcPr>
            <w:tcW w:w="1140" w:type="dxa"/>
            <w:vAlign w:val="bottom"/>
            <w:shd w:val="clear" w:color="auto" w:fill="56C271"/>
          </w:tcPr>
          <w:p>
            <w:pPr>
              <w:spacing w:after="0"/>
              <w:rPr>
                <w:sz w:val="14"/>
                <w:szCs w:val="14"/>
                <w:color w:val="auto"/>
              </w:rPr>
            </w:pP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Nonqualified</w:t>
            </w:r>
          </w:p>
        </w:tc>
        <w:tc>
          <w:tcPr>
            <w:tcW w:w="114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r>
      <w:tr>
        <w:trPr>
          <w:trHeight w:val="162"/>
        </w:trPr>
        <w:tc>
          <w:tcPr>
            <w:tcW w:w="210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780" w:type="dxa"/>
            <w:vAlign w:val="bottom"/>
            <w:shd w:val="clear" w:color="auto" w:fill="56C271"/>
          </w:tcPr>
          <w:p>
            <w:pPr>
              <w:spacing w:after="0"/>
              <w:rPr>
                <w:sz w:val="14"/>
                <w:szCs w:val="14"/>
                <w:color w:val="auto"/>
              </w:rPr>
            </w:pPr>
          </w:p>
        </w:tc>
        <w:tc>
          <w:tcPr>
            <w:tcW w:w="580" w:type="dxa"/>
            <w:vAlign w:val="bottom"/>
            <w:shd w:val="clear" w:color="auto" w:fill="56C271"/>
          </w:tcPr>
          <w:p>
            <w:pPr>
              <w:spacing w:after="0"/>
              <w:rPr>
                <w:sz w:val="14"/>
                <w:szCs w:val="14"/>
                <w:color w:val="auto"/>
              </w:rPr>
            </w:pPr>
          </w:p>
        </w:tc>
        <w:tc>
          <w:tcPr>
            <w:tcW w:w="76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Non-Equity</w:t>
            </w: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Deferred</w:t>
            </w:r>
          </w:p>
        </w:tc>
        <w:tc>
          <w:tcPr>
            <w:tcW w:w="114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r>
      <w:tr>
        <w:trPr>
          <w:trHeight w:val="162"/>
        </w:trPr>
        <w:tc>
          <w:tcPr>
            <w:tcW w:w="210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780" w:type="dxa"/>
            <w:vAlign w:val="bottom"/>
            <w:shd w:val="clear" w:color="auto" w:fill="56C271"/>
          </w:tcPr>
          <w:p>
            <w:pPr>
              <w:spacing w:after="0"/>
              <w:rPr>
                <w:sz w:val="14"/>
                <w:szCs w:val="14"/>
                <w:color w:val="auto"/>
              </w:rPr>
            </w:pPr>
          </w:p>
        </w:tc>
        <w:tc>
          <w:tcPr>
            <w:tcW w:w="580" w:type="dxa"/>
            <w:vAlign w:val="bottom"/>
            <w:shd w:val="clear" w:color="auto" w:fill="56C271"/>
          </w:tcPr>
          <w:p>
            <w:pPr>
              <w:spacing w:after="0"/>
              <w:rPr>
                <w:sz w:val="14"/>
                <w:szCs w:val="14"/>
                <w:color w:val="auto"/>
              </w:rPr>
            </w:pPr>
          </w:p>
        </w:tc>
        <w:tc>
          <w:tcPr>
            <w:tcW w:w="760" w:type="dxa"/>
            <w:vAlign w:val="bottom"/>
            <w:shd w:val="clear" w:color="auto" w:fill="56C271"/>
          </w:tcPr>
          <w:p>
            <w:pPr>
              <w:jc w:val="right"/>
              <w:ind w:right="4"/>
              <w:spacing w:after="0"/>
              <w:rPr>
                <w:sz w:val="20"/>
                <w:szCs w:val="20"/>
                <w:color w:val="auto"/>
              </w:rPr>
            </w:pPr>
            <w:r>
              <w:rPr>
                <w:rFonts w:ascii="Arial" w:cs="Arial" w:eastAsia="Arial" w:hAnsi="Arial"/>
                <w:sz w:val="14"/>
                <w:szCs w:val="14"/>
                <w:b w:val="1"/>
                <w:bCs w:val="1"/>
                <w:color w:val="FEFEFE"/>
              </w:rPr>
              <w:t>Stock</w:t>
            </w:r>
          </w:p>
        </w:tc>
        <w:tc>
          <w:tcPr>
            <w:tcW w:w="800" w:type="dxa"/>
            <w:vAlign w:val="bottom"/>
            <w:shd w:val="clear" w:color="auto" w:fill="56C271"/>
          </w:tcPr>
          <w:p>
            <w:pPr>
              <w:jc w:val="right"/>
              <w:ind w:right="44"/>
              <w:spacing w:after="0"/>
              <w:rPr>
                <w:sz w:val="20"/>
                <w:szCs w:val="20"/>
                <w:color w:val="auto"/>
              </w:rPr>
            </w:pPr>
            <w:r>
              <w:rPr>
                <w:rFonts w:ascii="Arial" w:cs="Arial" w:eastAsia="Arial" w:hAnsi="Arial"/>
                <w:sz w:val="14"/>
                <w:szCs w:val="14"/>
                <w:b w:val="1"/>
                <w:bCs w:val="1"/>
                <w:color w:val="FEFEFE"/>
              </w:rPr>
              <w:t>Option</w:t>
            </w: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Incentive Plan</w:t>
            </w: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Compensation</w:t>
            </w:r>
          </w:p>
        </w:tc>
        <w:tc>
          <w:tcPr>
            <w:tcW w:w="1140" w:type="dxa"/>
            <w:vAlign w:val="bottom"/>
            <w:shd w:val="clear" w:color="auto" w:fill="56C271"/>
          </w:tcPr>
          <w:p>
            <w:pPr>
              <w:jc w:val="right"/>
              <w:ind w:right="4"/>
              <w:spacing w:after="0"/>
              <w:rPr>
                <w:sz w:val="20"/>
                <w:szCs w:val="20"/>
                <w:color w:val="auto"/>
              </w:rPr>
            </w:pPr>
            <w:r>
              <w:rPr>
                <w:rFonts w:ascii="Arial" w:cs="Arial" w:eastAsia="Arial" w:hAnsi="Arial"/>
                <w:sz w:val="14"/>
                <w:szCs w:val="14"/>
                <w:b w:val="1"/>
                <w:bCs w:val="1"/>
                <w:color w:val="FEFEFE"/>
              </w:rPr>
              <w:t>All Other</w:t>
            </w:r>
          </w:p>
        </w:tc>
        <w:tc>
          <w:tcPr>
            <w:tcW w:w="800" w:type="dxa"/>
            <w:vAlign w:val="bottom"/>
            <w:shd w:val="clear" w:color="auto" w:fill="56C271"/>
          </w:tcPr>
          <w:p>
            <w:pPr>
              <w:spacing w:after="0"/>
              <w:rPr>
                <w:sz w:val="14"/>
                <w:szCs w:val="14"/>
                <w:color w:val="auto"/>
              </w:rPr>
            </w:pPr>
          </w:p>
        </w:tc>
      </w:tr>
      <w:tr>
        <w:trPr>
          <w:trHeight w:val="162"/>
        </w:trPr>
        <w:tc>
          <w:tcPr>
            <w:tcW w:w="210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780" w:type="dxa"/>
            <w:vAlign w:val="bottom"/>
            <w:shd w:val="clear" w:color="auto" w:fill="56C271"/>
          </w:tcPr>
          <w:p>
            <w:pPr>
              <w:jc w:val="right"/>
              <w:ind w:right="24"/>
              <w:spacing w:after="0"/>
              <w:rPr>
                <w:sz w:val="20"/>
                <w:szCs w:val="20"/>
                <w:color w:val="auto"/>
              </w:rPr>
            </w:pPr>
            <w:r>
              <w:rPr>
                <w:rFonts w:ascii="Arial" w:cs="Arial" w:eastAsia="Arial" w:hAnsi="Arial"/>
                <w:sz w:val="14"/>
                <w:szCs w:val="14"/>
                <w:b w:val="1"/>
                <w:bCs w:val="1"/>
                <w:color w:val="FEFEFE"/>
              </w:rPr>
              <w:t>Salary</w:t>
            </w:r>
          </w:p>
        </w:tc>
        <w:tc>
          <w:tcPr>
            <w:tcW w:w="580" w:type="dxa"/>
            <w:vAlign w:val="bottom"/>
            <w:shd w:val="clear" w:color="auto" w:fill="56C271"/>
          </w:tcPr>
          <w:p>
            <w:pPr>
              <w:jc w:val="right"/>
              <w:ind w:right="28"/>
              <w:spacing w:after="0"/>
              <w:rPr>
                <w:sz w:val="20"/>
                <w:szCs w:val="20"/>
                <w:color w:val="auto"/>
              </w:rPr>
            </w:pPr>
            <w:r>
              <w:rPr>
                <w:rFonts w:ascii="Arial" w:cs="Arial" w:eastAsia="Arial" w:hAnsi="Arial"/>
                <w:sz w:val="14"/>
                <w:szCs w:val="14"/>
                <w:b w:val="1"/>
                <w:bCs w:val="1"/>
                <w:color w:val="FEFEFE"/>
              </w:rPr>
              <w:t>Bonus</w:t>
            </w:r>
          </w:p>
        </w:tc>
        <w:tc>
          <w:tcPr>
            <w:tcW w:w="760" w:type="dxa"/>
            <w:vAlign w:val="bottom"/>
            <w:shd w:val="clear" w:color="auto" w:fill="56C271"/>
          </w:tcPr>
          <w:p>
            <w:pPr>
              <w:jc w:val="right"/>
              <w:ind w:right="4"/>
              <w:spacing w:after="0"/>
              <w:rPr>
                <w:sz w:val="20"/>
                <w:szCs w:val="20"/>
                <w:color w:val="auto"/>
              </w:rPr>
            </w:pPr>
            <w:r>
              <w:rPr>
                <w:rFonts w:ascii="Arial" w:cs="Arial" w:eastAsia="Arial" w:hAnsi="Arial"/>
                <w:sz w:val="14"/>
                <w:szCs w:val="14"/>
                <w:b w:val="1"/>
                <w:bCs w:val="1"/>
                <w:color w:val="FEFEFE"/>
              </w:rPr>
              <w:t>Awards</w:t>
            </w:r>
          </w:p>
        </w:tc>
        <w:tc>
          <w:tcPr>
            <w:tcW w:w="800" w:type="dxa"/>
            <w:vAlign w:val="bottom"/>
            <w:shd w:val="clear" w:color="auto" w:fill="56C271"/>
          </w:tcPr>
          <w:p>
            <w:pPr>
              <w:jc w:val="right"/>
              <w:ind w:right="44"/>
              <w:spacing w:after="0"/>
              <w:rPr>
                <w:sz w:val="20"/>
                <w:szCs w:val="20"/>
                <w:color w:val="auto"/>
              </w:rPr>
            </w:pPr>
            <w:r>
              <w:rPr>
                <w:rFonts w:ascii="Arial" w:cs="Arial" w:eastAsia="Arial" w:hAnsi="Arial"/>
                <w:sz w:val="14"/>
                <w:szCs w:val="14"/>
                <w:b w:val="1"/>
                <w:bCs w:val="1"/>
                <w:color w:val="FEFEFE"/>
              </w:rPr>
              <w:t>Awards</w:t>
            </w: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Compensation</w:t>
            </w: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Earnings</w:t>
            </w:r>
          </w:p>
        </w:tc>
        <w:tc>
          <w:tcPr>
            <w:tcW w:w="1140" w:type="dxa"/>
            <w:vAlign w:val="bottom"/>
            <w:shd w:val="clear" w:color="auto" w:fill="56C271"/>
          </w:tcPr>
          <w:p>
            <w:pPr>
              <w:jc w:val="right"/>
              <w:ind w:right="4"/>
              <w:spacing w:after="0"/>
              <w:rPr>
                <w:sz w:val="20"/>
                <w:szCs w:val="20"/>
                <w:color w:val="auto"/>
              </w:rPr>
            </w:pPr>
            <w:r>
              <w:rPr>
                <w:rFonts w:ascii="Arial" w:cs="Arial" w:eastAsia="Arial" w:hAnsi="Arial"/>
                <w:sz w:val="14"/>
                <w:szCs w:val="14"/>
                <w:b w:val="1"/>
                <w:bCs w:val="1"/>
                <w:color w:val="FEFEFE"/>
              </w:rPr>
              <w:t>Compensation</w:t>
            </w:r>
          </w:p>
        </w:tc>
        <w:tc>
          <w:tcPr>
            <w:tcW w:w="800" w:type="dxa"/>
            <w:vAlign w:val="bottom"/>
            <w:shd w:val="clear" w:color="auto" w:fill="56C271"/>
          </w:tcPr>
          <w:p>
            <w:pPr>
              <w:jc w:val="right"/>
              <w:ind w:right="24"/>
              <w:spacing w:after="0"/>
              <w:rPr>
                <w:sz w:val="20"/>
                <w:szCs w:val="20"/>
                <w:color w:val="auto"/>
              </w:rPr>
            </w:pPr>
            <w:r>
              <w:rPr>
                <w:rFonts w:ascii="Arial" w:cs="Arial" w:eastAsia="Arial" w:hAnsi="Arial"/>
                <w:sz w:val="14"/>
                <w:szCs w:val="14"/>
                <w:b w:val="1"/>
                <w:bCs w:val="1"/>
                <w:color w:val="FEFEFE"/>
              </w:rPr>
              <w:t>Total</w:t>
            </w:r>
          </w:p>
        </w:tc>
      </w:tr>
      <w:tr>
        <w:trPr>
          <w:trHeight w:val="162"/>
        </w:trPr>
        <w:tc>
          <w:tcPr>
            <w:tcW w:w="210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Name and Principal Position</w:t>
            </w:r>
          </w:p>
        </w:tc>
        <w:tc>
          <w:tcPr>
            <w:tcW w:w="480" w:type="dxa"/>
            <w:vAlign w:val="bottom"/>
            <w:shd w:val="clear" w:color="auto" w:fill="56C271"/>
          </w:tcPr>
          <w:p>
            <w:pPr>
              <w:jc w:val="right"/>
              <w:ind w:right="4"/>
              <w:spacing w:after="0"/>
              <w:rPr>
                <w:sz w:val="20"/>
                <w:szCs w:val="20"/>
                <w:color w:val="auto"/>
              </w:rPr>
            </w:pPr>
            <w:r>
              <w:rPr>
                <w:rFonts w:ascii="Arial" w:cs="Arial" w:eastAsia="Arial" w:hAnsi="Arial"/>
                <w:sz w:val="14"/>
                <w:szCs w:val="14"/>
                <w:b w:val="1"/>
                <w:bCs w:val="1"/>
                <w:color w:val="FEFEFE"/>
              </w:rPr>
              <w:t>Year</w:t>
            </w:r>
          </w:p>
        </w:tc>
        <w:tc>
          <w:tcPr>
            <w:tcW w:w="780" w:type="dxa"/>
            <w:vAlign w:val="bottom"/>
            <w:shd w:val="clear" w:color="auto" w:fill="56C271"/>
          </w:tcPr>
          <w:p>
            <w:pPr>
              <w:jc w:val="right"/>
              <w:ind w:right="24"/>
              <w:spacing w:after="0"/>
              <w:rPr>
                <w:sz w:val="20"/>
                <w:szCs w:val="20"/>
                <w:color w:val="auto"/>
              </w:rPr>
            </w:pPr>
            <w:r>
              <w:rPr>
                <w:rFonts w:ascii="Arial" w:cs="Arial" w:eastAsia="Arial" w:hAnsi="Arial"/>
                <w:sz w:val="14"/>
                <w:szCs w:val="14"/>
                <w:b w:val="1"/>
                <w:bCs w:val="1"/>
                <w:color w:val="FEFEFE"/>
              </w:rPr>
              <w:t>($)</w:t>
            </w:r>
          </w:p>
        </w:tc>
        <w:tc>
          <w:tcPr>
            <w:tcW w:w="580" w:type="dxa"/>
            <w:vAlign w:val="bottom"/>
            <w:shd w:val="clear" w:color="auto" w:fill="56C271"/>
          </w:tcPr>
          <w:p>
            <w:pPr>
              <w:jc w:val="right"/>
              <w:ind w:right="28"/>
              <w:spacing w:after="0"/>
              <w:rPr>
                <w:sz w:val="20"/>
                <w:szCs w:val="20"/>
                <w:color w:val="auto"/>
              </w:rPr>
            </w:pPr>
            <w:r>
              <w:rPr>
                <w:rFonts w:ascii="Arial" w:cs="Arial" w:eastAsia="Arial" w:hAnsi="Arial"/>
                <w:sz w:val="14"/>
                <w:szCs w:val="14"/>
                <w:b w:val="1"/>
                <w:bCs w:val="1"/>
                <w:color w:val="FEFEFE"/>
              </w:rPr>
              <w:t>($)</w:t>
            </w:r>
          </w:p>
        </w:tc>
        <w:tc>
          <w:tcPr>
            <w:tcW w:w="760" w:type="dxa"/>
            <w:vAlign w:val="bottom"/>
            <w:shd w:val="clear" w:color="auto" w:fill="56C271"/>
          </w:tcPr>
          <w:p>
            <w:pPr>
              <w:jc w:val="right"/>
              <w:ind w:right="4"/>
              <w:spacing w:after="0"/>
              <w:rPr>
                <w:sz w:val="20"/>
                <w:szCs w:val="20"/>
                <w:color w:val="auto"/>
              </w:rPr>
            </w:pPr>
            <w:r>
              <w:rPr>
                <w:rFonts w:ascii="Arial" w:cs="Arial" w:eastAsia="Arial" w:hAnsi="Arial"/>
                <w:sz w:val="14"/>
                <w:szCs w:val="14"/>
                <w:b w:val="1"/>
                <w:bCs w:val="1"/>
                <w:color w:val="FEFEFE"/>
              </w:rPr>
              <w:t>($)(1)</w:t>
            </w:r>
          </w:p>
        </w:tc>
        <w:tc>
          <w:tcPr>
            <w:tcW w:w="800" w:type="dxa"/>
            <w:vAlign w:val="bottom"/>
            <w:shd w:val="clear" w:color="auto" w:fill="56C271"/>
          </w:tcPr>
          <w:p>
            <w:pPr>
              <w:jc w:val="right"/>
              <w:ind w:right="44"/>
              <w:spacing w:after="0"/>
              <w:rPr>
                <w:sz w:val="20"/>
                <w:szCs w:val="20"/>
                <w:color w:val="auto"/>
              </w:rPr>
            </w:pPr>
            <w:r>
              <w:rPr>
                <w:rFonts w:ascii="Arial" w:cs="Arial" w:eastAsia="Arial" w:hAnsi="Arial"/>
                <w:sz w:val="14"/>
                <w:szCs w:val="14"/>
                <w:b w:val="1"/>
                <w:bCs w:val="1"/>
                <w:color w:val="FEFEFE"/>
              </w:rPr>
              <w:t>($)(2)</w:t>
            </w: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w:t>
            </w:r>
          </w:p>
        </w:tc>
        <w:tc>
          <w:tcPr>
            <w:tcW w:w="114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($)(3)</w:t>
            </w:r>
          </w:p>
        </w:tc>
        <w:tc>
          <w:tcPr>
            <w:tcW w:w="1140" w:type="dxa"/>
            <w:vAlign w:val="bottom"/>
            <w:shd w:val="clear" w:color="auto" w:fill="56C271"/>
          </w:tcPr>
          <w:p>
            <w:pPr>
              <w:jc w:val="right"/>
              <w:ind w:right="4"/>
              <w:spacing w:after="0"/>
              <w:rPr>
                <w:sz w:val="20"/>
                <w:szCs w:val="20"/>
                <w:color w:val="auto"/>
              </w:rPr>
            </w:pPr>
            <w:r>
              <w:rPr>
                <w:rFonts w:ascii="Arial" w:cs="Arial" w:eastAsia="Arial" w:hAnsi="Arial"/>
                <w:sz w:val="14"/>
                <w:szCs w:val="14"/>
                <w:b w:val="1"/>
                <w:bCs w:val="1"/>
                <w:color w:val="FEFEFE"/>
              </w:rPr>
              <w:t>($)(4)</w:t>
            </w:r>
          </w:p>
        </w:tc>
        <w:tc>
          <w:tcPr>
            <w:tcW w:w="800" w:type="dxa"/>
            <w:vAlign w:val="bottom"/>
            <w:shd w:val="clear" w:color="auto" w:fill="56C271"/>
          </w:tcPr>
          <w:p>
            <w:pPr>
              <w:jc w:val="right"/>
              <w:ind w:right="24"/>
              <w:spacing w:after="0"/>
              <w:rPr>
                <w:sz w:val="20"/>
                <w:szCs w:val="20"/>
                <w:color w:val="auto"/>
              </w:rPr>
            </w:pPr>
            <w:r>
              <w:rPr>
                <w:rFonts w:ascii="Arial" w:cs="Arial" w:eastAsia="Arial" w:hAnsi="Arial"/>
                <w:sz w:val="14"/>
                <w:szCs w:val="14"/>
                <w:b w:val="1"/>
                <w:bCs w:val="1"/>
                <w:color w:val="FEFEFE"/>
              </w:rPr>
              <w:t>($)</w:t>
            </w:r>
          </w:p>
        </w:tc>
      </w:tr>
      <w:tr>
        <w:trPr>
          <w:trHeight w:val="175"/>
        </w:trPr>
        <w:tc>
          <w:tcPr>
            <w:tcW w:w="210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(a)</w:t>
            </w:r>
          </w:p>
        </w:tc>
        <w:tc>
          <w:tcPr>
            <w:tcW w:w="4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(b)</w:t>
            </w:r>
          </w:p>
        </w:tc>
        <w:tc>
          <w:tcPr>
            <w:tcW w:w="7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w:t>
            </w:r>
          </w:p>
        </w:tc>
        <w:tc>
          <w:tcPr>
            <w:tcW w:w="5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(d)</w:t>
            </w:r>
          </w:p>
        </w:tc>
        <w:tc>
          <w:tcPr>
            <w:tcW w:w="7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(e)</w:t>
            </w:r>
          </w:p>
        </w:tc>
        <w:tc>
          <w:tcPr>
            <w:tcW w:w="800" w:type="dxa"/>
            <w:vAlign w:val="bottom"/>
            <w:shd w:val="clear" w:color="auto" w:fill="56C271"/>
          </w:tcPr>
          <w:p>
            <w:pPr>
              <w:jc w:val="right"/>
              <w:ind w:right="4"/>
              <w:spacing w:after="0"/>
              <w:rPr>
                <w:sz w:val="20"/>
                <w:szCs w:val="20"/>
                <w:color w:val="auto"/>
              </w:rPr>
            </w:pPr>
            <w:r>
              <w:rPr>
                <w:rFonts w:ascii="Arial" w:cs="Arial" w:eastAsia="Arial" w:hAnsi="Arial"/>
                <w:sz w:val="14"/>
                <w:szCs w:val="14"/>
                <w:b w:val="1"/>
                <w:bCs w:val="1"/>
                <w:color w:val="FEFEFE"/>
              </w:rPr>
              <w:t>(f)</w:t>
            </w:r>
          </w:p>
        </w:tc>
        <w:tc>
          <w:tcPr>
            <w:tcW w:w="11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(g)</w:t>
            </w:r>
          </w:p>
        </w:tc>
        <w:tc>
          <w:tcPr>
            <w:tcW w:w="11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(h)</w:t>
            </w:r>
          </w:p>
        </w:tc>
        <w:tc>
          <w:tcPr>
            <w:tcW w:w="11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(i)</w:t>
            </w:r>
          </w:p>
        </w:tc>
        <w:tc>
          <w:tcPr>
            <w:tcW w:w="8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(j)</w:t>
            </w:r>
          </w:p>
        </w:tc>
      </w:tr>
      <w:tr>
        <w:trPr>
          <w:trHeight w:val="208"/>
        </w:trPr>
        <w:tc>
          <w:tcPr>
            <w:tcW w:w="2100" w:type="dxa"/>
            <w:vAlign w:val="bottom"/>
          </w:tcPr>
          <w:p>
            <w:pPr>
              <w:ind w:left="20"/>
              <w:spacing w:after="0"/>
              <w:rPr>
                <w:sz w:val="20"/>
                <w:szCs w:val="20"/>
                <w:color w:val="auto"/>
              </w:rPr>
            </w:pPr>
            <w:r>
              <w:rPr>
                <w:rFonts w:ascii="Arial" w:cs="Arial" w:eastAsia="Arial" w:hAnsi="Arial"/>
                <w:sz w:val="15"/>
                <w:szCs w:val="15"/>
                <w:color w:val="auto"/>
              </w:rPr>
              <w:t>Philip R. Gallagher(6)</w:t>
            </w:r>
          </w:p>
        </w:tc>
        <w:tc>
          <w:tcPr>
            <w:tcW w:w="480" w:type="dxa"/>
            <w:vAlign w:val="bottom"/>
          </w:tcPr>
          <w:p>
            <w:pPr>
              <w:jc w:val="right"/>
              <w:spacing w:after="0"/>
              <w:rPr>
                <w:sz w:val="20"/>
                <w:szCs w:val="20"/>
                <w:color w:val="auto"/>
              </w:rPr>
            </w:pPr>
            <w:r>
              <w:rPr>
                <w:rFonts w:ascii="Arial" w:cs="Arial" w:eastAsia="Arial" w:hAnsi="Arial"/>
                <w:sz w:val="15"/>
                <w:szCs w:val="15"/>
                <w:color w:val="auto"/>
              </w:rPr>
              <w:t>2021</w:t>
            </w:r>
          </w:p>
        </w:tc>
        <w:tc>
          <w:tcPr>
            <w:tcW w:w="780" w:type="dxa"/>
            <w:vAlign w:val="bottom"/>
          </w:tcPr>
          <w:p>
            <w:pPr>
              <w:jc w:val="right"/>
              <w:spacing w:after="0"/>
              <w:rPr>
                <w:sz w:val="20"/>
                <w:szCs w:val="20"/>
                <w:color w:val="auto"/>
              </w:rPr>
            </w:pPr>
            <w:r>
              <w:rPr>
                <w:rFonts w:ascii="Arial" w:cs="Arial" w:eastAsia="Arial" w:hAnsi="Arial"/>
                <w:sz w:val="15"/>
                <w:szCs w:val="15"/>
                <w:color w:val="auto"/>
              </w:rPr>
              <w:t>958,962</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1,654,457</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1,203,602</w:t>
            </w:r>
          </w:p>
        </w:tc>
        <w:tc>
          <w:tcPr>
            <w:tcW w:w="1140" w:type="dxa"/>
            <w:vAlign w:val="bottom"/>
          </w:tcPr>
          <w:p>
            <w:pPr>
              <w:jc w:val="right"/>
              <w:spacing w:after="0"/>
              <w:rPr>
                <w:sz w:val="20"/>
                <w:szCs w:val="20"/>
                <w:color w:val="auto"/>
              </w:rPr>
            </w:pPr>
            <w:r>
              <w:rPr>
                <w:rFonts w:ascii="Arial" w:cs="Arial" w:eastAsia="Arial" w:hAnsi="Arial"/>
                <w:sz w:val="15"/>
                <w:szCs w:val="15"/>
                <w:color w:val="auto"/>
              </w:rPr>
              <w:t>2,287,811</w:t>
            </w:r>
          </w:p>
        </w:tc>
        <w:tc>
          <w:tcPr>
            <w:tcW w:w="1140" w:type="dxa"/>
            <w:vAlign w:val="bottom"/>
          </w:tcPr>
          <w:p>
            <w:pPr>
              <w:jc w:val="right"/>
              <w:spacing w:after="0"/>
              <w:rPr>
                <w:sz w:val="20"/>
                <w:szCs w:val="20"/>
                <w:color w:val="auto"/>
              </w:rPr>
            </w:pPr>
            <w:r>
              <w:rPr>
                <w:rFonts w:ascii="Arial" w:cs="Arial" w:eastAsia="Arial" w:hAnsi="Arial"/>
                <w:sz w:val="15"/>
                <w:szCs w:val="15"/>
                <w:color w:val="auto"/>
              </w:rPr>
              <w:t>23,145</w:t>
            </w:r>
          </w:p>
        </w:tc>
        <w:tc>
          <w:tcPr>
            <w:tcW w:w="1140" w:type="dxa"/>
            <w:vAlign w:val="bottom"/>
          </w:tcPr>
          <w:p>
            <w:pPr>
              <w:jc w:val="right"/>
              <w:spacing w:after="0"/>
              <w:rPr>
                <w:sz w:val="20"/>
                <w:szCs w:val="20"/>
                <w:color w:val="auto"/>
              </w:rPr>
            </w:pPr>
            <w:r>
              <w:rPr>
                <w:rFonts w:ascii="Arial" w:cs="Arial" w:eastAsia="Arial" w:hAnsi="Arial"/>
                <w:sz w:val="15"/>
                <w:szCs w:val="15"/>
                <w:color w:val="auto"/>
              </w:rPr>
              <w:t>24,010</w:t>
            </w:r>
          </w:p>
        </w:tc>
        <w:tc>
          <w:tcPr>
            <w:tcW w:w="800" w:type="dxa"/>
            <w:vAlign w:val="bottom"/>
          </w:tcPr>
          <w:p>
            <w:pPr>
              <w:jc w:val="right"/>
              <w:spacing w:after="0"/>
              <w:rPr>
                <w:sz w:val="20"/>
                <w:szCs w:val="20"/>
                <w:color w:val="auto"/>
              </w:rPr>
            </w:pPr>
            <w:r>
              <w:rPr>
                <w:rFonts w:ascii="Arial" w:cs="Arial" w:eastAsia="Arial" w:hAnsi="Arial"/>
                <w:sz w:val="15"/>
                <w:szCs w:val="15"/>
                <w:color w:val="auto"/>
              </w:rPr>
              <w:t>6,151,987</w:t>
            </w:r>
          </w:p>
        </w:tc>
      </w:tr>
      <w:tr>
        <w:trPr>
          <w:trHeight w:val="203"/>
        </w:trPr>
        <w:tc>
          <w:tcPr>
            <w:tcW w:w="2100" w:type="dxa"/>
            <w:vAlign w:val="bottom"/>
          </w:tcPr>
          <w:p>
            <w:pPr>
              <w:ind w:left="20"/>
              <w:spacing w:after="0"/>
              <w:rPr>
                <w:sz w:val="20"/>
                <w:szCs w:val="20"/>
                <w:color w:val="auto"/>
              </w:rPr>
            </w:pPr>
            <w:r>
              <w:rPr>
                <w:rFonts w:ascii="Arial" w:cs="Arial" w:eastAsia="Arial" w:hAnsi="Arial"/>
                <w:sz w:val="15"/>
                <w:szCs w:val="15"/>
                <w:color w:val="auto"/>
              </w:rPr>
              <w:t>Chief Executive Officer</w:t>
            </w:r>
          </w:p>
        </w:tc>
        <w:tc>
          <w:tcPr>
            <w:tcW w:w="480" w:type="dxa"/>
            <w:vAlign w:val="bottom"/>
          </w:tcPr>
          <w:p>
            <w:pPr>
              <w:jc w:val="right"/>
              <w:spacing w:after="0"/>
              <w:rPr>
                <w:sz w:val="20"/>
                <w:szCs w:val="20"/>
                <w:color w:val="auto"/>
              </w:rPr>
            </w:pPr>
            <w:r>
              <w:rPr>
                <w:rFonts w:ascii="Arial" w:cs="Arial" w:eastAsia="Arial" w:hAnsi="Arial"/>
                <w:sz w:val="15"/>
                <w:szCs w:val="15"/>
                <w:color w:val="auto"/>
              </w:rPr>
              <w:t>2020</w:t>
            </w:r>
          </w:p>
        </w:tc>
        <w:tc>
          <w:tcPr>
            <w:tcW w:w="780" w:type="dxa"/>
            <w:vAlign w:val="bottom"/>
          </w:tcPr>
          <w:p>
            <w:pPr>
              <w:jc w:val="right"/>
              <w:spacing w:after="0"/>
              <w:rPr>
                <w:sz w:val="20"/>
                <w:szCs w:val="20"/>
                <w:color w:val="auto"/>
              </w:rPr>
            </w:pPr>
            <w:r>
              <w:rPr>
                <w:rFonts w:ascii="Arial" w:cs="Arial" w:eastAsia="Arial" w:hAnsi="Arial"/>
                <w:sz w:val="15"/>
                <w:szCs w:val="15"/>
                <w:color w:val="auto"/>
              </w:rPr>
              <w:t>565,000</w:t>
            </w:r>
          </w:p>
        </w:tc>
        <w:tc>
          <w:tcPr>
            <w:tcW w:w="5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953,719</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236,379</w:t>
            </w:r>
          </w:p>
        </w:tc>
        <w:tc>
          <w:tcPr>
            <w:tcW w:w="1140" w:type="dxa"/>
            <w:vAlign w:val="bottom"/>
          </w:tcPr>
          <w:p>
            <w:pPr>
              <w:jc w:val="right"/>
              <w:spacing w:after="0"/>
              <w:rPr>
                <w:sz w:val="20"/>
                <w:szCs w:val="20"/>
                <w:color w:val="auto"/>
              </w:rPr>
            </w:pPr>
            <w:r>
              <w:rPr>
                <w:rFonts w:ascii="Arial" w:cs="Arial" w:eastAsia="Arial" w:hAnsi="Arial"/>
                <w:sz w:val="15"/>
                <w:szCs w:val="15"/>
                <w:color w:val="auto"/>
              </w:rPr>
              <w:t>338,379</w:t>
            </w:r>
          </w:p>
        </w:tc>
        <w:tc>
          <w:tcPr>
            <w:tcW w:w="1140" w:type="dxa"/>
            <w:vAlign w:val="bottom"/>
          </w:tcPr>
          <w:p>
            <w:pPr>
              <w:jc w:val="right"/>
              <w:spacing w:after="0"/>
              <w:rPr>
                <w:sz w:val="20"/>
                <w:szCs w:val="20"/>
                <w:color w:val="auto"/>
              </w:rPr>
            </w:pPr>
            <w:r>
              <w:rPr>
                <w:rFonts w:ascii="Arial" w:cs="Arial" w:eastAsia="Arial" w:hAnsi="Arial"/>
                <w:sz w:val="15"/>
                <w:szCs w:val="15"/>
                <w:color w:val="auto"/>
              </w:rPr>
              <w:t>103,025</w:t>
            </w:r>
          </w:p>
        </w:tc>
        <w:tc>
          <w:tcPr>
            <w:tcW w:w="1140" w:type="dxa"/>
            <w:vAlign w:val="bottom"/>
          </w:tcPr>
          <w:p>
            <w:pPr>
              <w:jc w:val="right"/>
              <w:spacing w:after="0"/>
              <w:rPr>
                <w:sz w:val="20"/>
                <w:szCs w:val="20"/>
                <w:color w:val="auto"/>
              </w:rPr>
            </w:pPr>
            <w:r>
              <w:rPr>
                <w:rFonts w:ascii="Arial" w:cs="Arial" w:eastAsia="Arial" w:hAnsi="Arial"/>
                <w:sz w:val="15"/>
                <w:szCs w:val="15"/>
                <w:color w:val="auto"/>
              </w:rPr>
              <w:t>24,845</w:t>
            </w:r>
          </w:p>
        </w:tc>
        <w:tc>
          <w:tcPr>
            <w:tcW w:w="800" w:type="dxa"/>
            <w:vAlign w:val="bottom"/>
          </w:tcPr>
          <w:p>
            <w:pPr>
              <w:jc w:val="right"/>
              <w:spacing w:after="0"/>
              <w:rPr>
                <w:sz w:val="20"/>
                <w:szCs w:val="20"/>
                <w:color w:val="auto"/>
              </w:rPr>
            </w:pPr>
            <w:r>
              <w:rPr>
                <w:rFonts w:ascii="Arial" w:cs="Arial" w:eastAsia="Arial" w:hAnsi="Arial"/>
                <w:sz w:val="15"/>
                <w:szCs w:val="15"/>
                <w:color w:val="auto"/>
              </w:rPr>
              <w:t>2,221,347</w:t>
            </w:r>
          </w:p>
        </w:tc>
      </w:tr>
      <w:tr>
        <w:trPr>
          <w:trHeight w:val="197"/>
        </w:trPr>
        <w:tc>
          <w:tcPr>
            <w:tcW w:w="2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2019</w:t>
            </w:r>
          </w:p>
        </w:tc>
        <w:tc>
          <w:tcPr>
            <w:tcW w:w="780" w:type="dxa"/>
            <w:vAlign w:val="bottom"/>
          </w:tcPr>
          <w:p>
            <w:pPr>
              <w:jc w:val="right"/>
              <w:spacing w:after="0"/>
              <w:rPr>
                <w:sz w:val="20"/>
                <w:szCs w:val="20"/>
                <w:color w:val="auto"/>
              </w:rPr>
            </w:pPr>
            <w:r>
              <w:rPr>
                <w:rFonts w:ascii="Arial" w:cs="Arial" w:eastAsia="Arial" w:hAnsi="Arial"/>
                <w:sz w:val="15"/>
                <w:szCs w:val="15"/>
                <w:color w:val="auto"/>
              </w:rPr>
              <w:t>565,000</w:t>
            </w:r>
          </w:p>
        </w:tc>
        <w:tc>
          <w:tcPr>
            <w:tcW w:w="5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966,627</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257,858</w:t>
            </w:r>
          </w:p>
        </w:tc>
        <w:tc>
          <w:tcPr>
            <w:tcW w:w="1140" w:type="dxa"/>
            <w:vAlign w:val="bottom"/>
          </w:tcPr>
          <w:p>
            <w:pPr>
              <w:jc w:val="right"/>
              <w:spacing w:after="0"/>
              <w:rPr>
                <w:sz w:val="20"/>
                <w:szCs w:val="20"/>
                <w:color w:val="auto"/>
              </w:rPr>
            </w:pPr>
            <w:r>
              <w:rPr>
                <w:rFonts w:ascii="Arial" w:cs="Arial" w:eastAsia="Arial" w:hAnsi="Arial"/>
                <w:sz w:val="15"/>
                <w:szCs w:val="15"/>
                <w:color w:val="auto"/>
              </w:rPr>
              <w:t>489,453</w:t>
            </w:r>
          </w:p>
        </w:tc>
        <w:tc>
          <w:tcPr>
            <w:tcW w:w="1140" w:type="dxa"/>
            <w:vAlign w:val="bottom"/>
          </w:tcPr>
          <w:p>
            <w:pPr>
              <w:jc w:val="right"/>
              <w:spacing w:after="0"/>
              <w:rPr>
                <w:sz w:val="20"/>
                <w:szCs w:val="20"/>
                <w:color w:val="auto"/>
              </w:rPr>
            </w:pPr>
            <w:r>
              <w:rPr>
                <w:rFonts w:ascii="Arial" w:cs="Arial" w:eastAsia="Arial" w:hAnsi="Arial"/>
                <w:sz w:val="15"/>
                <w:szCs w:val="15"/>
                <w:color w:val="auto"/>
              </w:rPr>
              <w:t>82,394</w:t>
            </w:r>
          </w:p>
        </w:tc>
        <w:tc>
          <w:tcPr>
            <w:tcW w:w="1140" w:type="dxa"/>
            <w:vAlign w:val="bottom"/>
          </w:tcPr>
          <w:p>
            <w:pPr>
              <w:jc w:val="right"/>
              <w:spacing w:after="0"/>
              <w:rPr>
                <w:sz w:val="20"/>
                <w:szCs w:val="20"/>
                <w:color w:val="auto"/>
              </w:rPr>
            </w:pPr>
            <w:r>
              <w:rPr>
                <w:rFonts w:ascii="Arial" w:cs="Arial" w:eastAsia="Arial" w:hAnsi="Arial"/>
                <w:sz w:val="15"/>
                <w:szCs w:val="15"/>
                <w:color w:val="auto"/>
              </w:rPr>
              <w:t>18,838</w:t>
            </w:r>
          </w:p>
        </w:tc>
        <w:tc>
          <w:tcPr>
            <w:tcW w:w="800" w:type="dxa"/>
            <w:vAlign w:val="bottom"/>
          </w:tcPr>
          <w:p>
            <w:pPr>
              <w:jc w:val="right"/>
              <w:spacing w:after="0"/>
              <w:rPr>
                <w:sz w:val="20"/>
                <w:szCs w:val="20"/>
                <w:color w:val="auto"/>
              </w:rPr>
            </w:pPr>
            <w:r>
              <w:rPr>
                <w:rFonts w:ascii="Arial" w:cs="Arial" w:eastAsia="Arial" w:hAnsi="Arial"/>
                <w:sz w:val="15"/>
                <w:szCs w:val="15"/>
                <w:color w:val="auto"/>
              </w:rPr>
              <w:t>2,380,170</w:t>
            </w:r>
          </w:p>
        </w:tc>
      </w:tr>
      <w:tr>
        <w:trPr>
          <w:trHeight w:val="203"/>
        </w:trPr>
        <w:tc>
          <w:tcPr>
            <w:tcW w:w="2100" w:type="dxa"/>
            <w:vAlign w:val="bottom"/>
            <w:shd w:val="clear" w:color="auto" w:fill="CCEDD4"/>
          </w:tcPr>
          <w:p>
            <w:pPr>
              <w:ind w:left="20"/>
              <w:spacing w:after="0"/>
              <w:rPr>
                <w:sz w:val="20"/>
                <w:szCs w:val="20"/>
                <w:color w:val="auto"/>
              </w:rPr>
            </w:pPr>
            <w:r>
              <w:rPr>
                <w:rFonts w:ascii="Arial" w:cs="Arial" w:eastAsia="Arial" w:hAnsi="Arial"/>
                <w:sz w:val="15"/>
                <w:szCs w:val="15"/>
                <w:color w:val="auto"/>
              </w:rPr>
              <w:t>Thomas Liguori</w:t>
            </w:r>
          </w:p>
        </w:tc>
        <w:tc>
          <w:tcPr>
            <w:tcW w:w="4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2021</w:t>
            </w:r>
          </w:p>
        </w:tc>
        <w:tc>
          <w:tcPr>
            <w:tcW w:w="7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530,000</w:t>
            </w:r>
          </w:p>
        </w:tc>
        <w:tc>
          <w:tcPr>
            <w:tcW w:w="58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5"/>
                <w:szCs w:val="15"/>
                <w:color w:val="auto"/>
              </w:rPr>
              <w:t>709,655</w:t>
            </w:r>
          </w:p>
        </w:tc>
        <w:tc>
          <w:tcPr>
            <w:tcW w:w="800" w:type="dxa"/>
            <w:vAlign w:val="bottom"/>
            <w:shd w:val="clear" w:color="auto" w:fill="CCEDD4"/>
          </w:tcPr>
          <w:p>
            <w:pPr>
              <w:jc w:val="right"/>
              <w:ind w:right="4"/>
              <w:spacing w:after="0"/>
              <w:rPr>
                <w:sz w:val="20"/>
                <w:szCs w:val="20"/>
                <w:color w:val="auto"/>
              </w:rPr>
            </w:pPr>
            <w:r>
              <w:rPr>
                <w:rFonts w:ascii="Arial" w:cs="Arial" w:eastAsia="Arial" w:hAnsi="Arial"/>
                <w:sz w:val="15"/>
                <w:szCs w:val="15"/>
                <w:color w:val="auto"/>
              </w:rPr>
              <w:t>519,347</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858,865</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67,297</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24,608</w:t>
            </w:r>
          </w:p>
        </w:tc>
        <w:tc>
          <w:tcPr>
            <w:tcW w:w="80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2,709,772</w:t>
            </w:r>
          </w:p>
        </w:tc>
      </w:tr>
      <w:tr>
        <w:trPr>
          <w:trHeight w:val="208"/>
        </w:trPr>
        <w:tc>
          <w:tcPr>
            <w:tcW w:w="2100" w:type="dxa"/>
            <w:vAlign w:val="bottom"/>
            <w:shd w:val="clear" w:color="auto" w:fill="CCEDD4"/>
          </w:tcPr>
          <w:p>
            <w:pPr>
              <w:ind w:left="20"/>
              <w:spacing w:after="0"/>
              <w:rPr>
                <w:sz w:val="20"/>
                <w:szCs w:val="20"/>
                <w:color w:val="auto"/>
              </w:rPr>
            </w:pPr>
            <w:r>
              <w:rPr>
                <w:rFonts w:ascii="Arial" w:cs="Arial" w:eastAsia="Arial" w:hAnsi="Arial"/>
                <w:sz w:val="15"/>
                <w:szCs w:val="15"/>
                <w:color w:val="auto"/>
              </w:rPr>
              <w:t>Chief Financial Officer</w:t>
            </w:r>
          </w:p>
        </w:tc>
        <w:tc>
          <w:tcPr>
            <w:tcW w:w="4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2020</w:t>
            </w:r>
          </w:p>
        </w:tc>
        <w:tc>
          <w:tcPr>
            <w:tcW w:w="7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530,000</w:t>
            </w:r>
          </w:p>
        </w:tc>
        <w:tc>
          <w:tcPr>
            <w:tcW w:w="580" w:type="dxa"/>
            <w:vAlign w:val="bottom"/>
            <w:shd w:val="clear" w:color="auto" w:fill="CCEDD4"/>
          </w:tcPr>
          <w:p>
            <w:pPr>
              <w:spacing w:after="0"/>
              <w:rPr>
                <w:sz w:val="18"/>
                <w:szCs w:val="18"/>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1,059,638</w:t>
            </w:r>
          </w:p>
        </w:tc>
        <w:tc>
          <w:tcPr>
            <w:tcW w:w="800" w:type="dxa"/>
            <w:vAlign w:val="bottom"/>
            <w:shd w:val="clear" w:color="auto" w:fill="CCEDD4"/>
          </w:tcPr>
          <w:p>
            <w:pPr>
              <w:jc w:val="right"/>
              <w:ind w:right="4"/>
              <w:spacing w:after="0"/>
              <w:rPr>
                <w:sz w:val="20"/>
                <w:szCs w:val="20"/>
                <w:color w:val="auto"/>
              </w:rPr>
            </w:pPr>
            <w:r>
              <w:rPr>
                <w:rFonts w:ascii="Arial" w:cs="Arial" w:eastAsia="Arial" w:hAnsi="Arial"/>
                <w:sz w:val="15"/>
                <w:szCs w:val="15"/>
                <w:color w:val="auto"/>
              </w:rPr>
              <w:t>262,640</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317,417</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74,018</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19,122</w:t>
            </w:r>
          </w:p>
        </w:tc>
        <w:tc>
          <w:tcPr>
            <w:tcW w:w="80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2,262,835</w:t>
            </w:r>
          </w:p>
        </w:tc>
      </w:tr>
      <w:tr>
        <w:trPr>
          <w:trHeight w:val="224"/>
        </w:trPr>
        <w:tc>
          <w:tcPr>
            <w:tcW w:w="2100" w:type="dxa"/>
            <w:vAlign w:val="bottom"/>
            <w:shd w:val="clear" w:color="auto" w:fill="CCEDD4"/>
          </w:tcPr>
          <w:p>
            <w:pPr>
              <w:spacing w:after="0"/>
              <w:rPr>
                <w:sz w:val="19"/>
                <w:szCs w:val="19"/>
                <w:color w:val="auto"/>
              </w:rPr>
            </w:pPr>
          </w:p>
        </w:tc>
        <w:tc>
          <w:tcPr>
            <w:tcW w:w="4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2019</w:t>
            </w:r>
          </w:p>
        </w:tc>
        <w:tc>
          <w:tcPr>
            <w:tcW w:w="7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530,000</w:t>
            </w:r>
          </w:p>
        </w:tc>
        <w:tc>
          <w:tcPr>
            <w:tcW w:w="580" w:type="dxa"/>
            <w:vAlign w:val="bottom"/>
            <w:shd w:val="clear" w:color="auto" w:fill="CCEDD4"/>
          </w:tcPr>
          <w:p>
            <w:pPr>
              <w:spacing w:after="0"/>
              <w:rPr>
                <w:sz w:val="19"/>
                <w:szCs w:val="19"/>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5"/>
                <w:szCs w:val="15"/>
                <w:color w:val="auto"/>
              </w:rPr>
              <w:t>895,097</w:t>
            </w:r>
          </w:p>
        </w:tc>
        <w:tc>
          <w:tcPr>
            <w:tcW w:w="800" w:type="dxa"/>
            <w:vAlign w:val="bottom"/>
            <w:shd w:val="clear" w:color="auto" w:fill="CCEDD4"/>
          </w:tcPr>
          <w:p>
            <w:pPr>
              <w:jc w:val="right"/>
              <w:ind w:right="4"/>
              <w:spacing w:after="0"/>
              <w:rPr>
                <w:sz w:val="20"/>
                <w:szCs w:val="20"/>
                <w:color w:val="auto"/>
              </w:rPr>
            </w:pPr>
            <w:r>
              <w:rPr>
                <w:rFonts w:ascii="Arial" w:cs="Arial" w:eastAsia="Arial" w:hAnsi="Arial"/>
                <w:sz w:val="15"/>
                <w:szCs w:val="15"/>
                <w:color w:val="auto"/>
              </w:rPr>
              <w:t>238,755</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459,133</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19,122</w:t>
            </w:r>
          </w:p>
        </w:tc>
        <w:tc>
          <w:tcPr>
            <w:tcW w:w="80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2,142,107</w:t>
            </w:r>
          </w:p>
        </w:tc>
      </w:tr>
      <w:tr>
        <w:trPr>
          <w:trHeight w:val="208"/>
        </w:trPr>
        <w:tc>
          <w:tcPr>
            <w:tcW w:w="2100" w:type="dxa"/>
            <w:vAlign w:val="bottom"/>
          </w:tcPr>
          <w:p>
            <w:pPr>
              <w:ind w:left="20"/>
              <w:spacing w:after="0"/>
              <w:rPr>
                <w:sz w:val="20"/>
                <w:szCs w:val="20"/>
                <w:color w:val="auto"/>
              </w:rPr>
            </w:pPr>
            <w:r>
              <w:rPr>
                <w:rFonts w:ascii="Arial" w:cs="Arial" w:eastAsia="Arial" w:hAnsi="Arial"/>
                <w:sz w:val="15"/>
                <w:szCs w:val="15"/>
                <w:color w:val="auto"/>
              </w:rPr>
              <w:t>Ken E. Arnold(6)</w:t>
            </w:r>
          </w:p>
        </w:tc>
        <w:tc>
          <w:tcPr>
            <w:tcW w:w="480" w:type="dxa"/>
            <w:vAlign w:val="bottom"/>
          </w:tcPr>
          <w:p>
            <w:pPr>
              <w:jc w:val="right"/>
              <w:spacing w:after="0"/>
              <w:rPr>
                <w:sz w:val="20"/>
                <w:szCs w:val="20"/>
                <w:color w:val="auto"/>
              </w:rPr>
            </w:pPr>
            <w:r>
              <w:rPr>
                <w:rFonts w:ascii="Arial" w:cs="Arial" w:eastAsia="Arial" w:hAnsi="Arial"/>
                <w:sz w:val="15"/>
                <w:szCs w:val="15"/>
                <w:color w:val="auto"/>
              </w:rPr>
              <w:t>2021</w:t>
            </w:r>
          </w:p>
        </w:tc>
        <w:tc>
          <w:tcPr>
            <w:tcW w:w="780" w:type="dxa"/>
            <w:vAlign w:val="bottom"/>
          </w:tcPr>
          <w:p>
            <w:pPr>
              <w:jc w:val="right"/>
              <w:spacing w:after="0"/>
              <w:rPr>
                <w:sz w:val="20"/>
                <w:szCs w:val="20"/>
                <w:color w:val="auto"/>
              </w:rPr>
            </w:pPr>
            <w:r>
              <w:rPr>
                <w:rFonts w:ascii="Arial" w:cs="Arial" w:eastAsia="Arial" w:hAnsi="Arial"/>
                <w:sz w:val="15"/>
                <w:szCs w:val="15"/>
                <w:color w:val="auto"/>
              </w:rPr>
              <w:t>389,246</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295,680</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216,410</w:t>
            </w:r>
          </w:p>
        </w:tc>
        <w:tc>
          <w:tcPr>
            <w:tcW w:w="1140" w:type="dxa"/>
            <w:vAlign w:val="bottom"/>
          </w:tcPr>
          <w:p>
            <w:pPr>
              <w:jc w:val="right"/>
              <w:spacing w:after="0"/>
              <w:rPr>
                <w:sz w:val="20"/>
                <w:szCs w:val="20"/>
                <w:color w:val="auto"/>
              </w:rPr>
            </w:pPr>
            <w:r>
              <w:rPr>
                <w:rFonts w:ascii="Arial" w:cs="Arial" w:eastAsia="Arial" w:hAnsi="Arial"/>
                <w:sz w:val="15"/>
                <w:szCs w:val="15"/>
                <w:color w:val="auto"/>
              </w:rPr>
              <w:t>440,470</w:t>
            </w:r>
          </w:p>
        </w:tc>
        <w:tc>
          <w:tcPr>
            <w:tcW w:w="1140" w:type="dxa"/>
            <w:vAlign w:val="bottom"/>
          </w:tcPr>
          <w:p>
            <w:pPr>
              <w:jc w:val="right"/>
              <w:spacing w:after="0"/>
              <w:rPr>
                <w:sz w:val="20"/>
                <w:szCs w:val="20"/>
                <w:color w:val="auto"/>
              </w:rPr>
            </w:pPr>
            <w:r>
              <w:rPr>
                <w:rFonts w:ascii="Arial" w:cs="Arial" w:eastAsia="Arial" w:hAnsi="Arial"/>
                <w:sz w:val="15"/>
                <w:szCs w:val="15"/>
                <w:color w:val="auto"/>
              </w:rPr>
              <w:t>42.850</w:t>
            </w:r>
          </w:p>
        </w:tc>
        <w:tc>
          <w:tcPr>
            <w:tcW w:w="1140" w:type="dxa"/>
            <w:vAlign w:val="bottom"/>
          </w:tcPr>
          <w:p>
            <w:pPr>
              <w:jc w:val="right"/>
              <w:spacing w:after="0"/>
              <w:rPr>
                <w:sz w:val="20"/>
                <w:szCs w:val="20"/>
                <w:color w:val="auto"/>
              </w:rPr>
            </w:pPr>
            <w:r>
              <w:rPr>
                <w:rFonts w:ascii="Arial" w:cs="Arial" w:eastAsia="Arial" w:hAnsi="Arial"/>
                <w:sz w:val="15"/>
                <w:szCs w:val="15"/>
                <w:color w:val="auto"/>
              </w:rPr>
              <w:t>17,725</w:t>
            </w:r>
          </w:p>
        </w:tc>
        <w:tc>
          <w:tcPr>
            <w:tcW w:w="800" w:type="dxa"/>
            <w:vAlign w:val="bottom"/>
          </w:tcPr>
          <w:p>
            <w:pPr>
              <w:jc w:val="right"/>
              <w:spacing w:after="0"/>
              <w:rPr>
                <w:sz w:val="20"/>
                <w:szCs w:val="20"/>
                <w:color w:val="auto"/>
              </w:rPr>
            </w:pPr>
            <w:r>
              <w:rPr>
                <w:rFonts w:ascii="Arial" w:cs="Arial" w:eastAsia="Arial" w:hAnsi="Arial"/>
                <w:sz w:val="15"/>
                <w:szCs w:val="15"/>
                <w:color w:val="auto"/>
              </w:rPr>
              <w:t>1,402,381</w:t>
            </w:r>
          </w:p>
        </w:tc>
      </w:tr>
      <w:tr>
        <w:trPr>
          <w:trHeight w:val="220"/>
        </w:trPr>
        <w:tc>
          <w:tcPr>
            <w:tcW w:w="2100" w:type="dxa"/>
            <w:vAlign w:val="bottom"/>
          </w:tcPr>
          <w:p>
            <w:pPr>
              <w:ind w:left="20"/>
              <w:spacing w:after="0"/>
              <w:rPr>
                <w:sz w:val="20"/>
                <w:szCs w:val="20"/>
                <w:color w:val="auto"/>
              </w:rPr>
            </w:pPr>
            <w:r>
              <w:rPr>
                <w:rFonts w:ascii="Arial" w:cs="Arial" w:eastAsia="Arial" w:hAnsi="Arial"/>
                <w:sz w:val="15"/>
                <w:szCs w:val="15"/>
                <w:color w:val="auto"/>
              </w:rPr>
              <w:t>Chief People Officer</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2"/>
        </w:trPr>
        <w:tc>
          <w:tcPr>
            <w:tcW w:w="2100" w:type="dxa"/>
            <w:vAlign w:val="bottom"/>
            <w:shd w:val="clear" w:color="auto" w:fill="CCEDD4"/>
          </w:tcPr>
          <w:p>
            <w:pPr>
              <w:ind w:left="20"/>
              <w:spacing w:after="0"/>
              <w:rPr>
                <w:sz w:val="20"/>
                <w:szCs w:val="20"/>
                <w:color w:val="auto"/>
              </w:rPr>
            </w:pPr>
            <w:r>
              <w:rPr>
                <w:rFonts w:ascii="Arial" w:cs="Arial" w:eastAsia="Arial" w:hAnsi="Arial"/>
                <w:sz w:val="15"/>
                <w:szCs w:val="15"/>
                <w:color w:val="auto"/>
              </w:rPr>
              <w:t>Max Chan</w:t>
            </w:r>
          </w:p>
        </w:tc>
        <w:tc>
          <w:tcPr>
            <w:tcW w:w="4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2021</w:t>
            </w:r>
          </w:p>
        </w:tc>
        <w:tc>
          <w:tcPr>
            <w:tcW w:w="7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360,000</w:t>
            </w:r>
          </w:p>
        </w:tc>
        <w:tc>
          <w:tcPr>
            <w:tcW w:w="580" w:type="dxa"/>
            <w:vAlign w:val="bottom"/>
            <w:shd w:val="clear" w:color="auto" w:fill="CCEDD4"/>
          </w:tcPr>
          <w:p>
            <w:pPr>
              <w:spacing w:after="0"/>
              <w:rPr>
                <w:sz w:val="18"/>
                <w:szCs w:val="18"/>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5"/>
                <w:szCs w:val="15"/>
                <w:color w:val="auto"/>
              </w:rPr>
              <w:t>400,915</w:t>
            </w:r>
          </w:p>
        </w:tc>
        <w:tc>
          <w:tcPr>
            <w:tcW w:w="800" w:type="dxa"/>
            <w:vAlign w:val="bottom"/>
            <w:shd w:val="clear" w:color="auto" w:fill="CCEDD4"/>
          </w:tcPr>
          <w:p>
            <w:pPr>
              <w:jc w:val="right"/>
              <w:ind w:right="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310,000</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27,361</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3,557</w:t>
            </w:r>
          </w:p>
        </w:tc>
        <w:tc>
          <w:tcPr>
            <w:tcW w:w="80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1,101,833</w:t>
            </w:r>
          </w:p>
        </w:tc>
      </w:tr>
      <w:tr>
        <w:trPr>
          <w:trHeight w:val="224"/>
        </w:trPr>
        <w:tc>
          <w:tcPr>
            <w:tcW w:w="2100" w:type="dxa"/>
            <w:vAlign w:val="bottom"/>
            <w:shd w:val="clear" w:color="auto" w:fill="CCEDD4"/>
          </w:tcPr>
          <w:p>
            <w:pPr>
              <w:ind w:left="20"/>
              <w:spacing w:after="0"/>
              <w:rPr>
                <w:sz w:val="20"/>
                <w:szCs w:val="20"/>
                <w:color w:val="auto"/>
              </w:rPr>
            </w:pPr>
            <w:r>
              <w:rPr>
                <w:rFonts w:ascii="Arial" w:cs="Arial" w:eastAsia="Arial" w:hAnsi="Arial"/>
                <w:sz w:val="15"/>
                <w:szCs w:val="15"/>
                <w:color w:val="auto"/>
              </w:rPr>
              <w:t>Chief Information Officer</w:t>
            </w:r>
          </w:p>
        </w:tc>
        <w:tc>
          <w:tcPr>
            <w:tcW w:w="480" w:type="dxa"/>
            <w:vAlign w:val="bottom"/>
            <w:shd w:val="clear" w:color="auto" w:fill="CCEDD4"/>
          </w:tcPr>
          <w:p>
            <w:pPr>
              <w:spacing w:after="0"/>
              <w:rPr>
                <w:sz w:val="19"/>
                <w:szCs w:val="19"/>
                <w:color w:val="auto"/>
              </w:rPr>
            </w:pPr>
          </w:p>
        </w:tc>
        <w:tc>
          <w:tcPr>
            <w:tcW w:w="780" w:type="dxa"/>
            <w:vAlign w:val="bottom"/>
            <w:shd w:val="clear" w:color="auto" w:fill="CCEDD4"/>
          </w:tcPr>
          <w:p>
            <w:pPr>
              <w:spacing w:after="0"/>
              <w:rPr>
                <w:sz w:val="19"/>
                <w:szCs w:val="19"/>
                <w:color w:val="auto"/>
              </w:rPr>
            </w:pPr>
          </w:p>
        </w:tc>
        <w:tc>
          <w:tcPr>
            <w:tcW w:w="580" w:type="dxa"/>
            <w:vAlign w:val="bottom"/>
            <w:shd w:val="clear" w:color="auto" w:fill="CCEDD4"/>
          </w:tcPr>
          <w:p>
            <w:pPr>
              <w:spacing w:after="0"/>
              <w:rPr>
                <w:sz w:val="19"/>
                <w:szCs w:val="19"/>
                <w:color w:val="auto"/>
              </w:rPr>
            </w:pPr>
          </w:p>
        </w:tc>
        <w:tc>
          <w:tcPr>
            <w:tcW w:w="760" w:type="dxa"/>
            <w:vAlign w:val="bottom"/>
            <w:shd w:val="clear" w:color="auto" w:fill="CCEDD4"/>
          </w:tcPr>
          <w:p>
            <w:pPr>
              <w:spacing w:after="0"/>
              <w:rPr>
                <w:sz w:val="19"/>
                <w:szCs w:val="19"/>
                <w:color w:val="auto"/>
              </w:rPr>
            </w:pPr>
          </w:p>
        </w:tc>
        <w:tc>
          <w:tcPr>
            <w:tcW w:w="800" w:type="dxa"/>
            <w:vAlign w:val="bottom"/>
            <w:shd w:val="clear" w:color="auto" w:fill="CCEDD4"/>
          </w:tcPr>
          <w:p>
            <w:pPr>
              <w:spacing w:after="0"/>
              <w:rPr>
                <w:sz w:val="19"/>
                <w:szCs w:val="19"/>
                <w:color w:val="auto"/>
              </w:rPr>
            </w:pPr>
          </w:p>
        </w:tc>
        <w:tc>
          <w:tcPr>
            <w:tcW w:w="1140" w:type="dxa"/>
            <w:vAlign w:val="bottom"/>
            <w:shd w:val="clear" w:color="auto" w:fill="CCEDD4"/>
          </w:tcPr>
          <w:p>
            <w:pPr>
              <w:spacing w:after="0"/>
              <w:rPr>
                <w:sz w:val="19"/>
                <w:szCs w:val="19"/>
                <w:color w:val="auto"/>
              </w:rPr>
            </w:pPr>
          </w:p>
        </w:tc>
        <w:tc>
          <w:tcPr>
            <w:tcW w:w="1140" w:type="dxa"/>
            <w:vAlign w:val="bottom"/>
            <w:shd w:val="clear" w:color="auto" w:fill="CCEDD4"/>
          </w:tcPr>
          <w:p>
            <w:pPr>
              <w:spacing w:after="0"/>
              <w:rPr>
                <w:sz w:val="19"/>
                <w:szCs w:val="19"/>
                <w:color w:val="auto"/>
              </w:rPr>
            </w:pPr>
          </w:p>
        </w:tc>
        <w:tc>
          <w:tcPr>
            <w:tcW w:w="1140" w:type="dxa"/>
            <w:vAlign w:val="bottom"/>
            <w:shd w:val="clear" w:color="auto" w:fill="CCEDD4"/>
          </w:tcPr>
          <w:p>
            <w:pPr>
              <w:spacing w:after="0"/>
              <w:rPr>
                <w:sz w:val="19"/>
                <w:szCs w:val="19"/>
                <w:color w:val="auto"/>
              </w:rPr>
            </w:pPr>
          </w:p>
        </w:tc>
        <w:tc>
          <w:tcPr>
            <w:tcW w:w="800" w:type="dxa"/>
            <w:vAlign w:val="bottom"/>
            <w:shd w:val="clear" w:color="auto" w:fill="CCEDD4"/>
          </w:tcPr>
          <w:p>
            <w:pPr>
              <w:spacing w:after="0"/>
              <w:rPr>
                <w:sz w:val="19"/>
                <w:szCs w:val="19"/>
                <w:color w:val="auto"/>
              </w:rPr>
            </w:pPr>
          </w:p>
        </w:tc>
      </w:tr>
      <w:tr>
        <w:trPr>
          <w:trHeight w:val="208"/>
        </w:trPr>
        <w:tc>
          <w:tcPr>
            <w:tcW w:w="2100" w:type="dxa"/>
            <w:vAlign w:val="bottom"/>
          </w:tcPr>
          <w:p>
            <w:pPr>
              <w:ind w:left="20"/>
              <w:spacing w:after="0"/>
              <w:rPr>
                <w:sz w:val="20"/>
                <w:szCs w:val="20"/>
                <w:color w:val="auto"/>
              </w:rPr>
            </w:pPr>
            <w:r>
              <w:rPr>
                <w:rFonts w:ascii="Arial" w:cs="Arial" w:eastAsia="Arial" w:hAnsi="Arial"/>
                <w:sz w:val="15"/>
                <w:szCs w:val="15"/>
                <w:color w:val="auto"/>
              </w:rPr>
              <w:t>Michael R. McCoy(6)</w:t>
            </w:r>
          </w:p>
        </w:tc>
        <w:tc>
          <w:tcPr>
            <w:tcW w:w="480" w:type="dxa"/>
            <w:vAlign w:val="bottom"/>
          </w:tcPr>
          <w:p>
            <w:pPr>
              <w:jc w:val="right"/>
              <w:spacing w:after="0"/>
              <w:rPr>
                <w:sz w:val="20"/>
                <w:szCs w:val="20"/>
                <w:color w:val="auto"/>
              </w:rPr>
            </w:pPr>
            <w:r>
              <w:rPr>
                <w:rFonts w:ascii="Arial" w:cs="Arial" w:eastAsia="Arial" w:hAnsi="Arial"/>
                <w:sz w:val="15"/>
                <w:szCs w:val="15"/>
                <w:color w:val="auto"/>
              </w:rPr>
              <w:t>2021</w:t>
            </w:r>
          </w:p>
        </w:tc>
        <w:tc>
          <w:tcPr>
            <w:tcW w:w="780" w:type="dxa"/>
            <w:vAlign w:val="bottom"/>
          </w:tcPr>
          <w:p>
            <w:pPr>
              <w:jc w:val="right"/>
              <w:spacing w:after="0"/>
              <w:rPr>
                <w:sz w:val="20"/>
                <w:szCs w:val="20"/>
                <w:color w:val="auto"/>
              </w:rPr>
            </w:pPr>
            <w:r>
              <w:rPr>
                <w:rFonts w:ascii="Arial" w:cs="Arial" w:eastAsia="Arial" w:hAnsi="Arial"/>
                <w:sz w:val="15"/>
                <w:szCs w:val="15"/>
                <w:color w:val="auto"/>
              </w:rPr>
              <w:t>437,736</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319,407</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233,720</w:t>
            </w:r>
          </w:p>
        </w:tc>
        <w:tc>
          <w:tcPr>
            <w:tcW w:w="1140" w:type="dxa"/>
            <w:vAlign w:val="bottom"/>
          </w:tcPr>
          <w:p>
            <w:pPr>
              <w:jc w:val="right"/>
              <w:spacing w:after="0"/>
              <w:rPr>
                <w:sz w:val="20"/>
                <w:szCs w:val="20"/>
                <w:color w:val="auto"/>
              </w:rPr>
            </w:pPr>
            <w:r>
              <w:rPr>
                <w:rFonts w:ascii="Arial" w:cs="Arial" w:eastAsia="Arial" w:hAnsi="Arial"/>
                <w:sz w:val="15"/>
                <w:szCs w:val="15"/>
                <w:color w:val="auto"/>
              </w:rPr>
              <w:t>437,230</w:t>
            </w:r>
          </w:p>
        </w:tc>
        <w:tc>
          <w:tcPr>
            <w:tcW w:w="1140" w:type="dxa"/>
            <w:vAlign w:val="bottom"/>
          </w:tcPr>
          <w:p>
            <w:pPr>
              <w:jc w:val="right"/>
              <w:spacing w:after="0"/>
              <w:rPr>
                <w:sz w:val="20"/>
                <w:szCs w:val="20"/>
                <w:color w:val="auto"/>
              </w:rPr>
            </w:pPr>
            <w:r>
              <w:rPr>
                <w:rFonts w:ascii="Arial" w:cs="Arial" w:eastAsia="Arial" w:hAnsi="Arial"/>
                <w:sz w:val="15"/>
                <w:szCs w:val="15"/>
                <w:color w:val="auto"/>
              </w:rPr>
              <w:t>27,585</w:t>
            </w:r>
          </w:p>
        </w:tc>
        <w:tc>
          <w:tcPr>
            <w:tcW w:w="1140" w:type="dxa"/>
            <w:vAlign w:val="bottom"/>
          </w:tcPr>
          <w:p>
            <w:pPr>
              <w:jc w:val="right"/>
              <w:spacing w:after="0"/>
              <w:rPr>
                <w:sz w:val="20"/>
                <w:szCs w:val="20"/>
                <w:color w:val="auto"/>
              </w:rPr>
            </w:pPr>
            <w:r>
              <w:rPr>
                <w:rFonts w:ascii="Arial" w:cs="Arial" w:eastAsia="Arial" w:hAnsi="Arial"/>
                <w:sz w:val="15"/>
                <w:szCs w:val="15"/>
                <w:color w:val="auto"/>
              </w:rPr>
              <w:t>106,153</w:t>
            </w:r>
          </w:p>
        </w:tc>
        <w:tc>
          <w:tcPr>
            <w:tcW w:w="800" w:type="dxa"/>
            <w:vAlign w:val="bottom"/>
          </w:tcPr>
          <w:p>
            <w:pPr>
              <w:jc w:val="right"/>
              <w:spacing w:after="0"/>
              <w:rPr>
                <w:sz w:val="20"/>
                <w:szCs w:val="20"/>
                <w:color w:val="auto"/>
              </w:rPr>
            </w:pPr>
            <w:r>
              <w:rPr>
                <w:rFonts w:ascii="Arial" w:cs="Arial" w:eastAsia="Arial" w:hAnsi="Arial"/>
                <w:sz w:val="15"/>
                <w:szCs w:val="15"/>
                <w:color w:val="auto"/>
              </w:rPr>
              <w:t>1,561,831</w:t>
            </w:r>
          </w:p>
        </w:tc>
      </w:tr>
      <w:tr>
        <w:trPr>
          <w:trHeight w:val="216"/>
        </w:trPr>
        <w:tc>
          <w:tcPr>
            <w:tcW w:w="2100" w:type="dxa"/>
            <w:vAlign w:val="bottom"/>
          </w:tcPr>
          <w:p>
            <w:pPr>
              <w:ind w:left="20"/>
              <w:spacing w:after="0"/>
              <w:rPr>
                <w:sz w:val="20"/>
                <w:szCs w:val="20"/>
                <w:color w:val="auto"/>
              </w:rPr>
            </w:pPr>
            <w:r>
              <w:rPr>
                <w:rFonts w:ascii="Arial" w:cs="Arial" w:eastAsia="Arial" w:hAnsi="Arial"/>
                <w:sz w:val="15"/>
                <w:szCs w:val="15"/>
                <w:color w:val="auto"/>
              </w:rPr>
              <w:t>General Counsel and</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0"/>
        </w:trPr>
        <w:tc>
          <w:tcPr>
            <w:tcW w:w="2100" w:type="dxa"/>
            <w:vAlign w:val="bottom"/>
          </w:tcPr>
          <w:p>
            <w:pPr>
              <w:ind w:left="20"/>
              <w:spacing w:after="0"/>
              <w:rPr>
                <w:sz w:val="20"/>
                <w:szCs w:val="20"/>
                <w:color w:val="auto"/>
              </w:rPr>
            </w:pPr>
            <w:r>
              <w:rPr>
                <w:rFonts w:ascii="Arial" w:cs="Arial" w:eastAsia="Arial" w:hAnsi="Arial"/>
                <w:sz w:val="15"/>
                <w:szCs w:val="15"/>
                <w:color w:val="auto"/>
              </w:rPr>
              <w:t>Chief Legal Officer</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2"/>
        </w:trPr>
        <w:tc>
          <w:tcPr>
            <w:tcW w:w="2100" w:type="dxa"/>
            <w:vAlign w:val="bottom"/>
            <w:shd w:val="clear" w:color="auto" w:fill="CCEDD4"/>
          </w:tcPr>
          <w:p>
            <w:pPr>
              <w:ind w:left="20"/>
              <w:spacing w:after="0"/>
              <w:rPr>
                <w:sz w:val="20"/>
                <w:szCs w:val="20"/>
                <w:color w:val="auto"/>
              </w:rPr>
            </w:pPr>
            <w:r>
              <w:rPr>
                <w:rFonts w:ascii="Arial" w:cs="Arial" w:eastAsia="Arial" w:hAnsi="Arial"/>
                <w:sz w:val="15"/>
                <w:szCs w:val="15"/>
                <w:color w:val="auto"/>
              </w:rPr>
              <w:t>William J. Amelio</w:t>
            </w:r>
          </w:p>
        </w:tc>
        <w:tc>
          <w:tcPr>
            <w:tcW w:w="4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2021</w:t>
            </w:r>
          </w:p>
        </w:tc>
        <w:tc>
          <w:tcPr>
            <w:tcW w:w="7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96,154</w:t>
            </w:r>
          </w:p>
        </w:tc>
        <w:tc>
          <w:tcPr>
            <w:tcW w:w="580" w:type="dxa"/>
            <w:vAlign w:val="bottom"/>
            <w:shd w:val="clear" w:color="auto" w:fill="CCEDD4"/>
          </w:tcPr>
          <w:p>
            <w:pPr>
              <w:spacing w:after="0"/>
              <w:rPr>
                <w:sz w:val="18"/>
                <w:szCs w:val="18"/>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DD4"/>
          </w:tcPr>
          <w:p>
            <w:pPr>
              <w:jc w:val="right"/>
              <w:ind w:right="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139,726</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88,339</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2,585,857</w:t>
            </w:r>
          </w:p>
        </w:tc>
        <w:tc>
          <w:tcPr>
            <w:tcW w:w="80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2,910,076</w:t>
            </w:r>
          </w:p>
        </w:tc>
      </w:tr>
      <w:tr>
        <w:trPr>
          <w:trHeight w:val="216"/>
        </w:trPr>
        <w:tc>
          <w:tcPr>
            <w:tcW w:w="2100" w:type="dxa"/>
            <w:vAlign w:val="bottom"/>
            <w:shd w:val="clear" w:color="auto" w:fill="CCEDD4"/>
          </w:tcPr>
          <w:p>
            <w:pPr>
              <w:ind w:left="20"/>
              <w:spacing w:after="0"/>
              <w:rPr>
                <w:sz w:val="20"/>
                <w:szCs w:val="20"/>
                <w:color w:val="auto"/>
              </w:rPr>
            </w:pPr>
            <w:r>
              <w:rPr>
                <w:rFonts w:ascii="Arial" w:cs="Arial" w:eastAsia="Arial" w:hAnsi="Arial"/>
                <w:sz w:val="15"/>
                <w:szCs w:val="15"/>
                <w:color w:val="auto"/>
              </w:rPr>
              <w:t>Former Chief Executive</w:t>
            </w:r>
          </w:p>
        </w:tc>
        <w:tc>
          <w:tcPr>
            <w:tcW w:w="4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2020</w:t>
            </w:r>
          </w:p>
        </w:tc>
        <w:tc>
          <w:tcPr>
            <w:tcW w:w="7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1,000,000</w:t>
            </w:r>
          </w:p>
        </w:tc>
        <w:tc>
          <w:tcPr>
            <w:tcW w:w="580" w:type="dxa"/>
            <w:vAlign w:val="bottom"/>
            <w:shd w:val="clear" w:color="auto" w:fill="CCEDD4"/>
          </w:tcPr>
          <w:p>
            <w:pPr>
              <w:spacing w:after="0"/>
              <w:rPr>
                <w:sz w:val="18"/>
                <w:szCs w:val="18"/>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5"/>
                <w:szCs w:val="15"/>
                <w:color w:val="auto"/>
              </w:rPr>
              <w:t>4,591,967</w:t>
            </w:r>
          </w:p>
        </w:tc>
        <w:tc>
          <w:tcPr>
            <w:tcW w:w="800" w:type="dxa"/>
            <w:vAlign w:val="bottom"/>
            <w:shd w:val="clear" w:color="auto" w:fill="CCEDD4"/>
          </w:tcPr>
          <w:p>
            <w:pPr>
              <w:jc w:val="right"/>
              <w:ind w:right="4"/>
              <w:spacing w:after="0"/>
              <w:rPr>
                <w:sz w:val="20"/>
                <w:szCs w:val="20"/>
                <w:color w:val="auto"/>
              </w:rPr>
            </w:pPr>
            <w:r>
              <w:rPr>
                <w:rFonts w:ascii="Arial" w:cs="Arial" w:eastAsia="Arial" w:hAnsi="Arial"/>
                <w:sz w:val="15"/>
                <w:szCs w:val="15"/>
                <w:color w:val="auto"/>
              </w:rPr>
              <w:t>1,138,117</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748,350</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191,979</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44,380</w:t>
            </w:r>
          </w:p>
        </w:tc>
        <w:tc>
          <w:tcPr>
            <w:tcW w:w="800" w:type="dxa"/>
            <w:vAlign w:val="bottom"/>
            <w:shd w:val="clear" w:color="auto" w:fill="CCEDD4"/>
          </w:tcPr>
          <w:p>
            <w:pPr>
              <w:jc w:val="right"/>
              <w:spacing w:after="0"/>
              <w:rPr>
                <w:sz w:val="20"/>
                <w:szCs w:val="20"/>
                <w:color w:val="auto"/>
              </w:rPr>
            </w:pPr>
            <w:r>
              <w:rPr>
                <w:rFonts w:ascii="Arial" w:cs="Arial" w:eastAsia="Arial" w:hAnsi="Arial"/>
                <w:sz w:val="15"/>
                <w:szCs w:val="15"/>
                <w:color w:val="auto"/>
              </w:rPr>
              <w:t>7,714,793</w:t>
            </w:r>
          </w:p>
        </w:tc>
      </w:tr>
      <w:tr>
        <w:trPr>
          <w:trHeight w:val="224"/>
        </w:trPr>
        <w:tc>
          <w:tcPr>
            <w:tcW w:w="2100" w:type="dxa"/>
            <w:vAlign w:val="bottom"/>
            <w:shd w:val="clear" w:color="auto" w:fill="CCEDD4"/>
          </w:tcPr>
          <w:p>
            <w:pPr>
              <w:ind w:left="20"/>
              <w:spacing w:after="0"/>
              <w:rPr>
                <w:sz w:val="20"/>
                <w:szCs w:val="20"/>
                <w:color w:val="auto"/>
              </w:rPr>
            </w:pPr>
            <w:r>
              <w:rPr>
                <w:rFonts w:ascii="Arial" w:cs="Arial" w:eastAsia="Arial" w:hAnsi="Arial"/>
                <w:sz w:val="15"/>
                <w:szCs w:val="15"/>
                <w:color w:val="auto"/>
              </w:rPr>
              <w:t>Officer(5)</w:t>
            </w:r>
          </w:p>
        </w:tc>
        <w:tc>
          <w:tcPr>
            <w:tcW w:w="4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2019</w:t>
            </w:r>
          </w:p>
        </w:tc>
        <w:tc>
          <w:tcPr>
            <w:tcW w:w="7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1,000,000</w:t>
            </w:r>
          </w:p>
        </w:tc>
        <w:tc>
          <w:tcPr>
            <w:tcW w:w="580" w:type="dxa"/>
            <w:vAlign w:val="bottom"/>
            <w:shd w:val="clear" w:color="auto" w:fill="CCEDD4"/>
          </w:tcPr>
          <w:p>
            <w:pPr>
              <w:spacing w:after="0"/>
              <w:rPr>
                <w:sz w:val="19"/>
                <w:szCs w:val="19"/>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5"/>
                <w:szCs w:val="15"/>
                <w:color w:val="auto"/>
              </w:rPr>
              <w:t>4,654,431</w:t>
            </w:r>
          </w:p>
        </w:tc>
        <w:tc>
          <w:tcPr>
            <w:tcW w:w="800" w:type="dxa"/>
            <w:vAlign w:val="bottom"/>
            <w:shd w:val="clear" w:color="auto" w:fill="CCEDD4"/>
          </w:tcPr>
          <w:p>
            <w:pPr>
              <w:jc w:val="right"/>
              <w:ind w:right="4"/>
              <w:spacing w:after="0"/>
              <w:rPr>
                <w:sz w:val="20"/>
                <w:szCs w:val="20"/>
                <w:color w:val="auto"/>
              </w:rPr>
            </w:pPr>
            <w:r>
              <w:rPr>
                <w:rFonts w:ascii="Arial" w:cs="Arial" w:eastAsia="Arial" w:hAnsi="Arial"/>
                <w:sz w:val="15"/>
                <w:szCs w:val="15"/>
                <w:color w:val="auto"/>
              </w:rPr>
              <w:t>1,241,511</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1,299,432</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190,004</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52,700</w:t>
            </w:r>
          </w:p>
        </w:tc>
        <w:tc>
          <w:tcPr>
            <w:tcW w:w="800" w:type="dxa"/>
            <w:vAlign w:val="bottom"/>
            <w:shd w:val="clear" w:color="auto" w:fill="CCEDD4"/>
          </w:tcPr>
          <w:p>
            <w:pPr>
              <w:jc w:val="right"/>
              <w:spacing w:after="0"/>
              <w:rPr>
                <w:sz w:val="20"/>
                <w:szCs w:val="20"/>
                <w:color w:val="auto"/>
              </w:rPr>
            </w:pPr>
            <w:r>
              <w:rPr>
                <w:rFonts w:ascii="Arial" w:cs="Arial" w:eastAsia="Arial" w:hAnsi="Arial"/>
                <w:sz w:val="15"/>
                <w:szCs w:val="15"/>
                <w:color w:val="auto"/>
              </w:rPr>
              <w:t>8,438,078</w:t>
            </w:r>
          </w:p>
        </w:tc>
      </w:tr>
      <w:tr>
        <w:trPr>
          <w:trHeight w:val="208"/>
        </w:trPr>
        <w:tc>
          <w:tcPr>
            <w:tcW w:w="2100" w:type="dxa"/>
            <w:vAlign w:val="bottom"/>
          </w:tcPr>
          <w:p>
            <w:pPr>
              <w:ind w:left="20"/>
              <w:spacing w:after="0"/>
              <w:rPr>
                <w:sz w:val="20"/>
                <w:szCs w:val="20"/>
                <w:color w:val="auto"/>
              </w:rPr>
            </w:pPr>
            <w:r>
              <w:rPr>
                <w:rFonts w:ascii="Arial" w:cs="Arial" w:eastAsia="Arial" w:hAnsi="Arial"/>
                <w:sz w:val="15"/>
                <w:szCs w:val="15"/>
                <w:color w:val="auto"/>
              </w:rPr>
              <w:t>Peter G. Bartolotta</w:t>
            </w:r>
          </w:p>
        </w:tc>
        <w:tc>
          <w:tcPr>
            <w:tcW w:w="480" w:type="dxa"/>
            <w:vAlign w:val="bottom"/>
          </w:tcPr>
          <w:p>
            <w:pPr>
              <w:jc w:val="right"/>
              <w:spacing w:after="0"/>
              <w:rPr>
                <w:sz w:val="20"/>
                <w:szCs w:val="20"/>
                <w:color w:val="auto"/>
              </w:rPr>
            </w:pPr>
            <w:r>
              <w:rPr>
                <w:rFonts w:ascii="Arial" w:cs="Arial" w:eastAsia="Arial" w:hAnsi="Arial"/>
                <w:sz w:val="15"/>
                <w:szCs w:val="15"/>
                <w:color w:val="auto"/>
              </w:rPr>
              <w:t>2021</w:t>
            </w:r>
          </w:p>
        </w:tc>
        <w:tc>
          <w:tcPr>
            <w:tcW w:w="780" w:type="dxa"/>
            <w:vAlign w:val="bottom"/>
          </w:tcPr>
          <w:p>
            <w:pPr>
              <w:jc w:val="right"/>
              <w:spacing w:after="0"/>
              <w:rPr>
                <w:sz w:val="20"/>
                <w:szCs w:val="20"/>
                <w:color w:val="auto"/>
              </w:rPr>
            </w:pPr>
            <w:r>
              <w:rPr>
                <w:rFonts w:ascii="Arial" w:cs="Arial" w:eastAsia="Arial" w:hAnsi="Arial"/>
                <w:sz w:val="15"/>
                <w:szCs w:val="15"/>
                <w:color w:val="auto"/>
              </w:rPr>
              <w:t>145,283</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235,432</w:t>
            </w:r>
          </w:p>
        </w:tc>
        <w:tc>
          <w:tcPr>
            <w:tcW w:w="1140" w:type="dxa"/>
            <w:vAlign w:val="bottom"/>
          </w:tcPr>
          <w:p>
            <w:pPr>
              <w:jc w:val="right"/>
              <w:spacing w:after="0"/>
              <w:rPr>
                <w:sz w:val="20"/>
                <w:szCs w:val="20"/>
                <w:color w:val="auto"/>
              </w:rPr>
            </w:pPr>
            <w:r>
              <w:rPr>
                <w:rFonts w:ascii="Arial" w:cs="Arial" w:eastAsia="Arial" w:hAnsi="Arial"/>
                <w:sz w:val="15"/>
                <w:szCs w:val="15"/>
                <w:color w:val="auto"/>
              </w:rPr>
              <w:t>36,083</w:t>
            </w:r>
          </w:p>
        </w:tc>
        <w:tc>
          <w:tcPr>
            <w:tcW w:w="1140" w:type="dxa"/>
            <w:vAlign w:val="bottom"/>
          </w:tcPr>
          <w:p>
            <w:pPr>
              <w:jc w:val="right"/>
              <w:spacing w:after="0"/>
              <w:rPr>
                <w:sz w:val="20"/>
                <w:szCs w:val="20"/>
                <w:color w:val="auto"/>
              </w:rPr>
            </w:pPr>
            <w:r>
              <w:rPr>
                <w:rFonts w:ascii="Arial" w:cs="Arial" w:eastAsia="Arial" w:hAnsi="Arial"/>
                <w:sz w:val="15"/>
                <w:szCs w:val="15"/>
                <w:color w:val="auto"/>
              </w:rPr>
              <w:t>1,122,836</w:t>
            </w:r>
          </w:p>
        </w:tc>
        <w:tc>
          <w:tcPr>
            <w:tcW w:w="800" w:type="dxa"/>
            <w:vAlign w:val="bottom"/>
          </w:tcPr>
          <w:p>
            <w:pPr>
              <w:jc w:val="right"/>
              <w:spacing w:after="0"/>
              <w:rPr>
                <w:sz w:val="20"/>
                <w:szCs w:val="20"/>
                <w:color w:val="auto"/>
              </w:rPr>
            </w:pPr>
            <w:r>
              <w:rPr>
                <w:rFonts w:ascii="Arial" w:cs="Arial" w:eastAsia="Arial" w:hAnsi="Arial"/>
                <w:sz w:val="15"/>
                <w:szCs w:val="15"/>
                <w:color w:val="auto"/>
              </w:rPr>
              <w:t>1,539,634</w:t>
            </w:r>
          </w:p>
        </w:tc>
      </w:tr>
      <w:tr>
        <w:trPr>
          <w:trHeight w:val="216"/>
        </w:trPr>
        <w:tc>
          <w:tcPr>
            <w:tcW w:w="2100" w:type="dxa"/>
            <w:vAlign w:val="bottom"/>
          </w:tcPr>
          <w:p>
            <w:pPr>
              <w:ind w:left="20"/>
              <w:spacing w:after="0"/>
              <w:rPr>
                <w:sz w:val="20"/>
                <w:szCs w:val="20"/>
                <w:color w:val="auto"/>
              </w:rPr>
            </w:pPr>
            <w:r>
              <w:rPr>
                <w:rFonts w:ascii="Arial" w:cs="Arial" w:eastAsia="Arial" w:hAnsi="Arial"/>
                <w:sz w:val="15"/>
                <w:szCs w:val="15"/>
                <w:color w:val="auto"/>
              </w:rPr>
              <w:t>Former President, Business</w:t>
            </w:r>
          </w:p>
        </w:tc>
        <w:tc>
          <w:tcPr>
            <w:tcW w:w="480" w:type="dxa"/>
            <w:vAlign w:val="bottom"/>
          </w:tcPr>
          <w:p>
            <w:pPr>
              <w:jc w:val="right"/>
              <w:spacing w:after="0"/>
              <w:rPr>
                <w:sz w:val="20"/>
                <w:szCs w:val="20"/>
                <w:color w:val="auto"/>
              </w:rPr>
            </w:pPr>
            <w:r>
              <w:rPr>
                <w:rFonts w:ascii="Arial" w:cs="Arial" w:eastAsia="Arial" w:hAnsi="Arial"/>
                <w:sz w:val="15"/>
                <w:szCs w:val="15"/>
                <w:color w:val="auto"/>
              </w:rPr>
              <w:t>2020</w:t>
            </w:r>
          </w:p>
        </w:tc>
        <w:tc>
          <w:tcPr>
            <w:tcW w:w="780" w:type="dxa"/>
            <w:vAlign w:val="bottom"/>
          </w:tcPr>
          <w:p>
            <w:pPr>
              <w:jc w:val="right"/>
              <w:spacing w:after="0"/>
              <w:rPr>
                <w:sz w:val="20"/>
                <w:szCs w:val="20"/>
                <w:color w:val="auto"/>
              </w:rPr>
            </w:pPr>
            <w:r>
              <w:rPr>
                <w:rFonts w:ascii="Arial" w:cs="Arial" w:eastAsia="Arial" w:hAnsi="Arial"/>
                <w:sz w:val="15"/>
                <w:szCs w:val="15"/>
                <w:color w:val="auto"/>
              </w:rPr>
              <w:t>550,000</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777,163</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192,601</w:t>
            </w:r>
          </w:p>
        </w:tc>
        <w:tc>
          <w:tcPr>
            <w:tcW w:w="1140" w:type="dxa"/>
            <w:vAlign w:val="bottom"/>
          </w:tcPr>
          <w:p>
            <w:pPr>
              <w:jc w:val="right"/>
              <w:spacing w:after="0"/>
              <w:rPr>
                <w:sz w:val="20"/>
                <w:szCs w:val="20"/>
                <w:color w:val="auto"/>
              </w:rPr>
            </w:pPr>
            <w:r>
              <w:rPr>
                <w:rFonts w:ascii="Arial" w:cs="Arial" w:eastAsia="Arial" w:hAnsi="Arial"/>
                <w:sz w:val="15"/>
                <w:szCs w:val="15"/>
                <w:color w:val="auto"/>
              </w:rPr>
              <w:t>274,395</w:t>
            </w:r>
          </w:p>
        </w:tc>
        <w:tc>
          <w:tcPr>
            <w:tcW w:w="1140" w:type="dxa"/>
            <w:vAlign w:val="bottom"/>
          </w:tcPr>
          <w:p>
            <w:pPr>
              <w:jc w:val="right"/>
              <w:spacing w:after="0"/>
              <w:rPr>
                <w:sz w:val="20"/>
                <w:szCs w:val="20"/>
                <w:color w:val="auto"/>
              </w:rPr>
            </w:pPr>
            <w:r>
              <w:rPr>
                <w:rFonts w:ascii="Arial" w:cs="Arial" w:eastAsia="Arial" w:hAnsi="Arial"/>
                <w:sz w:val="15"/>
                <w:szCs w:val="15"/>
                <w:color w:val="auto"/>
              </w:rPr>
              <w:t>82,538</w:t>
            </w:r>
          </w:p>
        </w:tc>
        <w:tc>
          <w:tcPr>
            <w:tcW w:w="1140" w:type="dxa"/>
            <w:vAlign w:val="bottom"/>
          </w:tcPr>
          <w:p>
            <w:pPr>
              <w:jc w:val="right"/>
              <w:spacing w:after="0"/>
              <w:rPr>
                <w:sz w:val="20"/>
                <w:szCs w:val="20"/>
                <w:color w:val="auto"/>
              </w:rPr>
            </w:pPr>
            <w:r>
              <w:rPr>
                <w:rFonts w:ascii="Arial" w:cs="Arial" w:eastAsia="Arial" w:hAnsi="Arial"/>
                <w:sz w:val="15"/>
                <w:szCs w:val="15"/>
                <w:color w:val="auto"/>
              </w:rPr>
              <w:t>46,769</w:t>
            </w:r>
          </w:p>
        </w:tc>
        <w:tc>
          <w:tcPr>
            <w:tcW w:w="800" w:type="dxa"/>
            <w:vAlign w:val="bottom"/>
          </w:tcPr>
          <w:p>
            <w:pPr>
              <w:jc w:val="right"/>
              <w:spacing w:after="0"/>
              <w:rPr>
                <w:sz w:val="20"/>
                <w:szCs w:val="20"/>
                <w:color w:val="auto"/>
              </w:rPr>
            </w:pPr>
            <w:r>
              <w:rPr>
                <w:rFonts w:ascii="Arial" w:cs="Arial" w:eastAsia="Arial" w:hAnsi="Arial"/>
                <w:sz w:val="15"/>
                <w:szCs w:val="15"/>
                <w:color w:val="auto"/>
              </w:rPr>
              <w:t>1,923,466</w:t>
            </w:r>
          </w:p>
        </w:tc>
      </w:tr>
      <w:tr>
        <w:trPr>
          <w:trHeight w:val="220"/>
        </w:trPr>
        <w:tc>
          <w:tcPr>
            <w:tcW w:w="2100" w:type="dxa"/>
            <w:vAlign w:val="bottom"/>
          </w:tcPr>
          <w:p>
            <w:pPr>
              <w:ind w:left="20"/>
              <w:spacing w:after="0"/>
              <w:rPr>
                <w:sz w:val="20"/>
                <w:szCs w:val="20"/>
                <w:color w:val="auto"/>
              </w:rPr>
            </w:pPr>
            <w:r>
              <w:rPr>
                <w:rFonts w:ascii="Arial" w:cs="Arial" w:eastAsia="Arial" w:hAnsi="Arial"/>
                <w:sz w:val="15"/>
                <w:szCs w:val="15"/>
                <w:color w:val="auto"/>
              </w:rPr>
              <w:t>Transformation(5)</w:t>
            </w:r>
          </w:p>
        </w:tc>
        <w:tc>
          <w:tcPr>
            <w:tcW w:w="480" w:type="dxa"/>
            <w:vAlign w:val="bottom"/>
          </w:tcPr>
          <w:p>
            <w:pPr>
              <w:jc w:val="right"/>
              <w:spacing w:after="0"/>
              <w:rPr>
                <w:sz w:val="20"/>
                <w:szCs w:val="20"/>
                <w:color w:val="auto"/>
              </w:rPr>
            </w:pPr>
            <w:r>
              <w:rPr>
                <w:rFonts w:ascii="Arial" w:cs="Arial" w:eastAsia="Arial" w:hAnsi="Arial"/>
                <w:sz w:val="15"/>
                <w:szCs w:val="15"/>
                <w:color w:val="auto"/>
              </w:rPr>
              <w:t>2019</w:t>
            </w:r>
          </w:p>
        </w:tc>
        <w:tc>
          <w:tcPr>
            <w:tcW w:w="780" w:type="dxa"/>
            <w:vAlign w:val="bottom"/>
          </w:tcPr>
          <w:p>
            <w:pPr>
              <w:jc w:val="right"/>
              <w:spacing w:after="0"/>
              <w:rPr>
                <w:sz w:val="20"/>
                <w:szCs w:val="20"/>
                <w:color w:val="auto"/>
              </w:rPr>
            </w:pPr>
            <w:r>
              <w:rPr>
                <w:rFonts w:ascii="Arial" w:cs="Arial" w:eastAsia="Arial" w:hAnsi="Arial"/>
                <w:sz w:val="15"/>
                <w:szCs w:val="15"/>
                <w:color w:val="auto"/>
              </w:rPr>
              <w:t>550,000</w:t>
            </w: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787,683</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210,081</w:t>
            </w:r>
          </w:p>
        </w:tc>
        <w:tc>
          <w:tcPr>
            <w:tcW w:w="1140" w:type="dxa"/>
            <w:vAlign w:val="bottom"/>
          </w:tcPr>
          <w:p>
            <w:pPr>
              <w:jc w:val="right"/>
              <w:spacing w:after="0"/>
              <w:rPr>
                <w:sz w:val="20"/>
                <w:szCs w:val="20"/>
                <w:color w:val="auto"/>
              </w:rPr>
            </w:pPr>
            <w:r>
              <w:rPr>
                <w:rFonts w:ascii="Arial" w:cs="Arial" w:eastAsia="Arial" w:hAnsi="Arial"/>
                <w:sz w:val="15"/>
                <w:szCs w:val="15"/>
                <w:color w:val="auto"/>
              </w:rPr>
              <w:t>476,458</w:t>
            </w:r>
          </w:p>
        </w:tc>
        <w:tc>
          <w:tcPr>
            <w:tcW w:w="1140" w:type="dxa"/>
            <w:vAlign w:val="bottom"/>
          </w:tcPr>
          <w:p>
            <w:pPr>
              <w:jc w:val="right"/>
              <w:spacing w:after="0"/>
              <w:rPr>
                <w:sz w:val="20"/>
                <w:szCs w:val="20"/>
                <w:color w:val="auto"/>
              </w:rPr>
            </w:pPr>
            <w:r>
              <w:rPr>
                <w:rFonts w:ascii="Arial" w:cs="Arial" w:eastAsia="Arial" w:hAnsi="Arial"/>
                <w:sz w:val="15"/>
                <w:szCs w:val="15"/>
                <w:color w:val="auto"/>
              </w:rPr>
              <w:t>82,776</w:t>
            </w:r>
          </w:p>
        </w:tc>
        <w:tc>
          <w:tcPr>
            <w:tcW w:w="1140" w:type="dxa"/>
            <w:vAlign w:val="bottom"/>
          </w:tcPr>
          <w:p>
            <w:pPr>
              <w:jc w:val="right"/>
              <w:spacing w:after="0"/>
              <w:rPr>
                <w:sz w:val="20"/>
                <w:szCs w:val="20"/>
                <w:color w:val="auto"/>
              </w:rPr>
            </w:pPr>
            <w:r>
              <w:rPr>
                <w:rFonts w:ascii="Arial" w:cs="Arial" w:eastAsia="Arial" w:hAnsi="Arial"/>
                <w:sz w:val="15"/>
                <w:szCs w:val="15"/>
                <w:color w:val="auto"/>
              </w:rPr>
              <w:t>61,173</w:t>
            </w:r>
          </w:p>
        </w:tc>
        <w:tc>
          <w:tcPr>
            <w:tcW w:w="800" w:type="dxa"/>
            <w:vAlign w:val="bottom"/>
          </w:tcPr>
          <w:p>
            <w:pPr>
              <w:jc w:val="right"/>
              <w:spacing w:after="0"/>
              <w:rPr>
                <w:sz w:val="20"/>
                <w:szCs w:val="20"/>
                <w:color w:val="auto"/>
              </w:rPr>
            </w:pPr>
            <w:r>
              <w:rPr>
                <w:rFonts w:ascii="Arial" w:cs="Arial" w:eastAsia="Arial" w:hAnsi="Arial"/>
                <w:sz w:val="15"/>
                <w:szCs w:val="15"/>
                <w:color w:val="auto"/>
              </w:rPr>
              <w:t>2,168,171</w:t>
            </w:r>
          </w:p>
        </w:tc>
      </w:tr>
      <w:tr>
        <w:trPr>
          <w:trHeight w:val="212"/>
        </w:trPr>
        <w:tc>
          <w:tcPr>
            <w:tcW w:w="2100" w:type="dxa"/>
            <w:vAlign w:val="bottom"/>
            <w:shd w:val="clear" w:color="auto" w:fill="CCEDD4"/>
          </w:tcPr>
          <w:p>
            <w:pPr>
              <w:ind w:left="20"/>
              <w:spacing w:after="0"/>
              <w:rPr>
                <w:sz w:val="20"/>
                <w:szCs w:val="20"/>
                <w:color w:val="auto"/>
              </w:rPr>
            </w:pPr>
            <w:r>
              <w:rPr>
                <w:rFonts w:ascii="Arial" w:cs="Arial" w:eastAsia="Arial" w:hAnsi="Arial"/>
                <w:sz w:val="15"/>
                <w:szCs w:val="15"/>
                <w:color w:val="auto"/>
              </w:rPr>
              <w:t>MaryAnn G. Miller</w:t>
            </w:r>
          </w:p>
        </w:tc>
        <w:tc>
          <w:tcPr>
            <w:tcW w:w="4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2021</w:t>
            </w:r>
          </w:p>
        </w:tc>
        <w:tc>
          <w:tcPr>
            <w:tcW w:w="7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540,000</w:t>
            </w:r>
          </w:p>
        </w:tc>
        <w:tc>
          <w:tcPr>
            <w:tcW w:w="580" w:type="dxa"/>
            <w:vAlign w:val="bottom"/>
            <w:shd w:val="clear" w:color="auto" w:fill="CCEDD4"/>
          </w:tcPr>
          <w:p>
            <w:pPr>
              <w:spacing w:after="0"/>
              <w:rPr>
                <w:sz w:val="18"/>
                <w:szCs w:val="18"/>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5"/>
                <w:szCs w:val="15"/>
                <w:color w:val="auto"/>
              </w:rPr>
              <w:t>579,610</w:t>
            </w:r>
          </w:p>
        </w:tc>
        <w:tc>
          <w:tcPr>
            <w:tcW w:w="800" w:type="dxa"/>
            <w:vAlign w:val="bottom"/>
            <w:shd w:val="clear" w:color="auto" w:fill="CCEDD4"/>
          </w:tcPr>
          <w:p>
            <w:pPr>
              <w:jc w:val="right"/>
              <w:ind w:right="4"/>
              <w:spacing w:after="0"/>
              <w:rPr>
                <w:sz w:val="20"/>
                <w:szCs w:val="20"/>
                <w:color w:val="auto"/>
              </w:rPr>
            </w:pPr>
            <w:r>
              <w:rPr>
                <w:rFonts w:ascii="Arial" w:cs="Arial" w:eastAsia="Arial" w:hAnsi="Arial"/>
                <w:sz w:val="15"/>
                <w:szCs w:val="15"/>
                <w:color w:val="auto"/>
              </w:rPr>
              <w:t>424,138</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664,405</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620,805</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28,044</w:t>
            </w:r>
          </w:p>
        </w:tc>
        <w:tc>
          <w:tcPr>
            <w:tcW w:w="80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2,857,002</w:t>
            </w:r>
          </w:p>
        </w:tc>
      </w:tr>
      <w:tr>
        <w:trPr>
          <w:trHeight w:val="216"/>
        </w:trPr>
        <w:tc>
          <w:tcPr>
            <w:tcW w:w="2100" w:type="dxa"/>
            <w:vAlign w:val="bottom"/>
            <w:shd w:val="clear" w:color="auto" w:fill="CCEDD4"/>
          </w:tcPr>
          <w:p>
            <w:pPr>
              <w:ind w:left="20"/>
              <w:spacing w:after="0"/>
              <w:rPr>
                <w:sz w:val="20"/>
                <w:szCs w:val="20"/>
                <w:color w:val="auto"/>
              </w:rPr>
            </w:pPr>
            <w:r>
              <w:rPr>
                <w:rFonts w:ascii="Arial" w:cs="Arial" w:eastAsia="Arial" w:hAnsi="Arial"/>
                <w:sz w:val="15"/>
                <w:szCs w:val="15"/>
                <w:color w:val="auto"/>
              </w:rPr>
              <w:t>Former SVP and Chief</w:t>
            </w:r>
          </w:p>
        </w:tc>
        <w:tc>
          <w:tcPr>
            <w:tcW w:w="4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2020</w:t>
            </w:r>
          </w:p>
        </w:tc>
        <w:tc>
          <w:tcPr>
            <w:tcW w:w="7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540,000</w:t>
            </w:r>
          </w:p>
        </w:tc>
        <w:tc>
          <w:tcPr>
            <w:tcW w:w="580" w:type="dxa"/>
            <w:vAlign w:val="bottom"/>
            <w:shd w:val="clear" w:color="auto" w:fill="CCEDD4"/>
          </w:tcPr>
          <w:p>
            <w:pPr>
              <w:spacing w:after="0"/>
              <w:rPr>
                <w:sz w:val="18"/>
                <w:szCs w:val="18"/>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5"/>
                <w:szCs w:val="15"/>
                <w:color w:val="auto"/>
              </w:rPr>
              <w:t>865,461</w:t>
            </w:r>
          </w:p>
        </w:tc>
        <w:tc>
          <w:tcPr>
            <w:tcW w:w="800" w:type="dxa"/>
            <w:vAlign w:val="bottom"/>
            <w:shd w:val="clear" w:color="auto" w:fill="CCEDD4"/>
          </w:tcPr>
          <w:p>
            <w:pPr>
              <w:jc w:val="right"/>
              <w:ind w:right="4"/>
              <w:spacing w:after="0"/>
              <w:rPr>
                <w:sz w:val="20"/>
                <w:szCs w:val="20"/>
                <w:color w:val="auto"/>
              </w:rPr>
            </w:pPr>
            <w:r>
              <w:rPr>
                <w:rFonts w:ascii="Arial" w:cs="Arial" w:eastAsia="Arial" w:hAnsi="Arial"/>
                <w:sz w:val="15"/>
                <w:szCs w:val="15"/>
                <w:color w:val="auto"/>
              </w:rPr>
              <w:t>214,505</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204,549</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354,628</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22,135</w:t>
            </w:r>
          </w:p>
        </w:tc>
        <w:tc>
          <w:tcPr>
            <w:tcW w:w="80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2,201,278</w:t>
            </w:r>
          </w:p>
        </w:tc>
      </w:tr>
      <w:tr>
        <w:trPr>
          <w:trHeight w:val="216"/>
        </w:trPr>
        <w:tc>
          <w:tcPr>
            <w:tcW w:w="2100" w:type="dxa"/>
            <w:vAlign w:val="bottom"/>
            <w:shd w:val="clear" w:color="auto" w:fill="CCEDD4"/>
          </w:tcPr>
          <w:p>
            <w:pPr>
              <w:ind w:left="20"/>
              <w:spacing w:after="0"/>
              <w:rPr>
                <w:sz w:val="20"/>
                <w:szCs w:val="20"/>
                <w:color w:val="auto"/>
              </w:rPr>
            </w:pPr>
            <w:r>
              <w:rPr>
                <w:rFonts w:ascii="Arial" w:cs="Arial" w:eastAsia="Arial" w:hAnsi="Arial"/>
                <w:sz w:val="15"/>
                <w:szCs w:val="15"/>
                <w:color w:val="auto"/>
              </w:rPr>
              <w:t>Administrative Officer(5)</w:t>
            </w:r>
          </w:p>
        </w:tc>
        <w:tc>
          <w:tcPr>
            <w:tcW w:w="4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2019</w:t>
            </w:r>
          </w:p>
        </w:tc>
        <w:tc>
          <w:tcPr>
            <w:tcW w:w="780" w:type="dxa"/>
            <w:vAlign w:val="bottom"/>
            <w:shd w:val="clear" w:color="auto" w:fill="CCEDD4"/>
          </w:tcPr>
          <w:p>
            <w:pPr>
              <w:jc w:val="right"/>
              <w:spacing w:after="0"/>
              <w:rPr>
                <w:sz w:val="20"/>
                <w:szCs w:val="20"/>
                <w:color w:val="auto"/>
              </w:rPr>
            </w:pPr>
            <w:r>
              <w:rPr>
                <w:rFonts w:ascii="Arial" w:cs="Arial" w:eastAsia="Arial" w:hAnsi="Arial"/>
                <w:sz w:val="15"/>
                <w:szCs w:val="15"/>
                <w:color w:val="auto"/>
              </w:rPr>
              <w:t>540,000</w:t>
            </w:r>
          </w:p>
        </w:tc>
        <w:tc>
          <w:tcPr>
            <w:tcW w:w="580" w:type="dxa"/>
            <w:vAlign w:val="bottom"/>
            <w:shd w:val="clear" w:color="auto" w:fill="CCEDD4"/>
          </w:tcPr>
          <w:p>
            <w:pPr>
              <w:spacing w:after="0"/>
              <w:rPr>
                <w:sz w:val="18"/>
                <w:szCs w:val="18"/>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5"/>
                <w:szCs w:val="15"/>
                <w:color w:val="auto"/>
              </w:rPr>
              <w:t>877,180</w:t>
            </w:r>
          </w:p>
        </w:tc>
        <w:tc>
          <w:tcPr>
            <w:tcW w:w="800" w:type="dxa"/>
            <w:vAlign w:val="bottom"/>
            <w:shd w:val="clear" w:color="auto" w:fill="CCEDD4"/>
          </w:tcPr>
          <w:p>
            <w:pPr>
              <w:jc w:val="right"/>
              <w:ind w:right="4"/>
              <w:spacing w:after="0"/>
              <w:rPr>
                <w:sz w:val="20"/>
                <w:szCs w:val="20"/>
                <w:color w:val="auto"/>
              </w:rPr>
            </w:pPr>
            <w:r>
              <w:rPr>
                <w:rFonts w:ascii="Arial" w:cs="Arial" w:eastAsia="Arial" w:hAnsi="Arial"/>
                <w:sz w:val="15"/>
                <w:szCs w:val="15"/>
                <w:color w:val="auto"/>
              </w:rPr>
              <w:t>233,969</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355,178</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300,524</w:t>
            </w:r>
          </w:p>
        </w:tc>
        <w:tc>
          <w:tcPr>
            <w:tcW w:w="1140" w:type="dxa"/>
            <w:vAlign w:val="bottom"/>
            <w:shd w:val="clear" w:color="auto" w:fill="CCEDD4"/>
          </w:tcPr>
          <w:p>
            <w:pPr>
              <w:jc w:val="right"/>
              <w:spacing w:after="0"/>
              <w:rPr>
                <w:sz w:val="20"/>
                <w:szCs w:val="20"/>
                <w:color w:val="auto"/>
              </w:rPr>
            </w:pPr>
            <w:r>
              <w:rPr>
                <w:rFonts w:ascii="Arial" w:cs="Arial" w:eastAsia="Arial" w:hAnsi="Arial"/>
                <w:sz w:val="15"/>
                <w:szCs w:val="15"/>
                <w:color w:val="auto"/>
              </w:rPr>
              <w:t>18,004</w:t>
            </w:r>
          </w:p>
        </w:tc>
        <w:tc>
          <w:tcPr>
            <w:tcW w:w="800" w:type="dxa"/>
            <w:vAlign w:val="bottom"/>
            <w:shd w:val="clear" w:color="auto" w:fill="CCEDD4"/>
          </w:tcPr>
          <w:p>
            <w:pPr>
              <w:jc w:val="right"/>
              <w:spacing w:after="0"/>
              <w:rPr>
                <w:sz w:val="20"/>
                <w:szCs w:val="20"/>
                <w:color w:val="auto"/>
              </w:rPr>
            </w:pPr>
            <w:r>
              <w:rPr>
                <w:rFonts w:ascii="Arial" w:cs="Arial" w:eastAsia="Arial" w:hAnsi="Arial"/>
                <w:sz w:val="15"/>
                <w:szCs w:val="15"/>
                <w:color w:val="auto"/>
              </w:rPr>
              <w:t>2,324,855</w:t>
            </w:r>
          </w:p>
        </w:tc>
      </w:tr>
      <w:tr>
        <w:trPr>
          <w:trHeight w:val="69"/>
        </w:trPr>
        <w:tc>
          <w:tcPr>
            <w:tcW w:w="2100" w:type="dxa"/>
            <w:vAlign w:val="bottom"/>
            <w:tcBorders>
              <w:bottom w:val="single" w:sz="8" w:color="56C271"/>
            </w:tcBorders>
            <w:shd w:val="clear" w:color="auto" w:fill="CCEDD4"/>
          </w:tcPr>
          <w:p>
            <w:pPr>
              <w:spacing w:after="0"/>
              <w:rPr>
                <w:sz w:val="6"/>
                <w:szCs w:val="6"/>
                <w:color w:val="auto"/>
              </w:rPr>
            </w:pPr>
          </w:p>
        </w:tc>
        <w:tc>
          <w:tcPr>
            <w:tcW w:w="480" w:type="dxa"/>
            <w:vAlign w:val="bottom"/>
            <w:tcBorders>
              <w:bottom w:val="single" w:sz="8" w:color="56C271"/>
            </w:tcBorders>
            <w:shd w:val="clear" w:color="auto" w:fill="CCEDD4"/>
          </w:tcPr>
          <w:p>
            <w:pPr>
              <w:spacing w:after="0"/>
              <w:rPr>
                <w:sz w:val="6"/>
                <w:szCs w:val="6"/>
                <w:color w:val="auto"/>
              </w:rPr>
            </w:pPr>
          </w:p>
        </w:tc>
        <w:tc>
          <w:tcPr>
            <w:tcW w:w="780" w:type="dxa"/>
            <w:vAlign w:val="bottom"/>
            <w:tcBorders>
              <w:bottom w:val="single" w:sz="8" w:color="56C271"/>
            </w:tcBorders>
            <w:shd w:val="clear" w:color="auto" w:fill="CCEDD4"/>
          </w:tcPr>
          <w:p>
            <w:pPr>
              <w:spacing w:after="0"/>
              <w:rPr>
                <w:sz w:val="6"/>
                <w:szCs w:val="6"/>
                <w:color w:val="auto"/>
              </w:rPr>
            </w:pPr>
          </w:p>
        </w:tc>
        <w:tc>
          <w:tcPr>
            <w:tcW w:w="580" w:type="dxa"/>
            <w:vAlign w:val="bottom"/>
            <w:tcBorders>
              <w:bottom w:val="single" w:sz="8" w:color="56C271"/>
            </w:tcBorders>
            <w:shd w:val="clear" w:color="auto" w:fill="CCEDD4"/>
          </w:tcPr>
          <w:p>
            <w:pPr>
              <w:spacing w:after="0"/>
              <w:rPr>
                <w:sz w:val="6"/>
                <w:szCs w:val="6"/>
                <w:color w:val="auto"/>
              </w:rPr>
            </w:pPr>
          </w:p>
        </w:tc>
        <w:tc>
          <w:tcPr>
            <w:tcW w:w="760" w:type="dxa"/>
            <w:vAlign w:val="bottom"/>
            <w:tcBorders>
              <w:bottom w:val="single" w:sz="8" w:color="56C271"/>
            </w:tcBorders>
            <w:shd w:val="clear" w:color="auto" w:fill="CCEDD4"/>
          </w:tcPr>
          <w:p>
            <w:pPr>
              <w:spacing w:after="0"/>
              <w:rPr>
                <w:sz w:val="6"/>
                <w:szCs w:val="6"/>
                <w:color w:val="auto"/>
              </w:rPr>
            </w:pPr>
          </w:p>
        </w:tc>
        <w:tc>
          <w:tcPr>
            <w:tcW w:w="800" w:type="dxa"/>
            <w:vAlign w:val="bottom"/>
            <w:tcBorders>
              <w:bottom w:val="single" w:sz="8" w:color="56C271"/>
            </w:tcBorders>
            <w:shd w:val="clear" w:color="auto" w:fill="CCEDD4"/>
          </w:tcPr>
          <w:p>
            <w:pPr>
              <w:spacing w:after="0"/>
              <w:rPr>
                <w:sz w:val="6"/>
                <w:szCs w:val="6"/>
                <w:color w:val="auto"/>
              </w:rPr>
            </w:pPr>
          </w:p>
        </w:tc>
        <w:tc>
          <w:tcPr>
            <w:tcW w:w="1140" w:type="dxa"/>
            <w:vAlign w:val="bottom"/>
            <w:tcBorders>
              <w:bottom w:val="single" w:sz="8" w:color="56C271"/>
            </w:tcBorders>
            <w:shd w:val="clear" w:color="auto" w:fill="CCEDD4"/>
          </w:tcPr>
          <w:p>
            <w:pPr>
              <w:spacing w:after="0"/>
              <w:rPr>
                <w:sz w:val="6"/>
                <w:szCs w:val="6"/>
                <w:color w:val="auto"/>
              </w:rPr>
            </w:pPr>
          </w:p>
        </w:tc>
        <w:tc>
          <w:tcPr>
            <w:tcW w:w="1140" w:type="dxa"/>
            <w:vAlign w:val="bottom"/>
            <w:tcBorders>
              <w:bottom w:val="single" w:sz="8" w:color="56C271"/>
            </w:tcBorders>
            <w:shd w:val="clear" w:color="auto" w:fill="CCEDD4"/>
          </w:tcPr>
          <w:p>
            <w:pPr>
              <w:spacing w:after="0"/>
              <w:rPr>
                <w:sz w:val="6"/>
                <w:szCs w:val="6"/>
                <w:color w:val="auto"/>
              </w:rPr>
            </w:pPr>
          </w:p>
        </w:tc>
        <w:tc>
          <w:tcPr>
            <w:tcW w:w="1140" w:type="dxa"/>
            <w:vAlign w:val="bottom"/>
            <w:tcBorders>
              <w:bottom w:val="single" w:sz="8" w:color="56C271"/>
            </w:tcBorders>
            <w:shd w:val="clear" w:color="auto" w:fill="CCEDD4"/>
          </w:tcPr>
          <w:p>
            <w:pPr>
              <w:spacing w:after="0"/>
              <w:rPr>
                <w:sz w:val="6"/>
                <w:szCs w:val="6"/>
                <w:color w:val="auto"/>
              </w:rPr>
            </w:pPr>
          </w:p>
        </w:tc>
        <w:tc>
          <w:tcPr>
            <w:tcW w:w="800" w:type="dxa"/>
            <w:vAlign w:val="bottom"/>
            <w:tcBorders>
              <w:bottom w:val="single" w:sz="8" w:color="56C271"/>
            </w:tcBorders>
            <w:shd w:val="clear" w:color="auto" w:fill="CCEDD4"/>
          </w:tcPr>
          <w:p>
            <w:pPr>
              <w:spacing w:after="0"/>
              <w:rPr>
                <w:sz w:val="6"/>
                <w:szCs w:val="6"/>
                <w:color w:val="auto"/>
              </w:rPr>
            </w:pPr>
          </w:p>
        </w:tc>
      </w:tr>
    </w:tbl>
    <w:p>
      <w:pPr>
        <w:spacing w:after="0" w:line="215" w:lineRule="exact"/>
        <w:rPr>
          <w:sz w:val="20"/>
          <w:szCs w:val="20"/>
          <w:color w:val="auto"/>
        </w:rPr>
      </w:pPr>
    </w:p>
    <w:p>
      <w:pPr>
        <w:ind w:left="1780" w:right="780" w:hanging="718"/>
        <w:spacing w:after="0" w:line="256" w:lineRule="auto"/>
        <w:tabs>
          <w:tab w:leader="none" w:pos="1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shown reflect the grant date fair value of awards of RSUs computed in accordance with FASB ASC Topic 718, excluding the effect of estimated forfeitures and dividends expected to be paid during the vesting period.</w:t>
      </w:r>
    </w:p>
    <w:p>
      <w:pPr>
        <w:spacing w:after="0" w:line="134" w:lineRule="exact"/>
        <w:rPr>
          <w:rFonts w:ascii="Arial" w:cs="Arial" w:eastAsia="Arial" w:hAnsi="Arial"/>
          <w:sz w:val="18"/>
          <w:szCs w:val="18"/>
          <w:color w:val="auto"/>
        </w:rPr>
      </w:pPr>
    </w:p>
    <w:p>
      <w:pPr>
        <w:ind w:left="1780" w:right="540" w:hanging="718"/>
        <w:spacing w:after="0" w:line="252" w:lineRule="auto"/>
        <w:tabs>
          <w:tab w:leader="none" w:pos="1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shown reflect the grant date fair values for stock option awards calculated using the Black-Scholes option pricing model. For information on the assumptions used to calculate the value of the awards, refer to Note 13 to the Company’s Consolidated Financial Statements in its Annual Report on Form 10-K for the year ended July 3, 2021. The amounts included in these columns relate to awards made in the fiscal year and reflect the aggregate grant date fair value computed in accordance with FASB ASC Topic 718 and do not correspond to the actual amounts that will be realized by the NEOs.</w:t>
      </w:r>
    </w:p>
    <w:p>
      <w:pPr>
        <w:sectPr>
          <w:pgSz w:w="11900" w:h="16838" w:orient="portrait"/>
          <w:cols w:equalWidth="0" w:num="1">
            <w:col w:w="10220"/>
          </w:cols>
          <w:pgMar w:left="580" w:top="132"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of Executive Officers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780" w:right="159" w:hanging="718"/>
        <w:spacing w:after="0" w:line="265" w:lineRule="auto"/>
        <w:tabs>
          <w:tab w:leader="none" w:pos="17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Amounts shown include the net changes in the actuarial present value of accumulated benefits under the Company’s qualified and nonqualified retirement plans. For fiscal 2021, the increase in the actuarial present value of accumulated benefits under the Company’s qualified plan was as follows: Mr. Gallagher — $23,145; Mr. Liguori — $22,525; Mr. Arnold — $28,640; Mr. Chan — $17,168;</w:t>
      </w:r>
    </w:p>
    <w:p>
      <w:pPr>
        <w:jc w:val="both"/>
        <w:ind w:left="1780" w:right="139"/>
        <w:spacing w:after="0" w:line="265" w:lineRule="auto"/>
        <w:rPr>
          <w:rFonts w:ascii="Arial" w:cs="Arial" w:eastAsia="Arial" w:hAnsi="Arial"/>
          <w:sz w:val="17"/>
          <w:szCs w:val="17"/>
          <w:color w:val="auto"/>
        </w:rPr>
      </w:pPr>
      <w:r>
        <w:rPr>
          <w:rFonts w:ascii="Arial" w:cs="Arial" w:eastAsia="Arial" w:hAnsi="Arial"/>
          <w:sz w:val="17"/>
          <w:szCs w:val="17"/>
          <w:color w:val="auto"/>
        </w:rPr>
        <w:t>Mr. McCoy — $17,422; Mr. Amelio — $1,294; Mr. Bartolotta — $1,909; and Ms. Miller — $32,439. For fiscal 2021, the increase in the actuarial present value of accumulated benefits under the Company’s nonqualified retirement plans was as follows: Mr. Liguori — $44,772; Mr. Arnold — $14,210;</w:t>
      </w:r>
    </w:p>
    <w:p>
      <w:pPr>
        <w:ind w:left="1780" w:right="159"/>
        <w:spacing w:after="0" w:line="253" w:lineRule="auto"/>
        <w:rPr>
          <w:rFonts w:ascii="Arial" w:cs="Arial" w:eastAsia="Arial" w:hAnsi="Arial"/>
          <w:sz w:val="17"/>
          <w:szCs w:val="17"/>
          <w:color w:val="auto"/>
        </w:rPr>
      </w:pPr>
      <w:r>
        <w:rPr>
          <w:rFonts w:ascii="Arial" w:cs="Arial" w:eastAsia="Arial" w:hAnsi="Arial"/>
          <w:sz w:val="18"/>
          <w:szCs w:val="18"/>
          <w:color w:val="auto"/>
        </w:rPr>
        <w:t>Mr. Chan — $10,193; Mr. McCoy — $10,163; Mr. Amelio — $87,045; Mr. Bartolotta — $34,174; and Ms. Miller — $588,366. Only Ms. Miller and Mr. Gallagher are participants in the SERP. The actuarial present value of Mr. Gallagher’s benefits under the SERP have decreased from the prior year due to both higher interest rates and benefit payments made in the current fiscal year, and such decline is therefore not included in the table above.</w:t>
      </w:r>
    </w:p>
    <w:p>
      <w:pPr>
        <w:spacing w:after="0" w:line="124" w:lineRule="exact"/>
        <w:rPr>
          <w:rFonts w:ascii="Arial" w:cs="Arial" w:eastAsia="Arial" w:hAnsi="Arial"/>
          <w:sz w:val="17"/>
          <w:szCs w:val="17"/>
          <w:color w:val="auto"/>
        </w:rPr>
      </w:pPr>
    </w:p>
    <w:p>
      <w:pPr>
        <w:ind w:left="1780" w:right="179" w:hanging="718"/>
        <w:spacing w:after="0" w:line="265" w:lineRule="auto"/>
        <w:tabs>
          <w:tab w:leader="none" w:pos="17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amounts include (a) expenses associated with the Company’s automobile program for each of the NEOs except for Mr. Chan, (b) the cost of annual physical exams and (c) in connection with his promotion to General Counsel, relocation assistance to return Mr. McCoy and his family to Phoenix, AZ from his temporary assignment in Belgium, in the amount $83,199. Except for Mr. McCoy, none of the perquisites and personal benefits for the other NEOs exceeded the greater of $25,000 or 10% of the total amount of their benefits. Also included above are severance payments made to</w:t>
      </w:r>
    </w:p>
    <w:p>
      <w:pPr>
        <w:ind w:left="1780" w:right="279"/>
        <w:spacing w:after="0" w:line="254" w:lineRule="auto"/>
        <w:rPr>
          <w:rFonts w:ascii="Arial" w:cs="Arial" w:eastAsia="Arial" w:hAnsi="Arial"/>
          <w:sz w:val="17"/>
          <w:szCs w:val="17"/>
          <w:color w:val="auto"/>
        </w:rPr>
      </w:pPr>
      <w:r>
        <w:rPr>
          <w:rFonts w:ascii="Arial" w:cs="Arial" w:eastAsia="Arial" w:hAnsi="Arial"/>
          <w:sz w:val="18"/>
          <w:szCs w:val="18"/>
          <w:color w:val="auto"/>
        </w:rPr>
        <w:t>Mr. Amelio in the amount of $2,500,000 and to Mr. Bartolotta in the amount of $1,100,000. Per their respective separation agreements, Mr. Amelio also received $84,487 for medical insurance premiums and relocation related costs, and Mr. Bartolotta received $13,219 for relocation related costs.</w:t>
      </w:r>
    </w:p>
    <w:p>
      <w:pPr>
        <w:spacing w:after="0" w:line="136" w:lineRule="exact"/>
        <w:rPr>
          <w:rFonts w:ascii="Arial" w:cs="Arial" w:eastAsia="Arial" w:hAnsi="Arial"/>
          <w:sz w:val="17"/>
          <w:szCs w:val="17"/>
          <w:color w:val="auto"/>
        </w:rPr>
      </w:pPr>
    </w:p>
    <w:p>
      <w:pPr>
        <w:ind w:left="1780" w:right="459" w:hanging="718"/>
        <w:spacing w:after="0" w:line="253" w:lineRule="auto"/>
        <w:tabs>
          <w:tab w:leader="none" w:pos="1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fiscal 2021 Mr. Amelio ceased to be the Chief Executive Officer effective July 31, 2020; Mr. Bartolotta ceased to be an officer on October 1, 2020; and Ms. Miller retired from her role as Chief Administrative Officer effective October 16, 2020 and transitioned to a senior advisory role. The salary and cash incentive above have been prorated for Mr. Amelio and Mr. Bartolotta, accordingly.</w:t>
      </w:r>
    </w:p>
    <w:p>
      <w:pPr>
        <w:spacing w:after="0" w:line="137" w:lineRule="exact"/>
        <w:rPr>
          <w:rFonts w:ascii="Arial" w:cs="Arial" w:eastAsia="Arial" w:hAnsi="Arial"/>
          <w:sz w:val="18"/>
          <w:szCs w:val="18"/>
          <w:color w:val="auto"/>
        </w:rPr>
      </w:pPr>
    </w:p>
    <w:p>
      <w:pPr>
        <w:ind w:left="1780" w:right="339" w:hanging="718"/>
        <w:spacing w:after="0" w:line="256" w:lineRule="auto"/>
        <w:tabs>
          <w:tab w:leader="none" w:pos="1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Messrs. Gallagher, Arnold and McCoy had changes to their respective cash compensation packages during fiscal 2021. Therefore, their base salary and cash incentive payments have been prorated accordingly.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EQUITY COMPENSATION PLAN INFORMATION</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sets forth certain equity compensation plan information as of July 3, 2021:</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4660" w:type="dxa"/>
            <w:vAlign w:val="bottom"/>
            <w:shd w:val="clear" w:color="auto" w:fill="56C271"/>
          </w:tcPr>
          <w:p>
            <w:pPr>
              <w:spacing w:after="0"/>
              <w:rPr>
                <w:sz w:val="16"/>
                <w:szCs w:val="16"/>
                <w:color w:val="auto"/>
              </w:rPr>
            </w:pPr>
          </w:p>
        </w:tc>
        <w:tc>
          <w:tcPr>
            <w:tcW w:w="140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Number of</w:t>
            </w:r>
          </w:p>
        </w:tc>
        <w:tc>
          <w:tcPr>
            <w:tcW w:w="1340" w:type="dxa"/>
            <w:vAlign w:val="bottom"/>
            <w:shd w:val="clear" w:color="auto" w:fill="56C271"/>
          </w:tcPr>
          <w:p>
            <w:pPr>
              <w:spacing w:after="0"/>
              <w:rPr>
                <w:sz w:val="16"/>
                <w:szCs w:val="16"/>
                <w:color w:val="auto"/>
              </w:rPr>
            </w:pPr>
          </w:p>
        </w:tc>
        <w:tc>
          <w:tcPr>
            <w:tcW w:w="1360" w:type="dxa"/>
            <w:vAlign w:val="bottom"/>
            <w:shd w:val="clear" w:color="auto" w:fill="56C271"/>
          </w:tcPr>
          <w:p>
            <w:pPr>
              <w:spacing w:after="0"/>
              <w:rPr>
                <w:sz w:val="16"/>
                <w:szCs w:val="16"/>
                <w:color w:val="auto"/>
              </w:rPr>
            </w:pPr>
          </w:p>
        </w:tc>
      </w:tr>
      <w:tr>
        <w:trPr>
          <w:trHeight w:val="162"/>
        </w:trPr>
        <w:tc>
          <w:tcPr>
            <w:tcW w:w="4660" w:type="dxa"/>
            <w:vAlign w:val="bottom"/>
            <w:shd w:val="clear" w:color="auto" w:fill="56C271"/>
          </w:tcPr>
          <w:p>
            <w:pPr>
              <w:spacing w:after="0"/>
              <w:rPr>
                <w:sz w:val="14"/>
                <w:szCs w:val="14"/>
                <w:color w:val="auto"/>
              </w:rPr>
            </w:pPr>
          </w:p>
        </w:tc>
        <w:tc>
          <w:tcPr>
            <w:tcW w:w="140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Securities</w:t>
            </w:r>
          </w:p>
        </w:tc>
        <w:tc>
          <w:tcPr>
            <w:tcW w:w="1340" w:type="dxa"/>
            <w:vAlign w:val="bottom"/>
            <w:shd w:val="clear" w:color="auto" w:fill="56C271"/>
          </w:tcPr>
          <w:p>
            <w:pPr>
              <w:spacing w:after="0"/>
              <w:rPr>
                <w:sz w:val="14"/>
                <w:szCs w:val="14"/>
                <w:color w:val="auto"/>
              </w:rPr>
            </w:pPr>
          </w:p>
        </w:tc>
        <w:tc>
          <w:tcPr>
            <w:tcW w:w="1360" w:type="dxa"/>
            <w:vAlign w:val="bottom"/>
            <w:shd w:val="clear" w:color="auto" w:fill="56C271"/>
          </w:tcPr>
          <w:p>
            <w:pPr>
              <w:jc w:val="right"/>
              <w:ind w:right="86"/>
              <w:spacing w:after="0"/>
              <w:rPr>
                <w:sz w:val="20"/>
                <w:szCs w:val="20"/>
                <w:color w:val="auto"/>
              </w:rPr>
            </w:pPr>
            <w:r>
              <w:rPr>
                <w:rFonts w:ascii="Arial" w:cs="Arial" w:eastAsia="Arial" w:hAnsi="Arial"/>
                <w:sz w:val="14"/>
                <w:szCs w:val="14"/>
                <w:b w:val="1"/>
                <w:bCs w:val="1"/>
                <w:color w:val="FEFEFE"/>
              </w:rPr>
              <w:t>Number of</w:t>
            </w:r>
          </w:p>
        </w:tc>
      </w:tr>
      <w:tr>
        <w:trPr>
          <w:trHeight w:val="162"/>
        </w:trPr>
        <w:tc>
          <w:tcPr>
            <w:tcW w:w="4660" w:type="dxa"/>
            <w:vAlign w:val="bottom"/>
            <w:shd w:val="clear" w:color="auto" w:fill="56C271"/>
          </w:tcPr>
          <w:p>
            <w:pPr>
              <w:spacing w:after="0"/>
              <w:rPr>
                <w:sz w:val="14"/>
                <w:szCs w:val="14"/>
                <w:color w:val="auto"/>
              </w:rPr>
            </w:pPr>
          </w:p>
        </w:tc>
        <w:tc>
          <w:tcPr>
            <w:tcW w:w="140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to be Issued</w:t>
            </w:r>
          </w:p>
        </w:tc>
        <w:tc>
          <w:tcPr>
            <w:tcW w:w="1340" w:type="dxa"/>
            <w:vAlign w:val="bottom"/>
            <w:shd w:val="clear" w:color="auto" w:fill="56C271"/>
          </w:tcPr>
          <w:p>
            <w:pPr>
              <w:jc w:val="right"/>
              <w:ind w:right="66"/>
              <w:spacing w:after="0"/>
              <w:rPr>
                <w:sz w:val="20"/>
                <w:szCs w:val="20"/>
                <w:color w:val="auto"/>
              </w:rPr>
            </w:pPr>
            <w:r>
              <w:rPr>
                <w:rFonts w:ascii="Arial" w:cs="Arial" w:eastAsia="Arial" w:hAnsi="Arial"/>
                <w:sz w:val="14"/>
                <w:szCs w:val="14"/>
                <w:b w:val="1"/>
                <w:bCs w:val="1"/>
                <w:color w:val="FEFEFE"/>
              </w:rPr>
              <w:t>Weighted-</w:t>
            </w:r>
          </w:p>
        </w:tc>
        <w:tc>
          <w:tcPr>
            <w:tcW w:w="1360" w:type="dxa"/>
            <w:vAlign w:val="bottom"/>
            <w:shd w:val="clear" w:color="auto" w:fill="56C271"/>
          </w:tcPr>
          <w:p>
            <w:pPr>
              <w:jc w:val="right"/>
              <w:ind w:right="86"/>
              <w:spacing w:after="0"/>
              <w:rPr>
                <w:sz w:val="20"/>
                <w:szCs w:val="20"/>
                <w:color w:val="auto"/>
              </w:rPr>
            </w:pPr>
            <w:r>
              <w:rPr>
                <w:rFonts w:ascii="Arial" w:cs="Arial" w:eastAsia="Arial" w:hAnsi="Arial"/>
                <w:sz w:val="14"/>
                <w:szCs w:val="14"/>
                <w:b w:val="1"/>
                <w:bCs w:val="1"/>
                <w:color w:val="FEFEFE"/>
              </w:rPr>
              <w:t>Securities</w:t>
            </w:r>
          </w:p>
        </w:tc>
      </w:tr>
      <w:tr>
        <w:trPr>
          <w:trHeight w:val="162"/>
        </w:trPr>
        <w:tc>
          <w:tcPr>
            <w:tcW w:w="4660" w:type="dxa"/>
            <w:vAlign w:val="bottom"/>
            <w:shd w:val="clear" w:color="auto" w:fill="56C271"/>
          </w:tcPr>
          <w:p>
            <w:pPr>
              <w:spacing w:after="0"/>
              <w:rPr>
                <w:sz w:val="14"/>
                <w:szCs w:val="14"/>
                <w:color w:val="auto"/>
              </w:rPr>
            </w:pPr>
          </w:p>
        </w:tc>
        <w:tc>
          <w:tcPr>
            <w:tcW w:w="140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Upon</w:t>
            </w:r>
          </w:p>
        </w:tc>
        <w:tc>
          <w:tcPr>
            <w:tcW w:w="1340" w:type="dxa"/>
            <w:vAlign w:val="bottom"/>
            <w:shd w:val="clear" w:color="auto" w:fill="56C271"/>
          </w:tcPr>
          <w:p>
            <w:pPr>
              <w:jc w:val="right"/>
              <w:ind w:right="66"/>
              <w:spacing w:after="0"/>
              <w:rPr>
                <w:sz w:val="20"/>
                <w:szCs w:val="20"/>
                <w:color w:val="auto"/>
              </w:rPr>
            </w:pPr>
            <w:r>
              <w:rPr>
                <w:rFonts w:ascii="Arial" w:cs="Arial" w:eastAsia="Arial" w:hAnsi="Arial"/>
                <w:sz w:val="14"/>
                <w:szCs w:val="14"/>
                <w:b w:val="1"/>
                <w:bCs w:val="1"/>
                <w:color w:val="FEFEFE"/>
              </w:rPr>
              <w:t>Average</w:t>
            </w:r>
          </w:p>
        </w:tc>
        <w:tc>
          <w:tcPr>
            <w:tcW w:w="1360" w:type="dxa"/>
            <w:vAlign w:val="bottom"/>
            <w:shd w:val="clear" w:color="auto" w:fill="56C271"/>
          </w:tcPr>
          <w:p>
            <w:pPr>
              <w:jc w:val="right"/>
              <w:ind w:right="86"/>
              <w:spacing w:after="0"/>
              <w:rPr>
                <w:sz w:val="20"/>
                <w:szCs w:val="20"/>
                <w:color w:val="auto"/>
              </w:rPr>
            </w:pPr>
            <w:r>
              <w:rPr>
                <w:rFonts w:ascii="Arial" w:cs="Arial" w:eastAsia="Arial" w:hAnsi="Arial"/>
                <w:sz w:val="14"/>
                <w:szCs w:val="14"/>
                <w:b w:val="1"/>
                <w:bCs w:val="1"/>
                <w:color w:val="FEFEFE"/>
              </w:rPr>
              <w:t>Remaining</w:t>
            </w:r>
          </w:p>
        </w:tc>
      </w:tr>
      <w:tr>
        <w:trPr>
          <w:trHeight w:val="162"/>
        </w:trPr>
        <w:tc>
          <w:tcPr>
            <w:tcW w:w="4660" w:type="dxa"/>
            <w:vAlign w:val="bottom"/>
            <w:shd w:val="clear" w:color="auto" w:fill="56C271"/>
          </w:tcPr>
          <w:p>
            <w:pPr>
              <w:spacing w:after="0"/>
              <w:rPr>
                <w:sz w:val="14"/>
                <w:szCs w:val="14"/>
                <w:color w:val="auto"/>
              </w:rPr>
            </w:pPr>
          </w:p>
        </w:tc>
        <w:tc>
          <w:tcPr>
            <w:tcW w:w="140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Exercise of</w:t>
            </w:r>
          </w:p>
        </w:tc>
        <w:tc>
          <w:tcPr>
            <w:tcW w:w="1340" w:type="dxa"/>
            <w:vAlign w:val="bottom"/>
            <w:shd w:val="clear" w:color="auto" w:fill="56C271"/>
          </w:tcPr>
          <w:p>
            <w:pPr>
              <w:jc w:val="right"/>
              <w:ind w:right="66"/>
              <w:spacing w:after="0"/>
              <w:rPr>
                <w:sz w:val="20"/>
                <w:szCs w:val="20"/>
                <w:color w:val="auto"/>
              </w:rPr>
            </w:pPr>
            <w:r>
              <w:rPr>
                <w:rFonts w:ascii="Arial" w:cs="Arial" w:eastAsia="Arial" w:hAnsi="Arial"/>
                <w:sz w:val="14"/>
                <w:szCs w:val="14"/>
                <w:b w:val="1"/>
                <w:bCs w:val="1"/>
                <w:color w:val="FEFEFE"/>
              </w:rPr>
              <w:t>Exercise Price of</w:t>
            </w:r>
          </w:p>
        </w:tc>
        <w:tc>
          <w:tcPr>
            <w:tcW w:w="1360" w:type="dxa"/>
            <w:vAlign w:val="bottom"/>
            <w:shd w:val="clear" w:color="auto" w:fill="56C271"/>
          </w:tcPr>
          <w:p>
            <w:pPr>
              <w:jc w:val="right"/>
              <w:ind w:right="86"/>
              <w:spacing w:after="0"/>
              <w:rPr>
                <w:sz w:val="20"/>
                <w:szCs w:val="20"/>
                <w:color w:val="auto"/>
              </w:rPr>
            </w:pPr>
            <w:r>
              <w:rPr>
                <w:rFonts w:ascii="Arial" w:cs="Arial" w:eastAsia="Arial" w:hAnsi="Arial"/>
                <w:sz w:val="14"/>
                <w:szCs w:val="14"/>
                <w:b w:val="1"/>
                <w:bCs w:val="1"/>
                <w:color w:val="FEFEFE"/>
              </w:rPr>
              <w:t>Available for</w:t>
            </w:r>
          </w:p>
        </w:tc>
      </w:tr>
      <w:tr>
        <w:trPr>
          <w:trHeight w:val="162"/>
        </w:trPr>
        <w:tc>
          <w:tcPr>
            <w:tcW w:w="4660" w:type="dxa"/>
            <w:vAlign w:val="bottom"/>
            <w:shd w:val="clear" w:color="auto" w:fill="56C271"/>
          </w:tcPr>
          <w:p>
            <w:pPr>
              <w:spacing w:after="0"/>
              <w:rPr>
                <w:sz w:val="14"/>
                <w:szCs w:val="14"/>
                <w:color w:val="auto"/>
              </w:rPr>
            </w:pPr>
          </w:p>
        </w:tc>
        <w:tc>
          <w:tcPr>
            <w:tcW w:w="140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Outstanding</w:t>
            </w:r>
          </w:p>
        </w:tc>
        <w:tc>
          <w:tcPr>
            <w:tcW w:w="1340" w:type="dxa"/>
            <w:vAlign w:val="bottom"/>
            <w:shd w:val="clear" w:color="auto" w:fill="56C271"/>
          </w:tcPr>
          <w:p>
            <w:pPr>
              <w:jc w:val="right"/>
              <w:ind w:right="66"/>
              <w:spacing w:after="0"/>
              <w:rPr>
                <w:sz w:val="20"/>
                <w:szCs w:val="20"/>
                <w:color w:val="auto"/>
              </w:rPr>
            </w:pPr>
            <w:r>
              <w:rPr>
                <w:rFonts w:ascii="Arial" w:cs="Arial" w:eastAsia="Arial" w:hAnsi="Arial"/>
                <w:sz w:val="14"/>
                <w:szCs w:val="14"/>
                <w:b w:val="1"/>
                <w:bCs w:val="1"/>
                <w:color w:val="FEFEFE"/>
              </w:rPr>
              <w:t>Outstanding</w:t>
            </w:r>
          </w:p>
        </w:tc>
        <w:tc>
          <w:tcPr>
            <w:tcW w:w="1360" w:type="dxa"/>
            <w:vAlign w:val="bottom"/>
            <w:shd w:val="clear" w:color="auto" w:fill="56C271"/>
          </w:tcPr>
          <w:p>
            <w:pPr>
              <w:jc w:val="right"/>
              <w:ind w:right="86"/>
              <w:spacing w:after="0"/>
              <w:rPr>
                <w:sz w:val="20"/>
                <w:szCs w:val="20"/>
                <w:color w:val="auto"/>
              </w:rPr>
            </w:pPr>
            <w:r>
              <w:rPr>
                <w:rFonts w:ascii="Arial" w:cs="Arial" w:eastAsia="Arial" w:hAnsi="Arial"/>
                <w:sz w:val="14"/>
                <w:szCs w:val="14"/>
                <w:b w:val="1"/>
                <w:bCs w:val="1"/>
                <w:color w:val="FEFEFE"/>
              </w:rPr>
              <w:t>Future Issuance</w:t>
            </w:r>
          </w:p>
        </w:tc>
      </w:tr>
      <w:tr>
        <w:trPr>
          <w:trHeight w:val="162"/>
        </w:trPr>
        <w:tc>
          <w:tcPr>
            <w:tcW w:w="4660" w:type="dxa"/>
            <w:vAlign w:val="bottom"/>
            <w:shd w:val="clear" w:color="auto" w:fill="56C271"/>
          </w:tcPr>
          <w:p>
            <w:pPr>
              <w:spacing w:after="0"/>
              <w:rPr>
                <w:sz w:val="14"/>
                <w:szCs w:val="14"/>
                <w:color w:val="auto"/>
              </w:rPr>
            </w:pPr>
          </w:p>
        </w:tc>
        <w:tc>
          <w:tcPr>
            <w:tcW w:w="140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Options,</w:t>
            </w:r>
          </w:p>
        </w:tc>
        <w:tc>
          <w:tcPr>
            <w:tcW w:w="1340" w:type="dxa"/>
            <w:vAlign w:val="bottom"/>
            <w:shd w:val="clear" w:color="auto" w:fill="56C271"/>
          </w:tcPr>
          <w:p>
            <w:pPr>
              <w:jc w:val="right"/>
              <w:ind w:right="66"/>
              <w:spacing w:after="0"/>
              <w:rPr>
                <w:sz w:val="20"/>
                <w:szCs w:val="20"/>
                <w:color w:val="auto"/>
              </w:rPr>
            </w:pPr>
            <w:r>
              <w:rPr>
                <w:rFonts w:ascii="Arial" w:cs="Arial" w:eastAsia="Arial" w:hAnsi="Arial"/>
                <w:sz w:val="14"/>
                <w:szCs w:val="14"/>
                <w:b w:val="1"/>
                <w:bCs w:val="1"/>
                <w:color w:val="FEFEFE"/>
              </w:rPr>
              <w:t>Options,</w:t>
            </w:r>
          </w:p>
        </w:tc>
        <w:tc>
          <w:tcPr>
            <w:tcW w:w="1360" w:type="dxa"/>
            <w:vAlign w:val="bottom"/>
            <w:shd w:val="clear" w:color="auto" w:fill="56C271"/>
          </w:tcPr>
          <w:p>
            <w:pPr>
              <w:jc w:val="right"/>
              <w:ind w:right="86"/>
              <w:spacing w:after="0"/>
              <w:rPr>
                <w:sz w:val="20"/>
                <w:szCs w:val="20"/>
                <w:color w:val="auto"/>
              </w:rPr>
            </w:pPr>
            <w:r>
              <w:rPr>
                <w:rFonts w:ascii="Arial" w:cs="Arial" w:eastAsia="Arial" w:hAnsi="Arial"/>
                <w:sz w:val="14"/>
                <w:szCs w:val="14"/>
                <w:b w:val="1"/>
                <w:bCs w:val="1"/>
                <w:color w:val="FEFEFE"/>
              </w:rPr>
              <w:t>Under Equity</w:t>
            </w:r>
          </w:p>
        </w:tc>
      </w:tr>
      <w:tr>
        <w:trPr>
          <w:trHeight w:val="162"/>
        </w:trPr>
        <w:tc>
          <w:tcPr>
            <w:tcW w:w="4660" w:type="dxa"/>
            <w:vAlign w:val="bottom"/>
            <w:shd w:val="clear" w:color="auto" w:fill="56C271"/>
          </w:tcPr>
          <w:p>
            <w:pPr>
              <w:spacing w:after="0"/>
              <w:rPr>
                <w:sz w:val="14"/>
                <w:szCs w:val="14"/>
                <w:color w:val="auto"/>
              </w:rPr>
            </w:pPr>
          </w:p>
        </w:tc>
        <w:tc>
          <w:tcPr>
            <w:tcW w:w="140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Warrants and</w:t>
            </w:r>
          </w:p>
        </w:tc>
        <w:tc>
          <w:tcPr>
            <w:tcW w:w="1340" w:type="dxa"/>
            <w:vAlign w:val="bottom"/>
            <w:shd w:val="clear" w:color="auto" w:fill="56C271"/>
          </w:tcPr>
          <w:p>
            <w:pPr>
              <w:jc w:val="right"/>
              <w:ind w:right="66"/>
              <w:spacing w:after="0"/>
              <w:rPr>
                <w:sz w:val="20"/>
                <w:szCs w:val="20"/>
                <w:color w:val="auto"/>
              </w:rPr>
            </w:pPr>
            <w:r>
              <w:rPr>
                <w:rFonts w:ascii="Arial" w:cs="Arial" w:eastAsia="Arial" w:hAnsi="Arial"/>
                <w:sz w:val="14"/>
                <w:szCs w:val="14"/>
                <w:b w:val="1"/>
                <w:bCs w:val="1"/>
                <w:color w:val="FEFEFE"/>
              </w:rPr>
              <w:t>Warrants and</w:t>
            </w:r>
          </w:p>
        </w:tc>
        <w:tc>
          <w:tcPr>
            <w:tcW w:w="1360" w:type="dxa"/>
            <w:vAlign w:val="bottom"/>
            <w:shd w:val="clear" w:color="auto" w:fill="56C271"/>
          </w:tcPr>
          <w:p>
            <w:pPr>
              <w:jc w:val="right"/>
              <w:ind w:right="86"/>
              <w:spacing w:after="0"/>
              <w:rPr>
                <w:sz w:val="20"/>
                <w:szCs w:val="20"/>
                <w:color w:val="auto"/>
              </w:rPr>
            </w:pPr>
            <w:r>
              <w:rPr>
                <w:rFonts w:ascii="Arial" w:cs="Arial" w:eastAsia="Arial" w:hAnsi="Arial"/>
                <w:sz w:val="14"/>
                <w:szCs w:val="14"/>
                <w:b w:val="1"/>
                <w:bCs w:val="1"/>
                <w:color w:val="FEFEFE"/>
              </w:rPr>
              <w:t>Compensation</w:t>
            </w:r>
          </w:p>
        </w:tc>
      </w:tr>
      <w:tr>
        <w:trPr>
          <w:trHeight w:val="189"/>
        </w:trPr>
        <w:tc>
          <w:tcPr>
            <w:tcW w:w="466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Plan Category</w:t>
            </w:r>
          </w:p>
        </w:tc>
        <w:tc>
          <w:tcPr>
            <w:tcW w:w="1400" w:type="dxa"/>
            <w:vAlign w:val="bottom"/>
            <w:shd w:val="clear" w:color="auto" w:fill="56C271"/>
          </w:tcPr>
          <w:p>
            <w:pPr>
              <w:jc w:val="right"/>
              <w:ind w:right="106"/>
              <w:spacing w:after="0"/>
              <w:rPr>
                <w:sz w:val="20"/>
                <w:szCs w:val="20"/>
                <w:color w:val="auto"/>
              </w:rPr>
            </w:pPr>
            <w:r>
              <w:rPr>
                <w:rFonts w:ascii="Arial" w:cs="Arial" w:eastAsia="Arial" w:hAnsi="Arial"/>
                <w:sz w:val="14"/>
                <w:szCs w:val="14"/>
                <w:b w:val="1"/>
                <w:bCs w:val="1"/>
                <w:color w:val="FEFEFE"/>
              </w:rPr>
              <w:t>Rights</w:t>
            </w:r>
          </w:p>
        </w:tc>
        <w:tc>
          <w:tcPr>
            <w:tcW w:w="1340" w:type="dxa"/>
            <w:vAlign w:val="bottom"/>
            <w:shd w:val="clear" w:color="auto" w:fill="56C271"/>
          </w:tcPr>
          <w:p>
            <w:pPr>
              <w:jc w:val="right"/>
              <w:ind w:right="26"/>
              <w:spacing w:after="0"/>
              <w:rPr>
                <w:sz w:val="20"/>
                <w:szCs w:val="20"/>
                <w:color w:val="auto"/>
              </w:rPr>
            </w:pPr>
            <w:r>
              <w:rPr>
                <w:rFonts w:ascii="Arial" w:cs="Arial" w:eastAsia="Arial" w:hAnsi="Arial"/>
                <w:sz w:val="14"/>
                <w:szCs w:val="14"/>
                <w:b w:val="1"/>
                <w:bCs w:val="1"/>
                <w:color w:val="FEFEFE"/>
              </w:rPr>
              <w:t>Rights</w:t>
            </w:r>
          </w:p>
        </w:tc>
        <w:tc>
          <w:tcPr>
            <w:tcW w:w="1360" w:type="dxa"/>
            <w:vAlign w:val="bottom"/>
            <w:shd w:val="clear" w:color="auto" w:fill="56C271"/>
          </w:tcPr>
          <w:p>
            <w:pPr>
              <w:jc w:val="right"/>
              <w:ind w:right="46"/>
              <w:spacing w:after="0"/>
              <w:rPr>
                <w:sz w:val="20"/>
                <w:szCs w:val="20"/>
                <w:color w:val="auto"/>
              </w:rPr>
            </w:pPr>
            <w:r>
              <w:rPr>
                <w:rFonts w:ascii="Arial" w:cs="Arial" w:eastAsia="Arial" w:hAnsi="Arial"/>
                <w:sz w:val="14"/>
                <w:szCs w:val="14"/>
                <w:b w:val="1"/>
                <w:bCs w:val="1"/>
                <w:color w:val="FEFEFE"/>
              </w:rPr>
              <w:t>Plans</w:t>
            </w:r>
          </w:p>
        </w:tc>
      </w:tr>
      <w:tr>
        <w:trPr>
          <w:trHeight w:val="345"/>
        </w:trPr>
        <w:tc>
          <w:tcPr>
            <w:tcW w:w="4660" w:type="dxa"/>
            <w:vAlign w:val="bottom"/>
          </w:tcPr>
          <w:p>
            <w:pPr>
              <w:ind w:left="100"/>
              <w:spacing w:after="0"/>
              <w:rPr>
                <w:sz w:val="20"/>
                <w:szCs w:val="20"/>
                <w:color w:val="auto"/>
              </w:rPr>
            </w:pPr>
            <w:r>
              <w:rPr>
                <w:rFonts w:ascii="Arial" w:cs="Arial" w:eastAsia="Arial" w:hAnsi="Arial"/>
                <w:sz w:val="18"/>
                <w:szCs w:val="18"/>
                <w:color w:val="auto"/>
              </w:rPr>
              <w:t>Equity compensation plans approved by shareholders</w:t>
            </w:r>
          </w:p>
        </w:tc>
        <w:tc>
          <w:tcPr>
            <w:tcW w:w="1400" w:type="dxa"/>
            <w:vAlign w:val="bottom"/>
          </w:tcPr>
          <w:p>
            <w:pPr>
              <w:jc w:val="right"/>
              <w:spacing w:after="0"/>
              <w:rPr>
                <w:sz w:val="20"/>
                <w:szCs w:val="20"/>
                <w:color w:val="auto"/>
              </w:rPr>
            </w:pPr>
            <w:r>
              <w:rPr>
                <w:rFonts w:ascii="Arial" w:cs="Arial" w:eastAsia="Arial" w:hAnsi="Arial"/>
                <w:sz w:val="18"/>
                <w:szCs w:val="18"/>
                <w:color w:val="auto"/>
              </w:rPr>
              <w:t>2,644,969</w:t>
            </w:r>
            <w:r>
              <w:rPr>
                <w:rFonts w:ascii="Arial" w:cs="Arial" w:eastAsia="Arial" w:hAnsi="Arial"/>
                <w:sz w:val="26"/>
                <w:szCs w:val="26"/>
                <w:color w:val="auto"/>
                <w:vertAlign w:val="superscript"/>
              </w:rPr>
              <w:t>(1)</w:t>
            </w:r>
          </w:p>
        </w:tc>
        <w:tc>
          <w:tcPr>
            <w:tcW w:w="1340" w:type="dxa"/>
            <w:vAlign w:val="bottom"/>
          </w:tcPr>
          <w:p>
            <w:pPr>
              <w:jc w:val="right"/>
              <w:ind w:right="166"/>
              <w:spacing w:after="0"/>
              <w:rPr>
                <w:sz w:val="20"/>
                <w:szCs w:val="20"/>
                <w:color w:val="auto"/>
              </w:rPr>
            </w:pPr>
            <w:r>
              <w:rPr>
                <w:rFonts w:ascii="Arial" w:cs="Arial" w:eastAsia="Arial" w:hAnsi="Arial"/>
                <w:sz w:val="18"/>
                <w:szCs w:val="18"/>
                <w:color w:val="auto"/>
              </w:rPr>
              <w:t>$37.15</w:t>
            </w:r>
            <w:r>
              <w:rPr>
                <w:rFonts w:ascii="Arial" w:cs="Arial" w:eastAsia="Arial" w:hAnsi="Arial"/>
                <w:sz w:val="26"/>
                <w:szCs w:val="26"/>
                <w:color w:val="auto"/>
                <w:vertAlign w:val="superscript"/>
              </w:rPr>
              <w:t>(2)</w:t>
            </w:r>
          </w:p>
        </w:tc>
        <w:tc>
          <w:tcPr>
            <w:tcW w:w="1360" w:type="dxa"/>
            <w:vAlign w:val="bottom"/>
          </w:tcPr>
          <w:p>
            <w:pPr>
              <w:jc w:val="right"/>
              <w:ind w:right="26"/>
              <w:spacing w:after="0"/>
              <w:rPr>
                <w:sz w:val="20"/>
                <w:szCs w:val="20"/>
                <w:color w:val="auto"/>
              </w:rPr>
            </w:pPr>
            <w:r>
              <w:rPr>
                <w:rFonts w:ascii="Arial" w:cs="Arial" w:eastAsia="Arial" w:hAnsi="Arial"/>
                <w:sz w:val="18"/>
                <w:szCs w:val="18"/>
                <w:color w:val="auto"/>
              </w:rPr>
              <w:t>4,073,788</w:t>
            </w:r>
            <w:r>
              <w:rPr>
                <w:rFonts w:ascii="Arial" w:cs="Arial" w:eastAsia="Arial" w:hAnsi="Arial"/>
                <w:sz w:val="26"/>
                <w:szCs w:val="26"/>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-29845</wp:posOffset>
            </wp:positionV>
            <wp:extent cx="555498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25" w:lineRule="exact"/>
        <w:rPr>
          <w:sz w:val="20"/>
          <w:szCs w:val="20"/>
          <w:color w:val="auto"/>
        </w:rPr>
      </w:pPr>
    </w:p>
    <w:p>
      <w:pPr>
        <w:ind w:left="1780" w:right="339" w:hanging="718"/>
        <w:spacing w:after="0" w:line="261" w:lineRule="auto"/>
        <w:tabs>
          <w:tab w:leader="none" w:pos="1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Consists of 1,125,431 shares underlying outstanding options, 1,338,035 RSUs and 181,503 PSUs awarded but not yet vested as of the end of the fiscal year.</w:t>
      </w:r>
    </w:p>
    <w:p>
      <w:pPr>
        <w:spacing w:after="0" w:line="130" w:lineRule="exact"/>
        <w:rPr>
          <w:rFonts w:ascii="Arial" w:cs="Arial" w:eastAsia="Arial" w:hAnsi="Arial"/>
          <w:sz w:val="18"/>
          <w:szCs w:val="18"/>
          <w:color w:val="auto"/>
        </w:rPr>
      </w:pPr>
    </w:p>
    <w:p>
      <w:pPr>
        <w:ind w:left="1780" w:right="579" w:hanging="718"/>
        <w:spacing w:after="0" w:line="261" w:lineRule="auto"/>
        <w:tabs>
          <w:tab w:leader="none" w:pos="1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average exercise price is applicable only to the outstanding options referenced above. The RSUs and PSUs do not require consideration to be paid upon vesting.</w:t>
      </w:r>
    </w:p>
    <w:p>
      <w:pPr>
        <w:spacing w:after="0" w:line="116" w:lineRule="exact"/>
        <w:rPr>
          <w:rFonts w:ascii="Arial" w:cs="Arial" w:eastAsia="Arial" w:hAnsi="Arial"/>
          <w:sz w:val="18"/>
          <w:szCs w:val="18"/>
          <w:color w:val="auto"/>
        </w:rPr>
      </w:pPr>
    </w:p>
    <w:p>
      <w:pPr>
        <w:ind w:left="1780" w:right="619" w:hanging="718"/>
        <w:spacing w:after="0" w:line="261" w:lineRule="auto"/>
        <w:tabs>
          <w:tab w:leader="none" w:pos="1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438,320 shares available for future issuance under the Amended and Restated Avnet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220345</wp:posOffset>
            </wp:positionV>
            <wp:extent cx="1482725" cy="291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ind w:left="7460"/>
        <w:spacing w:after="0" w:line="187" w:lineRule="auto"/>
        <w:rPr>
          <w:sz w:val="20"/>
          <w:szCs w:val="20"/>
          <w:color w:val="auto"/>
        </w:rPr>
      </w:pPr>
      <w:r>
        <w:rPr>
          <w:rFonts w:ascii="Arial" w:cs="Arial" w:eastAsia="Arial" w:hAnsi="Arial"/>
          <w:sz w:val="12"/>
          <w:szCs w:val="12"/>
          <w:color w:val="auto"/>
        </w:rPr>
        <w:t>Compensation of Executive Officers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GRANTS OF PLAN-BASED AWARDS</w:t>
      </w:r>
    </w:p>
    <w:p>
      <w:pPr>
        <w:spacing w:after="0" w:line="157" w:lineRule="exact"/>
        <w:rPr>
          <w:sz w:val="20"/>
          <w:szCs w:val="20"/>
          <w:color w:val="auto"/>
        </w:rPr>
      </w:pPr>
    </w:p>
    <w:p>
      <w:pPr>
        <w:ind w:left="1000" w:right="500"/>
        <w:spacing w:after="0" w:line="253"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2021 relating to: (1) annual cash incentive awards; (2) RSUs; and (3) stock options. The actual payouts earned in fiscal 2021 under the Non-Equity Incentive Plan Awards are included in the Summary Compensation Table as are the grant date fair values associated with the awards under the All Other Stock Awards and All Other Option Awards in the table below.</w:t>
      </w:r>
    </w:p>
    <w:p>
      <w:pPr>
        <w:spacing w:after="0" w:line="206" w:lineRule="exact"/>
        <w:rPr>
          <w:sz w:val="20"/>
          <w:szCs w:val="20"/>
          <w:color w:val="auto"/>
        </w:rPr>
      </w:pPr>
    </w:p>
    <w:tbl>
      <w:tblPr>
        <w:tblLayout w:type="fixed"/>
        <w:tblInd w:w="500" w:type="dxa"/>
        <w:tblCellMar>
          <w:top w:w="0" w:type="dxa"/>
          <w:left w:w="0" w:type="dxa"/>
          <w:bottom w:w="0" w:type="dxa"/>
          <w:right w:w="0" w:type="dxa"/>
        </w:tblCellMar>
      </w:tblPr>
      <w:tr>
        <w:trPr>
          <w:trHeight w:val="167"/>
        </w:trPr>
        <w:tc>
          <w:tcPr>
            <w:tcW w:w="1860" w:type="dxa"/>
            <w:vAlign w:val="bottom"/>
            <w:shd w:val="clear" w:color="auto" w:fill="56C271"/>
          </w:tcPr>
          <w:p>
            <w:pPr>
              <w:spacing w:after="0"/>
              <w:rPr>
                <w:sz w:val="14"/>
                <w:szCs w:val="14"/>
                <w:color w:val="auto"/>
              </w:rPr>
            </w:pPr>
          </w:p>
        </w:tc>
        <w:tc>
          <w:tcPr>
            <w:tcW w:w="820" w:type="dxa"/>
            <w:vAlign w:val="bottom"/>
            <w:shd w:val="clear" w:color="auto" w:fill="56C271"/>
          </w:tcPr>
          <w:p>
            <w:pPr>
              <w:spacing w:after="0"/>
              <w:rPr>
                <w:sz w:val="14"/>
                <w:szCs w:val="14"/>
                <w:color w:val="auto"/>
              </w:rPr>
            </w:pPr>
          </w:p>
        </w:tc>
        <w:tc>
          <w:tcPr>
            <w:tcW w:w="680" w:type="dxa"/>
            <w:vAlign w:val="bottom"/>
            <w:shd w:val="clear" w:color="auto" w:fill="56C271"/>
          </w:tcPr>
          <w:p>
            <w:pPr>
              <w:spacing w:after="0"/>
              <w:rPr>
                <w:sz w:val="14"/>
                <w:szCs w:val="14"/>
                <w:color w:val="auto"/>
              </w:rPr>
            </w:pPr>
          </w:p>
        </w:tc>
        <w:tc>
          <w:tcPr>
            <w:tcW w:w="660" w:type="dxa"/>
            <w:vAlign w:val="bottom"/>
            <w:shd w:val="clear" w:color="auto" w:fill="56C271"/>
          </w:tcPr>
          <w:p>
            <w:pPr>
              <w:spacing w:after="0"/>
              <w:rPr>
                <w:sz w:val="14"/>
                <w:szCs w:val="14"/>
                <w:color w:val="auto"/>
              </w:rPr>
            </w:pPr>
          </w:p>
        </w:tc>
        <w:tc>
          <w:tcPr>
            <w:tcW w:w="66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680" w:type="dxa"/>
            <w:vAlign w:val="bottom"/>
            <w:shd w:val="clear" w:color="auto" w:fill="56C271"/>
          </w:tcPr>
          <w:p>
            <w:pPr>
              <w:spacing w:after="0"/>
              <w:rPr>
                <w:sz w:val="14"/>
                <w:szCs w:val="14"/>
                <w:color w:val="auto"/>
              </w:rPr>
            </w:pPr>
          </w:p>
        </w:tc>
        <w:tc>
          <w:tcPr>
            <w:tcW w:w="500" w:type="dxa"/>
            <w:vAlign w:val="bottom"/>
            <w:shd w:val="clear" w:color="auto" w:fill="56C271"/>
          </w:tcPr>
          <w:p>
            <w:pPr>
              <w:spacing w:after="0"/>
              <w:rPr>
                <w:sz w:val="14"/>
                <w:szCs w:val="14"/>
                <w:color w:val="auto"/>
              </w:rPr>
            </w:pPr>
          </w:p>
        </w:tc>
        <w:tc>
          <w:tcPr>
            <w:tcW w:w="660" w:type="dxa"/>
            <w:vAlign w:val="bottom"/>
            <w:shd w:val="clear" w:color="auto" w:fill="56C271"/>
          </w:tcPr>
          <w:p>
            <w:pPr>
              <w:spacing w:after="0"/>
              <w:rPr>
                <w:sz w:val="14"/>
                <w:szCs w:val="14"/>
                <w:color w:val="auto"/>
              </w:rPr>
            </w:pPr>
          </w:p>
        </w:tc>
        <w:tc>
          <w:tcPr>
            <w:tcW w:w="40" w:type="dxa"/>
            <w:vAlign w:val="bottom"/>
            <w:shd w:val="clear" w:color="auto" w:fill="56C271"/>
          </w:tcPr>
          <w:p>
            <w:pPr>
              <w:spacing w:after="0"/>
              <w:rPr>
                <w:sz w:val="14"/>
                <w:szCs w:val="14"/>
                <w:color w:val="auto"/>
              </w:rPr>
            </w:pPr>
          </w:p>
        </w:tc>
        <w:tc>
          <w:tcPr>
            <w:tcW w:w="760" w:type="dxa"/>
            <w:vAlign w:val="bottom"/>
            <w:shd w:val="clear" w:color="auto" w:fill="56C271"/>
          </w:tcPr>
          <w:p>
            <w:pPr>
              <w:jc w:val="right"/>
              <w:ind w:right="19"/>
              <w:spacing w:after="0"/>
              <w:rPr>
                <w:sz w:val="20"/>
                <w:szCs w:val="20"/>
                <w:color w:val="auto"/>
              </w:rPr>
            </w:pPr>
            <w:r>
              <w:rPr>
                <w:rFonts w:ascii="Arial" w:cs="Arial" w:eastAsia="Arial" w:hAnsi="Arial"/>
                <w:sz w:val="13"/>
                <w:szCs w:val="13"/>
                <w:b w:val="1"/>
                <w:bCs w:val="1"/>
                <w:color w:val="FEFEFE"/>
              </w:rPr>
              <w:t>All Other</w:t>
            </w:r>
          </w:p>
        </w:tc>
        <w:tc>
          <w:tcPr>
            <w:tcW w:w="760" w:type="dxa"/>
            <w:vAlign w:val="bottom"/>
            <w:shd w:val="clear" w:color="auto" w:fill="56C271"/>
          </w:tcPr>
          <w:p>
            <w:pPr>
              <w:jc w:val="right"/>
              <w:ind w:right="19"/>
              <w:spacing w:after="0"/>
              <w:rPr>
                <w:sz w:val="20"/>
                <w:szCs w:val="20"/>
                <w:color w:val="auto"/>
              </w:rPr>
            </w:pPr>
            <w:r>
              <w:rPr>
                <w:rFonts w:ascii="Arial" w:cs="Arial" w:eastAsia="Arial" w:hAnsi="Arial"/>
                <w:sz w:val="13"/>
                <w:szCs w:val="13"/>
                <w:b w:val="1"/>
                <w:bCs w:val="1"/>
                <w:color w:val="FEFEFE"/>
              </w:rPr>
              <w:t>All Other</w:t>
            </w:r>
          </w:p>
        </w:tc>
        <w:tc>
          <w:tcPr>
            <w:tcW w:w="800" w:type="dxa"/>
            <w:vAlign w:val="bottom"/>
            <w:shd w:val="clear" w:color="auto" w:fill="56C271"/>
          </w:tcPr>
          <w:p>
            <w:pPr>
              <w:spacing w:after="0"/>
              <w:rPr>
                <w:sz w:val="14"/>
                <w:szCs w:val="14"/>
                <w:color w:val="auto"/>
              </w:rPr>
            </w:pPr>
          </w:p>
        </w:tc>
        <w:tc>
          <w:tcPr>
            <w:tcW w:w="760" w:type="dxa"/>
            <w:vAlign w:val="bottom"/>
            <w:shd w:val="clear" w:color="auto" w:fill="56C271"/>
          </w:tcPr>
          <w:p>
            <w:pPr>
              <w:spacing w:after="0"/>
              <w:rPr>
                <w:sz w:val="14"/>
                <w:szCs w:val="14"/>
                <w:color w:val="auto"/>
              </w:rPr>
            </w:pPr>
          </w:p>
        </w:tc>
      </w:tr>
      <w:tr>
        <w:trPr>
          <w:trHeight w:val="157"/>
        </w:trPr>
        <w:tc>
          <w:tcPr>
            <w:tcW w:w="1860" w:type="dxa"/>
            <w:vAlign w:val="bottom"/>
            <w:shd w:val="clear" w:color="auto" w:fill="56C271"/>
          </w:tcPr>
          <w:p>
            <w:pPr>
              <w:spacing w:after="0"/>
              <w:rPr>
                <w:sz w:val="13"/>
                <w:szCs w:val="13"/>
                <w:color w:val="auto"/>
              </w:rPr>
            </w:pPr>
          </w:p>
        </w:tc>
        <w:tc>
          <w:tcPr>
            <w:tcW w:w="820" w:type="dxa"/>
            <w:vAlign w:val="bottom"/>
            <w:shd w:val="clear" w:color="auto" w:fill="56C271"/>
          </w:tcPr>
          <w:p>
            <w:pPr>
              <w:spacing w:after="0"/>
              <w:rPr>
                <w:sz w:val="13"/>
                <w:szCs w:val="13"/>
                <w:color w:val="auto"/>
              </w:rPr>
            </w:pPr>
          </w:p>
        </w:tc>
        <w:tc>
          <w:tcPr>
            <w:tcW w:w="2080" w:type="dxa"/>
            <w:vAlign w:val="bottom"/>
            <w:gridSpan w:val="4"/>
            <w:shd w:val="clear" w:color="auto" w:fill="56C271"/>
          </w:tcPr>
          <w:p>
            <w:pPr>
              <w:jc w:val="right"/>
              <w:ind w:right="120"/>
              <w:spacing w:after="0"/>
              <w:rPr>
                <w:sz w:val="20"/>
                <w:szCs w:val="20"/>
                <w:color w:val="auto"/>
              </w:rPr>
            </w:pPr>
            <w:r>
              <w:rPr>
                <w:rFonts w:ascii="Arial" w:cs="Arial" w:eastAsia="Arial" w:hAnsi="Arial"/>
                <w:sz w:val="13"/>
                <w:szCs w:val="13"/>
                <w:b w:val="1"/>
                <w:bCs w:val="1"/>
                <w:color w:val="FEFEFE"/>
              </w:rPr>
              <w:t>Estimated Future Payouts</w:t>
            </w:r>
          </w:p>
        </w:tc>
        <w:tc>
          <w:tcPr>
            <w:tcW w:w="1880" w:type="dxa"/>
            <w:vAlign w:val="bottom"/>
            <w:gridSpan w:val="4"/>
            <w:shd w:val="clear" w:color="auto" w:fill="56C271"/>
          </w:tcPr>
          <w:p>
            <w:pPr>
              <w:jc w:val="center"/>
              <w:ind w:left="137"/>
              <w:spacing w:after="0"/>
              <w:rPr>
                <w:sz w:val="20"/>
                <w:szCs w:val="20"/>
                <w:color w:val="auto"/>
              </w:rPr>
            </w:pPr>
            <w:r>
              <w:rPr>
                <w:rFonts w:ascii="Arial" w:cs="Arial" w:eastAsia="Arial" w:hAnsi="Arial"/>
                <w:sz w:val="13"/>
                <w:szCs w:val="13"/>
                <w:b w:val="1"/>
                <w:bCs w:val="1"/>
                <w:color w:val="FEFEFE"/>
                <w:w w:val="94"/>
              </w:rPr>
              <w:t>Estimated Future Payouts</w:t>
            </w:r>
          </w:p>
        </w:tc>
        <w:tc>
          <w:tcPr>
            <w:tcW w:w="760" w:type="dxa"/>
            <w:vAlign w:val="bottom"/>
            <w:shd w:val="clear" w:color="auto" w:fill="56C271"/>
          </w:tcPr>
          <w:p>
            <w:pPr>
              <w:jc w:val="right"/>
              <w:ind w:right="19"/>
              <w:spacing w:after="0"/>
              <w:rPr>
                <w:sz w:val="20"/>
                <w:szCs w:val="20"/>
                <w:color w:val="auto"/>
              </w:rPr>
            </w:pPr>
            <w:r>
              <w:rPr>
                <w:rFonts w:ascii="Arial" w:cs="Arial" w:eastAsia="Arial" w:hAnsi="Arial"/>
                <w:sz w:val="13"/>
                <w:szCs w:val="13"/>
                <w:b w:val="1"/>
                <w:bCs w:val="1"/>
                <w:color w:val="FEFEFE"/>
              </w:rPr>
              <w:t>Stock</w:t>
            </w:r>
          </w:p>
        </w:tc>
        <w:tc>
          <w:tcPr>
            <w:tcW w:w="760" w:type="dxa"/>
            <w:vAlign w:val="bottom"/>
            <w:shd w:val="clear" w:color="auto" w:fill="56C271"/>
          </w:tcPr>
          <w:p>
            <w:pPr>
              <w:jc w:val="right"/>
              <w:ind w:right="19"/>
              <w:spacing w:after="0"/>
              <w:rPr>
                <w:sz w:val="20"/>
                <w:szCs w:val="20"/>
                <w:color w:val="auto"/>
              </w:rPr>
            </w:pPr>
            <w:r>
              <w:rPr>
                <w:rFonts w:ascii="Arial" w:cs="Arial" w:eastAsia="Arial" w:hAnsi="Arial"/>
                <w:sz w:val="13"/>
                <w:szCs w:val="13"/>
                <w:b w:val="1"/>
                <w:bCs w:val="1"/>
                <w:color w:val="FEFEFE"/>
              </w:rPr>
              <w:t>Option</w:t>
            </w:r>
          </w:p>
        </w:tc>
        <w:tc>
          <w:tcPr>
            <w:tcW w:w="800" w:type="dxa"/>
            <w:vAlign w:val="bottom"/>
            <w:shd w:val="clear" w:color="auto" w:fill="56C271"/>
          </w:tcPr>
          <w:p>
            <w:pPr>
              <w:spacing w:after="0"/>
              <w:rPr>
                <w:sz w:val="13"/>
                <w:szCs w:val="13"/>
                <w:color w:val="auto"/>
              </w:rPr>
            </w:pPr>
          </w:p>
        </w:tc>
        <w:tc>
          <w:tcPr>
            <w:tcW w:w="760" w:type="dxa"/>
            <w:vAlign w:val="bottom"/>
            <w:shd w:val="clear" w:color="auto" w:fill="56C271"/>
          </w:tcPr>
          <w:p>
            <w:pPr>
              <w:jc w:val="right"/>
              <w:ind w:right="19"/>
              <w:spacing w:after="0"/>
              <w:rPr>
                <w:sz w:val="20"/>
                <w:szCs w:val="20"/>
                <w:color w:val="auto"/>
              </w:rPr>
            </w:pPr>
            <w:r>
              <w:rPr>
                <w:rFonts w:ascii="Arial" w:cs="Arial" w:eastAsia="Arial" w:hAnsi="Arial"/>
                <w:sz w:val="13"/>
                <w:szCs w:val="13"/>
                <w:b w:val="1"/>
                <w:bCs w:val="1"/>
                <w:color w:val="FEFEFE"/>
                <w:w w:val="99"/>
              </w:rPr>
              <w:t>Grant Date</w:t>
            </w:r>
          </w:p>
        </w:tc>
      </w:tr>
      <w:tr>
        <w:trPr>
          <w:trHeight w:val="135"/>
        </w:trPr>
        <w:tc>
          <w:tcPr>
            <w:tcW w:w="1860" w:type="dxa"/>
            <w:vAlign w:val="bottom"/>
            <w:shd w:val="clear" w:color="auto" w:fill="56C271"/>
          </w:tcPr>
          <w:p>
            <w:pPr>
              <w:spacing w:after="0"/>
              <w:rPr>
                <w:sz w:val="11"/>
                <w:szCs w:val="11"/>
                <w:color w:val="auto"/>
              </w:rPr>
            </w:pPr>
          </w:p>
        </w:tc>
        <w:tc>
          <w:tcPr>
            <w:tcW w:w="820" w:type="dxa"/>
            <w:vAlign w:val="bottom"/>
            <w:shd w:val="clear" w:color="auto" w:fill="56C271"/>
          </w:tcPr>
          <w:p>
            <w:pPr>
              <w:spacing w:after="0"/>
              <w:rPr>
                <w:sz w:val="11"/>
                <w:szCs w:val="11"/>
                <w:color w:val="auto"/>
              </w:rPr>
            </w:pPr>
          </w:p>
        </w:tc>
        <w:tc>
          <w:tcPr>
            <w:tcW w:w="2080" w:type="dxa"/>
            <w:vAlign w:val="bottom"/>
            <w:gridSpan w:val="4"/>
            <w:shd w:val="clear" w:color="auto" w:fill="56C271"/>
          </w:tcPr>
          <w:p>
            <w:pPr>
              <w:jc w:val="right"/>
              <w:ind w:right="120"/>
              <w:spacing w:after="0" w:line="135" w:lineRule="exact"/>
              <w:rPr>
                <w:sz w:val="20"/>
                <w:szCs w:val="20"/>
                <w:color w:val="auto"/>
              </w:rPr>
            </w:pPr>
            <w:r>
              <w:rPr>
                <w:rFonts w:ascii="Arial" w:cs="Arial" w:eastAsia="Arial" w:hAnsi="Arial"/>
                <w:sz w:val="13"/>
                <w:szCs w:val="13"/>
                <w:b w:val="1"/>
                <w:bCs w:val="1"/>
                <w:color w:val="FEFEFE"/>
                <w:w w:val="96"/>
              </w:rPr>
              <w:t>Under Non-Equity Incentive Plan</w:t>
            </w:r>
          </w:p>
        </w:tc>
        <w:tc>
          <w:tcPr>
            <w:tcW w:w="1880" w:type="dxa"/>
            <w:vAlign w:val="bottom"/>
            <w:gridSpan w:val="4"/>
            <w:shd w:val="clear" w:color="auto" w:fill="56C271"/>
          </w:tcPr>
          <w:p>
            <w:pPr>
              <w:jc w:val="right"/>
              <w:ind w:right="80"/>
              <w:spacing w:after="0" w:line="135" w:lineRule="exact"/>
              <w:rPr>
                <w:sz w:val="20"/>
                <w:szCs w:val="20"/>
                <w:color w:val="auto"/>
              </w:rPr>
            </w:pPr>
            <w:r>
              <w:rPr>
                <w:rFonts w:ascii="Arial" w:cs="Arial" w:eastAsia="Arial" w:hAnsi="Arial"/>
                <w:sz w:val="13"/>
                <w:szCs w:val="13"/>
                <w:b w:val="1"/>
                <w:bCs w:val="1"/>
                <w:color w:val="FEFEFE"/>
              </w:rPr>
              <w:t>Under Equity Incentive Plan</w:t>
            </w:r>
          </w:p>
        </w:tc>
        <w:tc>
          <w:tcPr>
            <w:tcW w:w="76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Awards:</w:t>
            </w:r>
          </w:p>
        </w:tc>
        <w:tc>
          <w:tcPr>
            <w:tcW w:w="76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Awards:</w:t>
            </w:r>
          </w:p>
        </w:tc>
        <w:tc>
          <w:tcPr>
            <w:tcW w:w="80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w w:val="99"/>
              </w:rPr>
              <w:t>Exercise or</w:t>
            </w:r>
          </w:p>
        </w:tc>
        <w:tc>
          <w:tcPr>
            <w:tcW w:w="76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Fair Value</w:t>
            </w:r>
          </w:p>
        </w:tc>
      </w:tr>
      <w:tr>
        <w:trPr>
          <w:trHeight w:val="194"/>
        </w:trPr>
        <w:tc>
          <w:tcPr>
            <w:tcW w:w="1860" w:type="dxa"/>
            <w:vAlign w:val="bottom"/>
            <w:tcBorders>
              <w:bottom w:val="single" w:sz="8" w:color="56C271"/>
            </w:tcBorders>
            <w:shd w:val="clear" w:color="auto" w:fill="56C271"/>
          </w:tcPr>
          <w:p>
            <w:pPr>
              <w:spacing w:after="0"/>
              <w:rPr>
                <w:sz w:val="16"/>
                <w:szCs w:val="16"/>
                <w:color w:val="auto"/>
              </w:rPr>
            </w:pPr>
          </w:p>
        </w:tc>
        <w:tc>
          <w:tcPr>
            <w:tcW w:w="820" w:type="dxa"/>
            <w:vAlign w:val="bottom"/>
            <w:tcBorders>
              <w:bottom w:val="single" w:sz="8" w:color="56C271"/>
            </w:tcBorders>
            <w:shd w:val="clear" w:color="auto" w:fill="56C271"/>
          </w:tcPr>
          <w:p>
            <w:pPr>
              <w:spacing w:after="0"/>
              <w:rPr>
                <w:sz w:val="16"/>
                <w:szCs w:val="16"/>
                <w:color w:val="auto"/>
              </w:rPr>
            </w:pPr>
          </w:p>
        </w:tc>
        <w:tc>
          <w:tcPr>
            <w:tcW w:w="680" w:type="dxa"/>
            <w:vAlign w:val="bottom"/>
            <w:tcBorders>
              <w:bottom w:val="single" w:sz="8" w:color="56C271"/>
            </w:tcBorders>
            <w:shd w:val="clear" w:color="auto" w:fill="56C271"/>
          </w:tcPr>
          <w:p>
            <w:pPr>
              <w:spacing w:after="0"/>
              <w:rPr>
                <w:sz w:val="16"/>
                <w:szCs w:val="16"/>
                <w:color w:val="auto"/>
              </w:rPr>
            </w:pPr>
          </w:p>
        </w:tc>
        <w:tc>
          <w:tcPr>
            <w:tcW w:w="660" w:type="dxa"/>
            <w:vAlign w:val="bottom"/>
            <w:tcBorders>
              <w:bottom w:val="single" w:sz="8" w:color="56C271"/>
            </w:tcBorders>
            <w:shd w:val="clear" w:color="auto" w:fill="56C271"/>
          </w:tcPr>
          <w:p>
            <w:pPr>
              <w:spacing w:after="0"/>
              <w:rPr>
                <w:sz w:val="16"/>
                <w:szCs w:val="16"/>
                <w:color w:val="auto"/>
              </w:rPr>
            </w:pPr>
          </w:p>
        </w:tc>
        <w:tc>
          <w:tcPr>
            <w:tcW w:w="740" w:type="dxa"/>
            <w:vAlign w:val="bottom"/>
            <w:tcBorders>
              <w:bottom w:val="single" w:sz="8" w:color="56C271"/>
            </w:tcBorders>
            <w:gridSpan w:val="2"/>
            <w:shd w:val="clear" w:color="auto" w:fill="56C271"/>
          </w:tcPr>
          <w:p>
            <w:pPr>
              <w:jc w:val="right"/>
              <w:ind w:right="80"/>
              <w:spacing w:after="0" w:line="135" w:lineRule="exact"/>
              <w:rPr>
                <w:sz w:val="20"/>
                <w:szCs w:val="20"/>
                <w:color w:val="auto"/>
              </w:rPr>
            </w:pPr>
            <w:r>
              <w:rPr>
                <w:rFonts w:ascii="Arial" w:cs="Arial" w:eastAsia="Arial" w:hAnsi="Arial"/>
                <w:sz w:val="13"/>
                <w:szCs w:val="13"/>
                <w:b w:val="1"/>
                <w:bCs w:val="1"/>
                <w:color w:val="FEFEFE"/>
              </w:rPr>
              <w:t>Awards(1)</w:t>
            </w:r>
          </w:p>
        </w:tc>
        <w:tc>
          <w:tcPr>
            <w:tcW w:w="680" w:type="dxa"/>
            <w:vAlign w:val="bottom"/>
            <w:tcBorders>
              <w:bottom w:val="single" w:sz="8" w:color="56C271"/>
            </w:tcBorders>
            <w:shd w:val="clear" w:color="auto" w:fill="56C271"/>
          </w:tcPr>
          <w:p>
            <w:pPr>
              <w:spacing w:after="0"/>
              <w:rPr>
                <w:sz w:val="16"/>
                <w:szCs w:val="16"/>
                <w:color w:val="auto"/>
              </w:rPr>
            </w:pPr>
          </w:p>
        </w:tc>
        <w:tc>
          <w:tcPr>
            <w:tcW w:w="1200" w:type="dxa"/>
            <w:vAlign w:val="bottom"/>
            <w:tcBorders>
              <w:bottom w:val="single" w:sz="8" w:color="56C271"/>
            </w:tcBorders>
            <w:gridSpan w:val="3"/>
            <w:shd w:val="clear" w:color="auto" w:fill="56C271"/>
          </w:tcPr>
          <w:p>
            <w:pPr>
              <w:jc w:val="right"/>
              <w:ind w:right="40"/>
              <w:spacing w:after="0" w:line="135" w:lineRule="exact"/>
              <w:rPr>
                <w:sz w:val="20"/>
                <w:szCs w:val="20"/>
                <w:color w:val="auto"/>
              </w:rPr>
            </w:pPr>
            <w:r>
              <w:rPr>
                <w:rFonts w:ascii="Arial" w:cs="Arial" w:eastAsia="Arial" w:hAnsi="Arial"/>
                <w:sz w:val="13"/>
                <w:szCs w:val="13"/>
                <w:b w:val="1"/>
                <w:bCs w:val="1"/>
                <w:color w:val="FEFEFE"/>
              </w:rPr>
              <w:t>Awards(#)(2)</w:t>
            </w:r>
          </w:p>
        </w:tc>
        <w:tc>
          <w:tcPr>
            <w:tcW w:w="760" w:type="dxa"/>
            <w:vAlign w:val="bottom"/>
            <w:tcBorders>
              <w:bottom w:val="single" w:sz="8" w:color="56C271"/>
            </w:tcBorders>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Number of</w:t>
            </w:r>
          </w:p>
        </w:tc>
        <w:tc>
          <w:tcPr>
            <w:tcW w:w="760" w:type="dxa"/>
            <w:vAlign w:val="bottom"/>
            <w:tcBorders>
              <w:bottom w:val="single" w:sz="8" w:color="56C271"/>
            </w:tcBorders>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Number of</w:t>
            </w:r>
          </w:p>
        </w:tc>
        <w:tc>
          <w:tcPr>
            <w:tcW w:w="800" w:type="dxa"/>
            <w:vAlign w:val="bottom"/>
            <w:tcBorders>
              <w:bottom w:val="single" w:sz="8" w:color="56C271"/>
            </w:tcBorders>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Base Price</w:t>
            </w:r>
          </w:p>
        </w:tc>
        <w:tc>
          <w:tcPr>
            <w:tcW w:w="760" w:type="dxa"/>
            <w:vAlign w:val="bottom"/>
            <w:tcBorders>
              <w:bottom w:val="single" w:sz="8" w:color="56C271"/>
            </w:tcBorders>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of Stock</w:t>
            </w:r>
          </w:p>
        </w:tc>
      </w:tr>
      <w:tr>
        <w:trPr>
          <w:trHeight w:val="39"/>
        </w:trPr>
        <w:tc>
          <w:tcPr>
            <w:tcW w:w="1860" w:type="dxa"/>
            <w:vAlign w:val="bottom"/>
            <w:tcBorders>
              <w:top w:val="single" w:sz="8" w:color="56C271"/>
            </w:tcBorders>
            <w:shd w:val="clear" w:color="auto" w:fill="56C271"/>
          </w:tcPr>
          <w:p>
            <w:pPr>
              <w:spacing w:after="0"/>
              <w:rPr>
                <w:sz w:val="3"/>
                <w:szCs w:val="3"/>
                <w:color w:val="auto"/>
              </w:rPr>
            </w:pPr>
          </w:p>
        </w:tc>
        <w:tc>
          <w:tcPr>
            <w:tcW w:w="820" w:type="dxa"/>
            <w:vAlign w:val="bottom"/>
            <w:tcBorders>
              <w:top w:val="single" w:sz="8" w:color="56C271"/>
            </w:tcBorders>
            <w:shd w:val="clear" w:color="auto" w:fill="56C271"/>
          </w:tcPr>
          <w:p>
            <w:pPr>
              <w:spacing w:after="0"/>
              <w:rPr>
                <w:sz w:val="3"/>
                <w:szCs w:val="3"/>
                <w:color w:val="auto"/>
              </w:rPr>
            </w:pPr>
          </w:p>
        </w:tc>
        <w:tc>
          <w:tcPr>
            <w:tcW w:w="680" w:type="dxa"/>
            <w:vAlign w:val="bottom"/>
            <w:tcBorders>
              <w:top w:val="single" w:sz="8" w:color="auto"/>
            </w:tcBorders>
            <w:shd w:val="clear" w:color="auto" w:fill="56C271"/>
          </w:tcPr>
          <w:p>
            <w:pPr>
              <w:spacing w:after="0"/>
              <w:rPr>
                <w:sz w:val="3"/>
                <w:szCs w:val="3"/>
                <w:color w:val="auto"/>
              </w:rPr>
            </w:pPr>
          </w:p>
        </w:tc>
        <w:tc>
          <w:tcPr>
            <w:tcW w:w="660" w:type="dxa"/>
            <w:vAlign w:val="bottom"/>
            <w:tcBorders>
              <w:top w:val="single" w:sz="8" w:color="auto"/>
            </w:tcBorders>
            <w:shd w:val="clear" w:color="auto" w:fill="56C271"/>
          </w:tcPr>
          <w:p>
            <w:pPr>
              <w:spacing w:after="0"/>
              <w:rPr>
                <w:sz w:val="3"/>
                <w:szCs w:val="3"/>
                <w:color w:val="auto"/>
              </w:rPr>
            </w:pPr>
          </w:p>
        </w:tc>
        <w:tc>
          <w:tcPr>
            <w:tcW w:w="660" w:type="dxa"/>
            <w:vAlign w:val="bottom"/>
            <w:tcBorders>
              <w:top w:val="single" w:sz="8" w:color="auto"/>
            </w:tcBorders>
            <w:shd w:val="clear" w:color="auto" w:fill="56C271"/>
          </w:tcPr>
          <w:p>
            <w:pPr>
              <w:spacing w:after="0"/>
              <w:rPr>
                <w:sz w:val="3"/>
                <w:szCs w:val="3"/>
                <w:color w:val="auto"/>
              </w:rPr>
            </w:pPr>
          </w:p>
        </w:tc>
        <w:tc>
          <w:tcPr>
            <w:tcW w:w="80" w:type="dxa"/>
            <w:vAlign w:val="bottom"/>
            <w:tcBorders>
              <w:top w:val="single" w:sz="8" w:color="56C271"/>
            </w:tcBorders>
            <w:shd w:val="clear" w:color="auto" w:fill="56C271"/>
          </w:tcPr>
          <w:p>
            <w:pPr>
              <w:spacing w:after="0"/>
              <w:rPr>
                <w:sz w:val="3"/>
                <w:szCs w:val="3"/>
                <w:color w:val="auto"/>
              </w:rPr>
            </w:pPr>
          </w:p>
        </w:tc>
        <w:tc>
          <w:tcPr>
            <w:tcW w:w="680" w:type="dxa"/>
            <w:vAlign w:val="bottom"/>
            <w:tcBorders>
              <w:top w:val="single" w:sz="8" w:color="auto"/>
            </w:tcBorders>
            <w:shd w:val="clear" w:color="auto" w:fill="56C271"/>
          </w:tcPr>
          <w:p>
            <w:pPr>
              <w:spacing w:after="0"/>
              <w:rPr>
                <w:sz w:val="3"/>
                <w:szCs w:val="3"/>
                <w:color w:val="auto"/>
              </w:rPr>
            </w:pPr>
          </w:p>
        </w:tc>
        <w:tc>
          <w:tcPr>
            <w:tcW w:w="500" w:type="dxa"/>
            <w:vAlign w:val="bottom"/>
            <w:tcBorders>
              <w:top w:val="single" w:sz="8" w:color="auto"/>
            </w:tcBorders>
            <w:shd w:val="clear" w:color="auto" w:fill="56C271"/>
          </w:tcPr>
          <w:p>
            <w:pPr>
              <w:spacing w:after="0"/>
              <w:rPr>
                <w:sz w:val="3"/>
                <w:szCs w:val="3"/>
                <w:color w:val="auto"/>
              </w:rPr>
            </w:pPr>
          </w:p>
        </w:tc>
        <w:tc>
          <w:tcPr>
            <w:tcW w:w="660" w:type="dxa"/>
            <w:vAlign w:val="bottom"/>
            <w:tcBorders>
              <w:top w:val="single" w:sz="8" w:color="auto"/>
            </w:tcBorders>
            <w:shd w:val="clear" w:color="auto" w:fill="56C271"/>
          </w:tcPr>
          <w:p>
            <w:pPr>
              <w:spacing w:after="0"/>
              <w:rPr>
                <w:sz w:val="3"/>
                <w:szCs w:val="3"/>
                <w:color w:val="auto"/>
              </w:rPr>
            </w:pPr>
          </w:p>
        </w:tc>
        <w:tc>
          <w:tcPr>
            <w:tcW w:w="40" w:type="dxa"/>
            <w:vAlign w:val="bottom"/>
            <w:tcBorders>
              <w:top w:val="single" w:sz="8" w:color="56C271"/>
            </w:tcBorders>
            <w:shd w:val="clear" w:color="auto" w:fill="56C271"/>
          </w:tcPr>
          <w:p>
            <w:pPr>
              <w:spacing w:after="0"/>
              <w:rPr>
                <w:sz w:val="3"/>
                <w:szCs w:val="3"/>
                <w:color w:val="auto"/>
              </w:rPr>
            </w:pPr>
          </w:p>
        </w:tc>
        <w:tc>
          <w:tcPr>
            <w:tcW w:w="760" w:type="dxa"/>
            <w:vAlign w:val="bottom"/>
            <w:tcBorders>
              <w:top w:val="single" w:sz="8" w:color="56C271"/>
            </w:tcBorders>
            <w:shd w:val="clear" w:color="auto" w:fill="56C271"/>
          </w:tcPr>
          <w:p>
            <w:pPr>
              <w:jc w:val="right"/>
              <w:ind w:right="19"/>
              <w:spacing w:after="0" w:line="39" w:lineRule="exact"/>
              <w:rPr>
                <w:sz w:val="20"/>
                <w:szCs w:val="20"/>
                <w:color w:val="auto"/>
              </w:rPr>
            </w:pPr>
            <w:r>
              <w:rPr>
                <w:rFonts w:ascii="Arial" w:cs="Arial" w:eastAsia="Arial" w:hAnsi="Arial"/>
                <w:sz w:val="4"/>
                <w:szCs w:val="4"/>
                <w:b w:val="1"/>
                <w:bCs w:val="1"/>
                <w:color w:val="FEFEFE"/>
              </w:rPr>
              <w:t>Shares of</w:t>
            </w:r>
          </w:p>
        </w:tc>
        <w:tc>
          <w:tcPr>
            <w:tcW w:w="760" w:type="dxa"/>
            <w:vAlign w:val="bottom"/>
            <w:tcBorders>
              <w:top w:val="single" w:sz="8" w:color="56C271"/>
            </w:tcBorders>
            <w:shd w:val="clear" w:color="auto" w:fill="56C271"/>
          </w:tcPr>
          <w:p>
            <w:pPr>
              <w:jc w:val="right"/>
              <w:ind w:right="19"/>
              <w:spacing w:after="0" w:line="39" w:lineRule="exact"/>
              <w:rPr>
                <w:sz w:val="20"/>
                <w:szCs w:val="20"/>
                <w:color w:val="auto"/>
              </w:rPr>
            </w:pPr>
            <w:r>
              <w:rPr>
                <w:rFonts w:ascii="Arial" w:cs="Arial" w:eastAsia="Arial" w:hAnsi="Arial"/>
                <w:sz w:val="4"/>
                <w:szCs w:val="4"/>
                <w:b w:val="1"/>
                <w:bCs w:val="1"/>
                <w:color w:val="FEFEFE"/>
              </w:rPr>
              <w:t>Securities</w:t>
            </w:r>
          </w:p>
        </w:tc>
        <w:tc>
          <w:tcPr>
            <w:tcW w:w="800" w:type="dxa"/>
            <w:vAlign w:val="bottom"/>
            <w:tcBorders>
              <w:top w:val="single" w:sz="8" w:color="56C271"/>
            </w:tcBorders>
            <w:shd w:val="clear" w:color="auto" w:fill="56C271"/>
          </w:tcPr>
          <w:p>
            <w:pPr>
              <w:jc w:val="right"/>
              <w:ind w:right="19"/>
              <w:spacing w:after="0" w:line="39" w:lineRule="exact"/>
              <w:rPr>
                <w:sz w:val="20"/>
                <w:szCs w:val="20"/>
                <w:color w:val="auto"/>
              </w:rPr>
            </w:pPr>
            <w:r>
              <w:rPr>
                <w:rFonts w:ascii="Arial" w:cs="Arial" w:eastAsia="Arial" w:hAnsi="Arial"/>
                <w:sz w:val="4"/>
                <w:szCs w:val="4"/>
                <w:b w:val="1"/>
                <w:bCs w:val="1"/>
                <w:color w:val="FEFEFE"/>
              </w:rPr>
              <w:t>of Option</w:t>
            </w:r>
          </w:p>
        </w:tc>
        <w:tc>
          <w:tcPr>
            <w:tcW w:w="760" w:type="dxa"/>
            <w:vAlign w:val="bottom"/>
            <w:tcBorders>
              <w:top w:val="single" w:sz="8" w:color="56C271"/>
            </w:tcBorders>
            <w:shd w:val="clear" w:color="auto" w:fill="56C271"/>
          </w:tcPr>
          <w:p>
            <w:pPr>
              <w:jc w:val="right"/>
              <w:ind w:right="19"/>
              <w:spacing w:after="0" w:line="39" w:lineRule="exact"/>
              <w:rPr>
                <w:sz w:val="20"/>
                <w:szCs w:val="20"/>
                <w:color w:val="auto"/>
              </w:rPr>
            </w:pPr>
            <w:r>
              <w:rPr>
                <w:rFonts w:ascii="Arial" w:cs="Arial" w:eastAsia="Arial" w:hAnsi="Arial"/>
                <w:sz w:val="4"/>
                <w:szCs w:val="4"/>
                <w:b w:val="1"/>
                <w:bCs w:val="1"/>
                <w:color w:val="FEFEFE"/>
              </w:rPr>
              <w:t>and</w:t>
            </w:r>
          </w:p>
        </w:tc>
      </w:tr>
      <w:tr>
        <w:trPr>
          <w:trHeight w:val="135"/>
        </w:trPr>
        <w:tc>
          <w:tcPr>
            <w:tcW w:w="1860" w:type="dxa"/>
            <w:vAlign w:val="bottom"/>
            <w:shd w:val="clear" w:color="auto" w:fill="56C271"/>
          </w:tcPr>
          <w:p>
            <w:pPr>
              <w:spacing w:after="0"/>
              <w:rPr>
                <w:sz w:val="11"/>
                <w:szCs w:val="11"/>
                <w:color w:val="auto"/>
              </w:rPr>
            </w:pPr>
          </w:p>
        </w:tc>
        <w:tc>
          <w:tcPr>
            <w:tcW w:w="820" w:type="dxa"/>
            <w:vAlign w:val="bottom"/>
            <w:shd w:val="clear" w:color="auto" w:fill="56C271"/>
          </w:tcPr>
          <w:p>
            <w:pPr>
              <w:jc w:val="right"/>
              <w:ind w:right="57"/>
              <w:spacing w:after="0" w:line="135" w:lineRule="exact"/>
              <w:rPr>
                <w:sz w:val="20"/>
                <w:szCs w:val="20"/>
                <w:color w:val="auto"/>
              </w:rPr>
            </w:pPr>
            <w:r>
              <w:rPr>
                <w:rFonts w:ascii="Arial" w:cs="Arial" w:eastAsia="Arial" w:hAnsi="Arial"/>
                <w:sz w:val="13"/>
                <w:szCs w:val="13"/>
                <w:b w:val="1"/>
                <w:bCs w:val="1"/>
                <w:color w:val="FEFEFE"/>
              </w:rPr>
              <w:t>Grant</w:t>
            </w:r>
          </w:p>
        </w:tc>
        <w:tc>
          <w:tcPr>
            <w:tcW w:w="680" w:type="dxa"/>
            <w:vAlign w:val="bottom"/>
            <w:shd w:val="clear" w:color="auto" w:fill="56C271"/>
          </w:tcPr>
          <w:p>
            <w:pPr>
              <w:jc w:val="right"/>
              <w:ind w:right="17"/>
              <w:spacing w:after="0" w:line="135" w:lineRule="exact"/>
              <w:rPr>
                <w:sz w:val="20"/>
                <w:szCs w:val="20"/>
                <w:color w:val="auto"/>
              </w:rPr>
            </w:pPr>
            <w:r>
              <w:rPr>
                <w:rFonts w:ascii="Arial" w:cs="Arial" w:eastAsia="Arial" w:hAnsi="Arial"/>
                <w:sz w:val="13"/>
                <w:szCs w:val="13"/>
                <w:b w:val="1"/>
                <w:bCs w:val="1"/>
                <w:color w:val="FEFEFE"/>
                <w:w w:val="92"/>
              </w:rPr>
              <w:t>Threshold</w:t>
            </w:r>
          </w:p>
        </w:tc>
        <w:tc>
          <w:tcPr>
            <w:tcW w:w="660" w:type="dxa"/>
            <w:vAlign w:val="bottom"/>
            <w:shd w:val="clear" w:color="auto" w:fill="56C271"/>
          </w:tcPr>
          <w:p>
            <w:pPr>
              <w:jc w:val="right"/>
              <w:ind w:right="17"/>
              <w:spacing w:after="0" w:line="135" w:lineRule="exact"/>
              <w:rPr>
                <w:sz w:val="20"/>
                <w:szCs w:val="20"/>
                <w:color w:val="auto"/>
              </w:rPr>
            </w:pPr>
            <w:r>
              <w:rPr>
                <w:rFonts w:ascii="Arial" w:cs="Arial" w:eastAsia="Arial" w:hAnsi="Arial"/>
                <w:sz w:val="13"/>
                <w:szCs w:val="13"/>
                <w:b w:val="1"/>
                <w:bCs w:val="1"/>
                <w:color w:val="FEFEFE"/>
              </w:rPr>
              <w:t>Target</w:t>
            </w:r>
          </w:p>
        </w:tc>
        <w:tc>
          <w:tcPr>
            <w:tcW w:w="740" w:type="dxa"/>
            <w:vAlign w:val="bottom"/>
            <w:gridSpan w:val="2"/>
            <w:shd w:val="clear" w:color="auto" w:fill="56C271"/>
          </w:tcPr>
          <w:p>
            <w:pPr>
              <w:jc w:val="right"/>
              <w:ind w:right="120"/>
              <w:spacing w:after="0" w:line="135" w:lineRule="exact"/>
              <w:rPr>
                <w:sz w:val="20"/>
                <w:szCs w:val="20"/>
                <w:color w:val="auto"/>
              </w:rPr>
            </w:pPr>
            <w:r>
              <w:rPr>
                <w:rFonts w:ascii="Arial" w:cs="Arial" w:eastAsia="Arial" w:hAnsi="Arial"/>
                <w:sz w:val="13"/>
                <w:szCs w:val="13"/>
                <w:b w:val="1"/>
                <w:bCs w:val="1"/>
                <w:color w:val="FEFEFE"/>
                <w:w w:val="99"/>
              </w:rPr>
              <w:t>Maximum</w:t>
            </w:r>
          </w:p>
        </w:tc>
        <w:tc>
          <w:tcPr>
            <w:tcW w:w="680" w:type="dxa"/>
            <w:vAlign w:val="bottom"/>
            <w:shd w:val="clear" w:color="auto" w:fill="56C271"/>
          </w:tcPr>
          <w:p>
            <w:pPr>
              <w:jc w:val="right"/>
              <w:ind w:right="17"/>
              <w:spacing w:after="0" w:line="135" w:lineRule="exact"/>
              <w:rPr>
                <w:sz w:val="20"/>
                <w:szCs w:val="20"/>
                <w:color w:val="auto"/>
              </w:rPr>
            </w:pPr>
            <w:r>
              <w:rPr>
                <w:rFonts w:ascii="Arial" w:cs="Arial" w:eastAsia="Arial" w:hAnsi="Arial"/>
                <w:sz w:val="13"/>
                <w:szCs w:val="13"/>
                <w:b w:val="1"/>
                <w:bCs w:val="1"/>
                <w:color w:val="FEFEFE"/>
                <w:w w:val="92"/>
              </w:rPr>
              <w:t>Threshold</w:t>
            </w:r>
          </w:p>
        </w:tc>
        <w:tc>
          <w:tcPr>
            <w:tcW w:w="500" w:type="dxa"/>
            <w:vAlign w:val="bottom"/>
            <w:shd w:val="clear" w:color="auto" w:fill="56C271"/>
          </w:tcPr>
          <w:p>
            <w:pPr>
              <w:ind w:left="60"/>
              <w:spacing w:after="0" w:line="135" w:lineRule="exact"/>
              <w:rPr>
                <w:sz w:val="20"/>
                <w:szCs w:val="20"/>
                <w:color w:val="auto"/>
              </w:rPr>
            </w:pPr>
            <w:r>
              <w:rPr>
                <w:rFonts w:ascii="Arial" w:cs="Arial" w:eastAsia="Arial" w:hAnsi="Arial"/>
                <w:sz w:val="13"/>
                <w:szCs w:val="13"/>
                <w:b w:val="1"/>
                <w:bCs w:val="1"/>
                <w:color w:val="FEFEFE"/>
              </w:rPr>
              <w:t>Target</w:t>
            </w:r>
          </w:p>
        </w:tc>
        <w:tc>
          <w:tcPr>
            <w:tcW w:w="700" w:type="dxa"/>
            <w:vAlign w:val="bottom"/>
            <w:gridSpan w:val="2"/>
            <w:shd w:val="clear" w:color="auto" w:fill="56C271"/>
          </w:tcPr>
          <w:p>
            <w:pPr>
              <w:jc w:val="right"/>
              <w:ind w:right="80"/>
              <w:spacing w:after="0" w:line="135" w:lineRule="exact"/>
              <w:rPr>
                <w:sz w:val="20"/>
                <w:szCs w:val="20"/>
                <w:color w:val="auto"/>
              </w:rPr>
            </w:pPr>
            <w:r>
              <w:rPr>
                <w:rFonts w:ascii="Arial" w:cs="Arial" w:eastAsia="Arial" w:hAnsi="Arial"/>
                <w:sz w:val="13"/>
                <w:szCs w:val="13"/>
                <w:b w:val="1"/>
                <w:bCs w:val="1"/>
                <w:color w:val="FEFEFE"/>
                <w:w w:val="99"/>
              </w:rPr>
              <w:t>Maximum</w:t>
            </w:r>
          </w:p>
        </w:tc>
        <w:tc>
          <w:tcPr>
            <w:tcW w:w="76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Stock or</w:t>
            </w:r>
          </w:p>
        </w:tc>
        <w:tc>
          <w:tcPr>
            <w:tcW w:w="76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w w:val="97"/>
              </w:rPr>
              <w:t>Underlying</w:t>
            </w:r>
          </w:p>
        </w:tc>
        <w:tc>
          <w:tcPr>
            <w:tcW w:w="80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Awards</w:t>
            </w:r>
          </w:p>
        </w:tc>
        <w:tc>
          <w:tcPr>
            <w:tcW w:w="76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Options</w:t>
            </w:r>
          </w:p>
        </w:tc>
      </w:tr>
      <w:tr>
        <w:trPr>
          <w:trHeight w:val="135"/>
        </w:trPr>
        <w:tc>
          <w:tcPr>
            <w:tcW w:w="1860" w:type="dxa"/>
            <w:vAlign w:val="bottom"/>
            <w:shd w:val="clear" w:color="auto" w:fill="56C271"/>
          </w:tcPr>
          <w:p>
            <w:pPr>
              <w:spacing w:after="0"/>
              <w:rPr>
                <w:sz w:val="11"/>
                <w:szCs w:val="11"/>
                <w:color w:val="auto"/>
              </w:rPr>
            </w:pPr>
          </w:p>
        </w:tc>
        <w:tc>
          <w:tcPr>
            <w:tcW w:w="820" w:type="dxa"/>
            <w:vAlign w:val="bottom"/>
            <w:shd w:val="clear" w:color="auto" w:fill="56C271"/>
          </w:tcPr>
          <w:p>
            <w:pPr>
              <w:jc w:val="right"/>
              <w:ind w:right="57"/>
              <w:spacing w:after="0" w:line="135" w:lineRule="exact"/>
              <w:rPr>
                <w:sz w:val="20"/>
                <w:szCs w:val="20"/>
                <w:color w:val="auto"/>
              </w:rPr>
            </w:pPr>
            <w:r>
              <w:rPr>
                <w:rFonts w:ascii="Arial" w:cs="Arial" w:eastAsia="Arial" w:hAnsi="Arial"/>
                <w:sz w:val="13"/>
                <w:szCs w:val="13"/>
                <w:b w:val="1"/>
                <w:bCs w:val="1"/>
                <w:color w:val="FEFEFE"/>
              </w:rPr>
              <w:t>Date</w:t>
            </w:r>
          </w:p>
        </w:tc>
        <w:tc>
          <w:tcPr>
            <w:tcW w:w="680" w:type="dxa"/>
            <w:vAlign w:val="bottom"/>
            <w:shd w:val="clear" w:color="auto" w:fill="56C271"/>
          </w:tcPr>
          <w:p>
            <w:pPr>
              <w:jc w:val="right"/>
              <w:ind w:right="17"/>
              <w:spacing w:after="0" w:line="135" w:lineRule="exact"/>
              <w:rPr>
                <w:sz w:val="20"/>
                <w:szCs w:val="20"/>
                <w:color w:val="auto"/>
              </w:rPr>
            </w:pPr>
            <w:r>
              <w:rPr>
                <w:rFonts w:ascii="Arial" w:cs="Arial" w:eastAsia="Arial" w:hAnsi="Arial"/>
                <w:sz w:val="13"/>
                <w:szCs w:val="13"/>
                <w:b w:val="1"/>
                <w:bCs w:val="1"/>
                <w:color w:val="FEFEFE"/>
              </w:rPr>
              <w:t>($)</w:t>
            </w:r>
          </w:p>
        </w:tc>
        <w:tc>
          <w:tcPr>
            <w:tcW w:w="660" w:type="dxa"/>
            <w:vAlign w:val="bottom"/>
            <w:shd w:val="clear" w:color="auto" w:fill="56C271"/>
          </w:tcPr>
          <w:p>
            <w:pPr>
              <w:jc w:val="right"/>
              <w:ind w:right="17"/>
              <w:spacing w:after="0" w:line="135" w:lineRule="exact"/>
              <w:rPr>
                <w:sz w:val="20"/>
                <w:szCs w:val="20"/>
                <w:color w:val="auto"/>
              </w:rPr>
            </w:pPr>
            <w:r>
              <w:rPr>
                <w:rFonts w:ascii="Arial" w:cs="Arial" w:eastAsia="Arial" w:hAnsi="Arial"/>
                <w:sz w:val="13"/>
                <w:szCs w:val="13"/>
                <w:b w:val="1"/>
                <w:bCs w:val="1"/>
                <w:color w:val="FEFEFE"/>
              </w:rPr>
              <w:t>($)</w:t>
            </w:r>
          </w:p>
        </w:tc>
        <w:tc>
          <w:tcPr>
            <w:tcW w:w="660" w:type="dxa"/>
            <w:vAlign w:val="bottom"/>
            <w:shd w:val="clear" w:color="auto" w:fill="56C271"/>
          </w:tcPr>
          <w:p>
            <w:pPr>
              <w:jc w:val="right"/>
              <w:spacing w:after="0" w:line="135" w:lineRule="exact"/>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56C271"/>
          </w:tcPr>
          <w:p>
            <w:pPr>
              <w:spacing w:after="0"/>
              <w:rPr>
                <w:sz w:val="11"/>
                <w:szCs w:val="11"/>
                <w:color w:val="auto"/>
              </w:rPr>
            </w:pPr>
          </w:p>
        </w:tc>
        <w:tc>
          <w:tcPr>
            <w:tcW w:w="680" w:type="dxa"/>
            <w:vAlign w:val="bottom"/>
            <w:shd w:val="clear" w:color="auto" w:fill="56C271"/>
          </w:tcPr>
          <w:p>
            <w:pPr>
              <w:jc w:val="right"/>
              <w:ind w:right="17"/>
              <w:spacing w:after="0" w:line="135" w:lineRule="exact"/>
              <w:rPr>
                <w:sz w:val="20"/>
                <w:szCs w:val="20"/>
                <w:color w:val="auto"/>
              </w:rPr>
            </w:pPr>
            <w:r>
              <w:rPr>
                <w:rFonts w:ascii="Arial" w:cs="Arial" w:eastAsia="Arial" w:hAnsi="Arial"/>
                <w:sz w:val="13"/>
                <w:szCs w:val="13"/>
                <w:b w:val="1"/>
                <w:bCs w:val="1"/>
                <w:color w:val="FEFEFE"/>
              </w:rPr>
              <w:t>(#)</w:t>
            </w:r>
          </w:p>
        </w:tc>
        <w:tc>
          <w:tcPr>
            <w:tcW w:w="500" w:type="dxa"/>
            <w:vAlign w:val="bottom"/>
            <w:shd w:val="clear" w:color="auto" w:fill="56C271"/>
          </w:tcPr>
          <w:p>
            <w:pPr>
              <w:jc w:val="center"/>
              <w:ind w:left="137"/>
              <w:spacing w:after="0" w:line="135" w:lineRule="exact"/>
              <w:rPr>
                <w:sz w:val="20"/>
                <w:szCs w:val="20"/>
                <w:color w:val="auto"/>
              </w:rPr>
            </w:pPr>
            <w:r>
              <w:rPr>
                <w:rFonts w:ascii="Arial" w:cs="Arial" w:eastAsia="Arial" w:hAnsi="Arial"/>
                <w:sz w:val="13"/>
                <w:szCs w:val="13"/>
                <w:b w:val="1"/>
                <w:bCs w:val="1"/>
                <w:color w:val="FEFEFE"/>
                <w:w w:val="87"/>
              </w:rPr>
              <w:t>(#)</w:t>
            </w:r>
          </w:p>
        </w:tc>
        <w:tc>
          <w:tcPr>
            <w:tcW w:w="660" w:type="dxa"/>
            <w:vAlign w:val="bottom"/>
            <w:shd w:val="clear" w:color="auto" w:fill="56C271"/>
          </w:tcPr>
          <w:p>
            <w:pPr>
              <w:jc w:val="right"/>
              <w:spacing w:after="0" w:line="135" w:lineRule="exact"/>
              <w:rPr>
                <w:sz w:val="20"/>
                <w:szCs w:val="20"/>
                <w:color w:val="auto"/>
              </w:rPr>
            </w:pPr>
            <w:r>
              <w:rPr>
                <w:rFonts w:ascii="Arial" w:cs="Arial" w:eastAsia="Arial" w:hAnsi="Arial"/>
                <w:sz w:val="13"/>
                <w:szCs w:val="13"/>
                <w:b w:val="1"/>
                <w:bCs w:val="1"/>
                <w:color w:val="FEFEFE"/>
              </w:rPr>
              <w:t>(#)</w:t>
            </w:r>
          </w:p>
        </w:tc>
        <w:tc>
          <w:tcPr>
            <w:tcW w:w="40" w:type="dxa"/>
            <w:vAlign w:val="bottom"/>
            <w:shd w:val="clear" w:color="auto" w:fill="56C271"/>
          </w:tcPr>
          <w:p>
            <w:pPr>
              <w:spacing w:after="0"/>
              <w:rPr>
                <w:sz w:val="11"/>
                <w:szCs w:val="11"/>
                <w:color w:val="auto"/>
              </w:rPr>
            </w:pPr>
          </w:p>
        </w:tc>
        <w:tc>
          <w:tcPr>
            <w:tcW w:w="76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Units</w:t>
            </w:r>
          </w:p>
        </w:tc>
        <w:tc>
          <w:tcPr>
            <w:tcW w:w="76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Options</w:t>
            </w:r>
          </w:p>
        </w:tc>
        <w:tc>
          <w:tcPr>
            <w:tcW w:w="80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($/Sh)</w:t>
            </w:r>
          </w:p>
        </w:tc>
        <w:tc>
          <w:tcPr>
            <w:tcW w:w="760" w:type="dxa"/>
            <w:vAlign w:val="bottom"/>
            <w:shd w:val="clear" w:color="auto" w:fill="56C271"/>
          </w:tcPr>
          <w:p>
            <w:pPr>
              <w:jc w:val="right"/>
              <w:ind w:right="19"/>
              <w:spacing w:after="0" w:line="135" w:lineRule="exact"/>
              <w:rPr>
                <w:sz w:val="20"/>
                <w:szCs w:val="20"/>
                <w:color w:val="auto"/>
              </w:rPr>
            </w:pPr>
            <w:r>
              <w:rPr>
                <w:rFonts w:ascii="Arial" w:cs="Arial" w:eastAsia="Arial" w:hAnsi="Arial"/>
                <w:sz w:val="13"/>
                <w:szCs w:val="13"/>
                <w:b w:val="1"/>
                <w:bCs w:val="1"/>
                <w:color w:val="FEFEFE"/>
              </w:rPr>
              <w:t>Awards</w:t>
            </w:r>
          </w:p>
        </w:tc>
      </w:tr>
      <w:tr>
        <w:trPr>
          <w:trHeight w:val="157"/>
        </w:trPr>
        <w:tc>
          <w:tcPr>
            <w:tcW w:w="1860" w:type="dxa"/>
            <w:vAlign w:val="bottom"/>
            <w:shd w:val="clear" w:color="auto" w:fill="56C271"/>
          </w:tcPr>
          <w:p>
            <w:pPr>
              <w:ind w:left="40"/>
              <w:spacing w:after="0"/>
              <w:rPr>
                <w:sz w:val="20"/>
                <w:szCs w:val="20"/>
                <w:color w:val="auto"/>
              </w:rPr>
            </w:pPr>
            <w:r>
              <w:rPr>
                <w:rFonts w:ascii="Arial" w:cs="Arial" w:eastAsia="Arial" w:hAnsi="Arial"/>
                <w:sz w:val="13"/>
                <w:szCs w:val="13"/>
                <w:b w:val="1"/>
                <w:bCs w:val="1"/>
                <w:color w:val="FEFEFE"/>
              </w:rPr>
              <w:t>Name (a)</w:t>
            </w:r>
          </w:p>
        </w:tc>
        <w:tc>
          <w:tcPr>
            <w:tcW w:w="820" w:type="dxa"/>
            <w:vAlign w:val="bottom"/>
            <w:shd w:val="clear" w:color="auto" w:fill="56C271"/>
          </w:tcPr>
          <w:p>
            <w:pPr>
              <w:jc w:val="right"/>
              <w:ind w:right="17"/>
              <w:spacing w:after="0"/>
              <w:rPr>
                <w:sz w:val="20"/>
                <w:szCs w:val="20"/>
                <w:color w:val="auto"/>
              </w:rPr>
            </w:pPr>
            <w:r>
              <w:rPr>
                <w:rFonts w:ascii="Arial" w:cs="Arial" w:eastAsia="Arial" w:hAnsi="Arial"/>
                <w:sz w:val="13"/>
                <w:szCs w:val="13"/>
                <w:b w:val="1"/>
                <w:bCs w:val="1"/>
                <w:color w:val="FEFEFE"/>
              </w:rPr>
              <w:t>(b)</w:t>
            </w:r>
          </w:p>
        </w:tc>
        <w:tc>
          <w:tcPr>
            <w:tcW w:w="68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(c)</w:t>
            </w:r>
          </w:p>
        </w:tc>
        <w:tc>
          <w:tcPr>
            <w:tcW w:w="6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(d)</w:t>
            </w:r>
          </w:p>
        </w:tc>
        <w:tc>
          <w:tcPr>
            <w:tcW w:w="740" w:type="dxa"/>
            <w:vAlign w:val="bottom"/>
            <w:gridSpan w:val="2"/>
            <w:shd w:val="clear" w:color="auto" w:fill="56C271"/>
          </w:tcPr>
          <w:p>
            <w:pPr>
              <w:ind w:left="500"/>
              <w:spacing w:after="0"/>
              <w:rPr>
                <w:sz w:val="20"/>
                <w:szCs w:val="20"/>
                <w:color w:val="auto"/>
              </w:rPr>
            </w:pPr>
            <w:r>
              <w:rPr>
                <w:rFonts w:ascii="Arial" w:cs="Arial" w:eastAsia="Arial" w:hAnsi="Arial"/>
                <w:sz w:val="13"/>
                <w:szCs w:val="13"/>
                <w:b w:val="1"/>
                <w:bCs w:val="1"/>
                <w:color w:val="FEFEFE"/>
              </w:rPr>
              <w:t>(e)</w:t>
            </w:r>
          </w:p>
        </w:tc>
        <w:tc>
          <w:tcPr>
            <w:tcW w:w="680" w:type="dxa"/>
            <w:vAlign w:val="bottom"/>
            <w:shd w:val="clear" w:color="auto" w:fill="56C271"/>
          </w:tcPr>
          <w:p>
            <w:pPr>
              <w:ind w:left="520"/>
              <w:spacing w:after="0"/>
              <w:rPr>
                <w:sz w:val="20"/>
                <w:szCs w:val="20"/>
                <w:color w:val="auto"/>
              </w:rPr>
            </w:pPr>
            <w:r>
              <w:rPr>
                <w:rFonts w:ascii="Arial" w:cs="Arial" w:eastAsia="Arial" w:hAnsi="Arial"/>
                <w:sz w:val="13"/>
                <w:szCs w:val="13"/>
                <w:b w:val="1"/>
                <w:bCs w:val="1"/>
                <w:color w:val="FEFEFE"/>
              </w:rPr>
              <w:t>(f)</w:t>
            </w:r>
          </w:p>
        </w:tc>
        <w:tc>
          <w:tcPr>
            <w:tcW w:w="500" w:type="dxa"/>
            <w:vAlign w:val="bottom"/>
            <w:shd w:val="clear" w:color="auto" w:fill="56C271"/>
          </w:tcPr>
          <w:p>
            <w:pPr>
              <w:jc w:val="center"/>
              <w:ind w:left="197"/>
              <w:spacing w:after="0"/>
              <w:rPr>
                <w:sz w:val="20"/>
                <w:szCs w:val="20"/>
                <w:color w:val="auto"/>
              </w:rPr>
            </w:pPr>
            <w:r>
              <w:rPr>
                <w:rFonts w:ascii="Arial" w:cs="Arial" w:eastAsia="Arial" w:hAnsi="Arial"/>
                <w:sz w:val="13"/>
                <w:szCs w:val="13"/>
                <w:b w:val="1"/>
                <w:bCs w:val="1"/>
                <w:color w:val="FEFEFE"/>
                <w:w w:val="96"/>
              </w:rPr>
              <w:t>(g)</w:t>
            </w:r>
          </w:p>
        </w:tc>
        <w:tc>
          <w:tcPr>
            <w:tcW w:w="700" w:type="dxa"/>
            <w:vAlign w:val="bottom"/>
            <w:gridSpan w:val="2"/>
            <w:shd w:val="clear" w:color="auto" w:fill="56C271"/>
          </w:tcPr>
          <w:p>
            <w:pPr>
              <w:jc w:val="right"/>
              <w:ind w:right="40"/>
              <w:spacing w:after="0"/>
              <w:rPr>
                <w:sz w:val="20"/>
                <w:szCs w:val="20"/>
                <w:color w:val="auto"/>
              </w:rPr>
            </w:pPr>
            <w:r>
              <w:rPr>
                <w:rFonts w:ascii="Arial" w:cs="Arial" w:eastAsia="Arial" w:hAnsi="Arial"/>
                <w:sz w:val="13"/>
                <w:szCs w:val="13"/>
                <w:b w:val="1"/>
                <w:bCs w:val="1"/>
                <w:color w:val="FEFEFE"/>
              </w:rPr>
              <w:t>(h)</w:t>
            </w:r>
          </w:p>
        </w:tc>
        <w:tc>
          <w:tcPr>
            <w:tcW w:w="7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(#)(2)(i)</w:t>
            </w:r>
          </w:p>
        </w:tc>
        <w:tc>
          <w:tcPr>
            <w:tcW w:w="7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(#)(2)(j)</w:t>
            </w:r>
          </w:p>
        </w:tc>
        <w:tc>
          <w:tcPr>
            <w:tcW w:w="8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(k)</w:t>
            </w:r>
          </w:p>
        </w:tc>
        <w:tc>
          <w:tcPr>
            <w:tcW w:w="7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(l)</w:t>
            </w:r>
          </w:p>
        </w:tc>
      </w:tr>
      <w:tr>
        <w:trPr>
          <w:trHeight w:val="173"/>
        </w:trPr>
        <w:tc>
          <w:tcPr>
            <w:tcW w:w="1860" w:type="dxa"/>
            <w:vAlign w:val="bottom"/>
          </w:tcPr>
          <w:p>
            <w:pPr>
              <w:ind w:left="40"/>
              <w:spacing w:after="0"/>
              <w:rPr>
                <w:sz w:val="20"/>
                <w:szCs w:val="20"/>
                <w:color w:val="auto"/>
              </w:rPr>
            </w:pPr>
            <w:r>
              <w:rPr>
                <w:rFonts w:ascii="Arial" w:cs="Arial" w:eastAsia="Arial" w:hAnsi="Arial"/>
                <w:sz w:val="13"/>
                <w:szCs w:val="13"/>
                <w:color w:val="auto"/>
              </w:rPr>
              <w:t>Philip R. Gallagher</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tcPr>
          <w:p>
            <w:pPr>
              <w:jc w:val="right"/>
              <w:spacing w:after="0"/>
              <w:rPr>
                <w:sz w:val="20"/>
                <w:szCs w:val="20"/>
                <w:color w:val="auto"/>
              </w:rPr>
            </w:pPr>
            <w:r>
              <w:rPr>
                <w:rFonts w:ascii="Arial" w:cs="Arial" w:eastAsia="Arial" w:hAnsi="Arial"/>
                <w:sz w:val="13"/>
                <w:szCs w:val="13"/>
                <w:color w:val="auto"/>
              </w:rPr>
              <w:t>451,774</w:t>
            </w:r>
          </w:p>
        </w:tc>
        <w:tc>
          <w:tcPr>
            <w:tcW w:w="660" w:type="dxa"/>
            <w:vAlign w:val="bottom"/>
          </w:tcPr>
          <w:p>
            <w:pPr>
              <w:jc w:val="right"/>
              <w:spacing w:after="0"/>
              <w:rPr>
                <w:sz w:val="20"/>
                <w:szCs w:val="20"/>
                <w:color w:val="auto"/>
              </w:rPr>
            </w:pPr>
            <w:r>
              <w:rPr>
                <w:rFonts w:ascii="Arial" w:cs="Arial" w:eastAsia="Arial" w:hAnsi="Arial"/>
                <w:sz w:val="13"/>
                <w:szCs w:val="13"/>
                <w:color w:val="auto"/>
              </w:rPr>
              <w:t>1,411,793</w:t>
            </w:r>
          </w:p>
        </w:tc>
        <w:tc>
          <w:tcPr>
            <w:tcW w:w="660" w:type="dxa"/>
            <w:vAlign w:val="bottom"/>
          </w:tcPr>
          <w:p>
            <w:pPr>
              <w:jc w:val="right"/>
              <w:spacing w:after="0"/>
              <w:rPr>
                <w:sz w:val="20"/>
                <w:szCs w:val="20"/>
                <w:color w:val="auto"/>
              </w:rPr>
            </w:pPr>
            <w:r>
              <w:rPr>
                <w:rFonts w:ascii="Arial" w:cs="Arial" w:eastAsia="Arial" w:hAnsi="Arial"/>
                <w:sz w:val="13"/>
                <w:szCs w:val="13"/>
                <w:color w:val="auto"/>
              </w:rPr>
              <w:t>2,823,586</w:t>
            </w:r>
          </w:p>
        </w:tc>
        <w:tc>
          <w:tcPr>
            <w:tcW w:w="8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1860" w:type="dxa"/>
            <w:vAlign w:val="bottom"/>
          </w:tcPr>
          <w:p>
            <w:pPr>
              <w:spacing w:after="0"/>
              <w:rPr>
                <w:sz w:val="16"/>
                <w:szCs w:val="16"/>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11/17/2020</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191,048</w:t>
            </w:r>
          </w:p>
        </w:tc>
        <w:tc>
          <w:tcPr>
            <w:tcW w:w="800" w:type="dxa"/>
            <w:vAlign w:val="bottom"/>
          </w:tcPr>
          <w:p>
            <w:pPr>
              <w:jc w:val="right"/>
              <w:spacing w:after="0"/>
              <w:rPr>
                <w:sz w:val="20"/>
                <w:szCs w:val="20"/>
                <w:color w:val="auto"/>
              </w:rPr>
            </w:pPr>
            <w:r>
              <w:rPr>
                <w:rFonts w:ascii="Arial" w:cs="Arial" w:eastAsia="Arial" w:hAnsi="Arial"/>
                <w:sz w:val="13"/>
                <w:szCs w:val="13"/>
                <w:color w:val="auto"/>
              </w:rPr>
              <w:t>29.38</w:t>
            </w:r>
          </w:p>
        </w:tc>
        <w:tc>
          <w:tcPr>
            <w:tcW w:w="760" w:type="dxa"/>
            <w:vAlign w:val="bottom"/>
          </w:tcPr>
          <w:p>
            <w:pPr>
              <w:jc w:val="right"/>
              <w:spacing w:after="0"/>
              <w:rPr>
                <w:sz w:val="20"/>
                <w:szCs w:val="20"/>
                <w:color w:val="auto"/>
              </w:rPr>
            </w:pPr>
            <w:r>
              <w:rPr>
                <w:rFonts w:ascii="Arial" w:cs="Arial" w:eastAsia="Arial" w:hAnsi="Arial"/>
                <w:sz w:val="13"/>
                <w:szCs w:val="13"/>
                <w:color w:val="auto"/>
              </w:rPr>
              <w:t>1,203,602</w:t>
            </w:r>
          </w:p>
        </w:tc>
      </w:tr>
      <w:tr>
        <w:trPr>
          <w:trHeight w:val="197"/>
        </w:trPr>
        <w:tc>
          <w:tcPr>
            <w:tcW w:w="186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11/17/2020</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59,564</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1,654,457</w:t>
            </w:r>
          </w:p>
        </w:tc>
      </w:tr>
      <w:tr>
        <w:trPr>
          <w:trHeight w:val="181"/>
        </w:trPr>
        <w:tc>
          <w:tcPr>
            <w:tcW w:w="1860" w:type="dxa"/>
            <w:vAlign w:val="bottom"/>
            <w:shd w:val="clear" w:color="auto" w:fill="CCEDD4"/>
          </w:tcPr>
          <w:p>
            <w:pPr>
              <w:ind w:left="40"/>
              <w:spacing w:after="0"/>
              <w:rPr>
                <w:sz w:val="20"/>
                <w:szCs w:val="20"/>
                <w:color w:val="auto"/>
              </w:rPr>
            </w:pPr>
            <w:r>
              <w:rPr>
                <w:rFonts w:ascii="Arial" w:cs="Arial" w:eastAsia="Arial" w:hAnsi="Arial"/>
                <w:sz w:val="13"/>
                <w:szCs w:val="13"/>
                <w:color w:val="auto"/>
              </w:rPr>
              <w:t>Thomas Liguori</w:t>
            </w:r>
          </w:p>
        </w:tc>
        <w:tc>
          <w:tcPr>
            <w:tcW w:w="820" w:type="dxa"/>
            <w:vAlign w:val="bottom"/>
            <w:shd w:val="clear" w:color="auto" w:fill="CCEDD4"/>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169,600</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530,000</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1,060,000</w:t>
            </w:r>
          </w:p>
        </w:tc>
        <w:tc>
          <w:tcPr>
            <w:tcW w:w="80" w:type="dxa"/>
            <w:vAlign w:val="bottom"/>
            <w:shd w:val="clear" w:color="auto" w:fill="CCEDD4"/>
          </w:tcPr>
          <w:p>
            <w:pPr>
              <w:spacing w:after="0"/>
              <w:rPr>
                <w:sz w:val="15"/>
                <w:szCs w:val="15"/>
                <w:color w:val="auto"/>
              </w:rPr>
            </w:pPr>
          </w:p>
        </w:tc>
        <w:tc>
          <w:tcPr>
            <w:tcW w:w="680" w:type="dxa"/>
            <w:vAlign w:val="bottom"/>
            <w:shd w:val="clear" w:color="auto" w:fill="CCEDD4"/>
          </w:tcPr>
          <w:p>
            <w:pPr>
              <w:ind w:left="5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DD4"/>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DD4"/>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1860" w:type="dxa"/>
            <w:vAlign w:val="bottom"/>
            <w:shd w:val="clear" w:color="auto" w:fill="CCEDD4"/>
          </w:tcPr>
          <w:p>
            <w:pPr>
              <w:spacing w:after="0"/>
              <w:rPr>
                <w:sz w:val="16"/>
                <w:szCs w:val="16"/>
                <w:color w:val="auto"/>
              </w:rPr>
            </w:pPr>
          </w:p>
        </w:tc>
        <w:tc>
          <w:tcPr>
            <w:tcW w:w="820" w:type="dxa"/>
            <w:vAlign w:val="bottom"/>
            <w:shd w:val="clear" w:color="auto" w:fill="CCEDD4"/>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DD4"/>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DD4"/>
          </w:tcPr>
          <w:p>
            <w:pPr>
              <w:spacing w:after="0"/>
              <w:rPr>
                <w:sz w:val="16"/>
                <w:szCs w:val="16"/>
                <w:color w:val="auto"/>
              </w:rPr>
            </w:pPr>
          </w:p>
        </w:tc>
        <w:tc>
          <w:tcPr>
            <w:tcW w:w="500" w:type="dxa"/>
            <w:vAlign w:val="bottom"/>
            <w:shd w:val="clear" w:color="auto" w:fill="CCEDD4"/>
          </w:tcPr>
          <w:p>
            <w:pPr>
              <w:spacing w:after="0"/>
              <w:rPr>
                <w:sz w:val="16"/>
                <w:szCs w:val="16"/>
                <w:color w:val="auto"/>
              </w:rPr>
            </w:pPr>
          </w:p>
        </w:tc>
        <w:tc>
          <w:tcPr>
            <w:tcW w:w="660" w:type="dxa"/>
            <w:vAlign w:val="bottom"/>
            <w:shd w:val="clear" w:color="auto" w:fill="CCEDD4"/>
          </w:tcPr>
          <w:p>
            <w:pPr>
              <w:spacing w:after="0"/>
              <w:rPr>
                <w:sz w:val="16"/>
                <w:szCs w:val="16"/>
                <w:color w:val="auto"/>
              </w:rPr>
            </w:pPr>
          </w:p>
        </w:tc>
        <w:tc>
          <w:tcPr>
            <w:tcW w:w="40" w:type="dxa"/>
            <w:vAlign w:val="bottom"/>
            <w:shd w:val="clear" w:color="auto" w:fill="CCEDD4"/>
          </w:tcPr>
          <w:p>
            <w:pPr>
              <w:spacing w:after="0"/>
              <w:rPr>
                <w:sz w:val="16"/>
                <w:szCs w:val="16"/>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80,644</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29.85</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519,347</w:t>
            </w:r>
          </w:p>
        </w:tc>
      </w:tr>
      <w:tr>
        <w:trPr>
          <w:trHeight w:val="205"/>
        </w:trPr>
        <w:tc>
          <w:tcPr>
            <w:tcW w:w="1860" w:type="dxa"/>
            <w:vAlign w:val="bottom"/>
            <w:shd w:val="clear" w:color="auto" w:fill="CCEDD4"/>
          </w:tcPr>
          <w:p>
            <w:pPr>
              <w:spacing w:after="0"/>
              <w:rPr>
                <w:sz w:val="17"/>
                <w:szCs w:val="17"/>
                <w:color w:val="auto"/>
              </w:rPr>
            </w:pPr>
          </w:p>
        </w:tc>
        <w:tc>
          <w:tcPr>
            <w:tcW w:w="820" w:type="dxa"/>
            <w:vAlign w:val="bottom"/>
            <w:shd w:val="clear" w:color="auto" w:fill="CCEDD4"/>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DD4"/>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DD4"/>
          </w:tcPr>
          <w:p>
            <w:pPr>
              <w:ind w:left="5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DD4"/>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DD4"/>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25,124</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709,655</w:t>
            </w:r>
          </w:p>
        </w:tc>
      </w:tr>
      <w:tr>
        <w:trPr>
          <w:trHeight w:val="173"/>
        </w:trPr>
        <w:tc>
          <w:tcPr>
            <w:tcW w:w="1860" w:type="dxa"/>
            <w:vAlign w:val="bottom"/>
          </w:tcPr>
          <w:p>
            <w:pPr>
              <w:ind w:left="40"/>
              <w:spacing w:after="0"/>
              <w:rPr>
                <w:sz w:val="20"/>
                <w:szCs w:val="20"/>
                <w:color w:val="auto"/>
              </w:rPr>
            </w:pPr>
            <w:r>
              <w:rPr>
                <w:rFonts w:ascii="Arial" w:cs="Arial" w:eastAsia="Arial" w:hAnsi="Arial"/>
                <w:sz w:val="13"/>
                <w:szCs w:val="13"/>
                <w:color w:val="auto"/>
              </w:rPr>
              <w:t>Ken E. Arnold</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tcPr>
          <w:p>
            <w:pPr>
              <w:jc w:val="right"/>
              <w:spacing w:after="0"/>
              <w:rPr>
                <w:sz w:val="20"/>
                <w:szCs w:val="20"/>
                <w:color w:val="auto"/>
              </w:rPr>
            </w:pPr>
            <w:r>
              <w:rPr>
                <w:rFonts w:ascii="Arial" w:cs="Arial" w:eastAsia="Arial" w:hAnsi="Arial"/>
                <w:sz w:val="13"/>
                <w:szCs w:val="13"/>
                <w:color w:val="auto"/>
              </w:rPr>
              <w:t>86,980</w:t>
            </w:r>
          </w:p>
        </w:tc>
        <w:tc>
          <w:tcPr>
            <w:tcW w:w="660" w:type="dxa"/>
            <w:vAlign w:val="bottom"/>
          </w:tcPr>
          <w:p>
            <w:pPr>
              <w:jc w:val="right"/>
              <w:spacing w:after="0"/>
              <w:rPr>
                <w:sz w:val="20"/>
                <w:szCs w:val="20"/>
                <w:color w:val="auto"/>
              </w:rPr>
            </w:pPr>
            <w:r>
              <w:rPr>
                <w:rFonts w:ascii="Arial" w:cs="Arial" w:eastAsia="Arial" w:hAnsi="Arial"/>
                <w:sz w:val="13"/>
                <w:szCs w:val="13"/>
                <w:color w:val="auto"/>
              </w:rPr>
              <w:t>271,811</w:t>
            </w:r>
          </w:p>
        </w:tc>
        <w:tc>
          <w:tcPr>
            <w:tcW w:w="660" w:type="dxa"/>
            <w:vAlign w:val="bottom"/>
          </w:tcPr>
          <w:p>
            <w:pPr>
              <w:jc w:val="right"/>
              <w:spacing w:after="0"/>
              <w:rPr>
                <w:sz w:val="20"/>
                <w:szCs w:val="20"/>
                <w:color w:val="auto"/>
              </w:rPr>
            </w:pPr>
            <w:r>
              <w:rPr>
                <w:rFonts w:ascii="Arial" w:cs="Arial" w:eastAsia="Arial" w:hAnsi="Arial"/>
                <w:sz w:val="13"/>
                <w:szCs w:val="13"/>
                <w:color w:val="auto"/>
              </w:rPr>
              <w:t>543,622</w:t>
            </w:r>
          </w:p>
        </w:tc>
        <w:tc>
          <w:tcPr>
            <w:tcW w:w="8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1860" w:type="dxa"/>
            <w:vAlign w:val="bottom"/>
          </w:tcPr>
          <w:p>
            <w:pPr>
              <w:spacing w:after="0"/>
              <w:rPr>
                <w:sz w:val="16"/>
                <w:szCs w:val="16"/>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33,604</w:t>
            </w:r>
          </w:p>
        </w:tc>
        <w:tc>
          <w:tcPr>
            <w:tcW w:w="800" w:type="dxa"/>
            <w:vAlign w:val="bottom"/>
          </w:tcPr>
          <w:p>
            <w:pPr>
              <w:jc w:val="right"/>
              <w:spacing w:after="0"/>
              <w:rPr>
                <w:sz w:val="20"/>
                <w:szCs w:val="20"/>
                <w:color w:val="auto"/>
              </w:rPr>
            </w:pPr>
            <w:r>
              <w:rPr>
                <w:rFonts w:ascii="Arial" w:cs="Arial" w:eastAsia="Arial" w:hAnsi="Arial"/>
                <w:sz w:val="13"/>
                <w:szCs w:val="13"/>
                <w:color w:val="auto"/>
              </w:rPr>
              <w:t>29.85</w:t>
            </w:r>
          </w:p>
        </w:tc>
        <w:tc>
          <w:tcPr>
            <w:tcW w:w="760" w:type="dxa"/>
            <w:vAlign w:val="bottom"/>
          </w:tcPr>
          <w:p>
            <w:pPr>
              <w:jc w:val="right"/>
              <w:spacing w:after="0"/>
              <w:rPr>
                <w:sz w:val="20"/>
                <w:szCs w:val="20"/>
                <w:color w:val="auto"/>
              </w:rPr>
            </w:pPr>
            <w:r>
              <w:rPr>
                <w:rFonts w:ascii="Arial" w:cs="Arial" w:eastAsia="Arial" w:hAnsi="Arial"/>
                <w:sz w:val="13"/>
                <w:szCs w:val="13"/>
                <w:color w:val="auto"/>
              </w:rPr>
              <w:t>216,410</w:t>
            </w:r>
          </w:p>
        </w:tc>
      </w:tr>
      <w:tr>
        <w:trPr>
          <w:trHeight w:val="197"/>
        </w:trPr>
        <w:tc>
          <w:tcPr>
            <w:tcW w:w="186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10,468</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295,680</w:t>
            </w:r>
          </w:p>
        </w:tc>
      </w:tr>
      <w:tr>
        <w:trPr>
          <w:trHeight w:val="181"/>
        </w:trPr>
        <w:tc>
          <w:tcPr>
            <w:tcW w:w="1860" w:type="dxa"/>
            <w:vAlign w:val="bottom"/>
            <w:shd w:val="clear" w:color="auto" w:fill="CCEDD4"/>
          </w:tcPr>
          <w:p>
            <w:pPr>
              <w:ind w:left="40"/>
              <w:spacing w:after="0"/>
              <w:rPr>
                <w:sz w:val="20"/>
                <w:szCs w:val="20"/>
                <w:color w:val="auto"/>
              </w:rPr>
            </w:pPr>
            <w:r>
              <w:rPr>
                <w:rFonts w:ascii="Arial" w:cs="Arial" w:eastAsia="Arial" w:hAnsi="Arial"/>
                <w:sz w:val="13"/>
                <w:szCs w:val="13"/>
                <w:color w:val="auto"/>
              </w:rPr>
              <w:t>Max Chan</w:t>
            </w:r>
          </w:p>
        </w:tc>
        <w:tc>
          <w:tcPr>
            <w:tcW w:w="820" w:type="dxa"/>
            <w:vAlign w:val="bottom"/>
            <w:shd w:val="clear" w:color="auto" w:fill="CCEDD4"/>
          </w:tcPr>
          <w:p>
            <w:pPr>
              <w:jc w:val="right"/>
              <w:ind w:right="17"/>
              <w:spacing w:after="0"/>
              <w:rPr>
                <w:sz w:val="20"/>
                <w:szCs w:val="20"/>
                <w:color w:val="auto"/>
              </w:rPr>
            </w:pPr>
            <w:r>
              <w:rPr>
                <w:rFonts w:ascii="Arial" w:cs="Arial" w:eastAsia="Arial" w:hAnsi="Arial"/>
                <w:sz w:val="13"/>
                <w:szCs w:val="13"/>
                <w:color w:val="auto"/>
              </w:rPr>
              <w:t>6/29/2020</w:t>
            </w:r>
          </w:p>
        </w:tc>
        <w:tc>
          <w:tcPr>
            <w:tcW w:w="6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93,000</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155,000</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310,000</w:t>
            </w:r>
          </w:p>
        </w:tc>
        <w:tc>
          <w:tcPr>
            <w:tcW w:w="80" w:type="dxa"/>
            <w:vAlign w:val="bottom"/>
            <w:shd w:val="clear" w:color="auto" w:fill="CCEDD4"/>
          </w:tcPr>
          <w:p>
            <w:pPr>
              <w:spacing w:after="0"/>
              <w:rPr>
                <w:sz w:val="15"/>
                <w:szCs w:val="15"/>
                <w:color w:val="auto"/>
              </w:rPr>
            </w:pPr>
          </w:p>
        </w:tc>
        <w:tc>
          <w:tcPr>
            <w:tcW w:w="680" w:type="dxa"/>
            <w:vAlign w:val="bottom"/>
            <w:shd w:val="clear" w:color="auto" w:fill="CCEDD4"/>
          </w:tcPr>
          <w:p>
            <w:pPr>
              <w:ind w:left="5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DD4"/>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DD4"/>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860" w:type="dxa"/>
            <w:vAlign w:val="bottom"/>
            <w:shd w:val="clear" w:color="auto" w:fill="CCEDD4"/>
          </w:tcPr>
          <w:p>
            <w:pPr>
              <w:spacing w:after="0"/>
              <w:rPr>
                <w:sz w:val="17"/>
                <w:szCs w:val="17"/>
                <w:color w:val="auto"/>
              </w:rPr>
            </w:pPr>
          </w:p>
        </w:tc>
        <w:tc>
          <w:tcPr>
            <w:tcW w:w="820" w:type="dxa"/>
            <w:vAlign w:val="bottom"/>
            <w:shd w:val="clear" w:color="auto" w:fill="CCEDD4"/>
          </w:tcPr>
          <w:p>
            <w:pPr>
              <w:jc w:val="right"/>
              <w:ind w:right="17"/>
              <w:spacing w:after="0"/>
              <w:rPr>
                <w:sz w:val="20"/>
                <w:szCs w:val="20"/>
                <w:color w:val="auto"/>
              </w:rPr>
            </w:pPr>
            <w:r>
              <w:rPr>
                <w:rFonts w:ascii="Arial" w:cs="Arial" w:eastAsia="Arial" w:hAnsi="Arial"/>
                <w:sz w:val="13"/>
                <w:szCs w:val="13"/>
                <w:color w:val="auto"/>
              </w:rPr>
              <w:t>8/19/2020</w:t>
            </w:r>
          </w:p>
        </w:tc>
        <w:tc>
          <w:tcPr>
            <w:tcW w:w="6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DD4"/>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DD4"/>
          </w:tcPr>
          <w:p>
            <w:pPr>
              <w:ind w:left="5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DD4"/>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DD4"/>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12,736</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328,893</w:t>
            </w:r>
          </w:p>
        </w:tc>
      </w:tr>
      <w:tr>
        <w:trPr>
          <w:trHeight w:val="212"/>
        </w:trPr>
        <w:tc>
          <w:tcPr>
            <w:tcW w:w="1860" w:type="dxa"/>
            <w:vAlign w:val="bottom"/>
            <w:tcBorders>
              <w:bottom w:val="single" w:sz="8" w:color="CCEDD4"/>
            </w:tcBorders>
            <w:shd w:val="clear" w:color="auto" w:fill="CCEDD4"/>
          </w:tcPr>
          <w:p>
            <w:pPr>
              <w:spacing w:after="0"/>
              <w:rPr>
                <w:sz w:val="18"/>
                <w:szCs w:val="18"/>
                <w:color w:val="auto"/>
              </w:rPr>
            </w:pPr>
          </w:p>
        </w:tc>
        <w:tc>
          <w:tcPr>
            <w:tcW w:w="820" w:type="dxa"/>
            <w:vAlign w:val="bottom"/>
            <w:tcBorders>
              <w:bottom w:val="single" w:sz="8" w:color="CCEDD4"/>
            </w:tcBorders>
            <w:shd w:val="clear" w:color="auto" w:fill="CCEDD4"/>
          </w:tcPr>
          <w:p>
            <w:pPr>
              <w:jc w:val="right"/>
              <w:ind w:right="17"/>
              <w:spacing w:after="0"/>
              <w:rPr>
                <w:sz w:val="20"/>
                <w:szCs w:val="20"/>
                <w:color w:val="auto"/>
              </w:rPr>
            </w:pPr>
            <w:r>
              <w:rPr>
                <w:rFonts w:ascii="Arial" w:cs="Arial" w:eastAsia="Arial" w:hAnsi="Arial"/>
                <w:sz w:val="13"/>
                <w:szCs w:val="13"/>
                <w:color w:val="auto"/>
              </w:rPr>
              <w:t>1/25/2021</w:t>
            </w:r>
          </w:p>
        </w:tc>
        <w:tc>
          <w:tcPr>
            <w:tcW w:w="68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DD4"/>
            </w:tcBorders>
            <w:gridSpan w:val="2"/>
            <w:shd w:val="clear" w:color="auto" w:fill="CCEDD4"/>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DD4"/>
            </w:tcBorders>
            <w:shd w:val="clear" w:color="auto" w:fill="CCEDD4"/>
          </w:tcPr>
          <w:p>
            <w:pPr>
              <w:ind w:left="5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DD4"/>
            </w:tcBorders>
            <w:shd w:val="clear" w:color="auto" w:fill="CCEDD4"/>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tcBorders>
              <w:bottom w:val="single" w:sz="8" w:color="CCEDD4"/>
            </w:tcBorders>
            <w:gridSpan w:val="2"/>
            <w:shd w:val="clear" w:color="auto" w:fill="CCEDD4"/>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1,912</w:t>
            </w:r>
          </w:p>
        </w:tc>
        <w:tc>
          <w:tcPr>
            <w:tcW w:w="7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72,022</w:t>
            </w:r>
          </w:p>
        </w:tc>
      </w:tr>
      <w:tr>
        <w:trPr>
          <w:trHeight w:val="173"/>
        </w:trPr>
        <w:tc>
          <w:tcPr>
            <w:tcW w:w="1860" w:type="dxa"/>
            <w:vAlign w:val="bottom"/>
          </w:tcPr>
          <w:p>
            <w:pPr>
              <w:ind w:left="40"/>
              <w:spacing w:after="0"/>
              <w:rPr>
                <w:sz w:val="20"/>
                <w:szCs w:val="20"/>
                <w:color w:val="auto"/>
              </w:rPr>
            </w:pPr>
            <w:r>
              <w:rPr>
                <w:rFonts w:ascii="Arial" w:cs="Arial" w:eastAsia="Arial" w:hAnsi="Arial"/>
                <w:sz w:val="13"/>
                <w:szCs w:val="13"/>
                <w:color w:val="auto"/>
              </w:rPr>
              <w:t>Michael R. McCoy</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tcPr>
          <w:p>
            <w:pPr>
              <w:jc w:val="right"/>
              <w:spacing w:after="0"/>
              <w:rPr>
                <w:sz w:val="20"/>
                <w:szCs w:val="20"/>
                <w:color w:val="auto"/>
              </w:rPr>
            </w:pPr>
            <w:r>
              <w:rPr>
                <w:rFonts w:ascii="Arial" w:cs="Arial" w:eastAsia="Arial" w:hAnsi="Arial"/>
                <w:sz w:val="13"/>
                <w:szCs w:val="13"/>
                <w:color w:val="auto"/>
              </w:rPr>
              <w:t>86,340</w:t>
            </w:r>
          </w:p>
        </w:tc>
        <w:tc>
          <w:tcPr>
            <w:tcW w:w="660" w:type="dxa"/>
            <w:vAlign w:val="bottom"/>
          </w:tcPr>
          <w:p>
            <w:pPr>
              <w:jc w:val="right"/>
              <w:spacing w:after="0"/>
              <w:rPr>
                <w:sz w:val="20"/>
                <w:szCs w:val="20"/>
                <w:color w:val="auto"/>
              </w:rPr>
            </w:pPr>
            <w:r>
              <w:rPr>
                <w:rFonts w:ascii="Arial" w:cs="Arial" w:eastAsia="Arial" w:hAnsi="Arial"/>
                <w:sz w:val="13"/>
                <w:szCs w:val="13"/>
                <w:color w:val="auto"/>
              </w:rPr>
              <w:t>269,812</w:t>
            </w:r>
          </w:p>
        </w:tc>
        <w:tc>
          <w:tcPr>
            <w:tcW w:w="660" w:type="dxa"/>
            <w:vAlign w:val="bottom"/>
          </w:tcPr>
          <w:p>
            <w:pPr>
              <w:jc w:val="right"/>
              <w:spacing w:after="0"/>
              <w:rPr>
                <w:sz w:val="20"/>
                <w:szCs w:val="20"/>
                <w:color w:val="auto"/>
              </w:rPr>
            </w:pPr>
            <w:r>
              <w:rPr>
                <w:rFonts w:ascii="Arial" w:cs="Arial" w:eastAsia="Arial" w:hAnsi="Arial"/>
                <w:sz w:val="13"/>
                <w:szCs w:val="13"/>
                <w:color w:val="auto"/>
              </w:rPr>
              <w:t>539,624</w:t>
            </w:r>
          </w:p>
        </w:tc>
        <w:tc>
          <w:tcPr>
            <w:tcW w:w="8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86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36,292</w:t>
            </w:r>
          </w:p>
        </w:tc>
        <w:tc>
          <w:tcPr>
            <w:tcW w:w="800" w:type="dxa"/>
            <w:vAlign w:val="bottom"/>
          </w:tcPr>
          <w:p>
            <w:pPr>
              <w:jc w:val="right"/>
              <w:spacing w:after="0"/>
              <w:rPr>
                <w:sz w:val="20"/>
                <w:szCs w:val="20"/>
                <w:color w:val="auto"/>
              </w:rPr>
            </w:pPr>
            <w:r>
              <w:rPr>
                <w:rFonts w:ascii="Arial" w:cs="Arial" w:eastAsia="Arial" w:hAnsi="Arial"/>
                <w:sz w:val="13"/>
                <w:szCs w:val="13"/>
                <w:color w:val="auto"/>
              </w:rPr>
              <w:t>29.85</w:t>
            </w:r>
          </w:p>
        </w:tc>
        <w:tc>
          <w:tcPr>
            <w:tcW w:w="760" w:type="dxa"/>
            <w:vAlign w:val="bottom"/>
          </w:tcPr>
          <w:p>
            <w:pPr>
              <w:jc w:val="right"/>
              <w:spacing w:after="0"/>
              <w:rPr>
                <w:sz w:val="20"/>
                <w:szCs w:val="20"/>
                <w:color w:val="auto"/>
              </w:rPr>
            </w:pPr>
            <w:r>
              <w:rPr>
                <w:rFonts w:ascii="Arial" w:cs="Arial" w:eastAsia="Arial" w:hAnsi="Arial"/>
                <w:sz w:val="13"/>
                <w:szCs w:val="13"/>
                <w:color w:val="auto"/>
              </w:rPr>
              <w:t>233,720</w:t>
            </w:r>
          </w:p>
        </w:tc>
      </w:tr>
      <w:tr>
        <w:trPr>
          <w:trHeight w:val="203"/>
        </w:trPr>
        <w:tc>
          <w:tcPr>
            <w:tcW w:w="186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11,308</w:t>
            </w: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319,407</w:t>
            </w:r>
          </w:p>
        </w:tc>
      </w:tr>
      <w:tr>
        <w:trPr>
          <w:trHeight w:val="30"/>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1860" w:type="dxa"/>
            <w:vAlign w:val="bottom"/>
            <w:tcBorders>
              <w:bottom w:val="single" w:sz="8" w:color="CCEDD4"/>
            </w:tcBorders>
            <w:shd w:val="clear" w:color="auto" w:fill="CCEDD4"/>
          </w:tcPr>
          <w:p>
            <w:pPr>
              <w:ind w:left="40"/>
              <w:spacing w:after="0"/>
              <w:rPr>
                <w:sz w:val="20"/>
                <w:szCs w:val="20"/>
                <w:color w:val="auto"/>
              </w:rPr>
            </w:pPr>
            <w:r>
              <w:rPr>
                <w:rFonts w:ascii="Arial" w:cs="Arial" w:eastAsia="Arial" w:hAnsi="Arial"/>
                <w:sz w:val="13"/>
                <w:szCs w:val="13"/>
                <w:color w:val="auto"/>
              </w:rPr>
              <w:t>William J. Amelio</w:t>
            </w:r>
          </w:p>
        </w:tc>
        <w:tc>
          <w:tcPr>
            <w:tcW w:w="820" w:type="dxa"/>
            <w:vAlign w:val="bottom"/>
            <w:tcBorders>
              <w:bottom w:val="single" w:sz="8" w:color="CCEDD4"/>
            </w:tcBorders>
            <w:shd w:val="clear" w:color="auto" w:fill="CCEDD4"/>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DD4"/>
            </w:tcBorders>
            <w:gridSpan w:val="2"/>
            <w:shd w:val="clear" w:color="auto" w:fill="CCEDD4"/>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DD4"/>
            </w:tcBorders>
            <w:shd w:val="clear" w:color="auto" w:fill="CCEDD4"/>
          </w:tcPr>
          <w:p>
            <w:pPr>
              <w:ind w:left="5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DD4"/>
            </w:tcBorders>
            <w:shd w:val="clear" w:color="auto" w:fill="CCEDD4"/>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tcBorders>
              <w:bottom w:val="single" w:sz="8" w:color="CCEDD4"/>
            </w:tcBorders>
            <w:gridSpan w:val="2"/>
            <w:shd w:val="clear" w:color="auto" w:fill="CCEDD4"/>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1860" w:type="dxa"/>
            <w:vAlign w:val="bottom"/>
          </w:tcPr>
          <w:p>
            <w:pPr>
              <w:ind w:left="40"/>
              <w:spacing w:after="0"/>
              <w:rPr>
                <w:sz w:val="20"/>
                <w:szCs w:val="20"/>
                <w:color w:val="auto"/>
              </w:rPr>
            </w:pPr>
            <w:r>
              <w:rPr>
                <w:rFonts w:ascii="Arial" w:cs="Arial" w:eastAsia="Arial" w:hAnsi="Arial"/>
                <w:sz w:val="13"/>
                <w:szCs w:val="13"/>
                <w:color w:val="auto"/>
              </w:rPr>
              <w:t>Peter G. Bartolotta</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tcPr>
          <w:p>
            <w:pPr>
              <w:jc w:val="right"/>
              <w:spacing w:after="0"/>
              <w:rPr>
                <w:sz w:val="20"/>
                <w:szCs w:val="20"/>
                <w:color w:val="auto"/>
              </w:rPr>
            </w:pPr>
            <w:r>
              <w:rPr>
                <w:rFonts w:ascii="Arial" w:cs="Arial" w:eastAsia="Arial" w:hAnsi="Arial"/>
                <w:sz w:val="13"/>
                <w:szCs w:val="13"/>
                <w:color w:val="auto"/>
              </w:rPr>
              <w:t>46,491</w:t>
            </w:r>
          </w:p>
        </w:tc>
        <w:tc>
          <w:tcPr>
            <w:tcW w:w="660" w:type="dxa"/>
            <w:vAlign w:val="bottom"/>
          </w:tcPr>
          <w:p>
            <w:pPr>
              <w:jc w:val="right"/>
              <w:spacing w:after="0"/>
              <w:rPr>
                <w:sz w:val="20"/>
                <w:szCs w:val="20"/>
                <w:color w:val="auto"/>
              </w:rPr>
            </w:pPr>
            <w:r>
              <w:rPr>
                <w:rFonts w:ascii="Arial" w:cs="Arial" w:eastAsia="Arial" w:hAnsi="Arial"/>
                <w:sz w:val="13"/>
                <w:szCs w:val="13"/>
                <w:color w:val="auto"/>
              </w:rPr>
              <w:t>145,283</w:t>
            </w:r>
          </w:p>
        </w:tc>
        <w:tc>
          <w:tcPr>
            <w:tcW w:w="660" w:type="dxa"/>
            <w:vAlign w:val="bottom"/>
          </w:tcPr>
          <w:p>
            <w:pPr>
              <w:jc w:val="right"/>
              <w:spacing w:after="0"/>
              <w:rPr>
                <w:sz w:val="20"/>
                <w:szCs w:val="20"/>
                <w:color w:val="auto"/>
              </w:rPr>
            </w:pPr>
            <w:r>
              <w:rPr>
                <w:rFonts w:ascii="Arial" w:cs="Arial" w:eastAsia="Arial" w:hAnsi="Arial"/>
                <w:sz w:val="13"/>
                <w:szCs w:val="13"/>
                <w:color w:val="auto"/>
              </w:rPr>
              <w:t>290,566</w:t>
            </w:r>
          </w:p>
        </w:tc>
        <w:tc>
          <w:tcPr>
            <w:tcW w:w="8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73"/>
        </w:trPr>
        <w:tc>
          <w:tcPr>
            <w:tcW w:w="1860" w:type="dxa"/>
            <w:vAlign w:val="bottom"/>
            <w:shd w:val="clear" w:color="auto" w:fill="CCEDD4"/>
          </w:tcPr>
          <w:p>
            <w:pPr>
              <w:ind w:left="40"/>
              <w:spacing w:after="0"/>
              <w:rPr>
                <w:sz w:val="20"/>
                <w:szCs w:val="20"/>
                <w:color w:val="auto"/>
              </w:rPr>
            </w:pPr>
            <w:r>
              <w:rPr>
                <w:rFonts w:ascii="Arial" w:cs="Arial" w:eastAsia="Arial" w:hAnsi="Arial"/>
                <w:sz w:val="13"/>
                <w:szCs w:val="13"/>
                <w:color w:val="auto"/>
              </w:rPr>
              <w:t>MaryAnn G. Miller</w:t>
            </w:r>
          </w:p>
        </w:tc>
        <w:tc>
          <w:tcPr>
            <w:tcW w:w="820" w:type="dxa"/>
            <w:vAlign w:val="bottom"/>
            <w:shd w:val="clear" w:color="auto" w:fill="CCEDD4"/>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131,200</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410,000</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820,000</w:t>
            </w:r>
          </w:p>
        </w:tc>
        <w:tc>
          <w:tcPr>
            <w:tcW w:w="80" w:type="dxa"/>
            <w:vAlign w:val="bottom"/>
            <w:shd w:val="clear" w:color="auto" w:fill="CCEDD4"/>
          </w:tcPr>
          <w:p>
            <w:pPr>
              <w:spacing w:after="0"/>
              <w:rPr>
                <w:sz w:val="15"/>
                <w:szCs w:val="15"/>
                <w:color w:val="auto"/>
              </w:rPr>
            </w:pPr>
          </w:p>
        </w:tc>
        <w:tc>
          <w:tcPr>
            <w:tcW w:w="680" w:type="dxa"/>
            <w:vAlign w:val="bottom"/>
            <w:shd w:val="clear" w:color="auto" w:fill="CCEDD4"/>
          </w:tcPr>
          <w:p>
            <w:pPr>
              <w:ind w:left="5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DD4"/>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DD4"/>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860" w:type="dxa"/>
            <w:vAlign w:val="bottom"/>
            <w:shd w:val="clear" w:color="auto" w:fill="CCEDD4"/>
          </w:tcPr>
          <w:p>
            <w:pPr>
              <w:spacing w:after="0"/>
              <w:rPr>
                <w:sz w:val="17"/>
                <w:szCs w:val="17"/>
                <w:color w:val="auto"/>
              </w:rPr>
            </w:pPr>
          </w:p>
        </w:tc>
        <w:tc>
          <w:tcPr>
            <w:tcW w:w="820" w:type="dxa"/>
            <w:vAlign w:val="bottom"/>
            <w:shd w:val="clear" w:color="auto" w:fill="CCEDD4"/>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DD4"/>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DD4"/>
          </w:tcPr>
          <w:p>
            <w:pPr>
              <w:ind w:left="5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DD4"/>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DD4"/>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65,860</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29.85</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424,138</w:t>
            </w:r>
          </w:p>
        </w:tc>
      </w:tr>
      <w:tr>
        <w:trPr>
          <w:trHeight w:val="203"/>
        </w:trPr>
        <w:tc>
          <w:tcPr>
            <w:tcW w:w="1860" w:type="dxa"/>
            <w:vAlign w:val="bottom"/>
            <w:shd w:val="clear" w:color="auto" w:fill="CCEDD4"/>
          </w:tcPr>
          <w:p>
            <w:pPr>
              <w:spacing w:after="0"/>
              <w:rPr>
                <w:sz w:val="17"/>
                <w:szCs w:val="17"/>
                <w:color w:val="auto"/>
              </w:rPr>
            </w:pPr>
          </w:p>
        </w:tc>
        <w:tc>
          <w:tcPr>
            <w:tcW w:w="820" w:type="dxa"/>
            <w:vAlign w:val="bottom"/>
            <w:shd w:val="clear" w:color="auto" w:fill="CCEDD4"/>
          </w:tcPr>
          <w:p>
            <w:pPr>
              <w:jc w:val="right"/>
              <w:ind w:right="17"/>
              <w:spacing w:after="0"/>
              <w:rPr>
                <w:sz w:val="20"/>
                <w:szCs w:val="20"/>
                <w:color w:val="auto"/>
              </w:rPr>
            </w:pPr>
            <w:r>
              <w:rPr>
                <w:rFonts w:ascii="Arial" w:cs="Arial" w:eastAsia="Arial" w:hAnsi="Arial"/>
                <w:sz w:val="13"/>
                <w:szCs w:val="13"/>
                <w:color w:val="auto"/>
              </w:rPr>
              <w:t>11/16/2020</w:t>
            </w:r>
          </w:p>
        </w:tc>
        <w:tc>
          <w:tcPr>
            <w:tcW w:w="6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DD4"/>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DD4"/>
          </w:tcPr>
          <w:p>
            <w:pPr>
              <w:ind w:left="5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DD4"/>
          </w:tcPr>
          <w:p>
            <w:pPr>
              <w:jc w:val="center"/>
              <w:ind w:left="237"/>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DD4"/>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20,520</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579,610</w:t>
            </w:r>
          </w:p>
        </w:tc>
      </w:tr>
      <w:tr>
        <w:trPr>
          <w:trHeight w:val="90"/>
        </w:trPr>
        <w:tc>
          <w:tcPr>
            <w:tcW w:w="1860" w:type="dxa"/>
            <w:vAlign w:val="bottom"/>
            <w:tcBorders>
              <w:bottom w:val="single" w:sz="8" w:color="56C271"/>
            </w:tcBorders>
            <w:shd w:val="clear" w:color="auto" w:fill="CCEDD4"/>
          </w:tcPr>
          <w:p>
            <w:pPr>
              <w:spacing w:after="0"/>
              <w:rPr>
                <w:sz w:val="7"/>
                <w:szCs w:val="7"/>
                <w:color w:val="auto"/>
              </w:rPr>
            </w:pPr>
          </w:p>
        </w:tc>
        <w:tc>
          <w:tcPr>
            <w:tcW w:w="820" w:type="dxa"/>
            <w:vAlign w:val="bottom"/>
            <w:tcBorders>
              <w:bottom w:val="single" w:sz="8" w:color="56C271"/>
            </w:tcBorders>
            <w:shd w:val="clear" w:color="auto" w:fill="CCEDD4"/>
          </w:tcPr>
          <w:p>
            <w:pPr>
              <w:spacing w:after="0"/>
              <w:rPr>
                <w:sz w:val="7"/>
                <w:szCs w:val="7"/>
                <w:color w:val="auto"/>
              </w:rPr>
            </w:pPr>
          </w:p>
        </w:tc>
        <w:tc>
          <w:tcPr>
            <w:tcW w:w="680" w:type="dxa"/>
            <w:vAlign w:val="bottom"/>
            <w:tcBorders>
              <w:bottom w:val="single" w:sz="8" w:color="56C271"/>
            </w:tcBorders>
            <w:shd w:val="clear" w:color="auto" w:fill="CCEDD4"/>
          </w:tcPr>
          <w:p>
            <w:pPr>
              <w:spacing w:after="0"/>
              <w:rPr>
                <w:sz w:val="7"/>
                <w:szCs w:val="7"/>
                <w:color w:val="auto"/>
              </w:rPr>
            </w:pPr>
          </w:p>
        </w:tc>
        <w:tc>
          <w:tcPr>
            <w:tcW w:w="660" w:type="dxa"/>
            <w:vAlign w:val="bottom"/>
            <w:tcBorders>
              <w:bottom w:val="single" w:sz="8" w:color="56C271"/>
            </w:tcBorders>
            <w:shd w:val="clear" w:color="auto" w:fill="CCEDD4"/>
          </w:tcPr>
          <w:p>
            <w:pPr>
              <w:spacing w:after="0"/>
              <w:rPr>
                <w:sz w:val="7"/>
                <w:szCs w:val="7"/>
                <w:color w:val="auto"/>
              </w:rPr>
            </w:pPr>
          </w:p>
        </w:tc>
        <w:tc>
          <w:tcPr>
            <w:tcW w:w="660" w:type="dxa"/>
            <w:vAlign w:val="bottom"/>
            <w:tcBorders>
              <w:bottom w:val="single" w:sz="8" w:color="56C271"/>
            </w:tcBorders>
            <w:shd w:val="clear" w:color="auto" w:fill="CCEDD4"/>
          </w:tcPr>
          <w:p>
            <w:pPr>
              <w:spacing w:after="0"/>
              <w:rPr>
                <w:sz w:val="7"/>
                <w:szCs w:val="7"/>
                <w:color w:val="auto"/>
              </w:rPr>
            </w:pPr>
          </w:p>
        </w:tc>
        <w:tc>
          <w:tcPr>
            <w:tcW w:w="80" w:type="dxa"/>
            <w:vAlign w:val="bottom"/>
            <w:tcBorders>
              <w:bottom w:val="single" w:sz="8" w:color="56C271"/>
            </w:tcBorders>
            <w:shd w:val="clear" w:color="auto" w:fill="CCEDD4"/>
          </w:tcPr>
          <w:p>
            <w:pPr>
              <w:spacing w:after="0"/>
              <w:rPr>
                <w:sz w:val="7"/>
                <w:szCs w:val="7"/>
                <w:color w:val="auto"/>
              </w:rPr>
            </w:pPr>
          </w:p>
        </w:tc>
        <w:tc>
          <w:tcPr>
            <w:tcW w:w="680" w:type="dxa"/>
            <w:vAlign w:val="bottom"/>
            <w:tcBorders>
              <w:bottom w:val="single" w:sz="8" w:color="56C271"/>
            </w:tcBorders>
            <w:shd w:val="clear" w:color="auto" w:fill="CCEDD4"/>
          </w:tcPr>
          <w:p>
            <w:pPr>
              <w:spacing w:after="0"/>
              <w:rPr>
                <w:sz w:val="7"/>
                <w:szCs w:val="7"/>
                <w:color w:val="auto"/>
              </w:rPr>
            </w:pPr>
          </w:p>
        </w:tc>
        <w:tc>
          <w:tcPr>
            <w:tcW w:w="500" w:type="dxa"/>
            <w:vAlign w:val="bottom"/>
            <w:tcBorders>
              <w:bottom w:val="single" w:sz="8" w:color="56C271"/>
            </w:tcBorders>
            <w:shd w:val="clear" w:color="auto" w:fill="CCEDD4"/>
          </w:tcPr>
          <w:p>
            <w:pPr>
              <w:spacing w:after="0"/>
              <w:rPr>
                <w:sz w:val="7"/>
                <w:szCs w:val="7"/>
                <w:color w:val="auto"/>
              </w:rPr>
            </w:pPr>
          </w:p>
        </w:tc>
        <w:tc>
          <w:tcPr>
            <w:tcW w:w="660" w:type="dxa"/>
            <w:vAlign w:val="bottom"/>
            <w:tcBorders>
              <w:bottom w:val="single" w:sz="8" w:color="56C271"/>
            </w:tcBorders>
            <w:shd w:val="clear" w:color="auto" w:fill="CCEDD4"/>
          </w:tcPr>
          <w:p>
            <w:pPr>
              <w:spacing w:after="0"/>
              <w:rPr>
                <w:sz w:val="7"/>
                <w:szCs w:val="7"/>
                <w:color w:val="auto"/>
              </w:rPr>
            </w:pPr>
          </w:p>
        </w:tc>
        <w:tc>
          <w:tcPr>
            <w:tcW w:w="40" w:type="dxa"/>
            <w:vAlign w:val="bottom"/>
            <w:tcBorders>
              <w:bottom w:val="single" w:sz="8" w:color="56C271"/>
            </w:tcBorders>
            <w:shd w:val="clear" w:color="auto" w:fill="CCEDD4"/>
          </w:tcPr>
          <w:p>
            <w:pPr>
              <w:spacing w:after="0"/>
              <w:rPr>
                <w:sz w:val="7"/>
                <w:szCs w:val="7"/>
                <w:color w:val="auto"/>
              </w:rPr>
            </w:pPr>
          </w:p>
        </w:tc>
        <w:tc>
          <w:tcPr>
            <w:tcW w:w="760" w:type="dxa"/>
            <w:vAlign w:val="bottom"/>
            <w:tcBorders>
              <w:bottom w:val="single" w:sz="8" w:color="56C271"/>
            </w:tcBorders>
            <w:shd w:val="clear" w:color="auto" w:fill="CCEDD4"/>
          </w:tcPr>
          <w:p>
            <w:pPr>
              <w:spacing w:after="0"/>
              <w:rPr>
                <w:sz w:val="7"/>
                <w:szCs w:val="7"/>
                <w:color w:val="auto"/>
              </w:rPr>
            </w:pPr>
          </w:p>
        </w:tc>
        <w:tc>
          <w:tcPr>
            <w:tcW w:w="760" w:type="dxa"/>
            <w:vAlign w:val="bottom"/>
            <w:tcBorders>
              <w:bottom w:val="single" w:sz="8" w:color="56C271"/>
            </w:tcBorders>
            <w:shd w:val="clear" w:color="auto" w:fill="CCEDD4"/>
          </w:tcPr>
          <w:p>
            <w:pPr>
              <w:spacing w:after="0"/>
              <w:rPr>
                <w:sz w:val="7"/>
                <w:szCs w:val="7"/>
                <w:color w:val="auto"/>
              </w:rPr>
            </w:pPr>
          </w:p>
        </w:tc>
        <w:tc>
          <w:tcPr>
            <w:tcW w:w="800" w:type="dxa"/>
            <w:vAlign w:val="bottom"/>
            <w:tcBorders>
              <w:bottom w:val="single" w:sz="8" w:color="56C271"/>
            </w:tcBorders>
            <w:shd w:val="clear" w:color="auto" w:fill="CCEDD4"/>
          </w:tcPr>
          <w:p>
            <w:pPr>
              <w:spacing w:after="0"/>
              <w:rPr>
                <w:sz w:val="7"/>
                <w:szCs w:val="7"/>
                <w:color w:val="auto"/>
              </w:rPr>
            </w:pPr>
          </w:p>
        </w:tc>
        <w:tc>
          <w:tcPr>
            <w:tcW w:w="760" w:type="dxa"/>
            <w:vAlign w:val="bottom"/>
            <w:tcBorders>
              <w:bottom w:val="single" w:sz="8" w:color="56C271"/>
            </w:tcBorders>
            <w:shd w:val="clear" w:color="auto" w:fill="CCEDD4"/>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-2853690</wp:posOffset>
            </wp:positionV>
            <wp:extent cx="254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5" w:lineRule="exact"/>
        <w:rPr>
          <w:sz w:val="20"/>
          <w:szCs w:val="20"/>
          <w:color w:val="auto"/>
        </w:rPr>
      </w:pPr>
    </w:p>
    <w:p>
      <w:pPr>
        <w:ind w:left="1780" w:right="580" w:hanging="718"/>
        <w:spacing w:after="0" w:line="251" w:lineRule="auto"/>
        <w:tabs>
          <w:tab w:leader="none" w:pos="1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all the NEOs, except for Mr. Chan, the threshold column assumes payout of 32% of the target amount and the maximum payout is 200% of the target. For Mr. Chan, since his annual cash incentive award was granted prior to him being promoted to the Avnet Leadership Team, his cash incentive was granted under a different plan, which has a threshold of 60% of the target and the maximum payout is 200%. Achievement below the threshold would yield a payout of $0. Since the annual targets for Messrs. Gallagher, Arnold and McCoy changed during the fiscal year, the above reflects prorated amounts as appropriate. Per his separation agreement, Mr. Bartolotta was granted a cash incentive for fiscal 2021 and the above reflects the prorated target through his termination date. Mr. Amelio did not receive any grants for fiscal 2021.</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vesting schedules for the RSUs and the stock option grants made in fiscal 2021 are as follows:</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160" w:type="dxa"/>
            <w:vAlign w:val="bottom"/>
            <w:shd w:val="clear" w:color="auto" w:fill="56C271"/>
          </w:tcPr>
          <w:p>
            <w:pPr>
              <w:ind w:left="120"/>
              <w:spacing w:after="0"/>
              <w:rPr>
                <w:sz w:val="20"/>
                <w:szCs w:val="20"/>
                <w:color w:val="auto"/>
              </w:rPr>
            </w:pPr>
            <w:r>
              <w:rPr>
                <w:rFonts w:ascii="Arial" w:cs="Arial" w:eastAsia="Arial" w:hAnsi="Arial"/>
                <w:sz w:val="14"/>
                <w:szCs w:val="14"/>
                <w:b w:val="1"/>
                <w:bCs w:val="1"/>
                <w:color w:val="FFFFFF"/>
              </w:rPr>
              <w:t>Type of Awards Made in Fiscal 2021</w:t>
            </w:r>
          </w:p>
        </w:tc>
        <w:tc>
          <w:tcPr>
            <w:tcW w:w="5600" w:type="dxa"/>
            <w:vAlign w:val="bottom"/>
            <w:shd w:val="clear" w:color="auto" w:fill="56C271"/>
          </w:tcPr>
          <w:p>
            <w:pPr>
              <w:ind w:left="640"/>
              <w:spacing w:after="0"/>
              <w:rPr>
                <w:sz w:val="20"/>
                <w:szCs w:val="20"/>
                <w:color w:val="auto"/>
              </w:rPr>
            </w:pPr>
            <w:r>
              <w:rPr>
                <w:rFonts w:ascii="Arial" w:cs="Arial" w:eastAsia="Arial" w:hAnsi="Arial"/>
                <w:sz w:val="14"/>
                <w:szCs w:val="14"/>
                <w:b w:val="1"/>
                <w:bCs w:val="1"/>
                <w:color w:val="FFFFFF"/>
              </w:rPr>
              <w:t>Vesting Schedule</w:t>
            </w:r>
          </w:p>
        </w:tc>
      </w:tr>
      <w:tr>
        <w:trPr>
          <w:trHeight w:val="243"/>
        </w:trPr>
        <w:tc>
          <w:tcPr>
            <w:tcW w:w="3160" w:type="dxa"/>
            <w:vAlign w:val="bottom"/>
          </w:tcPr>
          <w:p>
            <w:pPr>
              <w:ind w:left="120"/>
              <w:spacing w:after="0"/>
              <w:rPr>
                <w:sz w:val="20"/>
                <w:szCs w:val="20"/>
                <w:color w:val="auto"/>
              </w:rPr>
            </w:pPr>
            <w:r>
              <w:rPr>
                <w:rFonts w:ascii="Arial" w:cs="Arial" w:eastAsia="Arial" w:hAnsi="Arial"/>
                <w:sz w:val="18"/>
                <w:szCs w:val="18"/>
                <w:color w:val="auto"/>
              </w:rPr>
              <w:t>Restricted Stock Units (RSUs)</w:t>
            </w:r>
          </w:p>
        </w:tc>
        <w:tc>
          <w:tcPr>
            <w:tcW w:w="5600" w:type="dxa"/>
            <w:vAlign w:val="bottom"/>
          </w:tcPr>
          <w:p>
            <w:pPr>
              <w:ind w:left="640"/>
              <w:spacing w:after="0"/>
              <w:rPr>
                <w:sz w:val="20"/>
                <w:szCs w:val="20"/>
                <w:color w:val="auto"/>
              </w:rPr>
            </w:pPr>
            <w:r>
              <w:rPr>
                <w:rFonts w:ascii="Arial" w:cs="Arial" w:eastAsia="Arial" w:hAnsi="Arial"/>
                <w:sz w:val="18"/>
                <w:szCs w:val="18"/>
                <w:color w:val="auto"/>
              </w:rPr>
              <w:t>25% each on the first business day in January of 2021</w:t>
            </w:r>
          </w:p>
        </w:tc>
      </w:tr>
      <w:tr>
        <w:trPr>
          <w:trHeight w:val="270"/>
        </w:trPr>
        <w:tc>
          <w:tcPr>
            <w:tcW w:w="3160" w:type="dxa"/>
            <w:vAlign w:val="bottom"/>
          </w:tcPr>
          <w:p>
            <w:pPr>
              <w:spacing w:after="0"/>
              <w:rPr>
                <w:sz w:val="23"/>
                <w:szCs w:val="23"/>
                <w:color w:val="auto"/>
              </w:rPr>
            </w:pPr>
          </w:p>
        </w:tc>
        <w:tc>
          <w:tcPr>
            <w:tcW w:w="5600" w:type="dxa"/>
            <w:vAlign w:val="bottom"/>
          </w:tcPr>
          <w:p>
            <w:pPr>
              <w:ind w:left="640"/>
              <w:spacing w:after="0"/>
              <w:rPr>
                <w:sz w:val="20"/>
                <w:szCs w:val="20"/>
                <w:color w:val="auto"/>
              </w:rPr>
            </w:pPr>
            <w:r>
              <w:rPr>
                <w:rFonts w:ascii="Arial" w:cs="Arial" w:eastAsia="Arial" w:hAnsi="Arial"/>
                <w:sz w:val="18"/>
                <w:szCs w:val="18"/>
                <w:color w:val="auto"/>
              </w:rPr>
              <w:t>through 2024</w:t>
            </w:r>
          </w:p>
        </w:tc>
      </w:tr>
      <w:tr>
        <w:trPr>
          <w:trHeight w:val="40"/>
        </w:trPr>
        <w:tc>
          <w:tcPr>
            <w:tcW w:w="3160" w:type="dxa"/>
            <w:vAlign w:val="bottom"/>
          </w:tcPr>
          <w:p>
            <w:pPr>
              <w:spacing w:after="0"/>
              <w:rPr>
                <w:sz w:val="3"/>
                <w:szCs w:val="3"/>
                <w:color w:val="auto"/>
              </w:rPr>
            </w:pPr>
          </w:p>
        </w:tc>
        <w:tc>
          <w:tcPr>
            <w:tcW w:w="5600" w:type="dxa"/>
            <w:vAlign w:val="bottom"/>
          </w:tcPr>
          <w:p>
            <w:pPr>
              <w:spacing w:after="0"/>
              <w:rPr>
                <w:sz w:val="3"/>
                <w:szCs w:val="3"/>
                <w:color w:val="auto"/>
              </w:rPr>
            </w:pPr>
          </w:p>
        </w:tc>
      </w:tr>
      <w:tr>
        <w:trPr>
          <w:trHeight w:val="242"/>
        </w:trPr>
        <w:tc>
          <w:tcPr>
            <w:tcW w:w="3160" w:type="dxa"/>
            <w:vAlign w:val="bottom"/>
            <w:shd w:val="clear" w:color="auto" w:fill="CCEDD4"/>
          </w:tcPr>
          <w:p>
            <w:pPr>
              <w:ind w:left="120"/>
              <w:spacing w:after="0"/>
              <w:rPr>
                <w:sz w:val="20"/>
                <w:szCs w:val="20"/>
                <w:color w:val="auto"/>
              </w:rPr>
            </w:pPr>
            <w:r>
              <w:rPr>
                <w:rFonts w:ascii="Arial" w:cs="Arial" w:eastAsia="Arial" w:hAnsi="Arial"/>
                <w:sz w:val="18"/>
                <w:szCs w:val="18"/>
                <w:color w:val="auto"/>
              </w:rPr>
              <w:t>Stock Options</w:t>
            </w:r>
          </w:p>
        </w:tc>
        <w:tc>
          <w:tcPr>
            <w:tcW w:w="5600" w:type="dxa"/>
            <w:vAlign w:val="bottom"/>
            <w:shd w:val="clear" w:color="auto" w:fill="CCEDD4"/>
          </w:tcPr>
          <w:p>
            <w:pPr>
              <w:ind w:left="640"/>
              <w:spacing w:after="0"/>
              <w:rPr>
                <w:sz w:val="20"/>
                <w:szCs w:val="20"/>
                <w:color w:val="auto"/>
              </w:rPr>
            </w:pPr>
            <w:r>
              <w:rPr>
                <w:rFonts w:ascii="Arial" w:cs="Arial" w:eastAsia="Arial" w:hAnsi="Arial"/>
                <w:sz w:val="18"/>
                <w:szCs w:val="18"/>
                <w:color w:val="auto"/>
              </w:rPr>
              <w:t>25% on each of the first through fourth anniversaries of the</w:t>
            </w:r>
          </w:p>
        </w:tc>
      </w:tr>
      <w:tr>
        <w:trPr>
          <w:trHeight w:val="217"/>
        </w:trPr>
        <w:tc>
          <w:tcPr>
            <w:tcW w:w="3160" w:type="dxa"/>
            <w:vAlign w:val="bottom"/>
            <w:shd w:val="clear" w:color="auto" w:fill="CCEDD4"/>
          </w:tcPr>
          <w:p>
            <w:pPr>
              <w:spacing w:after="0"/>
              <w:rPr>
                <w:sz w:val="18"/>
                <w:szCs w:val="18"/>
                <w:color w:val="auto"/>
              </w:rPr>
            </w:pPr>
          </w:p>
        </w:tc>
        <w:tc>
          <w:tcPr>
            <w:tcW w:w="5600" w:type="dxa"/>
            <w:vAlign w:val="bottom"/>
            <w:shd w:val="clear" w:color="auto" w:fill="CCEDD4"/>
          </w:tcPr>
          <w:p>
            <w:pPr>
              <w:ind w:left="640"/>
              <w:spacing w:after="0"/>
              <w:rPr>
                <w:sz w:val="20"/>
                <w:szCs w:val="20"/>
                <w:color w:val="auto"/>
              </w:rPr>
            </w:pPr>
            <w:r>
              <w:rPr>
                <w:rFonts w:ascii="Arial" w:cs="Arial" w:eastAsia="Arial" w:hAnsi="Arial"/>
                <w:sz w:val="18"/>
                <w:szCs w:val="18"/>
                <w:color w:val="auto"/>
              </w:rPr>
              <w:t>grant date</w:t>
            </w:r>
          </w:p>
        </w:tc>
      </w:tr>
      <w:tr>
        <w:trPr>
          <w:trHeight w:val="75"/>
        </w:trPr>
        <w:tc>
          <w:tcPr>
            <w:tcW w:w="3160" w:type="dxa"/>
            <w:vAlign w:val="bottom"/>
            <w:tcBorders>
              <w:bottom w:val="single" w:sz="8" w:color="56C271"/>
            </w:tcBorders>
            <w:shd w:val="clear" w:color="auto" w:fill="CCEDD4"/>
          </w:tcPr>
          <w:p>
            <w:pPr>
              <w:spacing w:after="0"/>
              <w:rPr>
                <w:sz w:val="6"/>
                <w:szCs w:val="6"/>
                <w:color w:val="auto"/>
              </w:rPr>
            </w:pPr>
          </w:p>
        </w:tc>
        <w:tc>
          <w:tcPr>
            <w:tcW w:w="5600" w:type="dxa"/>
            <w:vAlign w:val="bottom"/>
            <w:tcBorders>
              <w:bottom w:val="single" w:sz="8" w:color="56C271"/>
            </w:tcBorders>
            <w:shd w:val="clear" w:color="auto" w:fill="CCEDD4"/>
          </w:tcPr>
          <w:p>
            <w:pPr>
              <w:spacing w:after="0"/>
              <w:rPr>
                <w:sz w:val="6"/>
                <w:szCs w:val="6"/>
                <w:color w:val="auto"/>
              </w:rPr>
            </w:pPr>
          </w:p>
        </w:tc>
      </w:tr>
    </w:tbl>
    <w:p>
      <w:pPr>
        <w:spacing w:after="0" w:line="107" w:lineRule="exact"/>
        <w:rPr>
          <w:sz w:val="20"/>
          <w:szCs w:val="20"/>
          <w:color w:val="auto"/>
        </w:rPr>
      </w:pPr>
    </w:p>
    <w:p>
      <w:pPr>
        <w:ind w:left="1000" w:right="820"/>
        <w:spacing w:after="0" w:line="256" w:lineRule="auto"/>
        <w:rPr>
          <w:sz w:val="20"/>
          <w:szCs w:val="20"/>
          <w:color w:val="auto"/>
        </w:rPr>
      </w:pPr>
      <w:r>
        <w:rPr>
          <w:rFonts w:ascii="Arial" w:cs="Arial" w:eastAsia="Arial" w:hAnsi="Arial"/>
          <w:sz w:val="18"/>
          <w:szCs w:val="18"/>
          <w:color w:val="auto"/>
        </w:rPr>
        <w:t>For additional description of the terms and awards of RSUs and stock options made in fiscal 2021, see the description of long-term incentives in the CD&amp;A and Note 13 to the Company’s Consolidated Financial Statements included in its Form 10-K for the fiscal year ended July 3, 2021.</w:t>
      </w:r>
    </w:p>
    <w:p>
      <w:pPr>
        <w:sectPr>
          <w:pgSz w:w="11900" w:h="16838" w:orient="portrait"/>
          <w:cols w:equalWidth="0" w:num="1">
            <w:col w:w="10220"/>
          </w:cols>
          <w:pgMar w:left="580" w:top="132" w:right="1099" w:bottom="1440" w:gutter="0" w:footer="0" w:header="0"/>
        </w:sectPr>
      </w:pPr>
    </w:p>
    <w:p>
      <w:pPr>
        <w:spacing w:after="0" w:line="150"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ind w:left="7460"/>
        <w:spacing w:after="0" w:line="187" w:lineRule="auto"/>
        <w:rPr>
          <w:sz w:val="20"/>
          <w:szCs w:val="20"/>
          <w:color w:val="auto"/>
        </w:rPr>
      </w:pPr>
      <w:r>
        <w:rPr>
          <w:rFonts w:ascii="Arial" w:cs="Arial" w:eastAsia="Arial" w:hAnsi="Arial"/>
          <w:sz w:val="12"/>
          <w:szCs w:val="12"/>
          <w:color w:val="auto"/>
        </w:rPr>
        <w:t>Compensation of Executive Officers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OUTSTANDING EQUITY AWARDS AT FISCAL YEAR-END</w:t>
      </w:r>
    </w:p>
    <w:p>
      <w:pPr>
        <w:spacing w:after="0" w:line="157" w:lineRule="exact"/>
        <w:rPr>
          <w:sz w:val="20"/>
          <w:szCs w:val="20"/>
          <w:color w:val="auto"/>
        </w:rPr>
      </w:pPr>
    </w:p>
    <w:p>
      <w:pPr>
        <w:ind w:left="1000" w:right="540"/>
        <w:spacing w:after="0" w:line="251"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NEOs as of July 3, 2021. This table includes unexercised and unearned option grants, as well as unvested RSUs and PSUs with vesting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July 3, 2021, which was $40.03. The PSUs are subject to specified performance objectives over the performance period. The market values as of July 3, 2021 shown in column (j) below, assume 100% achievement of these performance objectives. For additional information about the option grants and stock awards, see the description of long-term incentives in the CD&amp;A and Note 13 to the Company’s Consolidated Financial Statements included in its Form 10-K for the fiscal year ended July 3, 2021.</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1360" w:type="dxa"/>
            <w:vAlign w:val="bottom"/>
            <w:shd w:val="clear" w:color="auto" w:fill="56C271"/>
          </w:tcPr>
          <w:p>
            <w:pPr>
              <w:spacing w:after="0"/>
              <w:rPr>
                <w:sz w:val="16"/>
                <w:szCs w:val="16"/>
                <w:color w:val="auto"/>
              </w:rPr>
            </w:pPr>
          </w:p>
        </w:tc>
        <w:tc>
          <w:tcPr>
            <w:tcW w:w="760" w:type="dxa"/>
            <w:vAlign w:val="bottom"/>
            <w:shd w:val="clear" w:color="auto" w:fill="56C271"/>
          </w:tcPr>
          <w:p>
            <w:pPr>
              <w:spacing w:after="0"/>
              <w:rPr>
                <w:sz w:val="16"/>
                <w:szCs w:val="16"/>
                <w:color w:val="auto"/>
              </w:rPr>
            </w:pPr>
          </w:p>
        </w:tc>
        <w:tc>
          <w:tcPr>
            <w:tcW w:w="900" w:type="dxa"/>
            <w:vAlign w:val="bottom"/>
            <w:shd w:val="clear" w:color="auto" w:fill="56C271"/>
          </w:tcPr>
          <w:p>
            <w:pPr>
              <w:spacing w:after="0"/>
              <w:rPr>
                <w:sz w:val="16"/>
                <w:szCs w:val="16"/>
                <w:color w:val="auto"/>
              </w:rPr>
            </w:pPr>
          </w:p>
        </w:tc>
        <w:tc>
          <w:tcPr>
            <w:tcW w:w="1000" w:type="dxa"/>
            <w:vAlign w:val="bottom"/>
            <w:shd w:val="clear" w:color="auto" w:fill="56C271"/>
          </w:tcPr>
          <w:p>
            <w:pPr>
              <w:spacing w:after="0"/>
              <w:rPr>
                <w:sz w:val="16"/>
                <w:szCs w:val="16"/>
                <w:color w:val="auto"/>
              </w:rPr>
            </w:pPr>
          </w:p>
        </w:tc>
        <w:tc>
          <w:tcPr>
            <w:tcW w:w="1440" w:type="dxa"/>
            <w:vAlign w:val="bottom"/>
            <w:gridSpan w:val="2"/>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Option Awards</w:t>
            </w:r>
          </w:p>
        </w:tc>
        <w:tc>
          <w:tcPr>
            <w:tcW w:w="700" w:type="dxa"/>
            <w:vAlign w:val="bottom"/>
            <w:shd w:val="clear" w:color="auto" w:fill="56C271"/>
          </w:tcPr>
          <w:p>
            <w:pPr>
              <w:spacing w:after="0"/>
              <w:rPr>
                <w:sz w:val="16"/>
                <w:szCs w:val="16"/>
                <w:color w:val="auto"/>
              </w:rPr>
            </w:pPr>
          </w:p>
        </w:tc>
        <w:tc>
          <w:tcPr>
            <w:tcW w:w="780" w:type="dxa"/>
            <w:vAlign w:val="bottom"/>
            <w:shd w:val="clear" w:color="auto" w:fill="56C271"/>
          </w:tcPr>
          <w:p>
            <w:pPr>
              <w:spacing w:after="0"/>
              <w:rPr>
                <w:sz w:val="16"/>
                <w:szCs w:val="16"/>
                <w:color w:val="auto"/>
              </w:rPr>
            </w:pPr>
          </w:p>
        </w:tc>
        <w:tc>
          <w:tcPr>
            <w:tcW w:w="740" w:type="dxa"/>
            <w:vAlign w:val="bottom"/>
            <w:shd w:val="clear" w:color="auto" w:fill="56C271"/>
          </w:tcPr>
          <w:p>
            <w:pPr>
              <w:spacing w:after="0"/>
              <w:rPr>
                <w:sz w:val="16"/>
                <w:szCs w:val="16"/>
                <w:color w:val="auto"/>
              </w:rPr>
            </w:pPr>
          </w:p>
        </w:tc>
        <w:tc>
          <w:tcPr>
            <w:tcW w:w="1020" w:type="dxa"/>
            <w:vAlign w:val="bottom"/>
            <w:shd w:val="clear" w:color="auto" w:fill="56C271"/>
          </w:tcPr>
          <w:p>
            <w:pPr>
              <w:spacing w:after="0"/>
              <w:rPr>
                <w:sz w:val="16"/>
                <w:szCs w:val="16"/>
                <w:color w:val="auto"/>
              </w:rPr>
            </w:pPr>
          </w:p>
        </w:tc>
        <w:tc>
          <w:tcPr>
            <w:tcW w:w="10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Stock Awards</w:t>
            </w:r>
          </w:p>
        </w:tc>
      </w:tr>
      <w:tr>
        <w:trPr>
          <w:trHeight w:val="159"/>
        </w:trPr>
        <w:tc>
          <w:tcPr>
            <w:tcW w:w="1360" w:type="dxa"/>
            <w:vAlign w:val="bottom"/>
            <w:shd w:val="clear" w:color="auto" w:fill="56C271"/>
          </w:tcPr>
          <w:p>
            <w:pPr>
              <w:spacing w:after="0"/>
              <w:rPr>
                <w:sz w:val="13"/>
                <w:szCs w:val="13"/>
                <w:color w:val="auto"/>
              </w:rPr>
            </w:pPr>
          </w:p>
        </w:tc>
        <w:tc>
          <w:tcPr>
            <w:tcW w:w="760" w:type="dxa"/>
            <w:vAlign w:val="bottom"/>
            <w:shd w:val="clear" w:color="auto" w:fill="56C271"/>
          </w:tcPr>
          <w:p>
            <w:pPr>
              <w:spacing w:after="0"/>
              <w:rPr>
                <w:sz w:val="13"/>
                <w:szCs w:val="13"/>
                <w:color w:val="auto"/>
              </w:rPr>
            </w:pPr>
          </w:p>
        </w:tc>
        <w:tc>
          <w:tcPr>
            <w:tcW w:w="900" w:type="dxa"/>
            <w:vAlign w:val="bottom"/>
            <w:shd w:val="clear" w:color="auto" w:fill="56C271"/>
          </w:tcPr>
          <w:p>
            <w:pPr>
              <w:spacing w:after="0"/>
              <w:rPr>
                <w:sz w:val="13"/>
                <w:szCs w:val="13"/>
                <w:color w:val="auto"/>
              </w:rPr>
            </w:pPr>
          </w:p>
        </w:tc>
        <w:tc>
          <w:tcPr>
            <w:tcW w:w="1000" w:type="dxa"/>
            <w:vAlign w:val="bottom"/>
            <w:shd w:val="clear" w:color="auto" w:fill="56C271"/>
          </w:tcPr>
          <w:p>
            <w:pPr>
              <w:spacing w:after="0"/>
              <w:rPr>
                <w:sz w:val="13"/>
                <w:szCs w:val="13"/>
                <w:color w:val="auto"/>
              </w:rPr>
            </w:pPr>
          </w:p>
        </w:tc>
        <w:tc>
          <w:tcPr>
            <w:tcW w:w="640" w:type="dxa"/>
            <w:vAlign w:val="bottom"/>
            <w:shd w:val="clear" w:color="auto" w:fill="56C271"/>
          </w:tcPr>
          <w:p>
            <w:pPr>
              <w:spacing w:after="0"/>
              <w:rPr>
                <w:sz w:val="13"/>
                <w:szCs w:val="13"/>
                <w:color w:val="auto"/>
              </w:rPr>
            </w:pPr>
          </w:p>
        </w:tc>
        <w:tc>
          <w:tcPr>
            <w:tcW w:w="800" w:type="dxa"/>
            <w:vAlign w:val="bottom"/>
            <w:shd w:val="clear" w:color="auto" w:fill="56C271"/>
          </w:tcPr>
          <w:p>
            <w:pPr>
              <w:spacing w:after="0"/>
              <w:rPr>
                <w:sz w:val="13"/>
                <w:szCs w:val="13"/>
                <w:color w:val="auto"/>
              </w:rPr>
            </w:pPr>
          </w:p>
        </w:tc>
        <w:tc>
          <w:tcPr>
            <w:tcW w:w="700" w:type="dxa"/>
            <w:vAlign w:val="bottom"/>
            <w:shd w:val="clear" w:color="auto" w:fill="56C271"/>
          </w:tcPr>
          <w:p>
            <w:pPr>
              <w:spacing w:after="0"/>
              <w:rPr>
                <w:sz w:val="13"/>
                <w:szCs w:val="13"/>
                <w:color w:val="auto"/>
              </w:rPr>
            </w:pPr>
          </w:p>
        </w:tc>
        <w:tc>
          <w:tcPr>
            <w:tcW w:w="780" w:type="dxa"/>
            <w:vAlign w:val="bottom"/>
            <w:shd w:val="clear" w:color="auto" w:fill="56C271"/>
          </w:tcPr>
          <w:p>
            <w:pPr>
              <w:spacing w:after="0"/>
              <w:rPr>
                <w:sz w:val="13"/>
                <w:szCs w:val="13"/>
                <w:color w:val="auto"/>
              </w:rPr>
            </w:pPr>
          </w:p>
        </w:tc>
        <w:tc>
          <w:tcPr>
            <w:tcW w:w="740" w:type="dxa"/>
            <w:vAlign w:val="bottom"/>
            <w:shd w:val="clear" w:color="auto" w:fill="56C271"/>
          </w:tcPr>
          <w:p>
            <w:pPr>
              <w:spacing w:after="0"/>
              <w:rPr>
                <w:sz w:val="13"/>
                <w:szCs w:val="13"/>
                <w:color w:val="auto"/>
              </w:rPr>
            </w:pP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Equity</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Equity</w:t>
            </w:r>
          </w:p>
        </w:tc>
      </w:tr>
      <w:tr>
        <w:trPr>
          <w:trHeight w:val="148"/>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0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40" w:type="dxa"/>
            <w:vAlign w:val="bottom"/>
            <w:shd w:val="clear" w:color="auto" w:fill="56C271"/>
          </w:tcPr>
          <w:p>
            <w:pPr>
              <w:spacing w:after="0"/>
              <w:rPr>
                <w:sz w:val="12"/>
                <w:szCs w:val="12"/>
                <w:color w:val="auto"/>
              </w:rPr>
            </w:pP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Incentive</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Incentive</w:t>
            </w:r>
          </w:p>
        </w:tc>
      </w:tr>
      <w:tr>
        <w:trPr>
          <w:trHeight w:val="148"/>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0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40" w:type="dxa"/>
            <w:vAlign w:val="bottom"/>
            <w:shd w:val="clear" w:color="auto" w:fill="56C271"/>
          </w:tcPr>
          <w:p>
            <w:pPr>
              <w:spacing w:after="0"/>
              <w:rPr>
                <w:sz w:val="12"/>
                <w:szCs w:val="12"/>
                <w:color w:val="auto"/>
              </w:rPr>
            </w:pP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Plan</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Plan</w:t>
            </w:r>
          </w:p>
        </w:tc>
      </w:tr>
      <w:tr>
        <w:trPr>
          <w:trHeight w:val="148"/>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0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40" w:type="dxa"/>
            <w:vAlign w:val="bottom"/>
            <w:shd w:val="clear" w:color="auto" w:fill="56C271"/>
          </w:tcPr>
          <w:p>
            <w:pPr>
              <w:spacing w:after="0"/>
              <w:rPr>
                <w:sz w:val="12"/>
                <w:szCs w:val="12"/>
                <w:color w:val="auto"/>
              </w:rPr>
            </w:pP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Awards:</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Awards:</w:t>
            </w:r>
          </w:p>
        </w:tc>
      </w:tr>
      <w:tr>
        <w:trPr>
          <w:trHeight w:val="149"/>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0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40" w:type="dxa"/>
            <w:vAlign w:val="bottom"/>
            <w:shd w:val="clear" w:color="auto" w:fill="56C271"/>
          </w:tcPr>
          <w:p>
            <w:pPr>
              <w:spacing w:after="0"/>
              <w:rPr>
                <w:sz w:val="12"/>
                <w:szCs w:val="12"/>
                <w:color w:val="auto"/>
              </w:rPr>
            </w:pP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Number of</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Market or</w:t>
            </w:r>
          </w:p>
        </w:tc>
      </w:tr>
      <w:tr>
        <w:trPr>
          <w:trHeight w:val="148"/>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0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Number of</w:t>
            </w:r>
          </w:p>
        </w:tc>
        <w:tc>
          <w:tcPr>
            <w:tcW w:w="7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Market</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Unearned</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Payout</w:t>
            </w:r>
          </w:p>
        </w:tc>
      </w:tr>
      <w:tr>
        <w:trPr>
          <w:trHeight w:val="148"/>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0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Shares or</w:t>
            </w:r>
          </w:p>
        </w:tc>
        <w:tc>
          <w:tcPr>
            <w:tcW w:w="7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Value or</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Shares,</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Value of</w:t>
            </w:r>
          </w:p>
        </w:tc>
      </w:tr>
      <w:tr>
        <w:trPr>
          <w:trHeight w:val="148"/>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Number of</w:t>
            </w:r>
          </w:p>
        </w:tc>
        <w:tc>
          <w:tcPr>
            <w:tcW w:w="10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Number of</w:t>
            </w:r>
          </w:p>
        </w:tc>
        <w:tc>
          <w:tcPr>
            <w:tcW w:w="64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Units of</w:t>
            </w:r>
          </w:p>
        </w:tc>
        <w:tc>
          <w:tcPr>
            <w:tcW w:w="7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Shares or</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Units or</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Unearned</w:t>
            </w:r>
          </w:p>
        </w:tc>
      </w:tr>
      <w:tr>
        <w:trPr>
          <w:trHeight w:val="148"/>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Securities</w:t>
            </w:r>
          </w:p>
        </w:tc>
        <w:tc>
          <w:tcPr>
            <w:tcW w:w="10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Securities</w:t>
            </w:r>
          </w:p>
        </w:tc>
        <w:tc>
          <w:tcPr>
            <w:tcW w:w="64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Stock</w:t>
            </w:r>
          </w:p>
        </w:tc>
        <w:tc>
          <w:tcPr>
            <w:tcW w:w="7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Units of</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Other</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Shares,</w:t>
            </w:r>
          </w:p>
        </w:tc>
      </w:tr>
      <w:tr>
        <w:trPr>
          <w:trHeight w:val="149"/>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Underlying</w:t>
            </w:r>
          </w:p>
        </w:tc>
        <w:tc>
          <w:tcPr>
            <w:tcW w:w="10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Underlying</w:t>
            </w:r>
          </w:p>
        </w:tc>
        <w:tc>
          <w:tcPr>
            <w:tcW w:w="64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That</w:t>
            </w:r>
          </w:p>
        </w:tc>
        <w:tc>
          <w:tcPr>
            <w:tcW w:w="7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Stock</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Rights</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Units or</w:t>
            </w:r>
          </w:p>
        </w:tc>
      </w:tr>
      <w:tr>
        <w:trPr>
          <w:trHeight w:val="148"/>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Unexercised</w:t>
            </w:r>
          </w:p>
        </w:tc>
        <w:tc>
          <w:tcPr>
            <w:tcW w:w="10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Unexercised</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w:t>
            </w:r>
          </w:p>
        </w:tc>
        <w:tc>
          <w:tcPr>
            <w:tcW w:w="8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Have Not</w:t>
            </w:r>
          </w:p>
        </w:tc>
        <w:tc>
          <w:tcPr>
            <w:tcW w:w="7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That</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That Have Not</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Other Rights</w:t>
            </w:r>
          </w:p>
        </w:tc>
      </w:tr>
      <w:tr>
        <w:trPr>
          <w:trHeight w:val="148"/>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9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Options</w:t>
            </w:r>
          </w:p>
        </w:tc>
        <w:tc>
          <w:tcPr>
            <w:tcW w:w="10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Options</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Exercise</w:t>
            </w:r>
          </w:p>
        </w:tc>
        <w:tc>
          <w:tcPr>
            <w:tcW w:w="80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Option</w:t>
            </w: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Stock</w:t>
            </w: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Vested</w:t>
            </w:r>
          </w:p>
        </w:tc>
        <w:tc>
          <w:tcPr>
            <w:tcW w:w="7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Have Not</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Vested</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That Have Not</w:t>
            </w:r>
          </w:p>
        </w:tc>
      </w:tr>
      <w:tr>
        <w:trPr>
          <w:trHeight w:val="148"/>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w:t>
            </w:r>
          </w:p>
        </w:tc>
        <w:tc>
          <w:tcPr>
            <w:tcW w:w="9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w:t>
            </w:r>
          </w:p>
        </w:tc>
        <w:tc>
          <w:tcPr>
            <w:tcW w:w="10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Price</w:t>
            </w:r>
          </w:p>
        </w:tc>
        <w:tc>
          <w:tcPr>
            <w:tcW w:w="80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Expiration</w:t>
            </w: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Award</w:t>
            </w: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(RSUs)</w:t>
            </w:r>
          </w:p>
        </w:tc>
        <w:tc>
          <w:tcPr>
            <w:tcW w:w="7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Vested</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(PSUs)</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Vested</w:t>
            </w:r>
          </w:p>
        </w:tc>
      </w:tr>
      <w:tr>
        <w:trPr>
          <w:trHeight w:val="149"/>
        </w:trPr>
        <w:tc>
          <w:tcPr>
            <w:tcW w:w="1360" w:type="dxa"/>
            <w:vAlign w:val="bottom"/>
            <w:shd w:val="clear" w:color="auto" w:fill="56C271"/>
          </w:tcPr>
          <w:p>
            <w:pPr>
              <w:spacing w:after="0"/>
              <w:rPr>
                <w:sz w:val="12"/>
                <w:szCs w:val="12"/>
                <w:color w:val="auto"/>
              </w:rPr>
            </w:pPr>
          </w:p>
        </w:tc>
        <w:tc>
          <w:tcPr>
            <w:tcW w:w="7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Grant</w:t>
            </w:r>
          </w:p>
        </w:tc>
        <w:tc>
          <w:tcPr>
            <w:tcW w:w="9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Exercisable</w:t>
            </w:r>
          </w:p>
        </w:tc>
        <w:tc>
          <w:tcPr>
            <w:tcW w:w="10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Unexercisable</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w:t>
            </w:r>
          </w:p>
        </w:tc>
        <w:tc>
          <w:tcPr>
            <w:tcW w:w="80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Date</w:t>
            </w: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Grant</w:t>
            </w: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w:t>
            </w:r>
          </w:p>
        </w:tc>
        <w:tc>
          <w:tcPr>
            <w:tcW w:w="7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w:t>
            </w:r>
          </w:p>
        </w:tc>
      </w:tr>
      <w:tr>
        <w:trPr>
          <w:trHeight w:val="179"/>
        </w:trPr>
        <w:tc>
          <w:tcPr>
            <w:tcW w:w="1360" w:type="dxa"/>
            <w:vAlign w:val="bottom"/>
            <w:shd w:val="clear" w:color="auto" w:fill="56C271"/>
          </w:tcPr>
          <w:p>
            <w:pPr>
              <w:ind w:left="20"/>
              <w:spacing w:after="0"/>
              <w:rPr>
                <w:sz w:val="20"/>
                <w:szCs w:val="20"/>
                <w:color w:val="auto"/>
              </w:rPr>
            </w:pPr>
            <w:r>
              <w:rPr>
                <w:rFonts w:ascii="Arial" w:cs="Arial" w:eastAsia="Arial" w:hAnsi="Arial"/>
                <w:sz w:val="13"/>
                <w:szCs w:val="13"/>
                <w:b w:val="1"/>
                <w:bCs w:val="1"/>
                <w:color w:val="FEFEFE"/>
              </w:rPr>
              <w:t>Name (a)</w:t>
            </w:r>
          </w:p>
        </w:tc>
        <w:tc>
          <w:tcPr>
            <w:tcW w:w="7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Date</w:t>
            </w:r>
          </w:p>
        </w:tc>
        <w:tc>
          <w:tcPr>
            <w:tcW w:w="9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(b)</w:t>
            </w:r>
          </w:p>
        </w:tc>
        <w:tc>
          <w:tcPr>
            <w:tcW w:w="10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(c)</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(e)</w:t>
            </w:r>
          </w:p>
        </w:tc>
        <w:tc>
          <w:tcPr>
            <w:tcW w:w="8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(f)</w:t>
            </w: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Date</w:t>
            </w:r>
          </w:p>
        </w:tc>
        <w:tc>
          <w:tcPr>
            <w:tcW w:w="78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(g)</w:t>
            </w:r>
          </w:p>
        </w:tc>
        <w:tc>
          <w:tcPr>
            <w:tcW w:w="7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(h)</w:t>
            </w:r>
          </w:p>
        </w:tc>
        <w:tc>
          <w:tcPr>
            <w:tcW w:w="10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(i)</w:t>
            </w:r>
          </w:p>
        </w:tc>
        <w:tc>
          <w:tcPr>
            <w:tcW w:w="10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(j)</w:t>
            </w:r>
          </w:p>
        </w:tc>
      </w:tr>
      <w:tr>
        <w:trPr>
          <w:trHeight w:val="189"/>
        </w:trPr>
        <w:tc>
          <w:tcPr>
            <w:tcW w:w="1360" w:type="dxa"/>
            <w:vAlign w:val="bottom"/>
          </w:tcPr>
          <w:p>
            <w:pPr>
              <w:ind w:left="20"/>
              <w:spacing w:after="0"/>
              <w:rPr>
                <w:sz w:val="20"/>
                <w:szCs w:val="20"/>
                <w:color w:val="auto"/>
              </w:rPr>
            </w:pPr>
            <w:r>
              <w:rPr>
                <w:rFonts w:ascii="Arial" w:cs="Arial" w:eastAsia="Arial" w:hAnsi="Arial"/>
                <w:sz w:val="13"/>
                <w:szCs w:val="13"/>
                <w:color w:val="auto"/>
              </w:rPr>
              <w:t>Philip R. Gallagher</w:t>
            </w:r>
          </w:p>
        </w:tc>
        <w:tc>
          <w:tcPr>
            <w:tcW w:w="760" w:type="dxa"/>
            <w:vAlign w:val="bottom"/>
          </w:tcPr>
          <w:p>
            <w:pPr>
              <w:jc w:val="right"/>
              <w:spacing w:after="0"/>
              <w:rPr>
                <w:sz w:val="20"/>
                <w:szCs w:val="20"/>
                <w:color w:val="auto"/>
              </w:rPr>
            </w:pPr>
            <w:r>
              <w:rPr>
                <w:rFonts w:ascii="Arial" w:cs="Arial" w:eastAsia="Arial" w:hAnsi="Arial"/>
                <w:sz w:val="13"/>
                <w:szCs w:val="13"/>
                <w:color w:val="auto"/>
              </w:rPr>
              <w:t>8/08/2013</w:t>
            </w:r>
          </w:p>
        </w:tc>
        <w:tc>
          <w:tcPr>
            <w:tcW w:w="900" w:type="dxa"/>
            <w:vAlign w:val="bottom"/>
          </w:tcPr>
          <w:p>
            <w:pPr>
              <w:jc w:val="right"/>
              <w:spacing w:after="0"/>
              <w:rPr>
                <w:sz w:val="20"/>
                <w:szCs w:val="20"/>
                <w:color w:val="auto"/>
              </w:rPr>
            </w:pPr>
            <w:r>
              <w:rPr>
                <w:rFonts w:ascii="Arial" w:cs="Arial" w:eastAsia="Arial" w:hAnsi="Arial"/>
                <w:sz w:val="13"/>
                <w:szCs w:val="13"/>
                <w:color w:val="auto"/>
              </w:rPr>
              <w:t>32,740</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39.04</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8/07/2023</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8/07/2014</w:t>
            </w:r>
          </w:p>
        </w:tc>
        <w:tc>
          <w:tcPr>
            <w:tcW w:w="900" w:type="dxa"/>
            <w:vAlign w:val="bottom"/>
          </w:tcPr>
          <w:p>
            <w:pPr>
              <w:jc w:val="right"/>
              <w:spacing w:after="0"/>
              <w:rPr>
                <w:sz w:val="20"/>
                <w:szCs w:val="20"/>
                <w:color w:val="auto"/>
              </w:rPr>
            </w:pPr>
            <w:r>
              <w:rPr>
                <w:rFonts w:ascii="Arial" w:cs="Arial" w:eastAsia="Arial" w:hAnsi="Arial"/>
                <w:sz w:val="13"/>
                <w:szCs w:val="13"/>
                <w:color w:val="auto"/>
              </w:rPr>
              <w:t>19,532</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40.88</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8/06/2024</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8/10/2017</w:t>
            </w:r>
          </w:p>
        </w:tc>
        <w:tc>
          <w:tcPr>
            <w:tcW w:w="900" w:type="dxa"/>
            <w:vAlign w:val="bottom"/>
          </w:tcPr>
          <w:p>
            <w:pPr>
              <w:jc w:val="right"/>
              <w:spacing w:after="0"/>
              <w:rPr>
                <w:sz w:val="20"/>
                <w:szCs w:val="20"/>
                <w:color w:val="auto"/>
              </w:rPr>
            </w:pPr>
            <w:r>
              <w:rPr>
                <w:rFonts w:ascii="Arial" w:cs="Arial" w:eastAsia="Arial" w:hAnsi="Arial"/>
                <w:sz w:val="13"/>
                <w:szCs w:val="13"/>
                <w:color w:val="auto"/>
              </w:rPr>
              <w:t>18,801</w:t>
            </w:r>
          </w:p>
        </w:tc>
        <w:tc>
          <w:tcPr>
            <w:tcW w:w="1000" w:type="dxa"/>
            <w:vAlign w:val="bottom"/>
          </w:tcPr>
          <w:p>
            <w:pPr>
              <w:jc w:val="right"/>
              <w:spacing w:after="0"/>
              <w:rPr>
                <w:sz w:val="20"/>
                <w:szCs w:val="20"/>
                <w:color w:val="auto"/>
              </w:rPr>
            </w:pPr>
            <w:r>
              <w:rPr>
                <w:rFonts w:ascii="Arial" w:cs="Arial" w:eastAsia="Arial" w:hAnsi="Arial"/>
                <w:sz w:val="13"/>
                <w:szCs w:val="13"/>
                <w:color w:val="auto"/>
              </w:rPr>
              <w:t>6,267</w:t>
            </w:r>
          </w:p>
        </w:tc>
        <w:tc>
          <w:tcPr>
            <w:tcW w:w="640" w:type="dxa"/>
            <w:vAlign w:val="bottom"/>
          </w:tcPr>
          <w:p>
            <w:pPr>
              <w:jc w:val="right"/>
              <w:spacing w:after="0"/>
              <w:rPr>
                <w:sz w:val="20"/>
                <w:szCs w:val="20"/>
                <w:color w:val="auto"/>
              </w:rPr>
            </w:pPr>
            <w:r>
              <w:rPr>
                <w:rFonts w:ascii="Arial" w:cs="Arial" w:eastAsia="Arial" w:hAnsi="Arial"/>
                <w:sz w:val="13"/>
                <w:szCs w:val="13"/>
                <w:color w:val="auto"/>
              </w:rPr>
              <w:t>36.80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8/09/2027</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8/28/2018</w:t>
            </w:r>
          </w:p>
        </w:tc>
        <w:tc>
          <w:tcPr>
            <w:tcW w:w="900" w:type="dxa"/>
            <w:vAlign w:val="bottom"/>
          </w:tcPr>
          <w:p>
            <w:pPr>
              <w:jc w:val="right"/>
              <w:spacing w:after="0"/>
              <w:rPr>
                <w:sz w:val="20"/>
                <w:szCs w:val="20"/>
                <w:color w:val="auto"/>
              </w:rPr>
            </w:pPr>
            <w:r>
              <w:rPr>
                <w:rFonts w:ascii="Arial" w:cs="Arial" w:eastAsia="Arial" w:hAnsi="Arial"/>
                <w:sz w:val="13"/>
                <w:szCs w:val="13"/>
                <w:color w:val="auto"/>
              </w:rPr>
              <w:t>11,960</w:t>
            </w:r>
          </w:p>
        </w:tc>
        <w:tc>
          <w:tcPr>
            <w:tcW w:w="1000" w:type="dxa"/>
            <w:vAlign w:val="bottom"/>
          </w:tcPr>
          <w:p>
            <w:pPr>
              <w:jc w:val="right"/>
              <w:spacing w:after="0"/>
              <w:rPr>
                <w:sz w:val="20"/>
                <w:szCs w:val="20"/>
                <w:color w:val="auto"/>
              </w:rPr>
            </w:pPr>
            <w:r>
              <w:rPr>
                <w:rFonts w:ascii="Arial" w:cs="Arial" w:eastAsia="Arial" w:hAnsi="Arial"/>
                <w:sz w:val="13"/>
                <w:szCs w:val="13"/>
                <w:color w:val="auto"/>
              </w:rPr>
              <w:t>11,960</w:t>
            </w:r>
          </w:p>
        </w:tc>
        <w:tc>
          <w:tcPr>
            <w:tcW w:w="640" w:type="dxa"/>
            <w:vAlign w:val="bottom"/>
          </w:tcPr>
          <w:p>
            <w:pPr>
              <w:jc w:val="right"/>
              <w:spacing w:after="0"/>
              <w:rPr>
                <w:sz w:val="20"/>
                <w:szCs w:val="20"/>
                <w:color w:val="auto"/>
              </w:rPr>
            </w:pPr>
            <w:r>
              <w:rPr>
                <w:rFonts w:ascii="Arial" w:cs="Arial" w:eastAsia="Arial" w:hAnsi="Arial"/>
                <w:sz w:val="13"/>
                <w:szCs w:val="13"/>
                <w:color w:val="auto"/>
              </w:rPr>
              <w:t>48.62</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8/27/2028</w:t>
            </w:r>
          </w:p>
        </w:tc>
        <w:tc>
          <w:tcPr>
            <w:tcW w:w="700" w:type="dxa"/>
            <w:vAlign w:val="bottom"/>
          </w:tcPr>
          <w:p>
            <w:pPr>
              <w:jc w:val="right"/>
              <w:spacing w:after="0"/>
              <w:rPr>
                <w:sz w:val="20"/>
                <w:szCs w:val="20"/>
                <w:color w:val="auto"/>
              </w:rPr>
            </w:pPr>
            <w:r>
              <w:rPr>
                <w:rFonts w:ascii="Arial" w:cs="Arial" w:eastAsia="Arial" w:hAnsi="Arial"/>
                <w:sz w:val="13"/>
                <w:szCs w:val="13"/>
                <w:color w:val="auto"/>
              </w:rPr>
              <w:t>8/28/2018</w:t>
            </w:r>
          </w:p>
        </w:tc>
        <w:tc>
          <w:tcPr>
            <w:tcW w:w="780" w:type="dxa"/>
            <w:vAlign w:val="bottom"/>
          </w:tcPr>
          <w:p>
            <w:pPr>
              <w:jc w:val="right"/>
              <w:spacing w:after="0"/>
              <w:rPr>
                <w:sz w:val="20"/>
                <w:szCs w:val="20"/>
                <w:color w:val="auto"/>
              </w:rPr>
            </w:pPr>
            <w:r>
              <w:rPr>
                <w:rFonts w:ascii="Arial" w:cs="Arial" w:eastAsia="Arial" w:hAnsi="Arial"/>
                <w:sz w:val="13"/>
                <w:szCs w:val="13"/>
                <w:color w:val="auto"/>
              </w:rPr>
              <w:t>1,735</w:t>
            </w:r>
          </w:p>
        </w:tc>
        <w:tc>
          <w:tcPr>
            <w:tcW w:w="740" w:type="dxa"/>
            <w:vAlign w:val="bottom"/>
          </w:tcPr>
          <w:p>
            <w:pPr>
              <w:jc w:val="right"/>
              <w:spacing w:after="0"/>
              <w:rPr>
                <w:sz w:val="20"/>
                <w:szCs w:val="20"/>
                <w:color w:val="auto"/>
              </w:rPr>
            </w:pPr>
            <w:r>
              <w:rPr>
                <w:rFonts w:ascii="Arial" w:cs="Arial" w:eastAsia="Arial" w:hAnsi="Arial"/>
                <w:sz w:val="13"/>
                <w:szCs w:val="13"/>
                <w:color w:val="auto"/>
              </w:rPr>
              <w:t>69,452</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8/14/2019</w:t>
            </w:r>
          </w:p>
        </w:tc>
        <w:tc>
          <w:tcPr>
            <w:tcW w:w="900" w:type="dxa"/>
            <w:vAlign w:val="bottom"/>
          </w:tcPr>
          <w:p>
            <w:pPr>
              <w:jc w:val="right"/>
              <w:spacing w:after="0"/>
              <w:rPr>
                <w:sz w:val="20"/>
                <w:szCs w:val="20"/>
                <w:color w:val="auto"/>
              </w:rPr>
            </w:pPr>
            <w:r>
              <w:rPr>
                <w:rFonts w:ascii="Arial" w:cs="Arial" w:eastAsia="Arial" w:hAnsi="Arial"/>
                <w:sz w:val="13"/>
                <w:szCs w:val="13"/>
                <w:color w:val="auto"/>
              </w:rPr>
              <w:t>7,975</w:t>
            </w:r>
          </w:p>
        </w:tc>
        <w:tc>
          <w:tcPr>
            <w:tcW w:w="1000" w:type="dxa"/>
            <w:vAlign w:val="bottom"/>
          </w:tcPr>
          <w:p>
            <w:pPr>
              <w:jc w:val="right"/>
              <w:spacing w:after="0"/>
              <w:rPr>
                <w:sz w:val="20"/>
                <w:szCs w:val="20"/>
                <w:color w:val="auto"/>
              </w:rPr>
            </w:pPr>
            <w:r>
              <w:rPr>
                <w:rFonts w:ascii="Arial" w:cs="Arial" w:eastAsia="Arial" w:hAnsi="Arial"/>
                <w:sz w:val="13"/>
                <w:szCs w:val="13"/>
                <w:color w:val="auto"/>
              </w:rPr>
              <w:t>23,925</w:t>
            </w:r>
          </w:p>
        </w:tc>
        <w:tc>
          <w:tcPr>
            <w:tcW w:w="640" w:type="dxa"/>
            <w:vAlign w:val="bottom"/>
          </w:tcPr>
          <w:p>
            <w:pPr>
              <w:jc w:val="right"/>
              <w:spacing w:after="0"/>
              <w:rPr>
                <w:sz w:val="20"/>
                <w:szCs w:val="20"/>
                <w:color w:val="auto"/>
              </w:rPr>
            </w:pPr>
            <w:r>
              <w:rPr>
                <w:rFonts w:ascii="Arial" w:cs="Arial" w:eastAsia="Arial" w:hAnsi="Arial"/>
                <w:sz w:val="13"/>
                <w:szCs w:val="13"/>
                <w:color w:val="auto"/>
              </w:rPr>
              <w:t>39.72</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8/13/2029</w:t>
            </w:r>
          </w:p>
        </w:tc>
        <w:tc>
          <w:tcPr>
            <w:tcW w:w="700" w:type="dxa"/>
            <w:vAlign w:val="bottom"/>
          </w:tcPr>
          <w:p>
            <w:pPr>
              <w:jc w:val="right"/>
              <w:spacing w:after="0"/>
              <w:rPr>
                <w:sz w:val="20"/>
                <w:szCs w:val="20"/>
                <w:color w:val="auto"/>
              </w:rPr>
            </w:pPr>
            <w:r>
              <w:rPr>
                <w:rFonts w:ascii="Arial" w:cs="Arial" w:eastAsia="Arial" w:hAnsi="Arial"/>
                <w:sz w:val="13"/>
                <w:szCs w:val="13"/>
                <w:color w:val="auto"/>
              </w:rPr>
              <w:t>8/14/2019</w:t>
            </w:r>
          </w:p>
        </w:tc>
        <w:tc>
          <w:tcPr>
            <w:tcW w:w="780" w:type="dxa"/>
            <w:vAlign w:val="bottom"/>
          </w:tcPr>
          <w:p>
            <w:pPr>
              <w:jc w:val="right"/>
              <w:spacing w:after="0"/>
              <w:rPr>
                <w:sz w:val="20"/>
                <w:szCs w:val="20"/>
                <w:color w:val="auto"/>
              </w:rPr>
            </w:pPr>
            <w:r>
              <w:rPr>
                <w:rFonts w:ascii="Arial" w:cs="Arial" w:eastAsia="Arial" w:hAnsi="Arial"/>
                <w:sz w:val="13"/>
                <w:szCs w:val="13"/>
                <w:color w:val="auto"/>
              </w:rPr>
              <w:t>4,248</w:t>
            </w:r>
          </w:p>
        </w:tc>
        <w:tc>
          <w:tcPr>
            <w:tcW w:w="740" w:type="dxa"/>
            <w:vAlign w:val="bottom"/>
          </w:tcPr>
          <w:p>
            <w:pPr>
              <w:jc w:val="right"/>
              <w:spacing w:after="0"/>
              <w:rPr>
                <w:sz w:val="20"/>
                <w:szCs w:val="20"/>
                <w:color w:val="auto"/>
              </w:rPr>
            </w:pPr>
            <w:r>
              <w:rPr>
                <w:rFonts w:ascii="Arial" w:cs="Arial" w:eastAsia="Arial" w:hAnsi="Arial"/>
                <w:sz w:val="13"/>
                <w:szCs w:val="13"/>
                <w:color w:val="auto"/>
              </w:rPr>
              <w:t>170,047</w:t>
            </w:r>
          </w:p>
        </w:tc>
        <w:tc>
          <w:tcPr>
            <w:tcW w:w="1020" w:type="dxa"/>
            <w:vAlign w:val="bottom"/>
          </w:tcPr>
          <w:p>
            <w:pPr>
              <w:jc w:val="right"/>
              <w:spacing w:after="0"/>
              <w:rPr>
                <w:sz w:val="20"/>
                <w:szCs w:val="20"/>
                <w:color w:val="auto"/>
              </w:rPr>
            </w:pPr>
            <w:r>
              <w:rPr>
                <w:rFonts w:ascii="Arial" w:cs="Arial" w:eastAsia="Arial" w:hAnsi="Arial"/>
                <w:sz w:val="13"/>
                <w:szCs w:val="13"/>
                <w:color w:val="auto"/>
              </w:rPr>
              <w:t>16,995</w:t>
            </w:r>
          </w:p>
        </w:tc>
        <w:tc>
          <w:tcPr>
            <w:tcW w:w="1020" w:type="dxa"/>
            <w:vAlign w:val="bottom"/>
          </w:tcPr>
          <w:p>
            <w:pPr>
              <w:jc w:val="right"/>
              <w:spacing w:after="0"/>
              <w:rPr>
                <w:sz w:val="20"/>
                <w:szCs w:val="20"/>
                <w:color w:val="auto"/>
              </w:rPr>
            </w:pPr>
            <w:r>
              <w:rPr>
                <w:rFonts w:ascii="Arial" w:cs="Arial" w:eastAsia="Arial" w:hAnsi="Arial"/>
                <w:sz w:val="13"/>
                <w:szCs w:val="13"/>
                <w:color w:val="auto"/>
              </w:rPr>
              <w:t>680,310</w:t>
            </w:r>
          </w:p>
        </w:tc>
      </w:tr>
      <w:tr>
        <w:trPr>
          <w:trHeight w:val="209"/>
        </w:trPr>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11/17/2020</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191,048</w:t>
            </w:r>
          </w:p>
        </w:tc>
        <w:tc>
          <w:tcPr>
            <w:tcW w:w="640" w:type="dxa"/>
            <w:vAlign w:val="bottom"/>
          </w:tcPr>
          <w:p>
            <w:pPr>
              <w:jc w:val="right"/>
              <w:spacing w:after="0"/>
              <w:rPr>
                <w:sz w:val="20"/>
                <w:szCs w:val="20"/>
                <w:color w:val="auto"/>
              </w:rPr>
            </w:pPr>
            <w:r>
              <w:rPr>
                <w:rFonts w:ascii="Arial" w:cs="Arial" w:eastAsia="Arial" w:hAnsi="Arial"/>
                <w:sz w:val="13"/>
                <w:szCs w:val="13"/>
                <w:color w:val="auto"/>
              </w:rPr>
              <w:t>29.38</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11/16/2030 11/17/2020</w:t>
            </w:r>
          </w:p>
        </w:tc>
        <w:tc>
          <w:tcPr>
            <w:tcW w:w="780" w:type="dxa"/>
            <w:vAlign w:val="bottom"/>
          </w:tcPr>
          <w:p>
            <w:pPr>
              <w:jc w:val="right"/>
              <w:spacing w:after="0"/>
              <w:rPr>
                <w:sz w:val="20"/>
                <w:szCs w:val="20"/>
                <w:color w:val="auto"/>
              </w:rPr>
            </w:pPr>
            <w:r>
              <w:rPr>
                <w:rFonts w:ascii="Arial" w:cs="Arial" w:eastAsia="Arial" w:hAnsi="Arial"/>
                <w:sz w:val="13"/>
                <w:szCs w:val="13"/>
                <w:color w:val="auto"/>
              </w:rPr>
              <w:t>44,673</w:t>
            </w:r>
          </w:p>
        </w:tc>
        <w:tc>
          <w:tcPr>
            <w:tcW w:w="740" w:type="dxa"/>
            <w:vAlign w:val="bottom"/>
          </w:tcPr>
          <w:p>
            <w:pPr>
              <w:jc w:val="right"/>
              <w:spacing w:after="0"/>
              <w:rPr>
                <w:sz w:val="20"/>
                <w:szCs w:val="20"/>
                <w:color w:val="auto"/>
              </w:rPr>
            </w:pPr>
            <w:r>
              <w:rPr>
                <w:rFonts w:ascii="Arial" w:cs="Arial" w:eastAsia="Arial" w:hAnsi="Arial"/>
                <w:sz w:val="13"/>
                <w:szCs w:val="13"/>
                <w:color w:val="auto"/>
              </w:rPr>
              <w:t>1,788,260</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1360" w:type="dxa"/>
            <w:vAlign w:val="bottom"/>
            <w:shd w:val="clear" w:color="auto" w:fill="CCEDD4"/>
          </w:tcPr>
          <w:p>
            <w:pPr>
              <w:ind w:left="20"/>
              <w:spacing w:after="0"/>
              <w:rPr>
                <w:sz w:val="20"/>
                <w:szCs w:val="20"/>
                <w:color w:val="auto"/>
              </w:rPr>
            </w:pPr>
            <w:r>
              <w:rPr>
                <w:rFonts w:ascii="Arial" w:cs="Arial" w:eastAsia="Arial" w:hAnsi="Arial"/>
                <w:sz w:val="13"/>
                <w:szCs w:val="13"/>
                <w:color w:val="auto"/>
              </w:rPr>
              <w:t>Thomas Liguori</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1/29/2018</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7,524</w:t>
            </w:r>
          </w:p>
        </w:tc>
        <w:tc>
          <w:tcPr>
            <w:tcW w:w="10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2,508</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43.47</w:t>
            </w:r>
          </w:p>
        </w:tc>
        <w:tc>
          <w:tcPr>
            <w:tcW w:w="800" w:type="dxa"/>
            <w:vAlign w:val="bottom"/>
            <w:shd w:val="clear" w:color="auto" w:fill="CCEDD4"/>
          </w:tcPr>
          <w:p>
            <w:pPr>
              <w:jc w:val="right"/>
              <w:ind w:right="13"/>
              <w:spacing w:after="0"/>
              <w:rPr>
                <w:sz w:val="20"/>
                <w:szCs w:val="20"/>
                <w:color w:val="auto"/>
              </w:rPr>
            </w:pPr>
            <w:r>
              <w:rPr>
                <w:rFonts w:ascii="Arial" w:cs="Arial" w:eastAsia="Arial" w:hAnsi="Arial"/>
                <w:sz w:val="13"/>
                <w:szCs w:val="13"/>
                <w:color w:val="auto"/>
              </w:rPr>
              <w:t>1/28/2028</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1/29/2018</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17,396</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696,362</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8/28/2018</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11,074</w:t>
            </w:r>
          </w:p>
        </w:tc>
        <w:tc>
          <w:tcPr>
            <w:tcW w:w="10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11,074</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48.62</w:t>
            </w:r>
          </w:p>
        </w:tc>
        <w:tc>
          <w:tcPr>
            <w:tcW w:w="800" w:type="dxa"/>
            <w:vAlign w:val="bottom"/>
            <w:shd w:val="clear" w:color="auto" w:fill="CCEDD4"/>
          </w:tcPr>
          <w:p>
            <w:pPr>
              <w:jc w:val="right"/>
              <w:ind w:right="13"/>
              <w:spacing w:after="0"/>
              <w:rPr>
                <w:sz w:val="20"/>
                <w:szCs w:val="20"/>
                <w:color w:val="auto"/>
              </w:rPr>
            </w:pPr>
            <w:r>
              <w:rPr>
                <w:rFonts w:ascii="Arial" w:cs="Arial" w:eastAsia="Arial" w:hAnsi="Arial"/>
                <w:sz w:val="13"/>
                <w:szCs w:val="13"/>
                <w:color w:val="auto"/>
              </w:rPr>
              <w:t>8/27/2028</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8/28/2018</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1,607</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64,328</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136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8/14/2019</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8,861</w:t>
            </w:r>
          </w:p>
        </w:tc>
        <w:tc>
          <w:tcPr>
            <w:tcW w:w="10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26,583</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39.72</w:t>
            </w:r>
          </w:p>
        </w:tc>
        <w:tc>
          <w:tcPr>
            <w:tcW w:w="800" w:type="dxa"/>
            <w:vAlign w:val="bottom"/>
            <w:shd w:val="clear" w:color="auto" w:fill="CCEDD4"/>
          </w:tcPr>
          <w:p>
            <w:pPr>
              <w:jc w:val="right"/>
              <w:ind w:right="13"/>
              <w:spacing w:after="0"/>
              <w:rPr>
                <w:sz w:val="20"/>
                <w:szCs w:val="20"/>
                <w:color w:val="auto"/>
              </w:rPr>
            </w:pPr>
            <w:r>
              <w:rPr>
                <w:rFonts w:ascii="Arial" w:cs="Arial" w:eastAsia="Arial" w:hAnsi="Arial"/>
                <w:sz w:val="13"/>
                <w:szCs w:val="13"/>
                <w:color w:val="auto"/>
              </w:rPr>
              <w:t>8/13/2029</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8/14/2019</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4,720</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188,942</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18,882</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755,846</w:t>
            </w:r>
          </w:p>
        </w:tc>
      </w:tr>
      <w:tr>
        <w:trPr>
          <w:trHeight w:val="217"/>
        </w:trPr>
        <w:tc>
          <w:tcPr>
            <w:tcW w:w="1360" w:type="dxa"/>
            <w:vAlign w:val="bottom"/>
            <w:shd w:val="clear" w:color="auto" w:fill="CCEDD4"/>
          </w:tcPr>
          <w:p>
            <w:pPr>
              <w:spacing w:after="0"/>
              <w:rPr>
                <w:sz w:val="18"/>
                <w:szCs w:val="18"/>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11/16/2020</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80,644</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29.85</w:t>
            </w:r>
          </w:p>
        </w:tc>
        <w:tc>
          <w:tcPr>
            <w:tcW w:w="1500" w:type="dxa"/>
            <w:vAlign w:val="bottom"/>
            <w:gridSpan w:val="2"/>
            <w:shd w:val="clear" w:color="auto" w:fill="CCEDD4"/>
          </w:tcPr>
          <w:p>
            <w:pPr>
              <w:jc w:val="right"/>
              <w:spacing w:after="0"/>
              <w:rPr>
                <w:sz w:val="20"/>
                <w:szCs w:val="20"/>
                <w:color w:val="auto"/>
              </w:rPr>
            </w:pPr>
            <w:r>
              <w:rPr>
                <w:rFonts w:ascii="Arial" w:cs="Arial" w:eastAsia="Arial" w:hAnsi="Arial"/>
                <w:sz w:val="13"/>
                <w:szCs w:val="13"/>
                <w:color w:val="auto"/>
              </w:rPr>
              <w:t>11/15/2030 11/16/2020</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18,843</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754,285</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1360" w:type="dxa"/>
            <w:vAlign w:val="bottom"/>
          </w:tcPr>
          <w:p>
            <w:pPr>
              <w:ind w:left="20"/>
              <w:spacing w:after="0"/>
              <w:rPr>
                <w:sz w:val="20"/>
                <w:szCs w:val="20"/>
                <w:color w:val="auto"/>
              </w:rPr>
            </w:pPr>
            <w:r>
              <w:rPr>
                <w:rFonts w:ascii="Arial" w:cs="Arial" w:eastAsia="Arial" w:hAnsi="Arial"/>
                <w:sz w:val="13"/>
                <w:szCs w:val="13"/>
                <w:color w:val="auto"/>
              </w:rPr>
              <w:t>Ken E. Arnold</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8/28/2018</w:t>
            </w:r>
          </w:p>
        </w:tc>
        <w:tc>
          <w:tcPr>
            <w:tcW w:w="780" w:type="dxa"/>
            <w:vAlign w:val="bottom"/>
          </w:tcPr>
          <w:p>
            <w:pPr>
              <w:jc w:val="right"/>
              <w:spacing w:after="0"/>
              <w:rPr>
                <w:sz w:val="20"/>
                <w:szCs w:val="20"/>
                <w:color w:val="auto"/>
              </w:rPr>
            </w:pPr>
            <w:r>
              <w:rPr>
                <w:rFonts w:ascii="Arial" w:cs="Arial" w:eastAsia="Arial" w:hAnsi="Arial"/>
                <w:sz w:val="13"/>
                <w:szCs w:val="13"/>
                <w:color w:val="auto"/>
              </w:rPr>
              <w:t>643</w:t>
            </w:r>
          </w:p>
        </w:tc>
        <w:tc>
          <w:tcPr>
            <w:tcW w:w="740" w:type="dxa"/>
            <w:vAlign w:val="bottom"/>
          </w:tcPr>
          <w:p>
            <w:pPr>
              <w:jc w:val="right"/>
              <w:spacing w:after="0"/>
              <w:rPr>
                <w:sz w:val="20"/>
                <w:szCs w:val="20"/>
                <w:color w:val="auto"/>
              </w:rPr>
            </w:pPr>
            <w:r>
              <w:rPr>
                <w:rFonts w:ascii="Arial" w:cs="Arial" w:eastAsia="Arial" w:hAnsi="Arial"/>
                <w:sz w:val="13"/>
                <w:szCs w:val="13"/>
                <w:color w:val="auto"/>
              </w:rPr>
              <w:t>25,739</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2/18/2019</w:t>
            </w:r>
          </w:p>
        </w:tc>
        <w:tc>
          <w:tcPr>
            <w:tcW w:w="900" w:type="dxa"/>
            <w:vAlign w:val="bottom"/>
          </w:tcPr>
          <w:p>
            <w:pPr>
              <w:jc w:val="right"/>
              <w:spacing w:after="0"/>
              <w:rPr>
                <w:sz w:val="20"/>
                <w:szCs w:val="20"/>
                <w:color w:val="auto"/>
              </w:rPr>
            </w:pPr>
            <w:r>
              <w:rPr>
                <w:rFonts w:ascii="Arial" w:cs="Arial" w:eastAsia="Arial" w:hAnsi="Arial"/>
                <w:sz w:val="13"/>
                <w:szCs w:val="13"/>
                <w:color w:val="auto"/>
              </w:rPr>
              <w:t>3,954</w:t>
            </w:r>
          </w:p>
        </w:tc>
        <w:tc>
          <w:tcPr>
            <w:tcW w:w="1000" w:type="dxa"/>
            <w:vAlign w:val="bottom"/>
          </w:tcPr>
          <w:p>
            <w:pPr>
              <w:jc w:val="right"/>
              <w:spacing w:after="0"/>
              <w:rPr>
                <w:sz w:val="20"/>
                <w:szCs w:val="20"/>
                <w:color w:val="auto"/>
              </w:rPr>
            </w:pPr>
            <w:r>
              <w:rPr>
                <w:rFonts w:ascii="Arial" w:cs="Arial" w:eastAsia="Arial" w:hAnsi="Arial"/>
                <w:sz w:val="13"/>
                <w:szCs w:val="13"/>
                <w:color w:val="auto"/>
              </w:rPr>
              <w:t>3,954</w:t>
            </w:r>
          </w:p>
        </w:tc>
        <w:tc>
          <w:tcPr>
            <w:tcW w:w="640" w:type="dxa"/>
            <w:vAlign w:val="bottom"/>
          </w:tcPr>
          <w:p>
            <w:pPr>
              <w:jc w:val="right"/>
              <w:spacing w:after="0"/>
              <w:rPr>
                <w:sz w:val="20"/>
                <w:szCs w:val="20"/>
                <w:color w:val="auto"/>
              </w:rPr>
            </w:pPr>
            <w:r>
              <w:rPr>
                <w:rFonts w:ascii="Arial" w:cs="Arial" w:eastAsia="Arial" w:hAnsi="Arial"/>
                <w:sz w:val="13"/>
                <w:szCs w:val="13"/>
                <w:color w:val="auto"/>
              </w:rPr>
              <w:t>44.12</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2/17/2029</w:t>
            </w:r>
          </w:p>
        </w:tc>
        <w:tc>
          <w:tcPr>
            <w:tcW w:w="700" w:type="dxa"/>
            <w:vAlign w:val="bottom"/>
          </w:tcPr>
          <w:p>
            <w:pPr>
              <w:jc w:val="right"/>
              <w:spacing w:after="0"/>
              <w:rPr>
                <w:sz w:val="20"/>
                <w:szCs w:val="20"/>
                <w:color w:val="auto"/>
              </w:rPr>
            </w:pPr>
            <w:r>
              <w:rPr>
                <w:rFonts w:ascii="Arial" w:cs="Arial" w:eastAsia="Arial" w:hAnsi="Arial"/>
                <w:sz w:val="13"/>
                <w:szCs w:val="13"/>
                <w:color w:val="auto"/>
              </w:rPr>
              <w:t>2/18/2019</w:t>
            </w:r>
          </w:p>
        </w:tc>
        <w:tc>
          <w:tcPr>
            <w:tcW w:w="780" w:type="dxa"/>
            <w:vAlign w:val="bottom"/>
          </w:tcPr>
          <w:p>
            <w:pPr>
              <w:jc w:val="right"/>
              <w:spacing w:after="0"/>
              <w:rPr>
                <w:sz w:val="20"/>
                <w:szCs w:val="20"/>
                <w:color w:val="auto"/>
              </w:rPr>
            </w:pPr>
            <w:r>
              <w:rPr>
                <w:rFonts w:ascii="Arial" w:cs="Arial" w:eastAsia="Arial" w:hAnsi="Arial"/>
                <w:sz w:val="13"/>
                <w:szCs w:val="13"/>
                <w:color w:val="auto"/>
              </w:rPr>
              <w:t>1,132</w:t>
            </w:r>
          </w:p>
        </w:tc>
        <w:tc>
          <w:tcPr>
            <w:tcW w:w="740" w:type="dxa"/>
            <w:vAlign w:val="bottom"/>
          </w:tcPr>
          <w:p>
            <w:pPr>
              <w:jc w:val="right"/>
              <w:spacing w:after="0"/>
              <w:rPr>
                <w:sz w:val="20"/>
                <w:szCs w:val="20"/>
                <w:color w:val="auto"/>
              </w:rPr>
            </w:pPr>
            <w:r>
              <w:rPr>
                <w:rFonts w:ascii="Arial" w:cs="Arial" w:eastAsia="Arial" w:hAnsi="Arial"/>
                <w:sz w:val="13"/>
                <w:szCs w:val="13"/>
                <w:color w:val="auto"/>
              </w:rPr>
              <w:t>45,314</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8/14/2019</w:t>
            </w:r>
          </w:p>
        </w:tc>
        <w:tc>
          <w:tcPr>
            <w:tcW w:w="900" w:type="dxa"/>
            <w:vAlign w:val="bottom"/>
          </w:tcPr>
          <w:p>
            <w:pPr>
              <w:jc w:val="right"/>
              <w:spacing w:after="0"/>
              <w:rPr>
                <w:sz w:val="20"/>
                <w:szCs w:val="20"/>
                <w:color w:val="auto"/>
              </w:rPr>
            </w:pPr>
            <w:r>
              <w:rPr>
                <w:rFonts w:ascii="Arial" w:cs="Arial" w:eastAsia="Arial" w:hAnsi="Arial"/>
                <w:sz w:val="13"/>
                <w:szCs w:val="13"/>
                <w:color w:val="auto"/>
              </w:rPr>
              <w:t>3,101</w:t>
            </w:r>
          </w:p>
        </w:tc>
        <w:tc>
          <w:tcPr>
            <w:tcW w:w="1000" w:type="dxa"/>
            <w:vAlign w:val="bottom"/>
          </w:tcPr>
          <w:p>
            <w:pPr>
              <w:jc w:val="right"/>
              <w:spacing w:after="0"/>
              <w:rPr>
                <w:sz w:val="20"/>
                <w:szCs w:val="20"/>
                <w:color w:val="auto"/>
              </w:rPr>
            </w:pPr>
            <w:r>
              <w:rPr>
                <w:rFonts w:ascii="Arial" w:cs="Arial" w:eastAsia="Arial" w:hAnsi="Arial"/>
                <w:sz w:val="13"/>
                <w:szCs w:val="13"/>
                <w:color w:val="auto"/>
              </w:rPr>
              <w:t>9,303</w:t>
            </w:r>
          </w:p>
        </w:tc>
        <w:tc>
          <w:tcPr>
            <w:tcW w:w="640" w:type="dxa"/>
            <w:vAlign w:val="bottom"/>
          </w:tcPr>
          <w:p>
            <w:pPr>
              <w:jc w:val="right"/>
              <w:spacing w:after="0"/>
              <w:rPr>
                <w:sz w:val="20"/>
                <w:szCs w:val="20"/>
                <w:color w:val="auto"/>
              </w:rPr>
            </w:pPr>
            <w:r>
              <w:rPr>
                <w:rFonts w:ascii="Arial" w:cs="Arial" w:eastAsia="Arial" w:hAnsi="Arial"/>
                <w:sz w:val="13"/>
                <w:szCs w:val="13"/>
                <w:color w:val="auto"/>
              </w:rPr>
              <w:t>39.72</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8/13/2029</w:t>
            </w:r>
          </w:p>
        </w:tc>
        <w:tc>
          <w:tcPr>
            <w:tcW w:w="700" w:type="dxa"/>
            <w:vAlign w:val="bottom"/>
          </w:tcPr>
          <w:p>
            <w:pPr>
              <w:jc w:val="right"/>
              <w:spacing w:after="0"/>
              <w:rPr>
                <w:sz w:val="20"/>
                <w:szCs w:val="20"/>
                <w:color w:val="auto"/>
              </w:rPr>
            </w:pPr>
            <w:r>
              <w:rPr>
                <w:rFonts w:ascii="Arial" w:cs="Arial" w:eastAsia="Arial" w:hAnsi="Arial"/>
                <w:sz w:val="13"/>
                <w:szCs w:val="13"/>
                <w:color w:val="auto"/>
              </w:rPr>
              <w:t>8/14/2019</w:t>
            </w:r>
          </w:p>
        </w:tc>
        <w:tc>
          <w:tcPr>
            <w:tcW w:w="780" w:type="dxa"/>
            <w:vAlign w:val="bottom"/>
          </w:tcPr>
          <w:p>
            <w:pPr>
              <w:jc w:val="right"/>
              <w:spacing w:after="0"/>
              <w:rPr>
                <w:sz w:val="20"/>
                <w:szCs w:val="20"/>
                <w:color w:val="auto"/>
              </w:rPr>
            </w:pPr>
            <w:r>
              <w:rPr>
                <w:rFonts w:ascii="Arial" w:cs="Arial" w:eastAsia="Arial" w:hAnsi="Arial"/>
                <w:sz w:val="13"/>
                <w:szCs w:val="13"/>
                <w:color w:val="auto"/>
              </w:rPr>
              <w:t>1,652</w:t>
            </w:r>
          </w:p>
        </w:tc>
        <w:tc>
          <w:tcPr>
            <w:tcW w:w="740" w:type="dxa"/>
            <w:vAlign w:val="bottom"/>
          </w:tcPr>
          <w:p>
            <w:pPr>
              <w:jc w:val="right"/>
              <w:spacing w:after="0"/>
              <w:rPr>
                <w:sz w:val="20"/>
                <w:szCs w:val="20"/>
                <w:color w:val="auto"/>
              </w:rPr>
            </w:pPr>
            <w:r>
              <w:rPr>
                <w:rFonts w:ascii="Arial" w:cs="Arial" w:eastAsia="Arial" w:hAnsi="Arial"/>
                <w:sz w:val="13"/>
                <w:szCs w:val="13"/>
                <w:color w:val="auto"/>
              </w:rPr>
              <w:t>66,130</w:t>
            </w:r>
          </w:p>
        </w:tc>
        <w:tc>
          <w:tcPr>
            <w:tcW w:w="1020" w:type="dxa"/>
            <w:vAlign w:val="bottom"/>
          </w:tcPr>
          <w:p>
            <w:pPr>
              <w:jc w:val="right"/>
              <w:spacing w:after="0"/>
              <w:rPr>
                <w:sz w:val="20"/>
                <w:szCs w:val="20"/>
                <w:color w:val="auto"/>
              </w:rPr>
            </w:pPr>
            <w:r>
              <w:rPr>
                <w:rFonts w:ascii="Arial" w:cs="Arial" w:eastAsia="Arial" w:hAnsi="Arial"/>
                <w:sz w:val="13"/>
                <w:szCs w:val="13"/>
                <w:color w:val="auto"/>
              </w:rPr>
              <w:t>6,609</w:t>
            </w:r>
          </w:p>
        </w:tc>
        <w:tc>
          <w:tcPr>
            <w:tcW w:w="1020" w:type="dxa"/>
            <w:vAlign w:val="bottom"/>
          </w:tcPr>
          <w:p>
            <w:pPr>
              <w:jc w:val="right"/>
              <w:spacing w:after="0"/>
              <w:rPr>
                <w:sz w:val="20"/>
                <w:szCs w:val="20"/>
                <w:color w:val="auto"/>
              </w:rPr>
            </w:pPr>
            <w:r>
              <w:rPr>
                <w:rFonts w:ascii="Arial" w:cs="Arial" w:eastAsia="Arial" w:hAnsi="Arial"/>
                <w:sz w:val="13"/>
                <w:szCs w:val="13"/>
                <w:color w:val="auto"/>
              </w:rPr>
              <w:t>264,558</w:t>
            </w:r>
          </w:p>
        </w:tc>
      </w:tr>
      <w:tr>
        <w:trPr>
          <w:trHeight w:val="210"/>
        </w:trPr>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11/16/2020</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33,604</w:t>
            </w:r>
          </w:p>
        </w:tc>
        <w:tc>
          <w:tcPr>
            <w:tcW w:w="640" w:type="dxa"/>
            <w:vAlign w:val="bottom"/>
          </w:tcPr>
          <w:p>
            <w:pPr>
              <w:jc w:val="right"/>
              <w:spacing w:after="0"/>
              <w:rPr>
                <w:sz w:val="20"/>
                <w:szCs w:val="20"/>
                <w:color w:val="auto"/>
              </w:rPr>
            </w:pPr>
            <w:r>
              <w:rPr>
                <w:rFonts w:ascii="Arial" w:cs="Arial" w:eastAsia="Arial" w:hAnsi="Arial"/>
                <w:sz w:val="13"/>
                <w:szCs w:val="13"/>
                <w:color w:val="auto"/>
              </w:rPr>
              <w:t>29.85</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11/15/2030 11/16/2020</w:t>
            </w:r>
          </w:p>
        </w:tc>
        <w:tc>
          <w:tcPr>
            <w:tcW w:w="780" w:type="dxa"/>
            <w:vAlign w:val="bottom"/>
          </w:tcPr>
          <w:p>
            <w:pPr>
              <w:jc w:val="right"/>
              <w:spacing w:after="0"/>
              <w:rPr>
                <w:sz w:val="20"/>
                <w:szCs w:val="20"/>
                <w:color w:val="auto"/>
              </w:rPr>
            </w:pPr>
            <w:r>
              <w:rPr>
                <w:rFonts w:ascii="Arial" w:cs="Arial" w:eastAsia="Arial" w:hAnsi="Arial"/>
                <w:sz w:val="13"/>
                <w:szCs w:val="13"/>
                <w:color w:val="auto"/>
              </w:rPr>
              <w:t>7,851</w:t>
            </w:r>
          </w:p>
        </w:tc>
        <w:tc>
          <w:tcPr>
            <w:tcW w:w="740" w:type="dxa"/>
            <w:vAlign w:val="bottom"/>
          </w:tcPr>
          <w:p>
            <w:pPr>
              <w:jc w:val="right"/>
              <w:spacing w:after="0"/>
              <w:rPr>
                <w:sz w:val="20"/>
                <w:szCs w:val="20"/>
                <w:color w:val="auto"/>
              </w:rPr>
            </w:pPr>
            <w:r>
              <w:rPr>
                <w:rFonts w:ascii="Arial" w:cs="Arial" w:eastAsia="Arial" w:hAnsi="Arial"/>
                <w:sz w:val="13"/>
                <w:szCs w:val="13"/>
                <w:color w:val="auto"/>
              </w:rPr>
              <w:t>314,276</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1360" w:type="dxa"/>
            <w:vAlign w:val="bottom"/>
            <w:shd w:val="clear" w:color="auto" w:fill="CCEDD4"/>
          </w:tcPr>
          <w:p>
            <w:pPr>
              <w:ind w:left="20"/>
              <w:spacing w:after="0"/>
              <w:rPr>
                <w:sz w:val="20"/>
                <w:szCs w:val="20"/>
                <w:color w:val="auto"/>
              </w:rPr>
            </w:pPr>
            <w:r>
              <w:rPr>
                <w:rFonts w:ascii="Arial" w:cs="Arial" w:eastAsia="Arial" w:hAnsi="Arial"/>
                <w:sz w:val="13"/>
                <w:szCs w:val="13"/>
                <w:color w:val="auto"/>
              </w:rPr>
              <w:t>Max Chan</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8/28/2018</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900</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36,027</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DD4"/>
          </w:tcPr>
          <w:p>
            <w:pPr>
              <w:jc w:val="right"/>
              <w:spacing w:after="0"/>
              <w:rPr>
                <w:sz w:val="20"/>
                <w:szCs w:val="20"/>
                <w:color w:val="auto"/>
              </w:rPr>
            </w:pPr>
            <w:r>
              <w:rPr>
                <w:rFonts w:ascii="Arial" w:cs="Arial" w:eastAsia="Arial" w:hAnsi="Arial"/>
                <w:sz w:val="13"/>
                <w:szCs w:val="13"/>
                <w:color w:val="auto"/>
              </w:rPr>
              <w:t>— 11/05/2018</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578</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23,137</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8/14/2019</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3,776</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151,153</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8/19/2020</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9,552</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382,367</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217"/>
        </w:trPr>
        <w:tc>
          <w:tcPr>
            <w:tcW w:w="1360" w:type="dxa"/>
            <w:vAlign w:val="bottom"/>
            <w:shd w:val="clear" w:color="auto" w:fill="CCEDD4"/>
          </w:tcPr>
          <w:p>
            <w:pPr>
              <w:spacing w:after="0"/>
              <w:rPr>
                <w:sz w:val="18"/>
                <w:szCs w:val="18"/>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1/25/2021</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1,912</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76,537</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1360" w:type="dxa"/>
            <w:vAlign w:val="bottom"/>
          </w:tcPr>
          <w:p>
            <w:pPr>
              <w:ind w:left="20"/>
              <w:spacing w:after="0"/>
              <w:rPr>
                <w:sz w:val="20"/>
                <w:szCs w:val="20"/>
                <w:color w:val="auto"/>
              </w:rPr>
            </w:pPr>
            <w:r>
              <w:rPr>
                <w:rFonts w:ascii="Arial" w:cs="Arial" w:eastAsia="Arial" w:hAnsi="Arial"/>
                <w:sz w:val="13"/>
                <w:szCs w:val="13"/>
                <w:color w:val="auto"/>
              </w:rPr>
              <w:t>Michael R. McCoy</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8/28/2018</w:t>
            </w:r>
          </w:p>
        </w:tc>
        <w:tc>
          <w:tcPr>
            <w:tcW w:w="780" w:type="dxa"/>
            <w:vAlign w:val="bottom"/>
          </w:tcPr>
          <w:p>
            <w:pPr>
              <w:jc w:val="right"/>
              <w:spacing w:after="0"/>
              <w:rPr>
                <w:sz w:val="20"/>
                <w:szCs w:val="20"/>
                <w:color w:val="auto"/>
              </w:rPr>
            </w:pPr>
            <w:r>
              <w:rPr>
                <w:rFonts w:ascii="Arial" w:cs="Arial" w:eastAsia="Arial" w:hAnsi="Arial"/>
                <w:sz w:val="13"/>
                <w:szCs w:val="13"/>
                <w:color w:val="auto"/>
              </w:rPr>
              <w:t>900</w:t>
            </w:r>
          </w:p>
        </w:tc>
        <w:tc>
          <w:tcPr>
            <w:tcW w:w="740" w:type="dxa"/>
            <w:vAlign w:val="bottom"/>
          </w:tcPr>
          <w:p>
            <w:pPr>
              <w:jc w:val="right"/>
              <w:spacing w:after="0"/>
              <w:rPr>
                <w:sz w:val="20"/>
                <w:szCs w:val="20"/>
                <w:color w:val="auto"/>
              </w:rPr>
            </w:pPr>
            <w:r>
              <w:rPr>
                <w:rFonts w:ascii="Arial" w:cs="Arial" w:eastAsia="Arial" w:hAnsi="Arial"/>
                <w:sz w:val="13"/>
                <w:szCs w:val="13"/>
                <w:color w:val="auto"/>
              </w:rPr>
              <w:t>36,027</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8/14/2019</w:t>
            </w:r>
          </w:p>
        </w:tc>
        <w:tc>
          <w:tcPr>
            <w:tcW w:w="780" w:type="dxa"/>
            <w:vAlign w:val="bottom"/>
          </w:tcPr>
          <w:p>
            <w:pPr>
              <w:jc w:val="right"/>
              <w:spacing w:after="0"/>
              <w:rPr>
                <w:sz w:val="20"/>
                <w:szCs w:val="20"/>
                <w:color w:val="auto"/>
              </w:rPr>
            </w:pPr>
            <w:r>
              <w:rPr>
                <w:rFonts w:ascii="Arial" w:cs="Arial" w:eastAsia="Arial" w:hAnsi="Arial"/>
                <w:sz w:val="13"/>
                <w:szCs w:val="13"/>
                <w:color w:val="auto"/>
              </w:rPr>
              <w:t>2,770</w:t>
            </w:r>
          </w:p>
        </w:tc>
        <w:tc>
          <w:tcPr>
            <w:tcW w:w="740" w:type="dxa"/>
            <w:vAlign w:val="bottom"/>
          </w:tcPr>
          <w:p>
            <w:pPr>
              <w:jc w:val="right"/>
              <w:spacing w:after="0"/>
              <w:rPr>
                <w:sz w:val="20"/>
                <w:szCs w:val="20"/>
                <w:color w:val="auto"/>
              </w:rPr>
            </w:pPr>
            <w:r>
              <w:rPr>
                <w:rFonts w:ascii="Arial" w:cs="Arial" w:eastAsia="Arial" w:hAnsi="Arial"/>
                <w:sz w:val="13"/>
                <w:szCs w:val="13"/>
                <w:color w:val="auto"/>
              </w:rPr>
              <w:t>110,883</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4/01/2020</w:t>
            </w:r>
          </w:p>
        </w:tc>
        <w:tc>
          <w:tcPr>
            <w:tcW w:w="780" w:type="dxa"/>
            <w:vAlign w:val="bottom"/>
          </w:tcPr>
          <w:p>
            <w:pPr>
              <w:jc w:val="right"/>
              <w:spacing w:after="0"/>
              <w:rPr>
                <w:sz w:val="20"/>
                <w:szCs w:val="20"/>
                <w:color w:val="auto"/>
              </w:rPr>
            </w:pPr>
            <w:r>
              <w:rPr>
                <w:rFonts w:ascii="Arial" w:cs="Arial" w:eastAsia="Arial" w:hAnsi="Arial"/>
                <w:sz w:val="13"/>
                <w:szCs w:val="13"/>
                <w:color w:val="auto"/>
              </w:rPr>
              <w:t>3,042</w:t>
            </w:r>
          </w:p>
        </w:tc>
        <w:tc>
          <w:tcPr>
            <w:tcW w:w="740" w:type="dxa"/>
            <w:vAlign w:val="bottom"/>
          </w:tcPr>
          <w:p>
            <w:pPr>
              <w:jc w:val="right"/>
              <w:spacing w:after="0"/>
              <w:rPr>
                <w:sz w:val="20"/>
                <w:szCs w:val="20"/>
                <w:color w:val="auto"/>
              </w:rPr>
            </w:pPr>
            <w:r>
              <w:rPr>
                <w:rFonts w:ascii="Arial" w:cs="Arial" w:eastAsia="Arial" w:hAnsi="Arial"/>
                <w:sz w:val="13"/>
                <w:szCs w:val="13"/>
                <w:color w:val="auto"/>
              </w:rPr>
              <w:t>121,771</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11/16/2020</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36,292</w:t>
            </w:r>
          </w:p>
        </w:tc>
        <w:tc>
          <w:tcPr>
            <w:tcW w:w="640" w:type="dxa"/>
            <w:vAlign w:val="bottom"/>
          </w:tcPr>
          <w:p>
            <w:pPr>
              <w:jc w:val="right"/>
              <w:spacing w:after="0"/>
              <w:rPr>
                <w:sz w:val="20"/>
                <w:szCs w:val="20"/>
                <w:color w:val="auto"/>
              </w:rPr>
            </w:pPr>
            <w:r>
              <w:rPr>
                <w:rFonts w:ascii="Arial" w:cs="Arial" w:eastAsia="Arial" w:hAnsi="Arial"/>
                <w:sz w:val="13"/>
                <w:szCs w:val="13"/>
                <w:color w:val="auto"/>
              </w:rPr>
              <w:t>29.85</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11/15/2030 11/16/2020</w:t>
            </w:r>
          </w:p>
        </w:tc>
        <w:tc>
          <w:tcPr>
            <w:tcW w:w="780" w:type="dxa"/>
            <w:vAlign w:val="bottom"/>
          </w:tcPr>
          <w:p>
            <w:pPr>
              <w:jc w:val="right"/>
              <w:spacing w:after="0"/>
              <w:rPr>
                <w:sz w:val="20"/>
                <w:szCs w:val="20"/>
                <w:color w:val="auto"/>
              </w:rPr>
            </w:pPr>
            <w:r>
              <w:rPr>
                <w:rFonts w:ascii="Arial" w:cs="Arial" w:eastAsia="Arial" w:hAnsi="Arial"/>
                <w:sz w:val="13"/>
                <w:szCs w:val="13"/>
                <w:color w:val="auto"/>
              </w:rPr>
              <w:t>8,481</w:t>
            </w:r>
          </w:p>
        </w:tc>
        <w:tc>
          <w:tcPr>
            <w:tcW w:w="740" w:type="dxa"/>
            <w:vAlign w:val="bottom"/>
          </w:tcPr>
          <w:p>
            <w:pPr>
              <w:jc w:val="right"/>
              <w:spacing w:after="0"/>
              <w:rPr>
                <w:sz w:val="20"/>
                <w:szCs w:val="20"/>
                <w:color w:val="auto"/>
              </w:rPr>
            </w:pPr>
            <w:r>
              <w:rPr>
                <w:rFonts w:ascii="Arial" w:cs="Arial" w:eastAsia="Arial" w:hAnsi="Arial"/>
                <w:sz w:val="13"/>
                <w:szCs w:val="13"/>
                <w:color w:val="auto"/>
              </w:rPr>
              <w:t>339,494</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1360" w:type="dxa"/>
            <w:vAlign w:val="bottom"/>
            <w:shd w:val="clear" w:color="auto" w:fill="CCEDD4"/>
          </w:tcPr>
          <w:p>
            <w:pPr>
              <w:ind w:left="20"/>
              <w:spacing w:after="0"/>
              <w:rPr>
                <w:sz w:val="20"/>
                <w:szCs w:val="20"/>
                <w:color w:val="auto"/>
              </w:rPr>
            </w:pPr>
            <w:r>
              <w:rPr>
                <w:rFonts w:ascii="Arial" w:cs="Arial" w:eastAsia="Arial" w:hAnsi="Arial"/>
                <w:sz w:val="13"/>
                <w:szCs w:val="13"/>
                <w:color w:val="auto"/>
              </w:rPr>
              <w:t>William J. Amelio(1)</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1360" w:type="dxa"/>
            <w:vAlign w:val="bottom"/>
          </w:tcPr>
          <w:p>
            <w:pPr>
              <w:ind w:left="20"/>
              <w:spacing w:after="0"/>
              <w:rPr>
                <w:sz w:val="20"/>
                <w:szCs w:val="20"/>
                <w:color w:val="auto"/>
              </w:rPr>
            </w:pPr>
            <w:r>
              <w:rPr>
                <w:rFonts w:ascii="Arial" w:cs="Arial" w:eastAsia="Arial" w:hAnsi="Arial"/>
                <w:sz w:val="13"/>
                <w:szCs w:val="13"/>
                <w:color w:val="auto"/>
              </w:rPr>
              <w:t>Peter G. Bartolotta(1)</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626110</wp:posOffset>
            </wp:positionV>
            <wp:extent cx="1482725" cy="3003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2040" w:type="dxa"/>
            <w:vAlign w:val="bottom"/>
            <w:gridSpan w:val="2"/>
          </w:tcPr>
          <w:p>
            <w:pPr>
              <w:ind w:left="500"/>
              <w:spacing w:after="0"/>
              <w:rPr>
                <w:sz w:val="20"/>
                <w:szCs w:val="20"/>
                <w:color w:val="auto"/>
              </w:rPr>
            </w:pPr>
            <w:r>
              <w:rPr>
                <w:rFonts w:ascii="Arial" w:cs="Arial" w:eastAsia="Arial" w:hAnsi="Arial"/>
                <w:sz w:val="14"/>
                <w:szCs w:val="14"/>
                <w:b w:val="1"/>
                <w:bCs w:val="1"/>
                <w:color w:val="56C271"/>
              </w:rPr>
              <w:t>2021 ANNUAL</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gridSpan w:val="3"/>
            <w:vMerge w:val="restart"/>
          </w:tcPr>
          <w:p>
            <w:pPr>
              <w:jc w:val="right"/>
              <w:ind w:right="413"/>
              <w:spacing w:after="0"/>
              <w:rPr>
                <w:sz w:val="20"/>
                <w:szCs w:val="20"/>
                <w:color w:val="auto"/>
              </w:rPr>
            </w:pPr>
            <w:r>
              <w:rPr>
                <w:rFonts w:ascii="Arial" w:cs="Arial" w:eastAsia="Arial" w:hAnsi="Arial"/>
                <w:sz w:val="14"/>
                <w:szCs w:val="14"/>
                <w:color w:val="auto"/>
              </w:rPr>
              <w:t>Compensation of Executive Officers</w:t>
            </w:r>
          </w:p>
        </w:tc>
        <w:tc>
          <w:tcPr>
            <w:tcW w:w="0" w:type="dxa"/>
            <w:vAlign w:val="bottom"/>
          </w:tcPr>
          <w:p>
            <w:pPr>
              <w:spacing w:after="0"/>
              <w:rPr>
                <w:sz w:val="1"/>
                <w:szCs w:val="1"/>
                <w:color w:val="auto"/>
              </w:rPr>
            </w:pPr>
          </w:p>
        </w:tc>
      </w:tr>
      <w:tr>
        <w:trPr>
          <w:trHeight w:val="108"/>
        </w:trPr>
        <w:tc>
          <w:tcPr>
            <w:tcW w:w="20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PROXY STATEMENT</w:t>
            </w: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1"/>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56C271"/>
          </w:tcPr>
          <w:p>
            <w:pPr>
              <w:spacing w:after="0"/>
              <w:rPr>
                <w:sz w:val="17"/>
                <w:szCs w:val="17"/>
                <w:color w:val="auto"/>
              </w:rPr>
            </w:pPr>
          </w:p>
        </w:tc>
        <w:tc>
          <w:tcPr>
            <w:tcW w:w="760" w:type="dxa"/>
            <w:vAlign w:val="bottom"/>
            <w:shd w:val="clear" w:color="auto" w:fill="56C271"/>
          </w:tcPr>
          <w:p>
            <w:pPr>
              <w:spacing w:after="0"/>
              <w:rPr>
                <w:sz w:val="17"/>
                <w:szCs w:val="17"/>
                <w:color w:val="auto"/>
              </w:rPr>
            </w:pPr>
          </w:p>
        </w:tc>
        <w:tc>
          <w:tcPr>
            <w:tcW w:w="860" w:type="dxa"/>
            <w:vAlign w:val="bottom"/>
            <w:shd w:val="clear" w:color="auto" w:fill="56C271"/>
          </w:tcPr>
          <w:p>
            <w:pPr>
              <w:spacing w:after="0"/>
              <w:rPr>
                <w:sz w:val="17"/>
                <w:szCs w:val="17"/>
                <w:color w:val="auto"/>
              </w:rPr>
            </w:pPr>
          </w:p>
        </w:tc>
        <w:tc>
          <w:tcPr>
            <w:tcW w:w="1040" w:type="dxa"/>
            <w:vAlign w:val="bottom"/>
            <w:shd w:val="clear" w:color="auto" w:fill="56C271"/>
          </w:tcPr>
          <w:p>
            <w:pPr>
              <w:spacing w:after="0"/>
              <w:rPr>
                <w:sz w:val="17"/>
                <w:szCs w:val="17"/>
                <w:color w:val="auto"/>
              </w:rPr>
            </w:pPr>
          </w:p>
        </w:tc>
        <w:tc>
          <w:tcPr>
            <w:tcW w:w="142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Option Awards</w:t>
            </w:r>
          </w:p>
        </w:tc>
        <w:tc>
          <w:tcPr>
            <w:tcW w:w="760" w:type="dxa"/>
            <w:vAlign w:val="bottom"/>
            <w:shd w:val="clear" w:color="auto" w:fill="56C271"/>
          </w:tcPr>
          <w:p>
            <w:pPr>
              <w:spacing w:after="0"/>
              <w:rPr>
                <w:sz w:val="17"/>
                <w:szCs w:val="17"/>
                <w:color w:val="auto"/>
              </w:rPr>
            </w:pPr>
          </w:p>
        </w:tc>
        <w:tc>
          <w:tcPr>
            <w:tcW w:w="800" w:type="dxa"/>
            <w:vAlign w:val="bottom"/>
            <w:shd w:val="clear" w:color="auto" w:fill="56C271"/>
          </w:tcPr>
          <w:p>
            <w:pPr>
              <w:spacing w:after="0"/>
              <w:rPr>
                <w:sz w:val="17"/>
                <w:szCs w:val="17"/>
                <w:color w:val="auto"/>
              </w:rPr>
            </w:pPr>
          </w:p>
        </w:tc>
        <w:tc>
          <w:tcPr>
            <w:tcW w:w="740" w:type="dxa"/>
            <w:vAlign w:val="bottom"/>
            <w:shd w:val="clear" w:color="auto" w:fill="56C271"/>
          </w:tcPr>
          <w:p>
            <w:pPr>
              <w:spacing w:after="0"/>
              <w:rPr>
                <w:sz w:val="17"/>
                <w:szCs w:val="17"/>
                <w:color w:val="auto"/>
              </w:rPr>
            </w:pPr>
          </w:p>
        </w:tc>
        <w:tc>
          <w:tcPr>
            <w:tcW w:w="1040" w:type="dxa"/>
            <w:vAlign w:val="bottom"/>
            <w:shd w:val="clear" w:color="auto" w:fill="56C271"/>
          </w:tcPr>
          <w:p>
            <w:pPr>
              <w:spacing w:after="0"/>
              <w:rPr>
                <w:sz w:val="17"/>
                <w:szCs w:val="17"/>
                <w:color w:val="auto"/>
              </w:rPr>
            </w:pPr>
          </w:p>
        </w:tc>
        <w:tc>
          <w:tcPr>
            <w:tcW w:w="10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Stock Awards</w:t>
            </w:r>
          </w:p>
        </w:tc>
        <w:tc>
          <w:tcPr>
            <w:tcW w:w="0" w:type="dxa"/>
            <w:vAlign w:val="bottom"/>
          </w:tcPr>
          <w:p>
            <w:pPr>
              <w:spacing w:after="0"/>
              <w:rPr>
                <w:sz w:val="1"/>
                <w:szCs w:val="1"/>
                <w:color w:val="auto"/>
              </w:rPr>
            </w:pPr>
          </w:p>
        </w:tc>
      </w:tr>
      <w:tr>
        <w:trPr>
          <w:trHeight w:val="227"/>
        </w:trPr>
        <w:tc>
          <w:tcPr>
            <w:tcW w:w="1280" w:type="dxa"/>
            <w:vAlign w:val="bottom"/>
            <w:shd w:val="clear" w:color="auto" w:fill="56C271"/>
          </w:tcPr>
          <w:p>
            <w:pPr>
              <w:spacing w:after="0"/>
              <w:rPr>
                <w:sz w:val="19"/>
                <w:szCs w:val="19"/>
                <w:color w:val="auto"/>
              </w:rPr>
            </w:pPr>
          </w:p>
        </w:tc>
        <w:tc>
          <w:tcPr>
            <w:tcW w:w="760" w:type="dxa"/>
            <w:vAlign w:val="bottom"/>
            <w:shd w:val="clear" w:color="auto" w:fill="56C271"/>
          </w:tcPr>
          <w:p>
            <w:pPr>
              <w:spacing w:after="0"/>
              <w:rPr>
                <w:sz w:val="19"/>
                <w:szCs w:val="19"/>
                <w:color w:val="auto"/>
              </w:rPr>
            </w:pPr>
          </w:p>
        </w:tc>
        <w:tc>
          <w:tcPr>
            <w:tcW w:w="860" w:type="dxa"/>
            <w:vAlign w:val="bottom"/>
            <w:shd w:val="clear" w:color="auto" w:fill="56C271"/>
          </w:tcPr>
          <w:p>
            <w:pPr>
              <w:spacing w:after="0"/>
              <w:rPr>
                <w:sz w:val="19"/>
                <w:szCs w:val="19"/>
                <w:color w:val="auto"/>
              </w:rPr>
            </w:pPr>
          </w:p>
        </w:tc>
        <w:tc>
          <w:tcPr>
            <w:tcW w:w="1040" w:type="dxa"/>
            <w:vAlign w:val="bottom"/>
            <w:shd w:val="clear" w:color="auto" w:fill="56C271"/>
          </w:tcPr>
          <w:p>
            <w:pPr>
              <w:spacing w:after="0"/>
              <w:rPr>
                <w:sz w:val="19"/>
                <w:szCs w:val="19"/>
                <w:color w:val="auto"/>
              </w:rPr>
            </w:pPr>
          </w:p>
        </w:tc>
        <w:tc>
          <w:tcPr>
            <w:tcW w:w="640" w:type="dxa"/>
            <w:vAlign w:val="bottom"/>
            <w:shd w:val="clear" w:color="auto" w:fill="56C271"/>
          </w:tcPr>
          <w:p>
            <w:pPr>
              <w:spacing w:after="0"/>
              <w:rPr>
                <w:sz w:val="19"/>
                <w:szCs w:val="19"/>
                <w:color w:val="auto"/>
              </w:rPr>
            </w:pPr>
          </w:p>
        </w:tc>
        <w:tc>
          <w:tcPr>
            <w:tcW w:w="780" w:type="dxa"/>
            <w:vAlign w:val="bottom"/>
            <w:shd w:val="clear" w:color="auto" w:fill="56C271"/>
          </w:tcPr>
          <w:p>
            <w:pPr>
              <w:spacing w:after="0"/>
              <w:rPr>
                <w:sz w:val="19"/>
                <w:szCs w:val="19"/>
                <w:color w:val="auto"/>
              </w:rPr>
            </w:pPr>
          </w:p>
        </w:tc>
        <w:tc>
          <w:tcPr>
            <w:tcW w:w="760" w:type="dxa"/>
            <w:vAlign w:val="bottom"/>
            <w:shd w:val="clear" w:color="auto" w:fill="56C271"/>
          </w:tcPr>
          <w:p>
            <w:pPr>
              <w:spacing w:after="0"/>
              <w:rPr>
                <w:sz w:val="19"/>
                <w:szCs w:val="19"/>
                <w:color w:val="auto"/>
              </w:rPr>
            </w:pPr>
          </w:p>
        </w:tc>
        <w:tc>
          <w:tcPr>
            <w:tcW w:w="800" w:type="dxa"/>
            <w:vAlign w:val="bottom"/>
            <w:shd w:val="clear" w:color="auto" w:fill="56C271"/>
          </w:tcPr>
          <w:p>
            <w:pPr>
              <w:spacing w:after="0"/>
              <w:rPr>
                <w:sz w:val="19"/>
                <w:szCs w:val="19"/>
                <w:color w:val="auto"/>
              </w:rPr>
            </w:pPr>
          </w:p>
        </w:tc>
        <w:tc>
          <w:tcPr>
            <w:tcW w:w="740" w:type="dxa"/>
            <w:vAlign w:val="bottom"/>
            <w:shd w:val="clear" w:color="auto" w:fill="56C271"/>
          </w:tcPr>
          <w:p>
            <w:pPr>
              <w:spacing w:after="0"/>
              <w:rPr>
                <w:sz w:val="19"/>
                <w:szCs w:val="19"/>
                <w:color w:val="auto"/>
              </w:rPr>
            </w:pP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Equity</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Equity</w:t>
            </w:r>
          </w:p>
        </w:tc>
        <w:tc>
          <w:tcPr>
            <w:tcW w:w="0" w:type="dxa"/>
            <w:vAlign w:val="bottom"/>
          </w:tcPr>
          <w:p>
            <w:pPr>
              <w:spacing w:after="0"/>
              <w:rPr>
                <w:sz w:val="1"/>
                <w:szCs w:val="1"/>
                <w:color w:val="auto"/>
              </w:rPr>
            </w:pPr>
          </w:p>
        </w:tc>
      </w:tr>
      <w:tr>
        <w:trPr>
          <w:trHeight w:val="149"/>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spacing w:after="0"/>
              <w:rPr>
                <w:sz w:val="12"/>
                <w:szCs w:val="12"/>
                <w:color w:val="auto"/>
              </w:rPr>
            </w:pPr>
          </w:p>
        </w:tc>
        <w:tc>
          <w:tcPr>
            <w:tcW w:w="104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40" w:type="dxa"/>
            <w:vAlign w:val="bottom"/>
            <w:shd w:val="clear" w:color="auto" w:fill="56C271"/>
          </w:tcPr>
          <w:p>
            <w:pPr>
              <w:spacing w:after="0"/>
              <w:rPr>
                <w:sz w:val="12"/>
                <w:szCs w:val="12"/>
                <w:color w:val="auto"/>
              </w:rPr>
            </w:pP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Incentive</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Incentive</w:t>
            </w:r>
          </w:p>
        </w:tc>
        <w:tc>
          <w:tcPr>
            <w:tcW w:w="0" w:type="dxa"/>
            <w:vAlign w:val="bottom"/>
          </w:tcPr>
          <w:p>
            <w:pPr>
              <w:spacing w:after="0"/>
              <w:rPr>
                <w:sz w:val="1"/>
                <w:szCs w:val="1"/>
                <w:color w:val="auto"/>
              </w:rPr>
            </w:pPr>
          </w:p>
        </w:tc>
      </w:tr>
      <w:tr>
        <w:trPr>
          <w:trHeight w:val="148"/>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spacing w:after="0"/>
              <w:rPr>
                <w:sz w:val="12"/>
                <w:szCs w:val="12"/>
                <w:color w:val="auto"/>
              </w:rPr>
            </w:pPr>
          </w:p>
        </w:tc>
        <w:tc>
          <w:tcPr>
            <w:tcW w:w="104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40" w:type="dxa"/>
            <w:vAlign w:val="bottom"/>
            <w:shd w:val="clear" w:color="auto" w:fill="56C271"/>
          </w:tcPr>
          <w:p>
            <w:pPr>
              <w:spacing w:after="0"/>
              <w:rPr>
                <w:sz w:val="12"/>
                <w:szCs w:val="12"/>
                <w:color w:val="auto"/>
              </w:rPr>
            </w:pP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Plan</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Plan</w:t>
            </w:r>
          </w:p>
        </w:tc>
        <w:tc>
          <w:tcPr>
            <w:tcW w:w="0" w:type="dxa"/>
            <w:vAlign w:val="bottom"/>
          </w:tcPr>
          <w:p>
            <w:pPr>
              <w:spacing w:after="0"/>
              <w:rPr>
                <w:sz w:val="1"/>
                <w:szCs w:val="1"/>
                <w:color w:val="auto"/>
              </w:rPr>
            </w:pPr>
          </w:p>
        </w:tc>
      </w:tr>
      <w:tr>
        <w:trPr>
          <w:trHeight w:val="148"/>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spacing w:after="0"/>
              <w:rPr>
                <w:sz w:val="12"/>
                <w:szCs w:val="12"/>
                <w:color w:val="auto"/>
              </w:rPr>
            </w:pPr>
          </w:p>
        </w:tc>
        <w:tc>
          <w:tcPr>
            <w:tcW w:w="104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40" w:type="dxa"/>
            <w:vAlign w:val="bottom"/>
            <w:shd w:val="clear" w:color="auto" w:fill="56C271"/>
          </w:tcPr>
          <w:p>
            <w:pPr>
              <w:spacing w:after="0"/>
              <w:rPr>
                <w:sz w:val="12"/>
                <w:szCs w:val="12"/>
                <w:color w:val="auto"/>
              </w:rPr>
            </w:pP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Awards:</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Awards:</w:t>
            </w:r>
          </w:p>
        </w:tc>
        <w:tc>
          <w:tcPr>
            <w:tcW w:w="0" w:type="dxa"/>
            <w:vAlign w:val="bottom"/>
          </w:tcPr>
          <w:p>
            <w:pPr>
              <w:spacing w:after="0"/>
              <w:rPr>
                <w:sz w:val="1"/>
                <w:szCs w:val="1"/>
                <w:color w:val="auto"/>
              </w:rPr>
            </w:pPr>
          </w:p>
        </w:tc>
      </w:tr>
      <w:tr>
        <w:trPr>
          <w:trHeight w:val="148"/>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spacing w:after="0"/>
              <w:rPr>
                <w:sz w:val="12"/>
                <w:szCs w:val="12"/>
                <w:color w:val="auto"/>
              </w:rPr>
            </w:pPr>
          </w:p>
        </w:tc>
        <w:tc>
          <w:tcPr>
            <w:tcW w:w="104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00" w:type="dxa"/>
            <w:vAlign w:val="bottom"/>
            <w:shd w:val="clear" w:color="auto" w:fill="56C271"/>
          </w:tcPr>
          <w:p>
            <w:pPr>
              <w:spacing w:after="0"/>
              <w:rPr>
                <w:sz w:val="12"/>
                <w:szCs w:val="12"/>
                <w:color w:val="auto"/>
              </w:rPr>
            </w:pPr>
          </w:p>
        </w:tc>
        <w:tc>
          <w:tcPr>
            <w:tcW w:w="740" w:type="dxa"/>
            <w:vAlign w:val="bottom"/>
            <w:shd w:val="clear" w:color="auto" w:fill="56C271"/>
          </w:tcPr>
          <w:p>
            <w:pPr>
              <w:spacing w:after="0"/>
              <w:rPr>
                <w:sz w:val="12"/>
                <w:szCs w:val="12"/>
                <w:color w:val="auto"/>
              </w:rPr>
            </w:pP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Number of</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Market or</w:t>
            </w:r>
          </w:p>
        </w:tc>
        <w:tc>
          <w:tcPr>
            <w:tcW w:w="0" w:type="dxa"/>
            <w:vAlign w:val="bottom"/>
          </w:tcPr>
          <w:p>
            <w:pPr>
              <w:spacing w:after="0"/>
              <w:rPr>
                <w:sz w:val="1"/>
                <w:szCs w:val="1"/>
                <w:color w:val="auto"/>
              </w:rPr>
            </w:pPr>
          </w:p>
        </w:tc>
      </w:tr>
      <w:tr>
        <w:trPr>
          <w:trHeight w:val="148"/>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spacing w:after="0"/>
              <w:rPr>
                <w:sz w:val="12"/>
                <w:szCs w:val="12"/>
                <w:color w:val="auto"/>
              </w:rPr>
            </w:pPr>
          </w:p>
        </w:tc>
        <w:tc>
          <w:tcPr>
            <w:tcW w:w="104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Number of</w:t>
            </w:r>
          </w:p>
        </w:tc>
        <w:tc>
          <w:tcPr>
            <w:tcW w:w="740" w:type="dxa"/>
            <w:vAlign w:val="bottom"/>
            <w:shd w:val="clear" w:color="auto" w:fill="56C271"/>
          </w:tcPr>
          <w:p>
            <w:pPr>
              <w:jc w:val="right"/>
              <w:ind w:right="12"/>
              <w:spacing w:after="0"/>
              <w:rPr>
                <w:sz w:val="20"/>
                <w:szCs w:val="20"/>
                <w:color w:val="auto"/>
              </w:rPr>
            </w:pPr>
            <w:r>
              <w:rPr>
                <w:rFonts w:ascii="Arial" w:cs="Arial" w:eastAsia="Arial" w:hAnsi="Arial"/>
                <w:sz w:val="13"/>
                <w:szCs w:val="13"/>
                <w:b w:val="1"/>
                <w:bCs w:val="1"/>
                <w:color w:val="FEFEFE"/>
              </w:rPr>
              <w:t>Market</w:t>
            </w: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Unearned</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Payout</w:t>
            </w:r>
          </w:p>
        </w:tc>
        <w:tc>
          <w:tcPr>
            <w:tcW w:w="0" w:type="dxa"/>
            <w:vAlign w:val="bottom"/>
          </w:tcPr>
          <w:p>
            <w:pPr>
              <w:spacing w:after="0"/>
              <w:rPr>
                <w:sz w:val="1"/>
                <w:szCs w:val="1"/>
                <w:color w:val="auto"/>
              </w:rPr>
            </w:pPr>
          </w:p>
        </w:tc>
      </w:tr>
      <w:tr>
        <w:trPr>
          <w:trHeight w:val="149"/>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spacing w:after="0"/>
              <w:rPr>
                <w:sz w:val="12"/>
                <w:szCs w:val="12"/>
                <w:color w:val="auto"/>
              </w:rPr>
            </w:pPr>
          </w:p>
        </w:tc>
        <w:tc>
          <w:tcPr>
            <w:tcW w:w="104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Shares or</w:t>
            </w:r>
          </w:p>
        </w:tc>
        <w:tc>
          <w:tcPr>
            <w:tcW w:w="740" w:type="dxa"/>
            <w:vAlign w:val="bottom"/>
            <w:shd w:val="clear" w:color="auto" w:fill="56C271"/>
          </w:tcPr>
          <w:p>
            <w:pPr>
              <w:jc w:val="right"/>
              <w:ind w:right="12"/>
              <w:spacing w:after="0"/>
              <w:rPr>
                <w:sz w:val="20"/>
                <w:szCs w:val="20"/>
                <w:color w:val="auto"/>
              </w:rPr>
            </w:pPr>
            <w:r>
              <w:rPr>
                <w:rFonts w:ascii="Arial" w:cs="Arial" w:eastAsia="Arial" w:hAnsi="Arial"/>
                <w:sz w:val="13"/>
                <w:szCs w:val="13"/>
                <w:b w:val="1"/>
                <w:bCs w:val="1"/>
                <w:color w:val="FEFEFE"/>
              </w:rPr>
              <w:t>Value or</w:t>
            </w: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Shares,</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Value of</w:t>
            </w:r>
          </w:p>
        </w:tc>
        <w:tc>
          <w:tcPr>
            <w:tcW w:w="0" w:type="dxa"/>
            <w:vAlign w:val="bottom"/>
          </w:tcPr>
          <w:p>
            <w:pPr>
              <w:spacing w:after="0"/>
              <w:rPr>
                <w:sz w:val="1"/>
                <w:szCs w:val="1"/>
                <w:color w:val="auto"/>
              </w:rPr>
            </w:pPr>
          </w:p>
        </w:tc>
      </w:tr>
      <w:tr>
        <w:trPr>
          <w:trHeight w:val="148"/>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Number of</w:t>
            </w:r>
          </w:p>
        </w:tc>
        <w:tc>
          <w:tcPr>
            <w:tcW w:w="10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Number of</w:t>
            </w:r>
          </w:p>
        </w:tc>
        <w:tc>
          <w:tcPr>
            <w:tcW w:w="64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Units of</w:t>
            </w:r>
          </w:p>
        </w:tc>
        <w:tc>
          <w:tcPr>
            <w:tcW w:w="740" w:type="dxa"/>
            <w:vAlign w:val="bottom"/>
            <w:shd w:val="clear" w:color="auto" w:fill="56C271"/>
          </w:tcPr>
          <w:p>
            <w:pPr>
              <w:jc w:val="right"/>
              <w:ind w:right="12"/>
              <w:spacing w:after="0"/>
              <w:rPr>
                <w:sz w:val="20"/>
                <w:szCs w:val="20"/>
                <w:color w:val="auto"/>
              </w:rPr>
            </w:pPr>
            <w:r>
              <w:rPr>
                <w:rFonts w:ascii="Arial" w:cs="Arial" w:eastAsia="Arial" w:hAnsi="Arial"/>
                <w:sz w:val="13"/>
                <w:szCs w:val="13"/>
                <w:b w:val="1"/>
                <w:bCs w:val="1"/>
                <w:color w:val="FEFEFE"/>
              </w:rPr>
              <w:t>Shares or</w:t>
            </w: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Units or</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Unearned</w:t>
            </w:r>
          </w:p>
        </w:tc>
        <w:tc>
          <w:tcPr>
            <w:tcW w:w="0" w:type="dxa"/>
            <w:vAlign w:val="bottom"/>
          </w:tcPr>
          <w:p>
            <w:pPr>
              <w:spacing w:after="0"/>
              <w:rPr>
                <w:sz w:val="1"/>
                <w:szCs w:val="1"/>
                <w:color w:val="auto"/>
              </w:rPr>
            </w:pPr>
          </w:p>
        </w:tc>
      </w:tr>
      <w:tr>
        <w:trPr>
          <w:trHeight w:val="148"/>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Securities</w:t>
            </w:r>
          </w:p>
        </w:tc>
        <w:tc>
          <w:tcPr>
            <w:tcW w:w="10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Securities</w:t>
            </w:r>
          </w:p>
        </w:tc>
        <w:tc>
          <w:tcPr>
            <w:tcW w:w="64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Stock</w:t>
            </w:r>
          </w:p>
        </w:tc>
        <w:tc>
          <w:tcPr>
            <w:tcW w:w="740" w:type="dxa"/>
            <w:vAlign w:val="bottom"/>
            <w:shd w:val="clear" w:color="auto" w:fill="56C271"/>
          </w:tcPr>
          <w:p>
            <w:pPr>
              <w:jc w:val="right"/>
              <w:ind w:right="12"/>
              <w:spacing w:after="0"/>
              <w:rPr>
                <w:sz w:val="20"/>
                <w:szCs w:val="20"/>
                <w:color w:val="auto"/>
              </w:rPr>
            </w:pPr>
            <w:r>
              <w:rPr>
                <w:rFonts w:ascii="Arial" w:cs="Arial" w:eastAsia="Arial" w:hAnsi="Arial"/>
                <w:sz w:val="13"/>
                <w:szCs w:val="13"/>
                <w:b w:val="1"/>
                <w:bCs w:val="1"/>
                <w:color w:val="FEFEFE"/>
              </w:rPr>
              <w:t>Units of</w:t>
            </w: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Other</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Shares,</w:t>
            </w:r>
          </w:p>
        </w:tc>
        <w:tc>
          <w:tcPr>
            <w:tcW w:w="0" w:type="dxa"/>
            <w:vAlign w:val="bottom"/>
          </w:tcPr>
          <w:p>
            <w:pPr>
              <w:spacing w:after="0"/>
              <w:rPr>
                <w:sz w:val="1"/>
                <w:szCs w:val="1"/>
                <w:color w:val="auto"/>
              </w:rPr>
            </w:pPr>
          </w:p>
        </w:tc>
      </w:tr>
      <w:tr>
        <w:trPr>
          <w:trHeight w:val="148"/>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Underlying</w:t>
            </w:r>
          </w:p>
        </w:tc>
        <w:tc>
          <w:tcPr>
            <w:tcW w:w="10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Underlying</w:t>
            </w:r>
          </w:p>
        </w:tc>
        <w:tc>
          <w:tcPr>
            <w:tcW w:w="640" w:type="dxa"/>
            <w:vAlign w:val="bottom"/>
            <w:shd w:val="clear" w:color="auto" w:fill="56C271"/>
          </w:tcPr>
          <w:p>
            <w:pPr>
              <w:spacing w:after="0"/>
              <w:rPr>
                <w:sz w:val="12"/>
                <w:szCs w:val="12"/>
                <w:color w:val="auto"/>
              </w:rPr>
            </w:pPr>
          </w:p>
        </w:tc>
        <w:tc>
          <w:tcPr>
            <w:tcW w:w="7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That</w:t>
            </w:r>
          </w:p>
        </w:tc>
        <w:tc>
          <w:tcPr>
            <w:tcW w:w="740" w:type="dxa"/>
            <w:vAlign w:val="bottom"/>
            <w:shd w:val="clear" w:color="auto" w:fill="56C271"/>
          </w:tcPr>
          <w:p>
            <w:pPr>
              <w:jc w:val="right"/>
              <w:ind w:right="12"/>
              <w:spacing w:after="0"/>
              <w:rPr>
                <w:sz w:val="20"/>
                <w:szCs w:val="20"/>
                <w:color w:val="auto"/>
              </w:rPr>
            </w:pPr>
            <w:r>
              <w:rPr>
                <w:rFonts w:ascii="Arial" w:cs="Arial" w:eastAsia="Arial" w:hAnsi="Arial"/>
                <w:sz w:val="13"/>
                <w:szCs w:val="13"/>
                <w:b w:val="1"/>
                <w:bCs w:val="1"/>
                <w:color w:val="FEFEFE"/>
              </w:rPr>
              <w:t>Stock</w:t>
            </w: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Rights</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Units or</w:t>
            </w:r>
          </w:p>
        </w:tc>
        <w:tc>
          <w:tcPr>
            <w:tcW w:w="0" w:type="dxa"/>
            <w:vAlign w:val="bottom"/>
          </w:tcPr>
          <w:p>
            <w:pPr>
              <w:spacing w:after="0"/>
              <w:rPr>
                <w:sz w:val="1"/>
                <w:szCs w:val="1"/>
                <w:color w:val="auto"/>
              </w:rPr>
            </w:pPr>
          </w:p>
        </w:tc>
      </w:tr>
      <w:tr>
        <w:trPr>
          <w:trHeight w:val="148"/>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Unexercised</w:t>
            </w:r>
          </w:p>
        </w:tc>
        <w:tc>
          <w:tcPr>
            <w:tcW w:w="10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Unexercised</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w:t>
            </w:r>
          </w:p>
        </w:tc>
        <w:tc>
          <w:tcPr>
            <w:tcW w:w="7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Have Not</w:t>
            </w:r>
          </w:p>
        </w:tc>
        <w:tc>
          <w:tcPr>
            <w:tcW w:w="740" w:type="dxa"/>
            <w:vAlign w:val="bottom"/>
            <w:shd w:val="clear" w:color="auto" w:fill="56C271"/>
          </w:tcPr>
          <w:p>
            <w:pPr>
              <w:jc w:val="right"/>
              <w:ind w:right="12"/>
              <w:spacing w:after="0"/>
              <w:rPr>
                <w:sz w:val="20"/>
                <w:szCs w:val="20"/>
                <w:color w:val="auto"/>
              </w:rPr>
            </w:pPr>
            <w:r>
              <w:rPr>
                <w:rFonts w:ascii="Arial" w:cs="Arial" w:eastAsia="Arial" w:hAnsi="Arial"/>
                <w:sz w:val="13"/>
                <w:szCs w:val="13"/>
                <w:b w:val="1"/>
                <w:bCs w:val="1"/>
                <w:color w:val="FEFEFE"/>
              </w:rPr>
              <w:t>That</w:t>
            </w: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That Have Not</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Other Rights</w:t>
            </w:r>
          </w:p>
        </w:tc>
        <w:tc>
          <w:tcPr>
            <w:tcW w:w="0" w:type="dxa"/>
            <w:vAlign w:val="bottom"/>
          </w:tcPr>
          <w:p>
            <w:pPr>
              <w:spacing w:after="0"/>
              <w:rPr>
                <w:sz w:val="1"/>
                <w:szCs w:val="1"/>
                <w:color w:val="auto"/>
              </w:rPr>
            </w:pPr>
          </w:p>
        </w:tc>
      </w:tr>
      <w:tr>
        <w:trPr>
          <w:trHeight w:val="148"/>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spacing w:after="0"/>
              <w:rPr>
                <w:sz w:val="12"/>
                <w:szCs w:val="12"/>
                <w:color w:val="auto"/>
              </w:rPr>
            </w:pPr>
          </w:p>
        </w:tc>
        <w:tc>
          <w:tcPr>
            <w:tcW w:w="8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Options</w:t>
            </w:r>
          </w:p>
        </w:tc>
        <w:tc>
          <w:tcPr>
            <w:tcW w:w="10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Options</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Exercise</w:t>
            </w: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Option</w:t>
            </w:r>
          </w:p>
        </w:tc>
        <w:tc>
          <w:tcPr>
            <w:tcW w:w="76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Stock</w:t>
            </w:r>
          </w:p>
        </w:tc>
        <w:tc>
          <w:tcPr>
            <w:tcW w:w="8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Vested</w:t>
            </w:r>
          </w:p>
        </w:tc>
        <w:tc>
          <w:tcPr>
            <w:tcW w:w="740" w:type="dxa"/>
            <w:vAlign w:val="bottom"/>
            <w:shd w:val="clear" w:color="auto" w:fill="56C271"/>
          </w:tcPr>
          <w:p>
            <w:pPr>
              <w:jc w:val="right"/>
              <w:ind w:right="12"/>
              <w:spacing w:after="0"/>
              <w:rPr>
                <w:sz w:val="20"/>
                <w:szCs w:val="20"/>
                <w:color w:val="auto"/>
              </w:rPr>
            </w:pPr>
            <w:r>
              <w:rPr>
                <w:rFonts w:ascii="Arial" w:cs="Arial" w:eastAsia="Arial" w:hAnsi="Arial"/>
                <w:sz w:val="13"/>
                <w:szCs w:val="13"/>
                <w:b w:val="1"/>
                <w:bCs w:val="1"/>
                <w:color w:val="FEFEFE"/>
              </w:rPr>
              <w:t>Have Not</w:t>
            </w: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Vested</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That Have Not</w:t>
            </w:r>
          </w:p>
        </w:tc>
        <w:tc>
          <w:tcPr>
            <w:tcW w:w="0" w:type="dxa"/>
            <w:vAlign w:val="bottom"/>
          </w:tcPr>
          <w:p>
            <w:pPr>
              <w:spacing w:after="0"/>
              <w:rPr>
                <w:sz w:val="1"/>
                <w:szCs w:val="1"/>
                <w:color w:val="auto"/>
              </w:rPr>
            </w:pPr>
          </w:p>
        </w:tc>
      </w:tr>
      <w:tr>
        <w:trPr>
          <w:trHeight w:val="149"/>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w:t>
            </w:r>
          </w:p>
        </w:tc>
        <w:tc>
          <w:tcPr>
            <w:tcW w:w="8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w:t>
            </w:r>
          </w:p>
        </w:tc>
        <w:tc>
          <w:tcPr>
            <w:tcW w:w="10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Price</w:t>
            </w: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Expiration</w:t>
            </w:r>
          </w:p>
        </w:tc>
        <w:tc>
          <w:tcPr>
            <w:tcW w:w="76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Award</w:t>
            </w:r>
          </w:p>
        </w:tc>
        <w:tc>
          <w:tcPr>
            <w:tcW w:w="8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(RSUs)</w:t>
            </w:r>
          </w:p>
        </w:tc>
        <w:tc>
          <w:tcPr>
            <w:tcW w:w="740" w:type="dxa"/>
            <w:vAlign w:val="bottom"/>
            <w:shd w:val="clear" w:color="auto" w:fill="56C271"/>
          </w:tcPr>
          <w:p>
            <w:pPr>
              <w:jc w:val="right"/>
              <w:ind w:right="12"/>
              <w:spacing w:after="0"/>
              <w:rPr>
                <w:sz w:val="20"/>
                <w:szCs w:val="20"/>
                <w:color w:val="auto"/>
              </w:rPr>
            </w:pPr>
            <w:r>
              <w:rPr>
                <w:rFonts w:ascii="Arial" w:cs="Arial" w:eastAsia="Arial" w:hAnsi="Arial"/>
                <w:sz w:val="13"/>
                <w:szCs w:val="13"/>
                <w:b w:val="1"/>
                <w:bCs w:val="1"/>
                <w:color w:val="FEFEFE"/>
              </w:rPr>
              <w:t>Vested</w:t>
            </w: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(PSUs)</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Vested</w:t>
            </w:r>
          </w:p>
        </w:tc>
        <w:tc>
          <w:tcPr>
            <w:tcW w:w="0" w:type="dxa"/>
            <w:vAlign w:val="bottom"/>
          </w:tcPr>
          <w:p>
            <w:pPr>
              <w:spacing w:after="0"/>
              <w:rPr>
                <w:sz w:val="1"/>
                <w:szCs w:val="1"/>
                <w:color w:val="auto"/>
              </w:rPr>
            </w:pPr>
          </w:p>
        </w:tc>
      </w:tr>
      <w:tr>
        <w:trPr>
          <w:trHeight w:val="148"/>
        </w:trPr>
        <w:tc>
          <w:tcPr>
            <w:tcW w:w="1280" w:type="dxa"/>
            <w:vAlign w:val="bottom"/>
            <w:shd w:val="clear" w:color="auto" w:fill="56C271"/>
          </w:tcPr>
          <w:p>
            <w:pPr>
              <w:spacing w:after="0"/>
              <w:rPr>
                <w:sz w:val="12"/>
                <w:szCs w:val="12"/>
                <w:color w:val="auto"/>
              </w:rPr>
            </w:pPr>
          </w:p>
        </w:tc>
        <w:tc>
          <w:tcPr>
            <w:tcW w:w="7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Grant</w:t>
            </w:r>
          </w:p>
        </w:tc>
        <w:tc>
          <w:tcPr>
            <w:tcW w:w="8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Exercisable</w:t>
            </w:r>
          </w:p>
        </w:tc>
        <w:tc>
          <w:tcPr>
            <w:tcW w:w="104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Unexercisable</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w:t>
            </w:r>
          </w:p>
        </w:tc>
        <w:tc>
          <w:tcPr>
            <w:tcW w:w="78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Date</w:t>
            </w:r>
          </w:p>
        </w:tc>
        <w:tc>
          <w:tcPr>
            <w:tcW w:w="76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Grant</w:t>
            </w:r>
          </w:p>
        </w:tc>
        <w:tc>
          <w:tcPr>
            <w:tcW w:w="80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w:t>
            </w:r>
          </w:p>
        </w:tc>
        <w:tc>
          <w:tcPr>
            <w:tcW w:w="740" w:type="dxa"/>
            <w:vAlign w:val="bottom"/>
            <w:shd w:val="clear" w:color="auto" w:fill="56C271"/>
          </w:tcPr>
          <w:p>
            <w:pPr>
              <w:jc w:val="right"/>
              <w:ind w:right="12"/>
              <w:spacing w:after="0"/>
              <w:rPr>
                <w:sz w:val="20"/>
                <w:szCs w:val="20"/>
                <w:color w:val="auto"/>
              </w:rPr>
            </w:pPr>
            <w:r>
              <w:rPr>
                <w:rFonts w:ascii="Arial" w:cs="Arial" w:eastAsia="Arial" w:hAnsi="Arial"/>
                <w:sz w:val="13"/>
                <w:szCs w:val="13"/>
                <w:b w:val="1"/>
                <w:bCs w:val="1"/>
                <w:color w:val="FEFEFE"/>
              </w:rPr>
              <w:t>($)</w:t>
            </w: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w:t>
            </w:r>
          </w:p>
        </w:tc>
        <w:tc>
          <w:tcPr>
            <w:tcW w:w="1020" w:type="dxa"/>
            <w:vAlign w:val="bottom"/>
            <w:shd w:val="clear" w:color="auto" w:fill="56C271"/>
          </w:tcPr>
          <w:p>
            <w:pPr>
              <w:jc w:val="right"/>
              <w:ind w:right="13"/>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79"/>
        </w:trPr>
        <w:tc>
          <w:tcPr>
            <w:tcW w:w="1280" w:type="dxa"/>
            <w:vAlign w:val="bottom"/>
            <w:shd w:val="clear" w:color="auto" w:fill="56C271"/>
          </w:tcPr>
          <w:p>
            <w:pPr>
              <w:ind w:left="20"/>
              <w:spacing w:after="0"/>
              <w:rPr>
                <w:sz w:val="20"/>
                <w:szCs w:val="20"/>
                <w:color w:val="auto"/>
              </w:rPr>
            </w:pPr>
            <w:r>
              <w:rPr>
                <w:rFonts w:ascii="Arial" w:cs="Arial" w:eastAsia="Arial" w:hAnsi="Arial"/>
                <w:sz w:val="13"/>
                <w:szCs w:val="13"/>
                <w:b w:val="1"/>
                <w:bCs w:val="1"/>
                <w:color w:val="FEFEFE"/>
              </w:rPr>
              <w:t>Name (a)</w:t>
            </w:r>
          </w:p>
        </w:tc>
        <w:tc>
          <w:tcPr>
            <w:tcW w:w="7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Date</w:t>
            </w:r>
          </w:p>
        </w:tc>
        <w:tc>
          <w:tcPr>
            <w:tcW w:w="8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(b)</w:t>
            </w:r>
          </w:p>
        </w:tc>
        <w:tc>
          <w:tcPr>
            <w:tcW w:w="10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(c)</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(e)</w:t>
            </w:r>
          </w:p>
        </w:tc>
        <w:tc>
          <w:tcPr>
            <w:tcW w:w="78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(f)</w:t>
            </w:r>
          </w:p>
        </w:tc>
        <w:tc>
          <w:tcPr>
            <w:tcW w:w="76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Date</w:t>
            </w:r>
          </w:p>
        </w:tc>
        <w:tc>
          <w:tcPr>
            <w:tcW w:w="8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(g)</w:t>
            </w:r>
          </w:p>
        </w:tc>
        <w:tc>
          <w:tcPr>
            <w:tcW w:w="7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(h)</w:t>
            </w:r>
          </w:p>
        </w:tc>
        <w:tc>
          <w:tcPr>
            <w:tcW w:w="10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(i)</w:t>
            </w:r>
          </w:p>
        </w:tc>
        <w:tc>
          <w:tcPr>
            <w:tcW w:w="10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(j)</w:t>
            </w:r>
          </w:p>
        </w:tc>
        <w:tc>
          <w:tcPr>
            <w:tcW w:w="0" w:type="dxa"/>
            <w:vAlign w:val="bottom"/>
          </w:tcPr>
          <w:p>
            <w:pPr>
              <w:spacing w:after="0"/>
              <w:rPr>
                <w:sz w:val="1"/>
                <w:szCs w:val="1"/>
                <w:color w:val="auto"/>
              </w:rPr>
            </w:pPr>
          </w:p>
        </w:tc>
      </w:tr>
      <w:tr>
        <w:trPr>
          <w:trHeight w:val="188"/>
        </w:trPr>
        <w:tc>
          <w:tcPr>
            <w:tcW w:w="1280" w:type="dxa"/>
            <w:vAlign w:val="bottom"/>
            <w:shd w:val="clear" w:color="auto" w:fill="CCEDD4"/>
          </w:tcPr>
          <w:p>
            <w:pPr>
              <w:ind w:left="20"/>
              <w:spacing w:after="0"/>
              <w:rPr>
                <w:sz w:val="20"/>
                <w:szCs w:val="20"/>
                <w:color w:val="auto"/>
              </w:rPr>
            </w:pPr>
            <w:r>
              <w:rPr>
                <w:rFonts w:ascii="Arial" w:cs="Arial" w:eastAsia="Arial" w:hAnsi="Arial"/>
                <w:sz w:val="13"/>
                <w:szCs w:val="13"/>
                <w:color w:val="auto"/>
              </w:rPr>
              <w:t>MaryAnn G. Miller</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8/09/2012</w:t>
            </w:r>
          </w:p>
        </w:tc>
        <w:tc>
          <w:tcPr>
            <w:tcW w:w="8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17,620</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32.43</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8/08/2022</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28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8/08/2013</w:t>
            </w:r>
          </w:p>
        </w:tc>
        <w:tc>
          <w:tcPr>
            <w:tcW w:w="8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15,124</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39.04</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8/07/2023</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28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8/07/2014</w:t>
            </w:r>
          </w:p>
        </w:tc>
        <w:tc>
          <w:tcPr>
            <w:tcW w:w="8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16,136</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40.88</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8/06/2024</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28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8/13/2015</w:t>
            </w:r>
          </w:p>
        </w:tc>
        <w:tc>
          <w:tcPr>
            <w:tcW w:w="8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22,004</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42.67</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8/12/2025</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28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8/11/2016</w:t>
            </w:r>
          </w:p>
        </w:tc>
        <w:tc>
          <w:tcPr>
            <w:tcW w:w="8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19,912</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41.30</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8/10/2026</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28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8/10/2017</w:t>
            </w:r>
          </w:p>
        </w:tc>
        <w:tc>
          <w:tcPr>
            <w:tcW w:w="8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17,946</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5,982</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36.80</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8/09/2027</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28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8/28/2018</w:t>
            </w:r>
          </w:p>
        </w:tc>
        <w:tc>
          <w:tcPr>
            <w:tcW w:w="8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10,852</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10,852</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48.62</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8/27/2028</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8/28/2018</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1,575</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63,047</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280" w:type="dxa"/>
            <w:vAlign w:val="bottom"/>
            <w:shd w:val="clear" w:color="auto" w:fill="CCEDD4"/>
          </w:tcPr>
          <w:p>
            <w:pPr>
              <w:spacing w:after="0"/>
              <w:rPr>
                <w:sz w:val="17"/>
                <w:szCs w:val="17"/>
                <w:color w:val="auto"/>
              </w:rPr>
            </w:pP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8/14/2019</w:t>
            </w:r>
          </w:p>
        </w:tc>
        <w:tc>
          <w:tcPr>
            <w:tcW w:w="8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7,237</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21,711</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39.72</w:t>
            </w:r>
          </w:p>
        </w:tc>
        <w:tc>
          <w:tcPr>
            <w:tcW w:w="78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8/13/2029</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8/14/2019</w:t>
            </w:r>
          </w:p>
        </w:tc>
        <w:tc>
          <w:tcPr>
            <w:tcW w:w="8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3,856</w:t>
            </w:r>
          </w:p>
        </w:tc>
        <w:tc>
          <w:tcPr>
            <w:tcW w:w="7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154,356</w:t>
            </w:r>
          </w:p>
        </w:tc>
        <w:tc>
          <w:tcPr>
            <w:tcW w:w="10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15,420</w:t>
            </w:r>
          </w:p>
        </w:tc>
        <w:tc>
          <w:tcPr>
            <w:tcW w:w="10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617,263</w:t>
            </w:r>
          </w:p>
        </w:tc>
        <w:tc>
          <w:tcPr>
            <w:tcW w:w="0" w:type="dxa"/>
            <w:vAlign w:val="bottom"/>
          </w:tcPr>
          <w:p>
            <w:pPr>
              <w:spacing w:after="0"/>
              <w:rPr>
                <w:sz w:val="1"/>
                <w:szCs w:val="1"/>
                <w:color w:val="auto"/>
              </w:rPr>
            </w:pPr>
          </w:p>
        </w:tc>
      </w:tr>
      <w:tr>
        <w:trPr>
          <w:trHeight w:val="237"/>
        </w:trPr>
        <w:tc>
          <w:tcPr>
            <w:tcW w:w="1280" w:type="dxa"/>
            <w:vAlign w:val="bottom"/>
            <w:tcBorders>
              <w:bottom w:val="single" w:sz="8" w:color="CCEDD4"/>
            </w:tcBorders>
            <w:shd w:val="clear" w:color="auto" w:fill="CCEDD4"/>
          </w:tcPr>
          <w:p>
            <w:pPr>
              <w:spacing w:after="0"/>
              <w:rPr>
                <w:sz w:val="20"/>
                <w:szCs w:val="20"/>
                <w:color w:val="auto"/>
              </w:rPr>
            </w:pPr>
          </w:p>
        </w:tc>
        <w:tc>
          <w:tcPr>
            <w:tcW w:w="7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11/16/2020</w:t>
            </w:r>
          </w:p>
        </w:tc>
        <w:tc>
          <w:tcPr>
            <w:tcW w:w="8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65,680</w:t>
            </w:r>
          </w:p>
        </w:tc>
        <w:tc>
          <w:tcPr>
            <w:tcW w:w="64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29.85</w:t>
            </w:r>
          </w:p>
        </w:tc>
        <w:tc>
          <w:tcPr>
            <w:tcW w:w="78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11/15/2030</w:t>
            </w:r>
          </w:p>
        </w:tc>
        <w:tc>
          <w:tcPr>
            <w:tcW w:w="76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11/16/2020</w:t>
            </w:r>
          </w:p>
        </w:tc>
        <w:tc>
          <w:tcPr>
            <w:tcW w:w="80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15,390</w:t>
            </w:r>
          </w:p>
        </w:tc>
        <w:tc>
          <w:tcPr>
            <w:tcW w:w="74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616,062</w:t>
            </w:r>
          </w:p>
        </w:tc>
        <w:tc>
          <w:tcPr>
            <w:tcW w:w="104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1280" w:type="dxa"/>
            <w:vAlign w:val="bottom"/>
            <w:shd w:val="clear" w:color="auto" w:fill="56C271"/>
          </w:tcPr>
          <w:p>
            <w:pPr>
              <w:spacing w:after="0"/>
              <w:rPr>
                <w:sz w:val="2"/>
                <w:szCs w:val="2"/>
                <w:color w:val="auto"/>
              </w:rPr>
            </w:pPr>
          </w:p>
        </w:tc>
        <w:tc>
          <w:tcPr>
            <w:tcW w:w="760" w:type="dxa"/>
            <w:vAlign w:val="bottom"/>
            <w:shd w:val="clear" w:color="auto" w:fill="56C271"/>
          </w:tcPr>
          <w:p>
            <w:pPr>
              <w:spacing w:after="0"/>
              <w:rPr>
                <w:sz w:val="2"/>
                <w:szCs w:val="2"/>
                <w:color w:val="auto"/>
              </w:rPr>
            </w:pPr>
          </w:p>
        </w:tc>
        <w:tc>
          <w:tcPr>
            <w:tcW w:w="860" w:type="dxa"/>
            <w:vAlign w:val="bottom"/>
            <w:shd w:val="clear" w:color="auto" w:fill="56C271"/>
          </w:tcPr>
          <w:p>
            <w:pPr>
              <w:spacing w:after="0"/>
              <w:rPr>
                <w:sz w:val="2"/>
                <w:szCs w:val="2"/>
                <w:color w:val="auto"/>
              </w:rPr>
            </w:pPr>
          </w:p>
        </w:tc>
        <w:tc>
          <w:tcPr>
            <w:tcW w:w="1040" w:type="dxa"/>
            <w:vAlign w:val="bottom"/>
            <w:shd w:val="clear" w:color="auto" w:fill="56C271"/>
          </w:tcPr>
          <w:p>
            <w:pPr>
              <w:spacing w:after="0"/>
              <w:rPr>
                <w:sz w:val="2"/>
                <w:szCs w:val="2"/>
                <w:color w:val="auto"/>
              </w:rPr>
            </w:pPr>
          </w:p>
        </w:tc>
        <w:tc>
          <w:tcPr>
            <w:tcW w:w="640" w:type="dxa"/>
            <w:vAlign w:val="bottom"/>
            <w:shd w:val="clear" w:color="auto" w:fill="56C271"/>
          </w:tcPr>
          <w:p>
            <w:pPr>
              <w:spacing w:after="0"/>
              <w:rPr>
                <w:sz w:val="2"/>
                <w:szCs w:val="2"/>
                <w:color w:val="auto"/>
              </w:rPr>
            </w:pPr>
          </w:p>
        </w:tc>
        <w:tc>
          <w:tcPr>
            <w:tcW w:w="780" w:type="dxa"/>
            <w:vAlign w:val="bottom"/>
            <w:shd w:val="clear" w:color="auto" w:fill="56C271"/>
          </w:tcPr>
          <w:p>
            <w:pPr>
              <w:spacing w:after="0"/>
              <w:rPr>
                <w:sz w:val="2"/>
                <w:szCs w:val="2"/>
                <w:color w:val="auto"/>
              </w:rPr>
            </w:pPr>
          </w:p>
        </w:tc>
        <w:tc>
          <w:tcPr>
            <w:tcW w:w="760" w:type="dxa"/>
            <w:vAlign w:val="bottom"/>
            <w:shd w:val="clear" w:color="auto" w:fill="56C271"/>
          </w:tcPr>
          <w:p>
            <w:pPr>
              <w:spacing w:after="0"/>
              <w:rPr>
                <w:sz w:val="2"/>
                <w:szCs w:val="2"/>
                <w:color w:val="auto"/>
              </w:rPr>
            </w:pPr>
          </w:p>
        </w:tc>
        <w:tc>
          <w:tcPr>
            <w:tcW w:w="800" w:type="dxa"/>
            <w:vAlign w:val="bottom"/>
            <w:shd w:val="clear" w:color="auto" w:fill="56C271"/>
          </w:tcPr>
          <w:p>
            <w:pPr>
              <w:spacing w:after="0"/>
              <w:rPr>
                <w:sz w:val="2"/>
                <w:szCs w:val="2"/>
                <w:color w:val="auto"/>
              </w:rPr>
            </w:pPr>
          </w:p>
        </w:tc>
        <w:tc>
          <w:tcPr>
            <w:tcW w:w="740" w:type="dxa"/>
            <w:vAlign w:val="bottom"/>
            <w:shd w:val="clear" w:color="auto" w:fill="56C271"/>
          </w:tcPr>
          <w:p>
            <w:pPr>
              <w:spacing w:after="0"/>
              <w:rPr>
                <w:sz w:val="2"/>
                <w:szCs w:val="2"/>
                <w:color w:val="auto"/>
              </w:rPr>
            </w:pPr>
          </w:p>
        </w:tc>
        <w:tc>
          <w:tcPr>
            <w:tcW w:w="1040" w:type="dxa"/>
            <w:vAlign w:val="bottom"/>
            <w:shd w:val="clear" w:color="auto" w:fill="56C271"/>
          </w:tcPr>
          <w:p>
            <w:pPr>
              <w:spacing w:after="0"/>
              <w:rPr>
                <w:sz w:val="2"/>
                <w:szCs w:val="2"/>
                <w:color w:val="auto"/>
              </w:rPr>
            </w:pPr>
          </w:p>
        </w:tc>
        <w:tc>
          <w:tcPr>
            <w:tcW w:w="1020" w:type="dxa"/>
            <w:vAlign w:val="bottom"/>
            <w:shd w:val="clear" w:color="auto" w:fill="56C27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780" w:right="780" w:hanging="718"/>
        <w:spacing w:after="0" w:line="261" w:lineRule="auto"/>
        <w:tabs>
          <w:tab w:leader="none" w:pos="1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outstanding equity awards for Messrs. Amelio and Bartolotta have been cancelled as of their respective termination dates of July 31, 2020 and October 1, 2020, respectively.</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Vesting schedules:</w:t>
      </w:r>
    </w:p>
    <w:p>
      <w:pPr>
        <w:spacing w:after="0" w:line="153" w:lineRule="exact"/>
        <w:rPr>
          <w:sz w:val="20"/>
          <w:szCs w:val="20"/>
          <w:color w:val="auto"/>
        </w:rPr>
      </w:pPr>
    </w:p>
    <w:p>
      <w:pPr>
        <w:ind w:left="1540" w:right="560" w:hanging="190"/>
        <w:spacing w:after="0" w:line="261" w:lineRule="auto"/>
        <w:tabs>
          <w:tab w:leader="none" w:pos="1540" w:val="left"/>
        </w:tabs>
        <w:numPr>
          <w:ilvl w:val="0"/>
          <w:numId w:val="73"/>
        </w:numPr>
        <w:rPr>
          <w:rFonts w:ascii="Arial" w:cs="Arial" w:eastAsia="Arial" w:hAnsi="Arial"/>
          <w:sz w:val="18"/>
          <w:szCs w:val="18"/>
          <w:color w:val="56C271"/>
        </w:rPr>
      </w:pPr>
      <w:r>
        <w:rPr>
          <w:rFonts w:ascii="Arial" w:cs="Arial" w:eastAsia="Arial" w:hAnsi="Arial"/>
          <w:sz w:val="18"/>
          <w:szCs w:val="18"/>
          <w:color w:val="auto"/>
        </w:rPr>
        <w:t>Stock options vest in 25% annual increments on the first through fourth anniversaries of the grant date. Stock options typically expire the day before the tenth anniversary of the grant date.</w:t>
      </w:r>
    </w:p>
    <w:p>
      <w:pPr>
        <w:spacing w:after="0" w:line="116" w:lineRule="exact"/>
        <w:rPr>
          <w:rFonts w:ascii="Arial" w:cs="Arial" w:eastAsia="Arial" w:hAnsi="Arial"/>
          <w:sz w:val="18"/>
          <w:szCs w:val="18"/>
          <w:color w:val="56C271"/>
        </w:rPr>
      </w:pPr>
    </w:p>
    <w:p>
      <w:pPr>
        <w:ind w:left="1540" w:right="500" w:hanging="190"/>
        <w:spacing w:after="0" w:line="291" w:lineRule="auto"/>
        <w:tabs>
          <w:tab w:leader="none" w:pos="1540" w:val="left"/>
        </w:tabs>
        <w:numPr>
          <w:ilvl w:val="0"/>
          <w:numId w:val="73"/>
        </w:numPr>
        <w:rPr>
          <w:rFonts w:ascii="Arial" w:cs="Arial" w:eastAsia="Arial" w:hAnsi="Arial"/>
          <w:sz w:val="17"/>
          <w:szCs w:val="17"/>
          <w:color w:val="56C271"/>
        </w:rPr>
      </w:pPr>
      <w:r>
        <w:rPr>
          <w:rFonts w:ascii="Arial" w:cs="Arial" w:eastAsia="Arial" w:hAnsi="Arial"/>
          <w:sz w:val="17"/>
          <w:szCs w:val="17"/>
          <w:color w:val="auto"/>
        </w:rPr>
        <w:t>RSUs vest in 25% increments commencing on the first business day in January following the grant date (“commencement date”) and on the 1st, 2nd and 3rd annual anniversary of the commencement date.</w:t>
      </w:r>
    </w:p>
    <w:p>
      <w:pPr>
        <w:spacing w:after="0" w:line="79" w:lineRule="exact"/>
        <w:rPr>
          <w:rFonts w:ascii="Arial" w:cs="Arial" w:eastAsia="Arial" w:hAnsi="Arial"/>
          <w:sz w:val="17"/>
          <w:szCs w:val="17"/>
          <w:color w:val="56C271"/>
        </w:rPr>
      </w:pPr>
    </w:p>
    <w:p>
      <w:pPr>
        <w:ind w:left="1540" w:right="620" w:hanging="190"/>
        <w:spacing w:after="0" w:line="261" w:lineRule="auto"/>
        <w:tabs>
          <w:tab w:leader="none" w:pos="1540" w:val="left"/>
        </w:tabs>
        <w:numPr>
          <w:ilvl w:val="0"/>
          <w:numId w:val="73"/>
        </w:numPr>
        <w:rPr>
          <w:rFonts w:ascii="Arial" w:cs="Arial" w:eastAsia="Arial" w:hAnsi="Arial"/>
          <w:sz w:val="18"/>
          <w:szCs w:val="18"/>
          <w:color w:val="56C271"/>
        </w:rPr>
      </w:pPr>
      <w:r>
        <w:rPr>
          <w:rFonts w:ascii="Arial" w:cs="Arial" w:eastAsia="Arial" w:hAnsi="Arial"/>
          <w:sz w:val="18"/>
          <w:szCs w:val="18"/>
          <w:color w:val="auto"/>
        </w:rPr>
        <w:t>PSUs vest, if at all, depending on whether vesting conditions are met, on the last day of the fiscal year coincident with the end of the three-year performance period.</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OPTION EXERCISES AND STOCK VESTED</w:t>
      </w:r>
    </w:p>
    <w:p>
      <w:pPr>
        <w:spacing w:after="0" w:line="157" w:lineRule="exact"/>
        <w:rPr>
          <w:sz w:val="20"/>
          <w:szCs w:val="20"/>
          <w:color w:val="auto"/>
        </w:rPr>
      </w:pPr>
    </w:p>
    <w:p>
      <w:pPr>
        <w:ind w:left="1000" w:right="540"/>
        <w:spacing w:after="0" w:line="254" w:lineRule="auto"/>
        <w:rPr>
          <w:sz w:val="20"/>
          <w:szCs w:val="20"/>
          <w:color w:val="auto"/>
        </w:rPr>
      </w:pPr>
      <w:r>
        <w:rPr>
          <w:rFonts w:ascii="Arial" w:cs="Arial" w:eastAsia="Arial" w:hAnsi="Arial"/>
          <w:sz w:val="18"/>
          <w:szCs w:val="18"/>
          <w:color w:val="auto"/>
        </w:rPr>
        <w:t>The following table provides information as to each of the NEOs: (1) stock option exercises during fiscal 2021, including the number of shares acquired upon exercise and the value realized, and (2) the number of shares acquired upon the vesting of stock awards in the form of RSUs, and the value realized, each before payment of any applicable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4580" w:type="dxa"/>
            <w:vAlign w:val="bottom"/>
          </w:tcPr>
          <w:p>
            <w:pPr>
              <w:ind w:left="20"/>
              <w:spacing w:after="0"/>
              <w:rPr>
                <w:sz w:val="20"/>
                <w:szCs w:val="20"/>
                <w:color w:val="auto"/>
              </w:rPr>
            </w:pPr>
            <w:r>
              <w:rPr>
                <w:rFonts w:ascii="Arial" w:cs="Arial" w:eastAsia="Arial" w:hAnsi="Arial"/>
                <w:sz w:val="14"/>
                <w:szCs w:val="14"/>
                <w:b w:val="1"/>
                <w:bCs w:val="1"/>
                <w:color w:val="56C271"/>
              </w:rPr>
              <w:t>2021 ANNUAL</w:t>
            </w:r>
          </w:p>
        </w:tc>
        <w:tc>
          <w:tcPr>
            <w:tcW w:w="880" w:type="dxa"/>
            <w:vAlign w:val="bottom"/>
          </w:tcPr>
          <w:p>
            <w:pPr>
              <w:spacing w:after="0"/>
              <w:rPr>
                <w:sz w:val="16"/>
                <w:szCs w:val="16"/>
                <w:color w:val="auto"/>
              </w:rPr>
            </w:pPr>
          </w:p>
        </w:tc>
        <w:tc>
          <w:tcPr>
            <w:tcW w:w="3300" w:type="dxa"/>
            <w:vAlign w:val="bottom"/>
            <w:gridSpan w:val="5"/>
            <w:vMerge w:val="restart"/>
          </w:tcPr>
          <w:p>
            <w:pPr>
              <w:jc w:val="right"/>
              <w:spacing w:after="0"/>
              <w:rPr>
                <w:sz w:val="20"/>
                <w:szCs w:val="20"/>
                <w:color w:val="auto"/>
              </w:rPr>
            </w:pPr>
            <w:r>
              <w:rPr>
                <w:rFonts w:ascii="Arial" w:cs="Arial" w:eastAsia="Arial" w:hAnsi="Arial"/>
                <w:sz w:val="14"/>
                <w:szCs w:val="14"/>
                <w:color w:val="auto"/>
              </w:rPr>
              <w:t>Compensation of Executive Officers</w:t>
            </w:r>
          </w:p>
        </w:tc>
        <w:tc>
          <w:tcPr>
            <w:tcW w:w="0" w:type="dxa"/>
            <w:vAlign w:val="bottom"/>
          </w:tcPr>
          <w:p>
            <w:pPr>
              <w:spacing w:after="0"/>
              <w:rPr>
                <w:sz w:val="1"/>
                <w:szCs w:val="1"/>
                <w:color w:val="auto"/>
              </w:rPr>
            </w:pPr>
          </w:p>
        </w:tc>
      </w:tr>
      <w:tr>
        <w:trPr>
          <w:trHeight w:val="108"/>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88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1"/>
        </w:trPr>
        <w:tc>
          <w:tcPr>
            <w:tcW w:w="4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56C271"/>
          </w:tcPr>
          <w:p>
            <w:pPr>
              <w:spacing w:after="0"/>
              <w:rPr>
                <w:sz w:val="19"/>
                <w:szCs w:val="19"/>
                <w:color w:val="auto"/>
              </w:rPr>
            </w:pPr>
          </w:p>
        </w:tc>
        <w:tc>
          <w:tcPr>
            <w:tcW w:w="880" w:type="dxa"/>
            <w:vAlign w:val="bottom"/>
            <w:shd w:val="clear" w:color="auto" w:fill="56C271"/>
          </w:tcPr>
          <w:p>
            <w:pPr>
              <w:spacing w:after="0"/>
              <w:rPr>
                <w:sz w:val="19"/>
                <w:szCs w:val="19"/>
                <w:color w:val="auto"/>
              </w:rPr>
            </w:pPr>
          </w:p>
        </w:tc>
        <w:tc>
          <w:tcPr>
            <w:tcW w:w="1260" w:type="dxa"/>
            <w:vAlign w:val="bottom"/>
            <w:gridSpan w:val="2"/>
            <w:shd w:val="clear" w:color="auto" w:fill="56C271"/>
          </w:tcPr>
          <w:p>
            <w:pPr>
              <w:jc w:val="right"/>
              <w:ind w:right="220"/>
              <w:spacing w:after="0"/>
              <w:rPr>
                <w:sz w:val="20"/>
                <w:szCs w:val="20"/>
                <w:color w:val="auto"/>
              </w:rPr>
            </w:pPr>
            <w:r>
              <w:rPr>
                <w:rFonts w:ascii="Arial" w:cs="Arial" w:eastAsia="Arial" w:hAnsi="Arial"/>
                <w:sz w:val="14"/>
                <w:szCs w:val="14"/>
                <w:b w:val="1"/>
                <w:bCs w:val="1"/>
                <w:color w:val="FEFEFE"/>
              </w:rPr>
              <w:t>Option Awards</w:t>
            </w:r>
          </w:p>
        </w:tc>
        <w:tc>
          <w:tcPr>
            <w:tcW w:w="940" w:type="dxa"/>
            <w:vAlign w:val="bottom"/>
            <w:shd w:val="clear" w:color="auto" w:fill="56C271"/>
          </w:tcPr>
          <w:p>
            <w:pPr>
              <w:spacing w:after="0"/>
              <w:rPr>
                <w:sz w:val="19"/>
                <w:szCs w:val="19"/>
                <w:color w:val="auto"/>
              </w:rPr>
            </w:pPr>
          </w:p>
        </w:tc>
        <w:tc>
          <w:tcPr>
            <w:tcW w:w="1100" w:type="dxa"/>
            <w:vAlign w:val="bottom"/>
            <w:gridSpan w:val="2"/>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Stock Awards</w:t>
            </w:r>
          </w:p>
        </w:tc>
        <w:tc>
          <w:tcPr>
            <w:tcW w:w="0" w:type="dxa"/>
            <w:vAlign w:val="bottom"/>
          </w:tcPr>
          <w:p>
            <w:pPr>
              <w:spacing w:after="0"/>
              <w:rPr>
                <w:sz w:val="1"/>
                <w:szCs w:val="1"/>
                <w:color w:val="auto"/>
              </w:rPr>
            </w:pPr>
          </w:p>
        </w:tc>
      </w:tr>
      <w:tr>
        <w:trPr>
          <w:trHeight w:val="189"/>
        </w:trPr>
        <w:tc>
          <w:tcPr>
            <w:tcW w:w="4580" w:type="dxa"/>
            <w:vAlign w:val="bottom"/>
            <w:tcBorders>
              <w:top w:val="single" w:sz="8" w:color="56C271"/>
            </w:tcBorders>
            <w:shd w:val="clear" w:color="auto" w:fill="56C271"/>
          </w:tcPr>
          <w:p>
            <w:pPr>
              <w:spacing w:after="0"/>
              <w:rPr>
                <w:sz w:val="16"/>
                <w:szCs w:val="16"/>
                <w:color w:val="auto"/>
              </w:rPr>
            </w:pPr>
          </w:p>
        </w:tc>
        <w:tc>
          <w:tcPr>
            <w:tcW w:w="880" w:type="dxa"/>
            <w:vAlign w:val="bottom"/>
            <w:tcBorders>
              <w:top w:val="single" w:sz="8" w:color="auto"/>
            </w:tcBorders>
            <w:shd w:val="clear" w:color="auto" w:fill="56C271"/>
          </w:tcPr>
          <w:p>
            <w:pPr>
              <w:jc w:val="right"/>
              <w:spacing w:after="0"/>
              <w:rPr>
                <w:sz w:val="20"/>
                <w:szCs w:val="20"/>
                <w:color w:val="auto"/>
              </w:rPr>
            </w:pPr>
            <w:r>
              <w:rPr>
                <w:rFonts w:ascii="Arial" w:cs="Arial" w:eastAsia="Arial" w:hAnsi="Arial"/>
                <w:sz w:val="14"/>
                <w:szCs w:val="14"/>
                <w:b w:val="1"/>
                <w:bCs w:val="1"/>
                <w:color w:val="FEFEFE"/>
              </w:rPr>
              <w:t>Number of</w:t>
            </w:r>
          </w:p>
        </w:tc>
        <w:tc>
          <w:tcPr>
            <w:tcW w:w="1040" w:type="dxa"/>
            <w:vAlign w:val="bottom"/>
            <w:tcBorders>
              <w:top w:val="single" w:sz="8" w:color="auto"/>
            </w:tcBorders>
            <w:shd w:val="clear" w:color="auto" w:fill="56C271"/>
          </w:tcPr>
          <w:p>
            <w:pPr>
              <w:spacing w:after="0"/>
              <w:rPr>
                <w:sz w:val="16"/>
                <w:szCs w:val="16"/>
                <w:color w:val="auto"/>
              </w:rPr>
            </w:pPr>
          </w:p>
        </w:tc>
        <w:tc>
          <w:tcPr>
            <w:tcW w:w="220" w:type="dxa"/>
            <w:vAlign w:val="bottom"/>
            <w:tcBorders>
              <w:top w:val="single" w:sz="8" w:color="56C271"/>
            </w:tcBorders>
            <w:shd w:val="clear" w:color="auto" w:fill="56C271"/>
          </w:tcPr>
          <w:p>
            <w:pPr>
              <w:spacing w:after="0"/>
              <w:rPr>
                <w:sz w:val="16"/>
                <w:szCs w:val="16"/>
                <w:color w:val="auto"/>
              </w:rPr>
            </w:pPr>
          </w:p>
        </w:tc>
        <w:tc>
          <w:tcPr>
            <w:tcW w:w="940" w:type="dxa"/>
            <w:vAlign w:val="bottom"/>
            <w:tcBorders>
              <w:top w:val="single" w:sz="8" w:color="auto"/>
            </w:tcBorders>
            <w:shd w:val="clear" w:color="auto" w:fill="56C271"/>
          </w:tcPr>
          <w:p>
            <w:pPr>
              <w:jc w:val="right"/>
              <w:ind w:right="18"/>
              <w:spacing w:after="0"/>
              <w:rPr>
                <w:sz w:val="20"/>
                <w:szCs w:val="20"/>
                <w:color w:val="auto"/>
              </w:rPr>
            </w:pPr>
            <w:r>
              <w:rPr>
                <w:rFonts w:ascii="Arial" w:cs="Arial" w:eastAsia="Arial" w:hAnsi="Arial"/>
                <w:sz w:val="14"/>
                <w:szCs w:val="14"/>
                <w:b w:val="1"/>
                <w:bCs w:val="1"/>
                <w:color w:val="FEFEFE"/>
              </w:rPr>
              <w:t>Number of</w:t>
            </w:r>
          </w:p>
        </w:tc>
        <w:tc>
          <w:tcPr>
            <w:tcW w:w="980" w:type="dxa"/>
            <w:vAlign w:val="bottom"/>
            <w:tcBorders>
              <w:top w:val="single" w:sz="8" w:color="auto"/>
            </w:tcBorders>
            <w:shd w:val="clear" w:color="auto" w:fill="56C271"/>
          </w:tcPr>
          <w:p>
            <w:pPr>
              <w:spacing w:after="0"/>
              <w:rPr>
                <w:sz w:val="16"/>
                <w:szCs w:val="16"/>
                <w:color w:val="auto"/>
              </w:rPr>
            </w:pPr>
          </w:p>
        </w:tc>
        <w:tc>
          <w:tcPr>
            <w:tcW w:w="120" w:type="dxa"/>
            <w:vAlign w:val="bottom"/>
            <w:tcBorders>
              <w:top w:val="single" w:sz="8" w:color="56C271"/>
            </w:tcBorders>
            <w:shd w:val="clear" w:color="auto" w:fill="56C271"/>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56C271"/>
          </w:tcPr>
          <w:p>
            <w:pPr>
              <w:spacing w:after="0"/>
              <w:rPr>
                <w:sz w:val="14"/>
                <w:szCs w:val="14"/>
                <w:color w:val="auto"/>
              </w:rPr>
            </w:pPr>
          </w:p>
        </w:tc>
        <w:tc>
          <w:tcPr>
            <w:tcW w:w="8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Shares</w:t>
            </w:r>
          </w:p>
        </w:tc>
        <w:tc>
          <w:tcPr>
            <w:tcW w:w="1260" w:type="dxa"/>
            <w:vAlign w:val="bottom"/>
            <w:gridSpan w:val="2"/>
            <w:shd w:val="clear" w:color="auto" w:fill="56C271"/>
          </w:tcPr>
          <w:p>
            <w:pPr>
              <w:jc w:val="right"/>
              <w:ind w:right="260"/>
              <w:spacing w:after="0"/>
              <w:rPr>
                <w:sz w:val="20"/>
                <w:szCs w:val="20"/>
                <w:color w:val="auto"/>
              </w:rPr>
            </w:pPr>
            <w:r>
              <w:rPr>
                <w:rFonts w:ascii="Arial" w:cs="Arial" w:eastAsia="Arial" w:hAnsi="Arial"/>
                <w:sz w:val="14"/>
                <w:szCs w:val="14"/>
                <w:b w:val="1"/>
                <w:bCs w:val="1"/>
                <w:color w:val="FEFEFE"/>
              </w:rPr>
              <w:t>Value</w:t>
            </w:r>
          </w:p>
        </w:tc>
        <w:tc>
          <w:tcPr>
            <w:tcW w:w="940" w:type="dxa"/>
            <w:vAlign w:val="bottom"/>
            <w:shd w:val="clear" w:color="auto" w:fill="56C271"/>
          </w:tcPr>
          <w:p>
            <w:pPr>
              <w:jc w:val="right"/>
              <w:ind w:right="18"/>
              <w:spacing w:after="0"/>
              <w:rPr>
                <w:sz w:val="20"/>
                <w:szCs w:val="20"/>
                <w:color w:val="auto"/>
              </w:rPr>
            </w:pPr>
            <w:r>
              <w:rPr>
                <w:rFonts w:ascii="Arial" w:cs="Arial" w:eastAsia="Arial" w:hAnsi="Arial"/>
                <w:sz w:val="14"/>
                <w:szCs w:val="14"/>
                <w:b w:val="1"/>
                <w:bCs w:val="1"/>
                <w:color w:val="FEFEFE"/>
              </w:rPr>
              <w:t>Shares</w:t>
            </w:r>
          </w:p>
        </w:tc>
        <w:tc>
          <w:tcPr>
            <w:tcW w:w="1100" w:type="dxa"/>
            <w:vAlign w:val="bottom"/>
            <w:gridSpan w:val="2"/>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Value</w:t>
            </w:r>
          </w:p>
        </w:tc>
        <w:tc>
          <w:tcPr>
            <w:tcW w:w="0" w:type="dxa"/>
            <w:vAlign w:val="bottom"/>
          </w:tcPr>
          <w:p>
            <w:pPr>
              <w:spacing w:after="0"/>
              <w:rPr>
                <w:sz w:val="1"/>
                <w:szCs w:val="1"/>
                <w:color w:val="auto"/>
              </w:rPr>
            </w:pPr>
          </w:p>
        </w:tc>
      </w:tr>
      <w:tr>
        <w:trPr>
          <w:trHeight w:val="162"/>
        </w:trPr>
        <w:tc>
          <w:tcPr>
            <w:tcW w:w="4580" w:type="dxa"/>
            <w:vAlign w:val="bottom"/>
            <w:shd w:val="clear" w:color="auto" w:fill="56C271"/>
          </w:tcPr>
          <w:p>
            <w:pPr>
              <w:spacing w:after="0"/>
              <w:rPr>
                <w:sz w:val="14"/>
                <w:szCs w:val="14"/>
                <w:color w:val="auto"/>
              </w:rPr>
            </w:pPr>
          </w:p>
        </w:tc>
        <w:tc>
          <w:tcPr>
            <w:tcW w:w="8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w w:val="97"/>
              </w:rPr>
              <w:t>Acquired on</w:t>
            </w:r>
          </w:p>
        </w:tc>
        <w:tc>
          <w:tcPr>
            <w:tcW w:w="1260" w:type="dxa"/>
            <w:vAlign w:val="bottom"/>
            <w:gridSpan w:val="2"/>
            <w:shd w:val="clear" w:color="auto" w:fill="56C271"/>
          </w:tcPr>
          <w:p>
            <w:pPr>
              <w:jc w:val="right"/>
              <w:ind w:right="260"/>
              <w:spacing w:after="0"/>
              <w:rPr>
                <w:sz w:val="20"/>
                <w:szCs w:val="20"/>
                <w:color w:val="auto"/>
              </w:rPr>
            </w:pPr>
            <w:r>
              <w:rPr>
                <w:rFonts w:ascii="Arial" w:cs="Arial" w:eastAsia="Arial" w:hAnsi="Arial"/>
                <w:sz w:val="14"/>
                <w:szCs w:val="14"/>
                <w:b w:val="1"/>
                <w:bCs w:val="1"/>
                <w:color w:val="FEFEFE"/>
              </w:rPr>
              <w:t>Realized on</w:t>
            </w:r>
          </w:p>
        </w:tc>
        <w:tc>
          <w:tcPr>
            <w:tcW w:w="940" w:type="dxa"/>
            <w:vAlign w:val="bottom"/>
            <w:shd w:val="clear" w:color="auto" w:fill="56C271"/>
          </w:tcPr>
          <w:p>
            <w:pPr>
              <w:jc w:val="right"/>
              <w:ind w:right="18"/>
              <w:spacing w:after="0"/>
              <w:rPr>
                <w:sz w:val="20"/>
                <w:szCs w:val="20"/>
                <w:color w:val="auto"/>
              </w:rPr>
            </w:pPr>
            <w:r>
              <w:rPr>
                <w:rFonts w:ascii="Arial" w:cs="Arial" w:eastAsia="Arial" w:hAnsi="Arial"/>
                <w:sz w:val="14"/>
                <w:szCs w:val="14"/>
                <w:b w:val="1"/>
                <w:bCs w:val="1"/>
                <w:color w:val="FEFEFE"/>
              </w:rPr>
              <w:t>Acquired on</w:t>
            </w:r>
          </w:p>
        </w:tc>
        <w:tc>
          <w:tcPr>
            <w:tcW w:w="1100" w:type="dxa"/>
            <w:vAlign w:val="bottom"/>
            <w:gridSpan w:val="2"/>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Realized on</w:t>
            </w:r>
          </w:p>
        </w:tc>
        <w:tc>
          <w:tcPr>
            <w:tcW w:w="0" w:type="dxa"/>
            <w:vAlign w:val="bottom"/>
          </w:tcPr>
          <w:p>
            <w:pPr>
              <w:spacing w:after="0"/>
              <w:rPr>
                <w:sz w:val="1"/>
                <w:szCs w:val="1"/>
                <w:color w:val="auto"/>
              </w:rPr>
            </w:pPr>
          </w:p>
        </w:tc>
      </w:tr>
      <w:tr>
        <w:trPr>
          <w:trHeight w:val="162"/>
        </w:trPr>
        <w:tc>
          <w:tcPr>
            <w:tcW w:w="4580" w:type="dxa"/>
            <w:vAlign w:val="bottom"/>
            <w:shd w:val="clear" w:color="auto" w:fill="56C271"/>
          </w:tcPr>
          <w:p>
            <w:pPr>
              <w:spacing w:after="0"/>
              <w:rPr>
                <w:sz w:val="14"/>
                <w:szCs w:val="14"/>
                <w:color w:val="auto"/>
              </w:rPr>
            </w:pPr>
          </w:p>
        </w:tc>
        <w:tc>
          <w:tcPr>
            <w:tcW w:w="8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Exercise</w:t>
            </w:r>
          </w:p>
        </w:tc>
        <w:tc>
          <w:tcPr>
            <w:tcW w:w="1260" w:type="dxa"/>
            <w:vAlign w:val="bottom"/>
            <w:gridSpan w:val="2"/>
            <w:shd w:val="clear" w:color="auto" w:fill="56C271"/>
          </w:tcPr>
          <w:p>
            <w:pPr>
              <w:jc w:val="right"/>
              <w:ind w:right="260"/>
              <w:spacing w:after="0"/>
              <w:rPr>
                <w:sz w:val="20"/>
                <w:szCs w:val="20"/>
                <w:color w:val="auto"/>
              </w:rPr>
            </w:pPr>
            <w:r>
              <w:rPr>
                <w:rFonts w:ascii="Arial" w:cs="Arial" w:eastAsia="Arial" w:hAnsi="Arial"/>
                <w:sz w:val="14"/>
                <w:szCs w:val="14"/>
                <w:b w:val="1"/>
                <w:bCs w:val="1"/>
                <w:color w:val="FEFEFE"/>
              </w:rPr>
              <w:t>Exercise</w:t>
            </w:r>
          </w:p>
        </w:tc>
        <w:tc>
          <w:tcPr>
            <w:tcW w:w="940" w:type="dxa"/>
            <w:vAlign w:val="bottom"/>
            <w:shd w:val="clear" w:color="auto" w:fill="56C271"/>
          </w:tcPr>
          <w:p>
            <w:pPr>
              <w:jc w:val="right"/>
              <w:ind w:right="18"/>
              <w:spacing w:after="0"/>
              <w:rPr>
                <w:sz w:val="20"/>
                <w:szCs w:val="20"/>
                <w:color w:val="auto"/>
              </w:rPr>
            </w:pPr>
            <w:r>
              <w:rPr>
                <w:rFonts w:ascii="Arial" w:cs="Arial" w:eastAsia="Arial" w:hAnsi="Arial"/>
                <w:sz w:val="14"/>
                <w:szCs w:val="14"/>
                <w:b w:val="1"/>
                <w:bCs w:val="1"/>
                <w:color w:val="FEFEFE"/>
              </w:rPr>
              <w:t>Vesting</w:t>
            </w:r>
          </w:p>
        </w:tc>
        <w:tc>
          <w:tcPr>
            <w:tcW w:w="1100" w:type="dxa"/>
            <w:vAlign w:val="bottom"/>
            <w:gridSpan w:val="2"/>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Vesting</w:t>
            </w:r>
          </w:p>
        </w:tc>
        <w:tc>
          <w:tcPr>
            <w:tcW w:w="0" w:type="dxa"/>
            <w:vAlign w:val="bottom"/>
          </w:tcPr>
          <w:p>
            <w:pPr>
              <w:spacing w:after="0"/>
              <w:rPr>
                <w:sz w:val="1"/>
                <w:szCs w:val="1"/>
                <w:color w:val="auto"/>
              </w:rPr>
            </w:pPr>
          </w:p>
        </w:tc>
      </w:tr>
      <w:tr>
        <w:trPr>
          <w:trHeight w:val="162"/>
        </w:trPr>
        <w:tc>
          <w:tcPr>
            <w:tcW w:w="458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Name</w:t>
            </w:r>
          </w:p>
        </w:tc>
        <w:tc>
          <w:tcPr>
            <w:tcW w:w="8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10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220" w:type="dxa"/>
            <w:vAlign w:val="bottom"/>
            <w:shd w:val="clear" w:color="auto" w:fill="56C271"/>
          </w:tcPr>
          <w:p>
            <w:pPr>
              <w:spacing w:after="0"/>
              <w:rPr>
                <w:sz w:val="14"/>
                <w:szCs w:val="14"/>
                <w:color w:val="auto"/>
              </w:rPr>
            </w:pPr>
          </w:p>
        </w:tc>
        <w:tc>
          <w:tcPr>
            <w:tcW w:w="940" w:type="dxa"/>
            <w:vAlign w:val="bottom"/>
            <w:shd w:val="clear" w:color="auto" w:fill="56C271"/>
          </w:tcPr>
          <w:p>
            <w:pPr>
              <w:jc w:val="right"/>
              <w:ind w:right="18"/>
              <w:spacing w:after="0"/>
              <w:rPr>
                <w:sz w:val="20"/>
                <w:szCs w:val="20"/>
                <w:color w:val="auto"/>
              </w:rPr>
            </w:pPr>
            <w:r>
              <w:rPr>
                <w:rFonts w:ascii="Arial" w:cs="Arial" w:eastAsia="Arial" w:hAnsi="Arial"/>
                <w:sz w:val="14"/>
                <w:szCs w:val="14"/>
                <w:b w:val="1"/>
                <w:bCs w:val="1"/>
                <w:color w:val="FEFEFE"/>
              </w:rPr>
              <w:t>(#)</w:t>
            </w: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120" w:type="dxa"/>
            <w:vAlign w:val="bottom"/>
            <w:shd w:val="clear" w:color="auto" w:fill="56C271"/>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(a)</w:t>
            </w:r>
          </w:p>
        </w:tc>
        <w:tc>
          <w:tcPr>
            <w:tcW w:w="8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(b)</w:t>
            </w:r>
          </w:p>
        </w:tc>
        <w:tc>
          <w:tcPr>
            <w:tcW w:w="1260" w:type="dxa"/>
            <w:vAlign w:val="bottom"/>
            <w:gridSpan w:val="2"/>
            <w:shd w:val="clear" w:color="auto" w:fill="56C271"/>
          </w:tcPr>
          <w:p>
            <w:pPr>
              <w:jc w:val="right"/>
              <w:ind w:right="220"/>
              <w:spacing w:after="0"/>
              <w:rPr>
                <w:sz w:val="20"/>
                <w:szCs w:val="20"/>
                <w:color w:val="auto"/>
              </w:rPr>
            </w:pPr>
            <w:r>
              <w:rPr>
                <w:rFonts w:ascii="Arial" w:cs="Arial" w:eastAsia="Arial" w:hAnsi="Arial"/>
                <w:sz w:val="14"/>
                <w:szCs w:val="14"/>
                <w:b w:val="1"/>
                <w:bCs w:val="1"/>
                <w:color w:val="FEFEFE"/>
              </w:rPr>
              <w:t>(c)</w:t>
            </w:r>
          </w:p>
        </w:tc>
        <w:tc>
          <w:tcPr>
            <w:tcW w:w="9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(d)</w:t>
            </w:r>
          </w:p>
        </w:tc>
        <w:tc>
          <w:tcPr>
            <w:tcW w:w="1100" w:type="dxa"/>
            <w:vAlign w:val="bottom"/>
            <w:gridSpan w:val="2"/>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(e)</w:t>
            </w:r>
          </w:p>
        </w:tc>
        <w:tc>
          <w:tcPr>
            <w:tcW w:w="0" w:type="dxa"/>
            <w:vAlign w:val="bottom"/>
          </w:tcPr>
          <w:p>
            <w:pPr>
              <w:spacing w:after="0"/>
              <w:rPr>
                <w:sz w:val="1"/>
                <w:szCs w:val="1"/>
                <w:color w:val="auto"/>
              </w:rPr>
            </w:pPr>
          </w:p>
        </w:tc>
      </w:tr>
      <w:tr>
        <w:trPr>
          <w:trHeight w:val="256"/>
        </w:trPr>
        <w:tc>
          <w:tcPr>
            <w:tcW w:w="4580" w:type="dxa"/>
            <w:vAlign w:val="bottom"/>
          </w:tcPr>
          <w:p>
            <w:pPr>
              <w:ind w:left="100"/>
              <w:spacing w:after="0"/>
              <w:rPr>
                <w:sz w:val="20"/>
                <w:szCs w:val="20"/>
                <w:color w:val="auto"/>
              </w:rPr>
            </w:pPr>
            <w:r>
              <w:rPr>
                <w:rFonts w:ascii="Arial" w:cs="Arial" w:eastAsia="Arial" w:hAnsi="Arial"/>
                <w:sz w:val="18"/>
                <w:szCs w:val="18"/>
                <w:color w:val="auto"/>
              </w:rPr>
              <w:t>Philip R. Gallagher</w:t>
            </w:r>
          </w:p>
        </w:tc>
        <w:tc>
          <w:tcPr>
            <w:tcW w:w="880" w:type="dxa"/>
            <w:vAlign w:val="bottom"/>
          </w:tcPr>
          <w:p>
            <w:pPr>
              <w:jc w:val="right"/>
              <w:ind w:right="98"/>
              <w:spacing w:after="0"/>
              <w:rPr>
                <w:sz w:val="20"/>
                <w:szCs w:val="20"/>
                <w:color w:val="auto"/>
              </w:rPr>
            </w:pPr>
            <w:r>
              <w:rPr>
                <w:rFonts w:ascii="Arial" w:cs="Arial" w:eastAsia="Arial" w:hAnsi="Arial"/>
                <w:sz w:val="18"/>
                <w:szCs w:val="18"/>
                <w:color w:val="auto"/>
              </w:rPr>
              <w:t>44,280</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568,212</w:t>
            </w:r>
          </w:p>
        </w:tc>
        <w:tc>
          <w:tcPr>
            <w:tcW w:w="220" w:type="dxa"/>
            <w:vAlign w:val="bottom"/>
          </w:tcPr>
          <w:p>
            <w:pPr>
              <w:spacing w:after="0"/>
              <w:rPr>
                <w:sz w:val="22"/>
                <w:szCs w:val="22"/>
                <w:color w:val="auto"/>
              </w:rPr>
            </w:pPr>
          </w:p>
        </w:tc>
        <w:tc>
          <w:tcPr>
            <w:tcW w:w="940" w:type="dxa"/>
            <w:vAlign w:val="bottom"/>
          </w:tcPr>
          <w:p>
            <w:pPr>
              <w:jc w:val="right"/>
              <w:ind w:right="138"/>
              <w:spacing w:after="0"/>
              <w:rPr>
                <w:sz w:val="20"/>
                <w:szCs w:val="20"/>
                <w:color w:val="auto"/>
              </w:rPr>
            </w:pPr>
            <w:r>
              <w:rPr>
                <w:rFonts w:ascii="Arial" w:cs="Arial" w:eastAsia="Arial" w:hAnsi="Arial"/>
                <w:sz w:val="18"/>
                <w:szCs w:val="18"/>
                <w:color w:val="auto"/>
              </w:rPr>
              <w:t>20,618</w:t>
            </w:r>
          </w:p>
        </w:tc>
        <w:tc>
          <w:tcPr>
            <w:tcW w:w="980" w:type="dxa"/>
            <w:vAlign w:val="bottom"/>
          </w:tcPr>
          <w:p>
            <w:pPr>
              <w:jc w:val="right"/>
              <w:spacing w:after="0"/>
              <w:rPr>
                <w:sz w:val="20"/>
                <w:szCs w:val="20"/>
                <w:color w:val="auto"/>
              </w:rPr>
            </w:pPr>
            <w:r>
              <w:rPr>
                <w:rFonts w:ascii="Arial" w:cs="Arial" w:eastAsia="Arial" w:hAnsi="Arial"/>
                <w:sz w:val="18"/>
                <w:szCs w:val="18"/>
                <w:color w:val="auto"/>
              </w:rPr>
              <w:t>727,403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Thomas Liguori</w:t>
            </w:r>
          </w:p>
        </w:tc>
        <w:tc>
          <w:tcPr>
            <w:tcW w:w="880" w:type="dxa"/>
            <w:vAlign w:val="bottom"/>
            <w:shd w:val="clear" w:color="auto" w:fill="CCEDD4"/>
          </w:tcPr>
          <w:p>
            <w:pPr>
              <w:jc w:val="right"/>
              <w:ind w:right="9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DD4"/>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DD4"/>
          </w:tcPr>
          <w:p>
            <w:pPr>
              <w:jc w:val="right"/>
              <w:ind w:right="138"/>
              <w:spacing w:after="0"/>
              <w:rPr>
                <w:sz w:val="20"/>
                <w:szCs w:val="20"/>
                <w:color w:val="auto"/>
              </w:rPr>
            </w:pPr>
            <w:r>
              <w:rPr>
                <w:rFonts w:ascii="Arial" w:cs="Arial" w:eastAsia="Arial" w:hAnsi="Arial"/>
                <w:sz w:val="18"/>
                <w:szCs w:val="18"/>
                <w:color w:val="auto"/>
              </w:rPr>
              <w:t>27,644</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975,281</w:t>
            </w:r>
          </w:p>
        </w:tc>
        <w:tc>
          <w:tcPr>
            <w:tcW w:w="120" w:type="dxa"/>
            <w:vAlign w:val="bottom"/>
            <w:shd w:val="clear" w:color="auto" w:fill="CCEDD4"/>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00"/>
              <w:spacing w:after="0"/>
              <w:rPr>
                <w:sz w:val="20"/>
                <w:szCs w:val="20"/>
                <w:color w:val="auto"/>
              </w:rPr>
            </w:pPr>
            <w:r>
              <w:rPr>
                <w:rFonts w:ascii="Arial" w:cs="Arial" w:eastAsia="Arial" w:hAnsi="Arial"/>
                <w:sz w:val="18"/>
                <w:szCs w:val="18"/>
                <w:color w:val="auto"/>
              </w:rPr>
              <w:t>Ken E. Arnold</w:t>
            </w:r>
          </w:p>
        </w:tc>
        <w:tc>
          <w:tcPr>
            <w:tcW w:w="88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8"/>
              <w:spacing w:after="0"/>
              <w:rPr>
                <w:sz w:val="20"/>
                <w:szCs w:val="20"/>
                <w:color w:val="auto"/>
              </w:rPr>
            </w:pPr>
            <w:r>
              <w:rPr>
                <w:rFonts w:ascii="Arial" w:cs="Arial" w:eastAsia="Arial" w:hAnsi="Arial"/>
                <w:sz w:val="18"/>
                <w:szCs w:val="18"/>
                <w:color w:val="auto"/>
              </w:rPr>
              <w:t>5,331</w:t>
            </w:r>
          </w:p>
        </w:tc>
        <w:tc>
          <w:tcPr>
            <w:tcW w:w="980" w:type="dxa"/>
            <w:vAlign w:val="bottom"/>
          </w:tcPr>
          <w:p>
            <w:pPr>
              <w:jc w:val="right"/>
              <w:spacing w:after="0"/>
              <w:rPr>
                <w:sz w:val="20"/>
                <w:szCs w:val="20"/>
                <w:color w:val="auto"/>
              </w:rPr>
            </w:pPr>
            <w:r>
              <w:rPr>
                <w:rFonts w:ascii="Arial" w:cs="Arial" w:eastAsia="Arial" w:hAnsi="Arial"/>
                <w:sz w:val="18"/>
                <w:szCs w:val="18"/>
                <w:color w:val="auto"/>
              </w:rPr>
              <w:t>188,077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Max Chan</w:t>
            </w:r>
          </w:p>
        </w:tc>
        <w:tc>
          <w:tcPr>
            <w:tcW w:w="880" w:type="dxa"/>
            <w:vAlign w:val="bottom"/>
            <w:shd w:val="clear" w:color="auto" w:fill="CCEDD4"/>
          </w:tcPr>
          <w:p>
            <w:pPr>
              <w:jc w:val="right"/>
              <w:ind w:right="9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DD4"/>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DD4"/>
          </w:tcPr>
          <w:p>
            <w:pPr>
              <w:jc w:val="right"/>
              <w:ind w:right="138"/>
              <w:spacing w:after="0"/>
              <w:rPr>
                <w:sz w:val="20"/>
                <w:szCs w:val="20"/>
                <w:color w:val="auto"/>
              </w:rPr>
            </w:pPr>
            <w:r>
              <w:rPr>
                <w:rFonts w:ascii="Arial" w:cs="Arial" w:eastAsia="Arial" w:hAnsi="Arial"/>
                <w:sz w:val="18"/>
                <w:szCs w:val="18"/>
                <w:color w:val="auto"/>
              </w:rPr>
              <w:t>7,705</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271,833</w:t>
            </w:r>
          </w:p>
        </w:tc>
        <w:tc>
          <w:tcPr>
            <w:tcW w:w="120" w:type="dxa"/>
            <w:vAlign w:val="bottom"/>
            <w:shd w:val="clear" w:color="auto" w:fill="CCEDD4"/>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00"/>
              <w:spacing w:after="0"/>
              <w:rPr>
                <w:sz w:val="20"/>
                <w:szCs w:val="20"/>
                <w:color w:val="auto"/>
              </w:rPr>
            </w:pPr>
            <w:r>
              <w:rPr>
                <w:rFonts w:ascii="Arial" w:cs="Arial" w:eastAsia="Arial" w:hAnsi="Arial"/>
                <w:sz w:val="18"/>
                <w:szCs w:val="18"/>
                <w:color w:val="auto"/>
              </w:rPr>
              <w:t>Michael R. McCoy</w:t>
            </w:r>
          </w:p>
        </w:tc>
        <w:tc>
          <w:tcPr>
            <w:tcW w:w="88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8"/>
              <w:spacing w:after="0"/>
              <w:rPr>
                <w:sz w:val="20"/>
                <w:szCs w:val="20"/>
                <w:color w:val="auto"/>
              </w:rPr>
            </w:pPr>
            <w:r>
              <w:rPr>
                <w:rFonts w:ascii="Arial" w:cs="Arial" w:eastAsia="Arial" w:hAnsi="Arial"/>
                <w:sz w:val="18"/>
                <w:szCs w:val="18"/>
                <w:color w:val="auto"/>
              </w:rPr>
              <w:t>6,955</w:t>
            </w:r>
          </w:p>
        </w:tc>
        <w:tc>
          <w:tcPr>
            <w:tcW w:w="980" w:type="dxa"/>
            <w:vAlign w:val="bottom"/>
          </w:tcPr>
          <w:p>
            <w:pPr>
              <w:jc w:val="right"/>
              <w:spacing w:after="0"/>
              <w:rPr>
                <w:sz w:val="20"/>
                <w:szCs w:val="20"/>
                <w:color w:val="auto"/>
              </w:rPr>
            </w:pPr>
            <w:r>
              <w:rPr>
                <w:rFonts w:ascii="Arial" w:cs="Arial" w:eastAsia="Arial" w:hAnsi="Arial"/>
                <w:sz w:val="18"/>
                <w:szCs w:val="18"/>
                <w:color w:val="auto"/>
              </w:rPr>
              <w:t>245,373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William J. Amelio</w:t>
            </w:r>
          </w:p>
        </w:tc>
        <w:tc>
          <w:tcPr>
            <w:tcW w:w="880" w:type="dxa"/>
            <w:vAlign w:val="bottom"/>
            <w:shd w:val="clear" w:color="auto" w:fill="CCEDD4"/>
          </w:tcPr>
          <w:p>
            <w:pPr>
              <w:jc w:val="right"/>
              <w:ind w:right="9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DD4"/>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DD4"/>
          </w:tcPr>
          <w:p>
            <w:pPr>
              <w:jc w:val="right"/>
              <w:ind w:right="13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DD4"/>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80" w:type="dxa"/>
            <w:vAlign w:val="bottom"/>
          </w:tcPr>
          <w:p>
            <w:pPr>
              <w:ind w:left="100"/>
              <w:spacing w:after="0"/>
              <w:rPr>
                <w:sz w:val="20"/>
                <w:szCs w:val="20"/>
                <w:color w:val="auto"/>
              </w:rPr>
            </w:pPr>
            <w:r>
              <w:rPr>
                <w:rFonts w:ascii="Arial" w:cs="Arial" w:eastAsia="Arial" w:hAnsi="Arial"/>
                <w:sz w:val="18"/>
                <w:szCs w:val="18"/>
                <w:color w:val="auto"/>
              </w:rPr>
              <w:t>Peter G. Bartolotta</w:t>
            </w:r>
          </w:p>
        </w:tc>
        <w:tc>
          <w:tcPr>
            <w:tcW w:w="88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4580" w:type="dxa"/>
            <w:vAlign w:val="bottom"/>
            <w:tcBorders>
              <w:bottom w:val="single" w:sz="8" w:color="CCEDD4"/>
            </w:tcBorders>
            <w:shd w:val="clear" w:color="auto" w:fill="CCEDD4"/>
          </w:tcPr>
          <w:p>
            <w:pPr>
              <w:ind w:left="100"/>
              <w:spacing w:after="0"/>
              <w:rPr>
                <w:sz w:val="20"/>
                <w:szCs w:val="20"/>
                <w:color w:val="auto"/>
              </w:rPr>
            </w:pPr>
            <w:r>
              <w:rPr>
                <w:rFonts w:ascii="Arial" w:cs="Arial" w:eastAsia="Arial" w:hAnsi="Arial"/>
                <w:sz w:val="18"/>
                <w:szCs w:val="18"/>
                <w:color w:val="auto"/>
              </w:rPr>
              <w:t>MaryAnn G. Miller</w:t>
            </w:r>
          </w:p>
        </w:tc>
        <w:tc>
          <w:tcPr>
            <w:tcW w:w="880" w:type="dxa"/>
            <w:vAlign w:val="bottom"/>
            <w:tcBorders>
              <w:bottom w:val="single" w:sz="8" w:color="CCEDD4"/>
            </w:tcBorders>
            <w:shd w:val="clear" w:color="auto" w:fill="CCEDD4"/>
          </w:tcPr>
          <w:p>
            <w:pPr>
              <w:jc w:val="right"/>
              <w:ind w:right="98"/>
              <w:spacing w:after="0"/>
              <w:rPr>
                <w:sz w:val="20"/>
                <w:szCs w:val="20"/>
                <w:color w:val="auto"/>
              </w:rPr>
            </w:pPr>
            <w:r>
              <w:rPr>
                <w:rFonts w:ascii="Arial" w:cs="Arial" w:eastAsia="Arial" w:hAnsi="Arial"/>
                <w:sz w:val="18"/>
                <w:szCs w:val="18"/>
                <w:color w:val="auto"/>
              </w:rPr>
              <w:t>14,104</w:t>
            </w:r>
          </w:p>
        </w:tc>
        <w:tc>
          <w:tcPr>
            <w:tcW w:w="1040" w:type="dxa"/>
            <w:vAlign w:val="bottom"/>
            <w:tcBorders>
              <w:bottom w:val="single" w:sz="8" w:color="CCEDD4"/>
            </w:tcBorders>
            <w:shd w:val="clear" w:color="auto" w:fill="CCEDD4"/>
          </w:tcPr>
          <w:p>
            <w:pPr>
              <w:jc w:val="right"/>
              <w:ind w:right="18"/>
              <w:spacing w:after="0"/>
              <w:rPr>
                <w:sz w:val="20"/>
                <w:szCs w:val="20"/>
                <w:color w:val="auto"/>
              </w:rPr>
            </w:pPr>
            <w:r>
              <w:rPr>
                <w:rFonts w:ascii="Arial" w:cs="Arial" w:eastAsia="Arial" w:hAnsi="Arial"/>
                <w:sz w:val="18"/>
                <w:szCs w:val="18"/>
                <w:color w:val="auto"/>
              </w:rPr>
              <w:t>155,990</w:t>
            </w:r>
          </w:p>
        </w:tc>
        <w:tc>
          <w:tcPr>
            <w:tcW w:w="220" w:type="dxa"/>
            <w:vAlign w:val="bottom"/>
            <w:tcBorders>
              <w:bottom w:val="single" w:sz="8" w:color="CCEDD4"/>
            </w:tcBorders>
            <w:shd w:val="clear" w:color="auto" w:fill="CCEDD4"/>
          </w:tcPr>
          <w:p>
            <w:pPr>
              <w:spacing w:after="0"/>
              <w:rPr>
                <w:sz w:val="24"/>
                <w:szCs w:val="24"/>
                <w:color w:val="auto"/>
              </w:rPr>
            </w:pPr>
          </w:p>
        </w:tc>
        <w:tc>
          <w:tcPr>
            <w:tcW w:w="940" w:type="dxa"/>
            <w:vAlign w:val="bottom"/>
            <w:tcBorders>
              <w:bottom w:val="single" w:sz="8" w:color="CCEDD4"/>
            </w:tcBorders>
            <w:shd w:val="clear" w:color="auto" w:fill="CCEDD4"/>
          </w:tcPr>
          <w:p>
            <w:pPr>
              <w:jc w:val="right"/>
              <w:ind w:right="138"/>
              <w:spacing w:after="0"/>
              <w:rPr>
                <w:sz w:val="20"/>
                <w:szCs w:val="20"/>
                <w:color w:val="auto"/>
              </w:rPr>
            </w:pPr>
            <w:r>
              <w:rPr>
                <w:rFonts w:ascii="Arial" w:cs="Arial" w:eastAsia="Arial" w:hAnsi="Arial"/>
                <w:sz w:val="18"/>
                <w:szCs w:val="18"/>
                <w:color w:val="auto"/>
              </w:rPr>
              <w:t>10,416</w:t>
            </w:r>
          </w:p>
        </w:tc>
        <w:tc>
          <w:tcPr>
            <w:tcW w:w="98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367,476</w:t>
            </w:r>
          </w:p>
        </w:tc>
        <w:tc>
          <w:tcPr>
            <w:tcW w:w="120" w:type="dxa"/>
            <w:vAlign w:val="bottom"/>
            <w:tcBorders>
              <w:bottom w:val="single" w:sz="8" w:color="CCEDD4"/>
            </w:tcBorders>
            <w:shd w:val="clear" w:color="auto" w:fill="CCEDD4"/>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80" w:type="dxa"/>
            <w:vAlign w:val="bottom"/>
            <w:shd w:val="clear" w:color="auto" w:fill="56C271"/>
          </w:tcPr>
          <w:p>
            <w:pPr>
              <w:spacing w:after="0"/>
              <w:rPr>
                <w:sz w:val="2"/>
                <w:szCs w:val="2"/>
                <w:color w:val="auto"/>
              </w:rPr>
            </w:pPr>
          </w:p>
        </w:tc>
        <w:tc>
          <w:tcPr>
            <w:tcW w:w="880" w:type="dxa"/>
            <w:vAlign w:val="bottom"/>
            <w:shd w:val="clear" w:color="auto" w:fill="56C271"/>
          </w:tcPr>
          <w:p>
            <w:pPr>
              <w:spacing w:after="0"/>
              <w:rPr>
                <w:sz w:val="2"/>
                <w:szCs w:val="2"/>
                <w:color w:val="auto"/>
              </w:rPr>
            </w:pPr>
          </w:p>
        </w:tc>
        <w:tc>
          <w:tcPr>
            <w:tcW w:w="1040" w:type="dxa"/>
            <w:vAlign w:val="bottom"/>
            <w:shd w:val="clear" w:color="auto" w:fill="56C271"/>
          </w:tcPr>
          <w:p>
            <w:pPr>
              <w:spacing w:after="0"/>
              <w:rPr>
                <w:sz w:val="2"/>
                <w:szCs w:val="2"/>
                <w:color w:val="auto"/>
              </w:rPr>
            </w:pPr>
          </w:p>
        </w:tc>
        <w:tc>
          <w:tcPr>
            <w:tcW w:w="220" w:type="dxa"/>
            <w:vAlign w:val="bottom"/>
            <w:shd w:val="clear" w:color="auto" w:fill="56C271"/>
          </w:tcPr>
          <w:p>
            <w:pPr>
              <w:spacing w:after="0"/>
              <w:rPr>
                <w:sz w:val="2"/>
                <w:szCs w:val="2"/>
                <w:color w:val="auto"/>
              </w:rPr>
            </w:pPr>
          </w:p>
        </w:tc>
        <w:tc>
          <w:tcPr>
            <w:tcW w:w="940" w:type="dxa"/>
            <w:vAlign w:val="bottom"/>
            <w:shd w:val="clear" w:color="auto" w:fill="56C271"/>
          </w:tcPr>
          <w:p>
            <w:pPr>
              <w:spacing w:after="0"/>
              <w:rPr>
                <w:sz w:val="2"/>
                <w:szCs w:val="2"/>
                <w:color w:val="auto"/>
              </w:rPr>
            </w:pPr>
          </w:p>
        </w:tc>
        <w:tc>
          <w:tcPr>
            <w:tcW w:w="980" w:type="dxa"/>
            <w:vAlign w:val="bottom"/>
            <w:shd w:val="clear" w:color="auto" w:fill="56C271"/>
          </w:tcPr>
          <w:p>
            <w:pPr>
              <w:spacing w:after="0"/>
              <w:rPr>
                <w:sz w:val="2"/>
                <w:szCs w:val="2"/>
                <w:color w:val="auto"/>
              </w:rPr>
            </w:pPr>
          </w:p>
        </w:tc>
        <w:tc>
          <w:tcPr>
            <w:tcW w:w="120" w:type="dxa"/>
            <w:vAlign w:val="bottom"/>
            <w:shd w:val="clear" w:color="auto" w:fill="56C27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00" w:right="319"/>
        <w:spacing w:after="0" w:line="238" w:lineRule="auto"/>
        <w:rPr>
          <w:sz w:val="20"/>
          <w:szCs w:val="20"/>
          <w:color w:val="auto"/>
        </w:rPr>
      </w:pPr>
      <w:r>
        <w:rPr>
          <w:rFonts w:ascii="Arial" w:cs="Arial" w:eastAsia="Arial" w:hAnsi="Arial"/>
          <w:sz w:val="18"/>
          <w:szCs w:val="18"/>
          <w:color w:val="auto"/>
        </w:rPr>
        <w:t>The value realized on vesting of stock awards represents RSUs that vested on January 4, 2021. Since the performance metrics for the PSUs granted August 28, 2018, which covered the fiscal 2019 — fiscal 2021 performance period did not achieve the threshold necessary for vesting, there were no shares issued for this grant.</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PENSION BENEFITS</w:t>
      </w:r>
    </w:p>
    <w:p>
      <w:pPr>
        <w:spacing w:after="0" w:line="157" w:lineRule="exact"/>
        <w:rPr>
          <w:sz w:val="20"/>
          <w:szCs w:val="20"/>
          <w:color w:val="auto"/>
        </w:rPr>
      </w:pPr>
    </w:p>
    <w:p>
      <w:pPr>
        <w:ind w:left="1000" w:right="379"/>
        <w:spacing w:after="0"/>
        <w:rPr>
          <w:sz w:val="20"/>
          <w:szCs w:val="20"/>
          <w:color w:val="auto"/>
        </w:rPr>
      </w:pPr>
      <w:r>
        <w:rPr>
          <w:rFonts w:ascii="Arial" w:cs="Arial" w:eastAsia="Arial" w:hAnsi="Arial"/>
          <w:sz w:val="18"/>
          <w:szCs w:val="18"/>
          <w:color w:val="auto"/>
        </w:rPr>
        <w:t>Further to the discussion of the retirement benefits in the CD&amp;A, the Company provides a retirement benefit under a tax-qualified retirement plan, or the Pension Plan, and a retirement benefit under nonqualified retirement plans.</w:t>
      </w:r>
    </w:p>
    <w:p>
      <w:pPr>
        <w:spacing w:after="0" w:line="135" w:lineRule="exact"/>
        <w:rPr>
          <w:sz w:val="20"/>
          <w:szCs w:val="20"/>
          <w:color w:val="auto"/>
        </w:rPr>
      </w:pPr>
    </w:p>
    <w:p>
      <w:pPr>
        <w:ind w:left="1000" w:right="199"/>
        <w:spacing w:after="0" w:line="236" w:lineRule="auto"/>
        <w:rPr>
          <w:sz w:val="20"/>
          <w:szCs w:val="20"/>
          <w:color w:val="auto"/>
        </w:rPr>
      </w:pPr>
      <w:r>
        <w:rPr>
          <w:rFonts w:ascii="Arial" w:cs="Arial" w:eastAsia="Arial" w:hAnsi="Arial"/>
          <w:sz w:val="18"/>
          <w:szCs w:val="18"/>
          <w:color w:val="auto"/>
        </w:rPr>
        <w:t>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401(k) Plan) of the Code. Currently, the maximum amount of earnings on which benefits can be accrued is $290,000, which is the 2021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138" w:lineRule="exact"/>
        <w:rPr>
          <w:sz w:val="20"/>
          <w:szCs w:val="20"/>
          <w:color w:val="auto"/>
        </w:rPr>
      </w:pPr>
    </w:p>
    <w:p>
      <w:pPr>
        <w:ind w:left="1000" w:right="199"/>
        <w:spacing w:after="0" w:line="237"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p>
    <w:p>
      <w:pPr>
        <w:spacing w:after="0" w:line="124" w:lineRule="exact"/>
        <w:rPr>
          <w:sz w:val="20"/>
          <w:szCs w:val="20"/>
          <w:color w:val="auto"/>
        </w:rPr>
      </w:pPr>
    </w:p>
    <w:p>
      <w:pPr>
        <w:ind w:left="1000" w:right="139"/>
        <w:spacing w:after="0" w:line="236" w:lineRule="auto"/>
        <w:rPr>
          <w:sz w:val="20"/>
          <w:szCs w:val="20"/>
          <w:color w:val="auto"/>
        </w:rPr>
      </w:pPr>
      <w:r>
        <w:rPr>
          <w:rFonts w:ascii="Arial" w:cs="Arial" w:eastAsia="Arial" w:hAnsi="Arial"/>
          <w:sz w:val="18"/>
          <w:szCs w:val="18"/>
          <w:color w:val="auto"/>
        </w:rPr>
        <w:t>The SERP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1482725" cy="3003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3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ind w:left="7460"/>
        <w:spacing w:after="0" w:line="187" w:lineRule="auto"/>
        <w:rPr>
          <w:sz w:val="20"/>
          <w:szCs w:val="20"/>
          <w:color w:val="auto"/>
        </w:rPr>
      </w:pPr>
      <w:r>
        <w:rPr>
          <w:rFonts w:ascii="Arial" w:cs="Arial" w:eastAsia="Arial" w:hAnsi="Arial"/>
          <w:sz w:val="12"/>
          <w:szCs w:val="12"/>
          <w:color w:val="auto"/>
        </w:rPr>
        <w:t>Compensation of Executive Officers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8" w:lineRule="exact"/>
        <w:rPr>
          <w:sz w:val="20"/>
          <w:szCs w:val="20"/>
          <w:color w:val="auto"/>
        </w:rPr>
      </w:pPr>
    </w:p>
    <w:p>
      <w:pPr>
        <w:ind w:left="1000" w:right="399"/>
        <w:spacing w:after="0" w:line="225" w:lineRule="auto"/>
        <w:rPr>
          <w:sz w:val="20"/>
          <w:szCs w:val="20"/>
          <w:color w:val="auto"/>
        </w:rPr>
      </w:pPr>
      <w:r>
        <w:rPr>
          <w:rFonts w:ascii="Arial" w:cs="Arial" w:eastAsia="Arial" w:hAnsi="Arial"/>
          <w:sz w:val="18"/>
          <w:szCs w:val="18"/>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123" w:lineRule="exact"/>
        <w:rPr>
          <w:sz w:val="20"/>
          <w:szCs w:val="20"/>
          <w:color w:val="auto"/>
        </w:rPr>
      </w:pPr>
    </w:p>
    <w:p>
      <w:pPr>
        <w:ind w:left="1000" w:right="199"/>
        <w:spacing w:after="0" w:line="257" w:lineRule="auto"/>
        <w:rPr>
          <w:sz w:val="20"/>
          <w:szCs w:val="20"/>
          <w:color w:val="auto"/>
        </w:rPr>
      </w:pPr>
      <w:r>
        <w:rPr>
          <w:rFonts w:ascii="Arial" w:cs="Arial" w:eastAsia="Arial" w:hAnsi="Arial"/>
          <w:sz w:val="17"/>
          <w:szCs w:val="17"/>
          <w:color w:val="auto"/>
        </w:rPr>
        <w:t>The table below shows the number of years of service credited to each such NEO, the actuarial present value of accumulated benefits payable to each of the NEOs as of the end of the fiscal year, and the payments made to each of the NEOs during the last fiscal year, if any. The present value of the accumulated benefit was determined using interest rate assumptions consistent with those used in the Company’s financial statements.</w:t>
      </w:r>
    </w:p>
    <w:p>
      <w:pPr>
        <w:spacing w:after="0" w:line="163"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2100" w:type="dxa"/>
            <w:vAlign w:val="bottom"/>
            <w:shd w:val="clear" w:color="auto" w:fill="56C271"/>
          </w:tcPr>
          <w:p>
            <w:pPr>
              <w:spacing w:after="0"/>
              <w:rPr>
                <w:sz w:val="16"/>
                <w:szCs w:val="16"/>
                <w:color w:val="auto"/>
              </w:rPr>
            </w:pPr>
          </w:p>
        </w:tc>
        <w:tc>
          <w:tcPr>
            <w:tcW w:w="3300" w:type="dxa"/>
            <w:vAlign w:val="bottom"/>
            <w:shd w:val="clear" w:color="auto" w:fill="56C271"/>
          </w:tcPr>
          <w:p>
            <w:pPr>
              <w:spacing w:after="0"/>
              <w:rPr>
                <w:sz w:val="16"/>
                <w:szCs w:val="16"/>
                <w:color w:val="auto"/>
              </w:rPr>
            </w:pPr>
          </w:p>
        </w:tc>
        <w:tc>
          <w:tcPr>
            <w:tcW w:w="1260" w:type="dxa"/>
            <w:vAlign w:val="bottom"/>
            <w:shd w:val="clear" w:color="auto" w:fill="56C271"/>
          </w:tcPr>
          <w:p>
            <w:pPr>
              <w:spacing w:after="0"/>
              <w:rPr>
                <w:sz w:val="16"/>
                <w:szCs w:val="16"/>
                <w:color w:val="auto"/>
              </w:rPr>
            </w:pPr>
          </w:p>
        </w:tc>
        <w:tc>
          <w:tcPr>
            <w:tcW w:w="1160" w:type="dxa"/>
            <w:vAlign w:val="bottom"/>
            <w:shd w:val="clear" w:color="auto" w:fill="56C271"/>
          </w:tcPr>
          <w:p>
            <w:pPr>
              <w:jc w:val="right"/>
              <w:ind w:right="74"/>
              <w:spacing w:after="0"/>
              <w:rPr>
                <w:sz w:val="20"/>
                <w:szCs w:val="20"/>
                <w:color w:val="auto"/>
              </w:rPr>
            </w:pPr>
            <w:r>
              <w:rPr>
                <w:rFonts w:ascii="Arial" w:cs="Arial" w:eastAsia="Arial" w:hAnsi="Arial"/>
                <w:sz w:val="14"/>
                <w:szCs w:val="14"/>
                <w:b w:val="1"/>
                <w:bCs w:val="1"/>
                <w:color w:val="FEFEFE"/>
              </w:rPr>
              <w:t>Present</w:t>
            </w:r>
          </w:p>
        </w:tc>
        <w:tc>
          <w:tcPr>
            <w:tcW w:w="940" w:type="dxa"/>
            <w:vAlign w:val="bottom"/>
            <w:shd w:val="clear" w:color="auto" w:fill="56C271"/>
          </w:tcPr>
          <w:p>
            <w:pPr>
              <w:jc w:val="right"/>
              <w:ind w:right="14"/>
              <w:spacing w:after="0"/>
              <w:rPr>
                <w:sz w:val="20"/>
                <w:szCs w:val="20"/>
                <w:color w:val="auto"/>
              </w:rPr>
            </w:pPr>
            <w:r>
              <w:rPr>
                <w:rFonts w:ascii="Arial" w:cs="Arial" w:eastAsia="Arial" w:hAnsi="Arial"/>
                <w:sz w:val="14"/>
                <w:szCs w:val="14"/>
                <w:b w:val="1"/>
                <w:bCs w:val="1"/>
                <w:color w:val="FEFEFE"/>
              </w:rPr>
              <w:t>Payments</w:t>
            </w:r>
          </w:p>
        </w:tc>
      </w:tr>
      <w:tr>
        <w:trPr>
          <w:trHeight w:val="162"/>
        </w:trPr>
        <w:tc>
          <w:tcPr>
            <w:tcW w:w="2100" w:type="dxa"/>
            <w:vAlign w:val="bottom"/>
            <w:shd w:val="clear" w:color="auto" w:fill="56C271"/>
          </w:tcPr>
          <w:p>
            <w:pPr>
              <w:spacing w:after="0"/>
              <w:rPr>
                <w:sz w:val="14"/>
                <w:szCs w:val="14"/>
                <w:color w:val="auto"/>
              </w:rPr>
            </w:pPr>
          </w:p>
        </w:tc>
        <w:tc>
          <w:tcPr>
            <w:tcW w:w="3300" w:type="dxa"/>
            <w:vAlign w:val="bottom"/>
            <w:shd w:val="clear" w:color="auto" w:fill="56C271"/>
          </w:tcPr>
          <w:p>
            <w:pPr>
              <w:spacing w:after="0"/>
              <w:rPr>
                <w:sz w:val="14"/>
                <w:szCs w:val="14"/>
                <w:color w:val="auto"/>
              </w:rPr>
            </w:pPr>
          </w:p>
        </w:tc>
        <w:tc>
          <w:tcPr>
            <w:tcW w:w="1260" w:type="dxa"/>
            <w:vAlign w:val="bottom"/>
            <w:shd w:val="clear" w:color="auto" w:fill="56C271"/>
          </w:tcPr>
          <w:p>
            <w:pPr>
              <w:jc w:val="right"/>
              <w:ind w:right="74"/>
              <w:spacing w:after="0"/>
              <w:rPr>
                <w:sz w:val="20"/>
                <w:szCs w:val="20"/>
                <w:color w:val="auto"/>
              </w:rPr>
            </w:pPr>
            <w:r>
              <w:rPr>
                <w:rFonts w:ascii="Arial" w:cs="Arial" w:eastAsia="Arial" w:hAnsi="Arial"/>
                <w:sz w:val="14"/>
                <w:szCs w:val="14"/>
                <w:b w:val="1"/>
                <w:bCs w:val="1"/>
                <w:color w:val="FEFEFE"/>
              </w:rPr>
              <w:t>Number of</w:t>
            </w:r>
          </w:p>
        </w:tc>
        <w:tc>
          <w:tcPr>
            <w:tcW w:w="1160" w:type="dxa"/>
            <w:vAlign w:val="bottom"/>
            <w:shd w:val="clear" w:color="auto" w:fill="56C271"/>
          </w:tcPr>
          <w:p>
            <w:pPr>
              <w:jc w:val="right"/>
              <w:ind w:right="74"/>
              <w:spacing w:after="0"/>
              <w:rPr>
                <w:sz w:val="20"/>
                <w:szCs w:val="20"/>
                <w:color w:val="auto"/>
              </w:rPr>
            </w:pPr>
            <w:r>
              <w:rPr>
                <w:rFonts w:ascii="Arial" w:cs="Arial" w:eastAsia="Arial" w:hAnsi="Arial"/>
                <w:sz w:val="14"/>
                <w:szCs w:val="14"/>
                <w:b w:val="1"/>
                <w:bCs w:val="1"/>
                <w:color w:val="FEFEFE"/>
              </w:rPr>
              <w:t>Value of</w:t>
            </w:r>
          </w:p>
        </w:tc>
        <w:tc>
          <w:tcPr>
            <w:tcW w:w="940" w:type="dxa"/>
            <w:vAlign w:val="bottom"/>
            <w:shd w:val="clear" w:color="auto" w:fill="56C271"/>
          </w:tcPr>
          <w:p>
            <w:pPr>
              <w:jc w:val="right"/>
              <w:ind w:right="14"/>
              <w:spacing w:after="0"/>
              <w:rPr>
                <w:sz w:val="20"/>
                <w:szCs w:val="20"/>
                <w:color w:val="auto"/>
              </w:rPr>
            </w:pPr>
            <w:r>
              <w:rPr>
                <w:rFonts w:ascii="Arial" w:cs="Arial" w:eastAsia="Arial" w:hAnsi="Arial"/>
                <w:sz w:val="14"/>
                <w:szCs w:val="14"/>
                <w:b w:val="1"/>
                <w:bCs w:val="1"/>
                <w:color w:val="FEFEFE"/>
              </w:rPr>
              <w:t>During</w:t>
            </w:r>
          </w:p>
        </w:tc>
      </w:tr>
      <w:tr>
        <w:trPr>
          <w:trHeight w:val="162"/>
        </w:trPr>
        <w:tc>
          <w:tcPr>
            <w:tcW w:w="2100" w:type="dxa"/>
            <w:vAlign w:val="bottom"/>
            <w:shd w:val="clear" w:color="auto" w:fill="56C271"/>
          </w:tcPr>
          <w:p>
            <w:pPr>
              <w:spacing w:after="0"/>
              <w:rPr>
                <w:sz w:val="14"/>
                <w:szCs w:val="14"/>
                <w:color w:val="auto"/>
              </w:rPr>
            </w:pPr>
          </w:p>
        </w:tc>
        <w:tc>
          <w:tcPr>
            <w:tcW w:w="3300" w:type="dxa"/>
            <w:vAlign w:val="bottom"/>
            <w:shd w:val="clear" w:color="auto" w:fill="56C271"/>
          </w:tcPr>
          <w:p>
            <w:pPr>
              <w:spacing w:after="0"/>
              <w:rPr>
                <w:sz w:val="14"/>
                <w:szCs w:val="14"/>
                <w:color w:val="auto"/>
              </w:rPr>
            </w:pPr>
          </w:p>
        </w:tc>
        <w:tc>
          <w:tcPr>
            <w:tcW w:w="1260" w:type="dxa"/>
            <w:vAlign w:val="bottom"/>
            <w:shd w:val="clear" w:color="auto" w:fill="56C271"/>
          </w:tcPr>
          <w:p>
            <w:pPr>
              <w:jc w:val="right"/>
              <w:ind w:right="74"/>
              <w:spacing w:after="0"/>
              <w:rPr>
                <w:sz w:val="20"/>
                <w:szCs w:val="20"/>
                <w:color w:val="auto"/>
              </w:rPr>
            </w:pPr>
            <w:r>
              <w:rPr>
                <w:rFonts w:ascii="Arial" w:cs="Arial" w:eastAsia="Arial" w:hAnsi="Arial"/>
                <w:sz w:val="14"/>
                <w:szCs w:val="14"/>
                <w:b w:val="1"/>
                <w:bCs w:val="1"/>
                <w:color w:val="FEFEFE"/>
              </w:rPr>
              <w:t>Years Credited</w:t>
            </w:r>
          </w:p>
        </w:tc>
        <w:tc>
          <w:tcPr>
            <w:tcW w:w="1160" w:type="dxa"/>
            <w:vAlign w:val="bottom"/>
            <w:shd w:val="clear" w:color="auto" w:fill="56C271"/>
          </w:tcPr>
          <w:p>
            <w:pPr>
              <w:jc w:val="right"/>
              <w:ind w:right="74"/>
              <w:spacing w:after="0"/>
              <w:rPr>
                <w:sz w:val="20"/>
                <w:szCs w:val="20"/>
                <w:color w:val="auto"/>
              </w:rPr>
            </w:pPr>
            <w:r>
              <w:rPr>
                <w:rFonts w:ascii="Arial" w:cs="Arial" w:eastAsia="Arial" w:hAnsi="Arial"/>
                <w:sz w:val="14"/>
                <w:szCs w:val="14"/>
                <w:b w:val="1"/>
                <w:bCs w:val="1"/>
                <w:color w:val="FEFEFE"/>
              </w:rPr>
              <w:t>Accumulated</w:t>
            </w:r>
          </w:p>
        </w:tc>
        <w:tc>
          <w:tcPr>
            <w:tcW w:w="940" w:type="dxa"/>
            <w:vAlign w:val="bottom"/>
            <w:shd w:val="clear" w:color="auto" w:fill="56C271"/>
          </w:tcPr>
          <w:p>
            <w:pPr>
              <w:jc w:val="right"/>
              <w:ind w:right="14"/>
              <w:spacing w:after="0"/>
              <w:rPr>
                <w:sz w:val="20"/>
                <w:szCs w:val="20"/>
                <w:color w:val="auto"/>
              </w:rPr>
            </w:pPr>
            <w:r>
              <w:rPr>
                <w:rFonts w:ascii="Arial" w:cs="Arial" w:eastAsia="Arial" w:hAnsi="Arial"/>
                <w:sz w:val="14"/>
                <w:szCs w:val="14"/>
                <w:b w:val="1"/>
                <w:bCs w:val="1"/>
                <w:color w:val="FEFEFE"/>
              </w:rPr>
              <w:t>Last Fiscal</w:t>
            </w:r>
          </w:p>
        </w:tc>
      </w:tr>
      <w:tr>
        <w:trPr>
          <w:trHeight w:val="162"/>
        </w:trPr>
        <w:tc>
          <w:tcPr>
            <w:tcW w:w="2100" w:type="dxa"/>
            <w:vAlign w:val="bottom"/>
            <w:shd w:val="clear" w:color="auto" w:fill="56C271"/>
          </w:tcPr>
          <w:p>
            <w:pPr>
              <w:ind w:left="60"/>
              <w:spacing w:after="0"/>
              <w:rPr>
                <w:sz w:val="20"/>
                <w:szCs w:val="20"/>
                <w:color w:val="auto"/>
              </w:rPr>
            </w:pPr>
            <w:r>
              <w:rPr>
                <w:rFonts w:ascii="Arial" w:cs="Arial" w:eastAsia="Arial" w:hAnsi="Arial"/>
                <w:sz w:val="14"/>
                <w:szCs w:val="14"/>
                <w:b w:val="1"/>
                <w:bCs w:val="1"/>
                <w:color w:val="FEFEFE"/>
              </w:rPr>
              <w:t>Name</w:t>
            </w:r>
          </w:p>
        </w:tc>
        <w:tc>
          <w:tcPr>
            <w:tcW w:w="3300" w:type="dxa"/>
            <w:vAlign w:val="bottom"/>
            <w:shd w:val="clear" w:color="auto" w:fill="56C271"/>
          </w:tcPr>
          <w:p>
            <w:pPr>
              <w:ind w:left="2420"/>
              <w:spacing w:after="0"/>
              <w:rPr>
                <w:sz w:val="20"/>
                <w:szCs w:val="20"/>
                <w:color w:val="auto"/>
              </w:rPr>
            </w:pPr>
            <w:r>
              <w:rPr>
                <w:rFonts w:ascii="Arial" w:cs="Arial" w:eastAsia="Arial" w:hAnsi="Arial"/>
                <w:sz w:val="14"/>
                <w:szCs w:val="14"/>
                <w:b w:val="1"/>
                <w:bCs w:val="1"/>
                <w:color w:val="FEFEFE"/>
              </w:rPr>
              <w:t>Plan Name</w:t>
            </w:r>
          </w:p>
        </w:tc>
        <w:tc>
          <w:tcPr>
            <w:tcW w:w="1260" w:type="dxa"/>
            <w:vAlign w:val="bottom"/>
            <w:shd w:val="clear" w:color="auto" w:fill="56C271"/>
          </w:tcPr>
          <w:p>
            <w:pPr>
              <w:jc w:val="right"/>
              <w:ind w:right="74"/>
              <w:spacing w:after="0"/>
              <w:rPr>
                <w:sz w:val="20"/>
                <w:szCs w:val="20"/>
                <w:color w:val="auto"/>
              </w:rPr>
            </w:pPr>
            <w:r>
              <w:rPr>
                <w:rFonts w:ascii="Arial" w:cs="Arial" w:eastAsia="Arial" w:hAnsi="Arial"/>
                <w:sz w:val="14"/>
                <w:szCs w:val="14"/>
                <w:b w:val="1"/>
                <w:bCs w:val="1"/>
                <w:color w:val="FEFEFE"/>
              </w:rPr>
              <w:t>Service (#)(1)</w:t>
            </w:r>
          </w:p>
        </w:tc>
        <w:tc>
          <w:tcPr>
            <w:tcW w:w="1160" w:type="dxa"/>
            <w:vAlign w:val="bottom"/>
            <w:shd w:val="clear" w:color="auto" w:fill="56C271"/>
          </w:tcPr>
          <w:p>
            <w:pPr>
              <w:jc w:val="right"/>
              <w:ind w:right="74"/>
              <w:spacing w:after="0"/>
              <w:rPr>
                <w:sz w:val="20"/>
                <w:szCs w:val="20"/>
                <w:color w:val="auto"/>
              </w:rPr>
            </w:pPr>
            <w:r>
              <w:rPr>
                <w:rFonts w:ascii="Arial" w:cs="Arial" w:eastAsia="Arial" w:hAnsi="Arial"/>
                <w:sz w:val="14"/>
                <w:szCs w:val="14"/>
                <w:b w:val="1"/>
                <w:bCs w:val="1"/>
                <w:color w:val="FEFEFE"/>
              </w:rPr>
              <w:t>Benefit</w:t>
            </w:r>
          </w:p>
        </w:tc>
        <w:tc>
          <w:tcPr>
            <w:tcW w:w="940" w:type="dxa"/>
            <w:vAlign w:val="bottom"/>
            <w:shd w:val="clear" w:color="auto" w:fill="56C271"/>
          </w:tcPr>
          <w:p>
            <w:pPr>
              <w:jc w:val="right"/>
              <w:ind w:right="14"/>
              <w:spacing w:after="0"/>
              <w:rPr>
                <w:sz w:val="20"/>
                <w:szCs w:val="20"/>
                <w:color w:val="auto"/>
              </w:rPr>
            </w:pPr>
            <w:r>
              <w:rPr>
                <w:rFonts w:ascii="Arial" w:cs="Arial" w:eastAsia="Arial" w:hAnsi="Arial"/>
                <w:sz w:val="14"/>
                <w:szCs w:val="14"/>
                <w:b w:val="1"/>
                <w:bCs w:val="1"/>
                <w:color w:val="FEFEFE"/>
              </w:rPr>
              <w:t>Year ($)</w:t>
            </w:r>
          </w:p>
        </w:tc>
      </w:tr>
      <w:tr>
        <w:trPr>
          <w:trHeight w:val="175"/>
        </w:trPr>
        <w:tc>
          <w:tcPr>
            <w:tcW w:w="2100" w:type="dxa"/>
            <w:vAlign w:val="bottom"/>
            <w:shd w:val="clear" w:color="auto" w:fill="56C271"/>
          </w:tcPr>
          <w:p>
            <w:pPr>
              <w:ind w:left="60"/>
              <w:spacing w:after="0"/>
              <w:rPr>
                <w:sz w:val="20"/>
                <w:szCs w:val="20"/>
                <w:color w:val="auto"/>
              </w:rPr>
            </w:pPr>
            <w:r>
              <w:rPr>
                <w:rFonts w:ascii="Arial" w:cs="Arial" w:eastAsia="Arial" w:hAnsi="Arial"/>
                <w:sz w:val="14"/>
                <w:szCs w:val="14"/>
                <w:b w:val="1"/>
                <w:bCs w:val="1"/>
                <w:color w:val="FEFEFE"/>
              </w:rPr>
              <w:t>(a)</w:t>
            </w:r>
          </w:p>
        </w:tc>
        <w:tc>
          <w:tcPr>
            <w:tcW w:w="3300" w:type="dxa"/>
            <w:vAlign w:val="bottom"/>
            <w:shd w:val="clear" w:color="auto" w:fill="56C271"/>
          </w:tcPr>
          <w:p>
            <w:pPr>
              <w:ind w:left="3000"/>
              <w:spacing w:after="0"/>
              <w:rPr>
                <w:sz w:val="20"/>
                <w:szCs w:val="20"/>
                <w:color w:val="auto"/>
              </w:rPr>
            </w:pPr>
            <w:r>
              <w:rPr>
                <w:rFonts w:ascii="Arial" w:cs="Arial" w:eastAsia="Arial" w:hAnsi="Arial"/>
                <w:sz w:val="14"/>
                <w:szCs w:val="14"/>
                <w:b w:val="1"/>
                <w:bCs w:val="1"/>
                <w:color w:val="FEFEFE"/>
              </w:rPr>
              <w:t>(b)</w:t>
            </w:r>
          </w:p>
        </w:tc>
        <w:tc>
          <w:tcPr>
            <w:tcW w:w="1260" w:type="dxa"/>
            <w:vAlign w:val="bottom"/>
            <w:shd w:val="clear" w:color="auto" w:fill="56C271"/>
          </w:tcPr>
          <w:p>
            <w:pPr>
              <w:jc w:val="right"/>
              <w:ind w:right="34"/>
              <w:spacing w:after="0"/>
              <w:rPr>
                <w:sz w:val="20"/>
                <w:szCs w:val="20"/>
                <w:color w:val="auto"/>
              </w:rPr>
            </w:pPr>
            <w:r>
              <w:rPr>
                <w:rFonts w:ascii="Arial" w:cs="Arial" w:eastAsia="Arial" w:hAnsi="Arial"/>
                <w:sz w:val="14"/>
                <w:szCs w:val="14"/>
                <w:b w:val="1"/>
                <w:bCs w:val="1"/>
                <w:color w:val="FEFEFE"/>
              </w:rPr>
              <w:t>(c)</w:t>
            </w:r>
          </w:p>
        </w:tc>
        <w:tc>
          <w:tcPr>
            <w:tcW w:w="1160" w:type="dxa"/>
            <w:vAlign w:val="bottom"/>
            <w:shd w:val="clear" w:color="auto" w:fill="56C271"/>
          </w:tcPr>
          <w:p>
            <w:pPr>
              <w:jc w:val="right"/>
              <w:ind w:right="34"/>
              <w:spacing w:after="0"/>
              <w:rPr>
                <w:sz w:val="20"/>
                <w:szCs w:val="20"/>
                <w:color w:val="auto"/>
              </w:rPr>
            </w:pPr>
            <w:r>
              <w:rPr>
                <w:rFonts w:ascii="Arial" w:cs="Arial" w:eastAsia="Arial" w:hAnsi="Arial"/>
                <w:sz w:val="14"/>
                <w:szCs w:val="14"/>
                <w:b w:val="1"/>
                <w:bCs w:val="1"/>
                <w:color w:val="FEFEFE"/>
              </w:rPr>
              <w:t>($)(d)</w:t>
            </w:r>
          </w:p>
        </w:tc>
        <w:tc>
          <w:tcPr>
            <w:tcW w:w="9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(e)</w:t>
            </w:r>
          </w:p>
        </w:tc>
      </w:tr>
      <w:tr>
        <w:trPr>
          <w:trHeight w:val="243"/>
        </w:trPr>
        <w:tc>
          <w:tcPr>
            <w:tcW w:w="2100" w:type="dxa"/>
            <w:vAlign w:val="bottom"/>
          </w:tcPr>
          <w:p>
            <w:pPr>
              <w:ind w:left="60"/>
              <w:spacing w:after="0"/>
              <w:rPr>
                <w:sz w:val="20"/>
                <w:szCs w:val="20"/>
                <w:color w:val="auto"/>
              </w:rPr>
            </w:pPr>
            <w:r>
              <w:rPr>
                <w:rFonts w:ascii="Arial" w:cs="Arial" w:eastAsia="Arial" w:hAnsi="Arial"/>
                <w:sz w:val="18"/>
                <w:szCs w:val="18"/>
                <w:color w:val="auto"/>
              </w:rPr>
              <w:t>Philip R. Gallagher</w:t>
            </w:r>
          </w:p>
        </w:tc>
        <w:tc>
          <w:tcPr>
            <w:tcW w:w="3300" w:type="dxa"/>
            <w:vAlign w:val="bottom"/>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36.6</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103,531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tcPr>
          <w:p>
            <w:pPr>
              <w:spacing w:after="0"/>
              <w:rPr>
                <w:sz w:val="18"/>
                <w:szCs w:val="18"/>
                <w:color w:val="auto"/>
              </w:rPr>
            </w:pPr>
          </w:p>
        </w:tc>
        <w:tc>
          <w:tcPr>
            <w:tcW w:w="3300" w:type="dxa"/>
            <w:vAlign w:val="bottom"/>
          </w:tcPr>
          <w:p>
            <w:pPr>
              <w:ind w:left="540"/>
              <w:spacing w:after="0"/>
              <w:rPr>
                <w:sz w:val="20"/>
                <w:szCs w:val="20"/>
                <w:color w:val="auto"/>
              </w:rPr>
            </w:pPr>
            <w:r>
              <w:rPr>
                <w:rFonts w:ascii="Arial" w:cs="Arial" w:eastAsia="Arial" w:hAnsi="Arial"/>
                <w:sz w:val="18"/>
                <w:szCs w:val="18"/>
                <w:color w:val="auto"/>
              </w:rPr>
              <w:t>Nonqualified Retirement Plans(2)</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37.6</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2,944,670</w:t>
            </w:r>
          </w:p>
        </w:tc>
        <w:tc>
          <w:tcPr>
            <w:tcW w:w="940" w:type="dxa"/>
            <w:vAlign w:val="bottom"/>
          </w:tcPr>
          <w:p>
            <w:pPr>
              <w:jc w:val="right"/>
              <w:spacing w:after="0"/>
              <w:rPr>
                <w:sz w:val="20"/>
                <w:szCs w:val="20"/>
                <w:color w:val="auto"/>
              </w:rPr>
            </w:pPr>
            <w:r>
              <w:rPr>
                <w:rFonts w:ascii="Arial" w:cs="Arial" w:eastAsia="Arial" w:hAnsi="Arial"/>
                <w:sz w:val="18"/>
                <w:szCs w:val="18"/>
                <w:color w:val="auto"/>
              </w:rPr>
              <w:t>130,562</w:t>
            </w:r>
          </w:p>
        </w:tc>
      </w:tr>
      <w:tr>
        <w:trPr>
          <w:trHeight w:val="229"/>
        </w:trPr>
        <w:tc>
          <w:tcPr>
            <w:tcW w:w="2100" w:type="dxa"/>
            <w:vAlign w:val="bottom"/>
            <w:shd w:val="clear" w:color="auto" w:fill="CCEDD4"/>
          </w:tcPr>
          <w:p>
            <w:pPr>
              <w:ind w:left="60"/>
              <w:spacing w:after="0"/>
              <w:rPr>
                <w:sz w:val="20"/>
                <w:szCs w:val="20"/>
                <w:color w:val="auto"/>
              </w:rPr>
            </w:pPr>
            <w:r>
              <w:rPr>
                <w:rFonts w:ascii="Arial" w:cs="Arial" w:eastAsia="Arial" w:hAnsi="Arial"/>
                <w:sz w:val="18"/>
                <w:szCs w:val="18"/>
                <w:color w:val="auto"/>
              </w:rPr>
              <w:t>Thomas Liguori</w:t>
            </w:r>
          </w:p>
        </w:tc>
        <w:tc>
          <w:tcPr>
            <w:tcW w:w="3300" w:type="dxa"/>
            <w:vAlign w:val="bottom"/>
            <w:shd w:val="clear" w:color="auto" w:fill="CCEDD4"/>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2.0</w:t>
            </w:r>
          </w:p>
        </w:tc>
        <w:tc>
          <w:tcPr>
            <w:tcW w:w="11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63,751</w:t>
            </w:r>
          </w:p>
        </w:tc>
        <w:tc>
          <w:tcPr>
            <w:tcW w:w="9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00" w:type="dxa"/>
            <w:vAlign w:val="bottom"/>
            <w:shd w:val="clear" w:color="auto" w:fill="CCEDD4"/>
          </w:tcPr>
          <w:p>
            <w:pPr>
              <w:spacing w:after="0"/>
              <w:rPr>
                <w:sz w:val="19"/>
                <w:szCs w:val="19"/>
                <w:color w:val="auto"/>
              </w:rPr>
            </w:pPr>
          </w:p>
        </w:tc>
        <w:tc>
          <w:tcPr>
            <w:tcW w:w="3300" w:type="dxa"/>
            <w:vAlign w:val="bottom"/>
            <w:shd w:val="clear" w:color="auto" w:fill="CCEDD4"/>
          </w:tcPr>
          <w:p>
            <w:pPr>
              <w:ind w:left="540"/>
              <w:spacing w:after="0"/>
              <w:rPr>
                <w:sz w:val="20"/>
                <w:szCs w:val="20"/>
                <w:color w:val="auto"/>
              </w:rPr>
            </w:pPr>
            <w:r>
              <w:rPr>
                <w:rFonts w:ascii="Arial" w:cs="Arial" w:eastAsia="Arial" w:hAnsi="Arial"/>
                <w:sz w:val="18"/>
                <w:szCs w:val="18"/>
                <w:color w:val="auto"/>
              </w:rPr>
              <w:t>Restoration Plan</w:t>
            </w:r>
          </w:p>
        </w:tc>
        <w:tc>
          <w:tcPr>
            <w:tcW w:w="12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2.0</w:t>
            </w:r>
          </w:p>
        </w:tc>
        <w:tc>
          <w:tcPr>
            <w:tcW w:w="11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77,564</w:t>
            </w:r>
          </w:p>
        </w:tc>
        <w:tc>
          <w:tcPr>
            <w:tcW w:w="9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100" w:type="dxa"/>
            <w:vAlign w:val="bottom"/>
          </w:tcPr>
          <w:p>
            <w:pPr>
              <w:ind w:left="60"/>
              <w:spacing w:after="0"/>
              <w:rPr>
                <w:sz w:val="20"/>
                <w:szCs w:val="20"/>
                <w:color w:val="auto"/>
              </w:rPr>
            </w:pPr>
            <w:r>
              <w:rPr>
                <w:rFonts w:ascii="Arial" w:cs="Arial" w:eastAsia="Arial" w:hAnsi="Arial"/>
                <w:sz w:val="18"/>
                <w:szCs w:val="18"/>
                <w:color w:val="auto"/>
              </w:rPr>
              <w:t>Ken E. Arnold</w:t>
            </w:r>
          </w:p>
        </w:tc>
        <w:tc>
          <w:tcPr>
            <w:tcW w:w="3300" w:type="dxa"/>
            <w:vAlign w:val="bottom"/>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364,894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tcPr>
          <w:p>
            <w:pPr>
              <w:spacing w:after="0"/>
              <w:rPr>
                <w:sz w:val="18"/>
                <w:szCs w:val="18"/>
                <w:color w:val="auto"/>
              </w:rPr>
            </w:pPr>
          </w:p>
        </w:tc>
        <w:tc>
          <w:tcPr>
            <w:tcW w:w="3300" w:type="dxa"/>
            <w:vAlign w:val="bottom"/>
          </w:tcPr>
          <w:p>
            <w:pPr>
              <w:ind w:left="540"/>
              <w:spacing w:after="0"/>
              <w:rPr>
                <w:sz w:val="20"/>
                <w:szCs w:val="20"/>
                <w:color w:val="auto"/>
              </w:rPr>
            </w:pPr>
            <w:r>
              <w:rPr>
                <w:rFonts w:ascii="Arial" w:cs="Arial" w:eastAsia="Arial" w:hAnsi="Arial"/>
                <w:sz w:val="18"/>
                <w:szCs w:val="18"/>
                <w:color w:val="auto"/>
              </w:rPr>
              <w:t>Restoration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25,817</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00" w:type="dxa"/>
            <w:vAlign w:val="bottom"/>
            <w:shd w:val="clear" w:color="auto" w:fill="CCEDD4"/>
          </w:tcPr>
          <w:p>
            <w:pPr>
              <w:ind w:left="60"/>
              <w:spacing w:after="0"/>
              <w:rPr>
                <w:sz w:val="20"/>
                <w:szCs w:val="20"/>
                <w:color w:val="auto"/>
              </w:rPr>
            </w:pPr>
            <w:r>
              <w:rPr>
                <w:rFonts w:ascii="Arial" w:cs="Arial" w:eastAsia="Arial" w:hAnsi="Arial"/>
                <w:sz w:val="18"/>
                <w:szCs w:val="18"/>
                <w:color w:val="auto"/>
              </w:rPr>
              <w:t>Max Chan</w:t>
            </w:r>
          </w:p>
        </w:tc>
        <w:tc>
          <w:tcPr>
            <w:tcW w:w="3300" w:type="dxa"/>
            <w:vAlign w:val="bottom"/>
            <w:shd w:val="clear" w:color="auto" w:fill="CCEDD4"/>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4.9</w:t>
            </w:r>
          </w:p>
        </w:tc>
        <w:tc>
          <w:tcPr>
            <w:tcW w:w="11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85,767</w:t>
            </w:r>
          </w:p>
        </w:tc>
        <w:tc>
          <w:tcPr>
            <w:tcW w:w="9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100" w:type="dxa"/>
            <w:vAlign w:val="bottom"/>
            <w:shd w:val="clear" w:color="auto" w:fill="CCEDD4"/>
          </w:tcPr>
          <w:p>
            <w:pPr>
              <w:spacing w:after="0"/>
              <w:rPr>
                <w:sz w:val="19"/>
                <w:szCs w:val="19"/>
                <w:color w:val="auto"/>
              </w:rPr>
            </w:pPr>
          </w:p>
        </w:tc>
        <w:tc>
          <w:tcPr>
            <w:tcW w:w="3300" w:type="dxa"/>
            <w:vAlign w:val="bottom"/>
            <w:shd w:val="clear" w:color="auto" w:fill="CCEDD4"/>
          </w:tcPr>
          <w:p>
            <w:pPr>
              <w:ind w:left="540"/>
              <w:spacing w:after="0"/>
              <w:rPr>
                <w:sz w:val="20"/>
                <w:szCs w:val="20"/>
                <w:color w:val="auto"/>
              </w:rPr>
            </w:pPr>
            <w:r>
              <w:rPr>
                <w:rFonts w:ascii="Arial" w:cs="Arial" w:eastAsia="Arial" w:hAnsi="Arial"/>
                <w:sz w:val="18"/>
                <w:szCs w:val="18"/>
                <w:color w:val="auto"/>
              </w:rPr>
              <w:t>Restoration Plan</w:t>
            </w:r>
          </w:p>
        </w:tc>
        <w:tc>
          <w:tcPr>
            <w:tcW w:w="12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4.9</w:t>
            </w:r>
          </w:p>
        </w:tc>
        <w:tc>
          <w:tcPr>
            <w:tcW w:w="11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36,793</w:t>
            </w:r>
          </w:p>
        </w:tc>
        <w:tc>
          <w:tcPr>
            <w:tcW w:w="9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100" w:type="dxa"/>
            <w:vAlign w:val="bottom"/>
          </w:tcPr>
          <w:p>
            <w:pPr>
              <w:ind w:left="60"/>
              <w:spacing w:after="0"/>
              <w:rPr>
                <w:sz w:val="20"/>
                <w:szCs w:val="20"/>
                <w:color w:val="auto"/>
              </w:rPr>
            </w:pPr>
            <w:r>
              <w:rPr>
                <w:rFonts w:ascii="Arial" w:cs="Arial" w:eastAsia="Arial" w:hAnsi="Arial"/>
                <w:sz w:val="18"/>
                <w:szCs w:val="18"/>
                <w:color w:val="auto"/>
              </w:rPr>
              <w:t>Michael R. McCoy</w:t>
            </w:r>
          </w:p>
        </w:tc>
        <w:tc>
          <w:tcPr>
            <w:tcW w:w="3300" w:type="dxa"/>
            <w:vAlign w:val="bottom"/>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194,642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tcPr>
          <w:p>
            <w:pPr>
              <w:spacing w:after="0"/>
              <w:rPr>
                <w:sz w:val="18"/>
                <w:szCs w:val="18"/>
                <w:color w:val="auto"/>
              </w:rPr>
            </w:pPr>
          </w:p>
        </w:tc>
        <w:tc>
          <w:tcPr>
            <w:tcW w:w="3300" w:type="dxa"/>
            <w:vAlign w:val="bottom"/>
          </w:tcPr>
          <w:p>
            <w:pPr>
              <w:ind w:left="540"/>
              <w:spacing w:after="0"/>
              <w:rPr>
                <w:sz w:val="20"/>
                <w:szCs w:val="20"/>
                <w:color w:val="auto"/>
              </w:rPr>
            </w:pPr>
            <w:r>
              <w:rPr>
                <w:rFonts w:ascii="Arial" w:cs="Arial" w:eastAsia="Arial" w:hAnsi="Arial"/>
                <w:sz w:val="18"/>
                <w:szCs w:val="18"/>
                <w:color w:val="auto"/>
              </w:rPr>
              <w:t>Restoration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29,824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100" w:type="dxa"/>
            <w:vAlign w:val="bottom"/>
            <w:shd w:val="clear" w:color="auto" w:fill="CCEDD4"/>
          </w:tcPr>
          <w:p>
            <w:pPr>
              <w:ind w:left="60"/>
              <w:spacing w:after="0"/>
              <w:rPr>
                <w:sz w:val="20"/>
                <w:szCs w:val="20"/>
                <w:color w:val="auto"/>
              </w:rPr>
            </w:pPr>
            <w:r>
              <w:rPr>
                <w:rFonts w:ascii="Arial" w:cs="Arial" w:eastAsia="Arial" w:hAnsi="Arial"/>
                <w:sz w:val="18"/>
                <w:szCs w:val="18"/>
                <w:color w:val="auto"/>
              </w:rPr>
              <w:t>William J. Amelio</w:t>
            </w:r>
          </w:p>
        </w:tc>
        <w:tc>
          <w:tcPr>
            <w:tcW w:w="3300" w:type="dxa"/>
            <w:vAlign w:val="bottom"/>
            <w:shd w:val="clear" w:color="auto" w:fill="CCEDD4"/>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2.6</w:t>
            </w:r>
          </w:p>
        </w:tc>
        <w:tc>
          <w:tcPr>
            <w:tcW w:w="11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66,399</w:t>
            </w:r>
          </w:p>
        </w:tc>
        <w:tc>
          <w:tcPr>
            <w:tcW w:w="9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00" w:type="dxa"/>
            <w:vAlign w:val="bottom"/>
            <w:shd w:val="clear" w:color="auto" w:fill="CCEDD4"/>
          </w:tcPr>
          <w:p>
            <w:pPr>
              <w:spacing w:after="0"/>
              <w:rPr>
                <w:sz w:val="19"/>
                <w:szCs w:val="19"/>
                <w:color w:val="auto"/>
              </w:rPr>
            </w:pPr>
          </w:p>
        </w:tc>
        <w:tc>
          <w:tcPr>
            <w:tcW w:w="3300" w:type="dxa"/>
            <w:vAlign w:val="bottom"/>
            <w:shd w:val="clear" w:color="auto" w:fill="CCEDD4"/>
          </w:tcPr>
          <w:p>
            <w:pPr>
              <w:ind w:left="540"/>
              <w:spacing w:after="0"/>
              <w:rPr>
                <w:sz w:val="20"/>
                <w:szCs w:val="20"/>
                <w:color w:val="auto"/>
              </w:rPr>
            </w:pPr>
            <w:r>
              <w:rPr>
                <w:rFonts w:ascii="Arial" w:cs="Arial" w:eastAsia="Arial" w:hAnsi="Arial"/>
                <w:sz w:val="18"/>
                <w:szCs w:val="18"/>
                <w:color w:val="auto"/>
              </w:rPr>
              <w:t>Restoration Plan</w:t>
            </w:r>
          </w:p>
        </w:tc>
        <w:tc>
          <w:tcPr>
            <w:tcW w:w="12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2.6</w:t>
            </w:r>
          </w:p>
        </w:tc>
        <w:tc>
          <w:tcPr>
            <w:tcW w:w="11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438,657</w:t>
            </w:r>
          </w:p>
        </w:tc>
        <w:tc>
          <w:tcPr>
            <w:tcW w:w="9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100" w:type="dxa"/>
            <w:vAlign w:val="bottom"/>
          </w:tcPr>
          <w:p>
            <w:pPr>
              <w:ind w:left="60"/>
              <w:spacing w:after="0"/>
              <w:rPr>
                <w:sz w:val="20"/>
                <w:szCs w:val="20"/>
                <w:color w:val="auto"/>
              </w:rPr>
            </w:pPr>
            <w:r>
              <w:rPr>
                <w:rFonts w:ascii="Arial" w:cs="Arial" w:eastAsia="Arial" w:hAnsi="Arial"/>
                <w:sz w:val="18"/>
                <w:szCs w:val="18"/>
                <w:color w:val="auto"/>
              </w:rPr>
              <w:t>Peter G. Bartolotta</w:t>
            </w:r>
          </w:p>
        </w:tc>
        <w:tc>
          <w:tcPr>
            <w:tcW w:w="3300" w:type="dxa"/>
            <w:vAlign w:val="bottom"/>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62,835</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00" w:type="dxa"/>
            <w:vAlign w:val="bottom"/>
          </w:tcPr>
          <w:p>
            <w:pPr>
              <w:spacing w:after="0"/>
              <w:rPr>
                <w:sz w:val="18"/>
                <w:szCs w:val="18"/>
                <w:color w:val="auto"/>
              </w:rPr>
            </w:pPr>
          </w:p>
        </w:tc>
        <w:tc>
          <w:tcPr>
            <w:tcW w:w="3300" w:type="dxa"/>
            <w:vAlign w:val="bottom"/>
          </w:tcPr>
          <w:p>
            <w:pPr>
              <w:ind w:left="540"/>
              <w:spacing w:after="0"/>
              <w:rPr>
                <w:sz w:val="20"/>
                <w:szCs w:val="20"/>
                <w:color w:val="auto"/>
              </w:rPr>
            </w:pPr>
            <w:r>
              <w:rPr>
                <w:rFonts w:ascii="Arial" w:cs="Arial" w:eastAsia="Arial" w:hAnsi="Arial"/>
                <w:sz w:val="18"/>
                <w:szCs w:val="18"/>
                <w:color w:val="auto"/>
              </w:rPr>
              <w:t>Restoration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156,260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100" w:type="dxa"/>
            <w:vAlign w:val="bottom"/>
            <w:shd w:val="clear" w:color="auto" w:fill="CCEDD4"/>
          </w:tcPr>
          <w:p>
            <w:pPr>
              <w:ind w:left="60"/>
              <w:spacing w:after="0"/>
              <w:rPr>
                <w:sz w:val="20"/>
                <w:szCs w:val="20"/>
                <w:color w:val="auto"/>
              </w:rPr>
            </w:pPr>
            <w:r>
              <w:rPr>
                <w:rFonts w:ascii="Arial" w:cs="Arial" w:eastAsia="Arial" w:hAnsi="Arial"/>
                <w:sz w:val="18"/>
                <w:szCs w:val="18"/>
                <w:color w:val="auto"/>
              </w:rPr>
              <w:t>MaryAnn G. Miller</w:t>
            </w:r>
          </w:p>
        </w:tc>
        <w:tc>
          <w:tcPr>
            <w:tcW w:w="3300" w:type="dxa"/>
            <w:vAlign w:val="bottom"/>
            <w:shd w:val="clear" w:color="auto" w:fill="CCEDD4"/>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13.5</w:t>
            </w:r>
          </w:p>
        </w:tc>
        <w:tc>
          <w:tcPr>
            <w:tcW w:w="116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399,042</w:t>
            </w:r>
          </w:p>
        </w:tc>
        <w:tc>
          <w:tcPr>
            <w:tcW w:w="9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2100" w:type="dxa"/>
            <w:vAlign w:val="bottom"/>
            <w:tcBorders>
              <w:bottom w:val="single" w:sz="8" w:color="CCEDD4"/>
            </w:tcBorders>
            <w:shd w:val="clear" w:color="auto" w:fill="CCEDD4"/>
          </w:tcPr>
          <w:p>
            <w:pPr>
              <w:spacing w:after="0"/>
              <w:rPr>
                <w:sz w:val="24"/>
                <w:szCs w:val="24"/>
                <w:color w:val="auto"/>
              </w:rPr>
            </w:pPr>
          </w:p>
        </w:tc>
        <w:tc>
          <w:tcPr>
            <w:tcW w:w="3300" w:type="dxa"/>
            <w:vAlign w:val="bottom"/>
            <w:tcBorders>
              <w:bottom w:val="single" w:sz="8" w:color="CCEDD4"/>
            </w:tcBorders>
            <w:shd w:val="clear" w:color="auto" w:fill="CCEDD4"/>
          </w:tcPr>
          <w:p>
            <w:pPr>
              <w:ind w:left="540"/>
              <w:spacing w:after="0"/>
              <w:rPr>
                <w:sz w:val="20"/>
                <w:szCs w:val="20"/>
                <w:color w:val="auto"/>
              </w:rPr>
            </w:pPr>
            <w:r>
              <w:rPr>
                <w:rFonts w:ascii="Arial" w:cs="Arial" w:eastAsia="Arial" w:hAnsi="Arial"/>
                <w:sz w:val="18"/>
                <w:szCs w:val="18"/>
                <w:color w:val="auto"/>
              </w:rPr>
              <w:t>Nonqualified Retirement Plans(2)</w:t>
            </w:r>
          </w:p>
        </w:tc>
        <w:tc>
          <w:tcPr>
            <w:tcW w:w="1260" w:type="dxa"/>
            <w:vAlign w:val="bottom"/>
            <w:tcBorders>
              <w:bottom w:val="single" w:sz="8" w:color="CCEDD4"/>
            </w:tcBorders>
            <w:shd w:val="clear" w:color="auto" w:fill="CCEDD4"/>
          </w:tcPr>
          <w:p>
            <w:pPr>
              <w:jc w:val="right"/>
              <w:ind w:right="34"/>
              <w:spacing w:after="0"/>
              <w:rPr>
                <w:sz w:val="20"/>
                <w:szCs w:val="20"/>
                <w:color w:val="auto"/>
              </w:rPr>
            </w:pPr>
            <w:r>
              <w:rPr>
                <w:rFonts w:ascii="Arial" w:cs="Arial" w:eastAsia="Arial" w:hAnsi="Arial"/>
                <w:sz w:val="18"/>
                <w:szCs w:val="18"/>
                <w:color w:val="auto"/>
              </w:rPr>
              <w:t>11.7</w:t>
            </w:r>
          </w:p>
        </w:tc>
        <w:tc>
          <w:tcPr>
            <w:tcW w:w="1160" w:type="dxa"/>
            <w:vAlign w:val="bottom"/>
            <w:tcBorders>
              <w:bottom w:val="single" w:sz="8" w:color="CCEDD4"/>
            </w:tcBorders>
            <w:shd w:val="clear" w:color="auto" w:fill="CCEDD4"/>
          </w:tcPr>
          <w:p>
            <w:pPr>
              <w:jc w:val="right"/>
              <w:ind w:right="34"/>
              <w:spacing w:after="0"/>
              <w:rPr>
                <w:sz w:val="20"/>
                <w:szCs w:val="20"/>
                <w:color w:val="auto"/>
              </w:rPr>
            </w:pPr>
            <w:r>
              <w:rPr>
                <w:rFonts w:ascii="Arial" w:cs="Arial" w:eastAsia="Arial" w:hAnsi="Arial"/>
                <w:sz w:val="18"/>
                <w:szCs w:val="18"/>
                <w:color w:val="auto"/>
              </w:rPr>
              <w:t>3,253,396</w:t>
            </w:r>
          </w:p>
        </w:tc>
        <w:tc>
          <w:tcPr>
            <w:tcW w:w="94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67,219</w:t>
            </w:r>
          </w:p>
        </w:tc>
      </w:tr>
      <w:tr>
        <w:trPr>
          <w:trHeight w:val="27"/>
        </w:trPr>
        <w:tc>
          <w:tcPr>
            <w:tcW w:w="2100" w:type="dxa"/>
            <w:vAlign w:val="bottom"/>
            <w:shd w:val="clear" w:color="auto" w:fill="56C271"/>
          </w:tcPr>
          <w:p>
            <w:pPr>
              <w:spacing w:after="0"/>
              <w:rPr>
                <w:sz w:val="2"/>
                <w:szCs w:val="2"/>
                <w:color w:val="auto"/>
              </w:rPr>
            </w:pPr>
          </w:p>
        </w:tc>
        <w:tc>
          <w:tcPr>
            <w:tcW w:w="3300" w:type="dxa"/>
            <w:vAlign w:val="bottom"/>
            <w:shd w:val="clear" w:color="auto" w:fill="56C271"/>
          </w:tcPr>
          <w:p>
            <w:pPr>
              <w:spacing w:after="0"/>
              <w:rPr>
                <w:sz w:val="2"/>
                <w:szCs w:val="2"/>
                <w:color w:val="auto"/>
              </w:rPr>
            </w:pPr>
          </w:p>
        </w:tc>
        <w:tc>
          <w:tcPr>
            <w:tcW w:w="1260" w:type="dxa"/>
            <w:vAlign w:val="bottom"/>
            <w:shd w:val="clear" w:color="auto" w:fill="56C271"/>
          </w:tcPr>
          <w:p>
            <w:pPr>
              <w:spacing w:after="0"/>
              <w:rPr>
                <w:sz w:val="2"/>
                <w:szCs w:val="2"/>
                <w:color w:val="auto"/>
              </w:rPr>
            </w:pPr>
          </w:p>
        </w:tc>
        <w:tc>
          <w:tcPr>
            <w:tcW w:w="1160" w:type="dxa"/>
            <w:vAlign w:val="bottom"/>
            <w:shd w:val="clear" w:color="auto" w:fill="56C271"/>
          </w:tcPr>
          <w:p>
            <w:pPr>
              <w:spacing w:after="0"/>
              <w:rPr>
                <w:sz w:val="2"/>
                <w:szCs w:val="2"/>
                <w:color w:val="auto"/>
              </w:rPr>
            </w:pPr>
          </w:p>
        </w:tc>
        <w:tc>
          <w:tcPr>
            <w:tcW w:w="940" w:type="dxa"/>
            <w:vAlign w:val="bottom"/>
            <w:shd w:val="clear" w:color="auto" w:fill="56C271"/>
          </w:tcPr>
          <w:p>
            <w:pPr>
              <w:spacing w:after="0"/>
              <w:rPr>
                <w:sz w:val="2"/>
                <w:szCs w:val="2"/>
                <w:color w:val="auto"/>
              </w:rPr>
            </w:pPr>
          </w:p>
        </w:tc>
      </w:tr>
    </w:tbl>
    <w:p>
      <w:pPr>
        <w:spacing w:after="0" w:line="67" w:lineRule="exact"/>
        <w:rPr>
          <w:sz w:val="20"/>
          <w:szCs w:val="20"/>
          <w:color w:val="auto"/>
        </w:rPr>
      </w:pPr>
    </w:p>
    <w:p>
      <w:pPr>
        <w:ind w:left="1780" w:right="259" w:hanging="718"/>
        <w:spacing w:after="0" w:line="254" w:lineRule="auto"/>
        <w:tabs>
          <w:tab w:leader="none" w:pos="1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Pursuant to the terms of the Pension Plan and Restoration Plan, an employee must wait until the next open period after his or her start date before being credited with any years of service. No participant is credited with any additional years of service under the Pension Plan, Restoration Plan or the SERP beyond their actual years of service.</w:t>
      </w:r>
    </w:p>
    <w:p>
      <w:pPr>
        <w:spacing w:after="0" w:line="122" w:lineRule="exact"/>
        <w:rPr>
          <w:rFonts w:ascii="Arial" w:cs="Arial" w:eastAsia="Arial" w:hAnsi="Arial"/>
          <w:sz w:val="18"/>
          <w:szCs w:val="18"/>
          <w:color w:val="auto"/>
        </w:rPr>
      </w:pPr>
    </w:p>
    <w:p>
      <w:pPr>
        <w:ind w:left="1780" w:right="219" w:hanging="718"/>
        <w:spacing w:after="0" w:line="273" w:lineRule="auto"/>
        <w:tabs>
          <w:tab w:leader="none" w:pos="17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Only Mr. Gallagher and Ms. Miller are participants in the SERP. As Ms. Miller’s SERP benefit was ascertainable during fiscal 2021, FICA tax on the present value of such benefit was due and a portion of her first benefit payment was advanced to facilitate the required tax withholding and the associated taxability of such advance. Mr. Gallagher’s SERP payments commenced in March 2021.</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NONQUALIFIED DEFERRED COMPENSATION</w:t>
      </w:r>
    </w:p>
    <w:p>
      <w:pPr>
        <w:spacing w:after="0" w:line="170" w:lineRule="exact"/>
        <w:rPr>
          <w:sz w:val="20"/>
          <w:szCs w:val="20"/>
          <w:color w:val="auto"/>
        </w:rPr>
      </w:pPr>
    </w:p>
    <w:p>
      <w:pPr>
        <w:ind w:left="1000" w:right="179"/>
        <w:spacing w:after="0" w:line="236" w:lineRule="auto"/>
        <w:rPr>
          <w:sz w:val="20"/>
          <w:szCs w:val="20"/>
          <w:color w:val="auto"/>
        </w:rPr>
      </w:pPr>
      <w:r>
        <w:rPr>
          <w:rFonts w:ascii="Arial" w:cs="Arial" w:eastAsia="Arial" w:hAnsi="Arial"/>
          <w:sz w:val="18"/>
          <w:szCs w:val="18"/>
          <w:color w:val="auto"/>
        </w:rPr>
        <w:t>Previously the Company offered the Avnet Deferred Compensation Plan (“Elective Deferral Plan”) for highly compensated U.S. based employees, defined as those earning $290,000 or more in target income, including all the NEOs. The Elective Deferral Plan allowed these employees to contribute a portion of their income for retirement on a pre-tax basis, in addition to the amounts allowed under the Avnet 401(k) Plan. An Elective Deferral Plan participant could defer up to 50% of his or her salary and up to 100% of his or her incentive and bonus compensation earned during the plan year (regardless of when paid). Participants could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w:t>
      </w:r>
    </w:p>
    <w:p>
      <w:pPr>
        <w:sectPr>
          <w:pgSz w:w="11900" w:h="16838" w:orient="portrait"/>
          <w:cols w:equalWidth="0" w:num="1">
            <w:col w:w="9879"/>
          </w:cols>
          <w:pgMar w:left="580" w:top="132" w:right="1440" w:bottom="1440" w:gutter="0" w:footer="0" w:header="0"/>
        </w:sectPr>
      </w:pPr>
    </w:p>
    <w:p>
      <w:pPr>
        <w:spacing w:after="0" w:line="140"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of Executive Officers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179"/>
        <w:spacing w:after="0" w:line="237" w:lineRule="auto"/>
        <w:rPr>
          <w:sz w:val="20"/>
          <w:szCs w:val="20"/>
          <w:color w:val="auto"/>
        </w:rPr>
      </w:pPr>
      <w:r>
        <w:rPr>
          <w:rFonts w:ascii="Arial" w:cs="Arial" w:eastAsia="Arial" w:hAnsi="Arial"/>
          <w:sz w:val="18"/>
          <w:szCs w:val="18"/>
          <w:color w:val="auto"/>
        </w:rPr>
        <w:t>The obligation to distribute the amounts according to the participants’ designation is a general obligation of the Company. As discussed in the CD&amp;A, on February 6, 2020, the Elective Deferral Plan was amended to freeze future participation in the plan by not permitting new participants to enter the plan and not permitting existing participants to make new contributions to the plan effective for plan years beginning on or after March 1, 2020. Then effective as of November 17, 2020, the Elective Deferral Plan was terminated. Mr. Gallagher is the only NEO who had elected to participate in prior fiscal years, whereby the table below provides information on his deferred compensation.</w:t>
      </w:r>
    </w:p>
    <w:p>
      <w:pPr>
        <w:spacing w:after="0" w:line="163"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2500" w:type="dxa"/>
            <w:vAlign w:val="bottom"/>
            <w:shd w:val="clear" w:color="auto" w:fill="56C271"/>
          </w:tcPr>
          <w:p>
            <w:pPr>
              <w:spacing w:after="0"/>
              <w:rPr>
                <w:sz w:val="16"/>
                <w:szCs w:val="16"/>
                <w:color w:val="auto"/>
              </w:rPr>
            </w:pPr>
          </w:p>
        </w:tc>
        <w:tc>
          <w:tcPr>
            <w:tcW w:w="1980" w:type="dxa"/>
            <w:vAlign w:val="bottom"/>
            <w:shd w:val="clear" w:color="auto" w:fill="56C271"/>
          </w:tcPr>
          <w:p>
            <w:pPr>
              <w:spacing w:after="0"/>
              <w:rPr>
                <w:sz w:val="16"/>
                <w:szCs w:val="16"/>
                <w:color w:val="auto"/>
              </w:rPr>
            </w:pPr>
          </w:p>
        </w:tc>
        <w:tc>
          <w:tcPr>
            <w:tcW w:w="1200" w:type="dxa"/>
            <w:vAlign w:val="bottom"/>
            <w:shd w:val="clear" w:color="auto" w:fill="56C271"/>
          </w:tcPr>
          <w:p>
            <w:pPr>
              <w:spacing w:after="0"/>
              <w:rPr>
                <w:sz w:val="16"/>
                <w:szCs w:val="16"/>
                <w:color w:val="auto"/>
              </w:rPr>
            </w:pPr>
          </w:p>
        </w:tc>
        <w:tc>
          <w:tcPr>
            <w:tcW w:w="98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Aggregate</w:t>
            </w:r>
          </w:p>
        </w:tc>
        <w:tc>
          <w:tcPr>
            <w:tcW w:w="1120" w:type="dxa"/>
            <w:vAlign w:val="bottom"/>
            <w:shd w:val="clear" w:color="auto" w:fill="56C271"/>
          </w:tcPr>
          <w:p>
            <w:pPr>
              <w:spacing w:after="0"/>
              <w:rPr>
                <w:sz w:val="16"/>
                <w:szCs w:val="16"/>
                <w:color w:val="auto"/>
              </w:rPr>
            </w:pPr>
          </w:p>
        </w:tc>
        <w:tc>
          <w:tcPr>
            <w:tcW w:w="980" w:type="dxa"/>
            <w:vAlign w:val="bottom"/>
            <w:shd w:val="clear" w:color="auto" w:fill="56C271"/>
          </w:tcPr>
          <w:p>
            <w:pPr>
              <w:spacing w:after="0"/>
              <w:rPr>
                <w:sz w:val="16"/>
                <w:szCs w:val="16"/>
                <w:color w:val="auto"/>
              </w:rPr>
            </w:pPr>
          </w:p>
        </w:tc>
      </w:tr>
      <w:tr>
        <w:trPr>
          <w:trHeight w:val="162"/>
        </w:trPr>
        <w:tc>
          <w:tcPr>
            <w:tcW w:w="2500" w:type="dxa"/>
            <w:vAlign w:val="bottom"/>
            <w:shd w:val="clear" w:color="auto" w:fill="56C271"/>
          </w:tcPr>
          <w:p>
            <w:pPr>
              <w:spacing w:after="0"/>
              <w:rPr>
                <w:sz w:val="14"/>
                <w:szCs w:val="14"/>
                <w:color w:val="auto"/>
              </w:rPr>
            </w:pPr>
          </w:p>
        </w:tc>
        <w:tc>
          <w:tcPr>
            <w:tcW w:w="1980" w:type="dxa"/>
            <w:vAlign w:val="bottom"/>
            <w:shd w:val="clear" w:color="auto" w:fill="56C271"/>
          </w:tcPr>
          <w:p>
            <w:pPr>
              <w:jc w:val="right"/>
              <w:ind w:right="65"/>
              <w:spacing w:after="0"/>
              <w:rPr>
                <w:sz w:val="20"/>
                <w:szCs w:val="20"/>
                <w:color w:val="auto"/>
              </w:rPr>
            </w:pPr>
            <w:r>
              <w:rPr>
                <w:rFonts w:ascii="Arial" w:cs="Arial" w:eastAsia="Arial" w:hAnsi="Arial"/>
                <w:sz w:val="14"/>
                <w:szCs w:val="14"/>
                <w:b w:val="1"/>
                <w:bCs w:val="1"/>
                <w:color w:val="FEFEFE"/>
              </w:rPr>
              <w:t>Executive</w:t>
            </w:r>
          </w:p>
        </w:tc>
        <w:tc>
          <w:tcPr>
            <w:tcW w:w="120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Registrant</w:t>
            </w:r>
          </w:p>
        </w:tc>
        <w:tc>
          <w:tcPr>
            <w:tcW w:w="98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Earnings/</w:t>
            </w:r>
          </w:p>
        </w:tc>
        <w:tc>
          <w:tcPr>
            <w:tcW w:w="1120" w:type="dxa"/>
            <w:vAlign w:val="bottom"/>
            <w:shd w:val="clear" w:color="auto" w:fill="56C271"/>
          </w:tcPr>
          <w:p>
            <w:pPr>
              <w:jc w:val="right"/>
              <w:ind w:right="65"/>
              <w:spacing w:after="0"/>
              <w:rPr>
                <w:sz w:val="20"/>
                <w:szCs w:val="20"/>
                <w:color w:val="auto"/>
              </w:rPr>
            </w:pPr>
            <w:r>
              <w:rPr>
                <w:rFonts w:ascii="Arial" w:cs="Arial" w:eastAsia="Arial" w:hAnsi="Arial"/>
                <w:sz w:val="14"/>
                <w:szCs w:val="14"/>
                <w:b w:val="1"/>
                <w:bCs w:val="1"/>
                <w:color w:val="FEFEFE"/>
              </w:rPr>
              <w:t>Aggregate</w:t>
            </w:r>
          </w:p>
        </w:tc>
        <w:tc>
          <w:tcPr>
            <w:tcW w:w="98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Aggregate</w:t>
            </w:r>
          </w:p>
        </w:tc>
      </w:tr>
      <w:tr>
        <w:trPr>
          <w:trHeight w:val="162"/>
        </w:trPr>
        <w:tc>
          <w:tcPr>
            <w:tcW w:w="2500" w:type="dxa"/>
            <w:vAlign w:val="bottom"/>
            <w:shd w:val="clear" w:color="auto" w:fill="56C271"/>
          </w:tcPr>
          <w:p>
            <w:pPr>
              <w:spacing w:after="0"/>
              <w:rPr>
                <w:sz w:val="14"/>
                <w:szCs w:val="14"/>
                <w:color w:val="auto"/>
              </w:rPr>
            </w:pPr>
          </w:p>
        </w:tc>
        <w:tc>
          <w:tcPr>
            <w:tcW w:w="1980" w:type="dxa"/>
            <w:vAlign w:val="bottom"/>
            <w:shd w:val="clear" w:color="auto" w:fill="56C271"/>
          </w:tcPr>
          <w:p>
            <w:pPr>
              <w:jc w:val="right"/>
              <w:ind w:right="65"/>
              <w:spacing w:after="0"/>
              <w:rPr>
                <w:sz w:val="20"/>
                <w:szCs w:val="20"/>
                <w:color w:val="auto"/>
              </w:rPr>
            </w:pPr>
            <w:r>
              <w:rPr>
                <w:rFonts w:ascii="Arial" w:cs="Arial" w:eastAsia="Arial" w:hAnsi="Arial"/>
                <w:sz w:val="14"/>
                <w:szCs w:val="14"/>
                <w:b w:val="1"/>
                <w:bCs w:val="1"/>
                <w:color w:val="FEFEFE"/>
              </w:rPr>
              <w:t>Contributions</w:t>
            </w:r>
          </w:p>
        </w:tc>
        <w:tc>
          <w:tcPr>
            <w:tcW w:w="120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Contributions</w:t>
            </w:r>
          </w:p>
        </w:tc>
        <w:tc>
          <w:tcPr>
            <w:tcW w:w="98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(Loss)</w:t>
            </w:r>
          </w:p>
        </w:tc>
        <w:tc>
          <w:tcPr>
            <w:tcW w:w="1120" w:type="dxa"/>
            <w:vAlign w:val="bottom"/>
            <w:shd w:val="clear" w:color="auto" w:fill="56C271"/>
          </w:tcPr>
          <w:p>
            <w:pPr>
              <w:jc w:val="right"/>
              <w:ind w:right="65"/>
              <w:spacing w:after="0"/>
              <w:rPr>
                <w:sz w:val="20"/>
                <w:szCs w:val="20"/>
                <w:color w:val="auto"/>
              </w:rPr>
            </w:pPr>
            <w:r>
              <w:rPr>
                <w:rFonts w:ascii="Arial" w:cs="Arial" w:eastAsia="Arial" w:hAnsi="Arial"/>
                <w:sz w:val="14"/>
                <w:szCs w:val="14"/>
                <w:b w:val="1"/>
                <w:bCs w:val="1"/>
                <w:color w:val="FEFEFE"/>
              </w:rPr>
              <w:t>Withdrawals/</w:t>
            </w:r>
          </w:p>
        </w:tc>
        <w:tc>
          <w:tcPr>
            <w:tcW w:w="98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Balance at</w:t>
            </w:r>
          </w:p>
        </w:tc>
      </w:tr>
      <w:tr>
        <w:trPr>
          <w:trHeight w:val="162"/>
        </w:trPr>
        <w:tc>
          <w:tcPr>
            <w:tcW w:w="2500" w:type="dxa"/>
            <w:vAlign w:val="bottom"/>
            <w:shd w:val="clear" w:color="auto" w:fill="56C271"/>
          </w:tcPr>
          <w:p>
            <w:pPr>
              <w:spacing w:after="0"/>
              <w:rPr>
                <w:sz w:val="14"/>
                <w:szCs w:val="14"/>
                <w:color w:val="auto"/>
              </w:rPr>
            </w:pPr>
          </w:p>
        </w:tc>
        <w:tc>
          <w:tcPr>
            <w:tcW w:w="1980" w:type="dxa"/>
            <w:vAlign w:val="bottom"/>
            <w:shd w:val="clear" w:color="auto" w:fill="56C271"/>
          </w:tcPr>
          <w:p>
            <w:pPr>
              <w:jc w:val="right"/>
              <w:ind w:right="65"/>
              <w:spacing w:after="0"/>
              <w:rPr>
                <w:sz w:val="20"/>
                <w:szCs w:val="20"/>
                <w:color w:val="auto"/>
              </w:rPr>
            </w:pPr>
            <w:r>
              <w:rPr>
                <w:rFonts w:ascii="Arial" w:cs="Arial" w:eastAsia="Arial" w:hAnsi="Arial"/>
                <w:sz w:val="14"/>
                <w:szCs w:val="14"/>
                <w:b w:val="1"/>
                <w:bCs w:val="1"/>
                <w:color w:val="FEFEFE"/>
              </w:rPr>
              <w:t>in Last FY</w:t>
            </w:r>
          </w:p>
        </w:tc>
        <w:tc>
          <w:tcPr>
            <w:tcW w:w="120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in Last FY</w:t>
            </w:r>
          </w:p>
        </w:tc>
        <w:tc>
          <w:tcPr>
            <w:tcW w:w="98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in Last FY</w:t>
            </w:r>
          </w:p>
        </w:tc>
        <w:tc>
          <w:tcPr>
            <w:tcW w:w="1120" w:type="dxa"/>
            <w:vAlign w:val="bottom"/>
            <w:shd w:val="clear" w:color="auto" w:fill="56C271"/>
          </w:tcPr>
          <w:p>
            <w:pPr>
              <w:jc w:val="right"/>
              <w:ind w:right="65"/>
              <w:spacing w:after="0"/>
              <w:rPr>
                <w:sz w:val="20"/>
                <w:szCs w:val="20"/>
                <w:color w:val="auto"/>
              </w:rPr>
            </w:pPr>
            <w:r>
              <w:rPr>
                <w:rFonts w:ascii="Arial" w:cs="Arial" w:eastAsia="Arial" w:hAnsi="Arial"/>
                <w:sz w:val="14"/>
                <w:szCs w:val="14"/>
                <w:b w:val="1"/>
                <w:bCs w:val="1"/>
                <w:color w:val="FEFEFE"/>
              </w:rPr>
              <w:t>Distributions</w:t>
            </w:r>
          </w:p>
        </w:tc>
        <w:tc>
          <w:tcPr>
            <w:tcW w:w="98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Last FYE</w:t>
            </w:r>
          </w:p>
        </w:tc>
      </w:tr>
      <w:tr>
        <w:trPr>
          <w:trHeight w:val="162"/>
        </w:trPr>
        <w:tc>
          <w:tcPr>
            <w:tcW w:w="250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Name</w:t>
            </w:r>
          </w:p>
        </w:tc>
        <w:tc>
          <w:tcPr>
            <w:tcW w:w="1980" w:type="dxa"/>
            <w:vAlign w:val="bottom"/>
            <w:shd w:val="clear" w:color="auto" w:fill="56C271"/>
          </w:tcPr>
          <w:p>
            <w:pPr>
              <w:jc w:val="right"/>
              <w:ind w:right="65"/>
              <w:spacing w:after="0"/>
              <w:rPr>
                <w:sz w:val="20"/>
                <w:szCs w:val="20"/>
                <w:color w:val="auto"/>
              </w:rPr>
            </w:pPr>
            <w:r>
              <w:rPr>
                <w:rFonts w:ascii="Arial" w:cs="Arial" w:eastAsia="Arial" w:hAnsi="Arial"/>
                <w:sz w:val="14"/>
                <w:szCs w:val="14"/>
                <w:b w:val="1"/>
                <w:bCs w:val="1"/>
                <w:color w:val="FEFEFE"/>
              </w:rPr>
              <w:t>($)</w:t>
            </w:r>
          </w:p>
        </w:tc>
        <w:tc>
          <w:tcPr>
            <w:tcW w:w="120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w:t>
            </w:r>
          </w:p>
        </w:tc>
        <w:tc>
          <w:tcPr>
            <w:tcW w:w="98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w:t>
            </w:r>
          </w:p>
        </w:tc>
        <w:tc>
          <w:tcPr>
            <w:tcW w:w="1120" w:type="dxa"/>
            <w:vAlign w:val="bottom"/>
            <w:shd w:val="clear" w:color="auto" w:fill="56C271"/>
          </w:tcPr>
          <w:p>
            <w:pPr>
              <w:jc w:val="right"/>
              <w:ind w:right="65"/>
              <w:spacing w:after="0"/>
              <w:rPr>
                <w:sz w:val="20"/>
                <w:szCs w:val="20"/>
                <w:color w:val="auto"/>
              </w:rPr>
            </w:pPr>
            <w:r>
              <w:rPr>
                <w:rFonts w:ascii="Arial" w:cs="Arial" w:eastAsia="Arial" w:hAnsi="Arial"/>
                <w:sz w:val="14"/>
                <w:szCs w:val="14"/>
                <w:b w:val="1"/>
                <w:bCs w:val="1"/>
                <w:color w:val="FEFEFE"/>
              </w:rPr>
              <w:t>($)</w:t>
            </w:r>
          </w:p>
        </w:tc>
        <w:tc>
          <w:tcPr>
            <w:tcW w:w="980" w:type="dxa"/>
            <w:vAlign w:val="bottom"/>
            <w:shd w:val="clear" w:color="auto" w:fill="56C271"/>
          </w:tcPr>
          <w:p>
            <w:pPr>
              <w:jc w:val="right"/>
              <w:ind w:right="85"/>
              <w:spacing w:after="0"/>
              <w:rPr>
                <w:sz w:val="20"/>
                <w:szCs w:val="20"/>
                <w:color w:val="auto"/>
              </w:rPr>
            </w:pPr>
            <w:r>
              <w:rPr>
                <w:rFonts w:ascii="Arial" w:cs="Arial" w:eastAsia="Arial" w:hAnsi="Arial"/>
                <w:sz w:val="14"/>
                <w:szCs w:val="14"/>
                <w:b w:val="1"/>
                <w:bCs w:val="1"/>
                <w:color w:val="FEFEFE"/>
              </w:rPr>
              <w:t>($)</w:t>
            </w:r>
          </w:p>
        </w:tc>
      </w:tr>
      <w:tr>
        <w:trPr>
          <w:trHeight w:val="189"/>
        </w:trPr>
        <w:tc>
          <w:tcPr>
            <w:tcW w:w="250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(a)</w:t>
            </w:r>
          </w:p>
        </w:tc>
        <w:tc>
          <w:tcPr>
            <w:tcW w:w="198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(b)</w:t>
            </w:r>
          </w:p>
        </w:tc>
        <w:tc>
          <w:tcPr>
            <w:tcW w:w="1200" w:type="dxa"/>
            <w:vAlign w:val="bottom"/>
            <w:shd w:val="clear" w:color="auto" w:fill="56C271"/>
          </w:tcPr>
          <w:p>
            <w:pPr>
              <w:jc w:val="right"/>
              <w:ind w:right="45"/>
              <w:spacing w:after="0"/>
              <w:rPr>
                <w:sz w:val="20"/>
                <w:szCs w:val="20"/>
                <w:color w:val="auto"/>
              </w:rPr>
            </w:pPr>
            <w:r>
              <w:rPr>
                <w:rFonts w:ascii="Arial" w:cs="Arial" w:eastAsia="Arial" w:hAnsi="Arial"/>
                <w:sz w:val="14"/>
                <w:szCs w:val="14"/>
                <w:b w:val="1"/>
                <w:bCs w:val="1"/>
                <w:color w:val="FEFEFE"/>
              </w:rPr>
              <w:t>(c)</w:t>
            </w:r>
          </w:p>
        </w:tc>
        <w:tc>
          <w:tcPr>
            <w:tcW w:w="980" w:type="dxa"/>
            <w:vAlign w:val="bottom"/>
            <w:shd w:val="clear" w:color="auto" w:fill="56C271"/>
          </w:tcPr>
          <w:p>
            <w:pPr>
              <w:jc w:val="right"/>
              <w:ind w:right="45"/>
              <w:spacing w:after="0"/>
              <w:rPr>
                <w:sz w:val="20"/>
                <w:szCs w:val="20"/>
                <w:color w:val="auto"/>
              </w:rPr>
            </w:pPr>
            <w:r>
              <w:rPr>
                <w:rFonts w:ascii="Arial" w:cs="Arial" w:eastAsia="Arial" w:hAnsi="Arial"/>
                <w:sz w:val="14"/>
                <w:szCs w:val="14"/>
                <w:b w:val="1"/>
                <w:bCs w:val="1"/>
                <w:color w:val="FEFEFE"/>
              </w:rPr>
              <w:t>(d)</w:t>
            </w:r>
          </w:p>
        </w:tc>
        <w:tc>
          <w:tcPr>
            <w:tcW w:w="1120" w:type="dxa"/>
            <w:vAlign w:val="bottom"/>
            <w:shd w:val="clear" w:color="auto" w:fill="56C271"/>
          </w:tcPr>
          <w:p>
            <w:pPr>
              <w:jc w:val="right"/>
              <w:ind w:right="25"/>
              <w:spacing w:after="0"/>
              <w:rPr>
                <w:sz w:val="20"/>
                <w:szCs w:val="20"/>
                <w:color w:val="auto"/>
              </w:rPr>
            </w:pPr>
            <w:r>
              <w:rPr>
                <w:rFonts w:ascii="Arial" w:cs="Arial" w:eastAsia="Arial" w:hAnsi="Arial"/>
                <w:sz w:val="14"/>
                <w:szCs w:val="14"/>
                <w:b w:val="1"/>
                <w:bCs w:val="1"/>
                <w:color w:val="FEFEFE"/>
              </w:rPr>
              <w:t>(e)</w:t>
            </w:r>
          </w:p>
        </w:tc>
        <w:tc>
          <w:tcPr>
            <w:tcW w:w="980" w:type="dxa"/>
            <w:vAlign w:val="bottom"/>
            <w:shd w:val="clear" w:color="auto" w:fill="56C271"/>
          </w:tcPr>
          <w:p>
            <w:pPr>
              <w:jc w:val="right"/>
              <w:ind w:right="45"/>
              <w:spacing w:after="0"/>
              <w:rPr>
                <w:sz w:val="20"/>
                <w:szCs w:val="20"/>
                <w:color w:val="auto"/>
              </w:rPr>
            </w:pPr>
            <w:r>
              <w:rPr>
                <w:rFonts w:ascii="Arial" w:cs="Arial" w:eastAsia="Arial" w:hAnsi="Arial"/>
                <w:sz w:val="14"/>
                <w:szCs w:val="14"/>
                <w:b w:val="1"/>
                <w:bCs w:val="1"/>
                <w:color w:val="FEFEFE"/>
              </w:rPr>
              <w:t>(f)</w:t>
            </w:r>
          </w:p>
        </w:tc>
      </w:tr>
      <w:tr>
        <w:trPr>
          <w:trHeight w:val="256"/>
        </w:trPr>
        <w:tc>
          <w:tcPr>
            <w:tcW w:w="2500" w:type="dxa"/>
            <w:vAlign w:val="bottom"/>
          </w:tcPr>
          <w:p>
            <w:pPr>
              <w:ind w:left="100"/>
              <w:spacing w:after="0"/>
              <w:rPr>
                <w:sz w:val="20"/>
                <w:szCs w:val="20"/>
                <w:color w:val="auto"/>
              </w:rPr>
            </w:pPr>
            <w:r>
              <w:rPr>
                <w:rFonts w:ascii="Arial" w:cs="Arial" w:eastAsia="Arial" w:hAnsi="Arial"/>
                <w:sz w:val="18"/>
                <w:szCs w:val="18"/>
                <w:color w:val="auto"/>
              </w:rPr>
              <w:t>Philip R. Gallagher</w:t>
            </w:r>
          </w:p>
        </w:tc>
        <w:tc>
          <w:tcPr>
            <w:tcW w:w="1980" w:type="dxa"/>
            <w:vAlign w:val="bottom"/>
          </w:tcPr>
          <w:p>
            <w:pPr>
              <w:jc w:val="right"/>
              <w:ind w:right="40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2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85"/>
              <w:spacing w:after="0"/>
              <w:rPr>
                <w:sz w:val="20"/>
                <w:szCs w:val="20"/>
                <w:color w:val="auto"/>
              </w:rPr>
            </w:pPr>
            <w:r>
              <w:rPr>
                <w:rFonts w:ascii="Arial" w:cs="Arial" w:eastAsia="Arial" w:hAnsi="Arial"/>
                <w:sz w:val="18"/>
                <w:szCs w:val="18"/>
                <w:color w:val="auto"/>
              </w:rPr>
              <w:t>218,182</w:t>
            </w:r>
          </w:p>
        </w:tc>
        <w:tc>
          <w:tcPr>
            <w:tcW w:w="1120" w:type="dxa"/>
            <w:vAlign w:val="bottom"/>
          </w:tcPr>
          <w:p>
            <w:pPr>
              <w:jc w:val="right"/>
              <w:ind w:right="165"/>
              <w:spacing w:after="0"/>
              <w:rPr>
                <w:sz w:val="20"/>
                <w:szCs w:val="20"/>
                <w:color w:val="auto"/>
              </w:rPr>
            </w:pPr>
            <w:r>
              <w:rPr>
                <w:rFonts w:ascii="Arial" w:cs="Arial" w:eastAsia="Arial" w:hAnsi="Arial"/>
                <w:sz w:val="18"/>
                <w:szCs w:val="18"/>
                <w:color w:val="auto"/>
              </w:rPr>
              <w:t>169,811</w:t>
            </w:r>
          </w:p>
        </w:tc>
        <w:tc>
          <w:tcPr>
            <w:tcW w:w="980" w:type="dxa"/>
            <w:vAlign w:val="bottom"/>
          </w:tcPr>
          <w:p>
            <w:pPr>
              <w:jc w:val="right"/>
              <w:ind w:right="85"/>
              <w:spacing w:after="0"/>
              <w:rPr>
                <w:sz w:val="20"/>
                <w:szCs w:val="20"/>
                <w:color w:val="auto"/>
              </w:rPr>
            </w:pPr>
            <w:r>
              <w:rPr>
                <w:rFonts w:ascii="Arial" w:cs="Arial" w:eastAsia="Arial" w:hAnsi="Arial"/>
                <w:sz w:val="18"/>
                <w:szCs w:val="18"/>
                <w:color w:val="auto"/>
              </w:rPr>
              <w:t>616,495</w:t>
            </w:r>
          </w:p>
        </w:tc>
      </w:tr>
      <w:tr>
        <w:trPr>
          <w:trHeight w:val="48"/>
        </w:trPr>
        <w:tc>
          <w:tcPr>
            <w:tcW w:w="2500" w:type="dxa"/>
            <w:vAlign w:val="bottom"/>
            <w:tcBorders>
              <w:bottom w:val="single" w:sz="8" w:color="56C271"/>
            </w:tcBorders>
          </w:tcPr>
          <w:p>
            <w:pPr>
              <w:spacing w:after="0"/>
              <w:rPr>
                <w:sz w:val="4"/>
                <w:szCs w:val="4"/>
                <w:color w:val="auto"/>
              </w:rPr>
            </w:pPr>
          </w:p>
        </w:tc>
        <w:tc>
          <w:tcPr>
            <w:tcW w:w="1980" w:type="dxa"/>
            <w:vAlign w:val="bottom"/>
            <w:tcBorders>
              <w:bottom w:val="single" w:sz="8" w:color="56C271"/>
            </w:tcBorders>
          </w:tcPr>
          <w:p>
            <w:pPr>
              <w:spacing w:after="0"/>
              <w:rPr>
                <w:sz w:val="4"/>
                <w:szCs w:val="4"/>
                <w:color w:val="auto"/>
              </w:rPr>
            </w:pPr>
          </w:p>
        </w:tc>
        <w:tc>
          <w:tcPr>
            <w:tcW w:w="1200" w:type="dxa"/>
            <w:vAlign w:val="bottom"/>
            <w:tcBorders>
              <w:bottom w:val="single" w:sz="8" w:color="56C271"/>
            </w:tcBorders>
          </w:tcPr>
          <w:p>
            <w:pPr>
              <w:spacing w:after="0"/>
              <w:rPr>
                <w:sz w:val="4"/>
                <w:szCs w:val="4"/>
                <w:color w:val="auto"/>
              </w:rPr>
            </w:pPr>
          </w:p>
        </w:tc>
        <w:tc>
          <w:tcPr>
            <w:tcW w:w="980" w:type="dxa"/>
            <w:vAlign w:val="bottom"/>
            <w:tcBorders>
              <w:bottom w:val="single" w:sz="8" w:color="56C271"/>
            </w:tcBorders>
          </w:tcPr>
          <w:p>
            <w:pPr>
              <w:spacing w:after="0"/>
              <w:rPr>
                <w:sz w:val="4"/>
                <w:szCs w:val="4"/>
                <w:color w:val="auto"/>
              </w:rPr>
            </w:pPr>
          </w:p>
        </w:tc>
        <w:tc>
          <w:tcPr>
            <w:tcW w:w="1120" w:type="dxa"/>
            <w:vAlign w:val="bottom"/>
            <w:tcBorders>
              <w:bottom w:val="single" w:sz="8" w:color="56C271"/>
            </w:tcBorders>
          </w:tcPr>
          <w:p>
            <w:pPr>
              <w:spacing w:after="0"/>
              <w:rPr>
                <w:sz w:val="4"/>
                <w:szCs w:val="4"/>
                <w:color w:val="auto"/>
              </w:rPr>
            </w:pPr>
          </w:p>
        </w:tc>
        <w:tc>
          <w:tcPr>
            <w:tcW w:w="980" w:type="dxa"/>
            <w:vAlign w:val="bottom"/>
            <w:tcBorders>
              <w:bottom w:val="single" w:sz="8" w:color="56C271"/>
            </w:tcBorders>
          </w:tcPr>
          <w:p>
            <w:pPr>
              <w:spacing w:after="0"/>
              <w:rPr>
                <w:sz w:val="4"/>
                <w:szCs w:val="4"/>
                <w:color w:val="auto"/>
              </w:rPr>
            </w:pPr>
          </w:p>
        </w:tc>
      </w:tr>
    </w:tbl>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POTENTIAL PAYOUTS UPON TERMINATION AND CHANGE OF CONTROL</w:t>
      </w:r>
    </w:p>
    <w:p>
      <w:pPr>
        <w:spacing w:after="0" w:line="206" w:lineRule="exact"/>
        <w:rPr>
          <w:sz w:val="20"/>
          <w:szCs w:val="20"/>
          <w:color w:val="auto"/>
        </w:rPr>
      </w:pPr>
    </w:p>
    <w:p>
      <w:pPr>
        <w:jc w:val="center"/>
        <w:ind w:right="-680"/>
        <w:spacing w:after="0"/>
        <w:rPr>
          <w:sz w:val="20"/>
          <w:szCs w:val="20"/>
          <w:color w:val="auto"/>
        </w:rPr>
      </w:pPr>
      <w:r>
        <w:rPr>
          <w:rFonts w:ascii="Arial" w:cs="Arial" w:eastAsia="Arial" w:hAnsi="Arial"/>
          <w:sz w:val="22"/>
          <w:szCs w:val="22"/>
          <w:b w:val="1"/>
          <w:bCs w:val="1"/>
          <w:color w:val="auto"/>
        </w:rPr>
        <w:t>Employment Agreements, Severance Plan and Change of Control Agreements</w:t>
      </w:r>
    </w:p>
    <w:p>
      <w:pPr>
        <w:spacing w:after="0" w:line="148" w:lineRule="exact"/>
        <w:rPr>
          <w:sz w:val="20"/>
          <w:szCs w:val="20"/>
          <w:color w:val="auto"/>
        </w:rPr>
      </w:pPr>
    </w:p>
    <w:p>
      <w:pPr>
        <w:ind w:left="1000" w:right="339"/>
        <w:spacing w:after="0" w:line="271" w:lineRule="auto"/>
        <w:rPr>
          <w:sz w:val="20"/>
          <w:szCs w:val="20"/>
          <w:color w:val="auto"/>
        </w:rPr>
      </w:pPr>
      <w:r>
        <w:rPr>
          <w:rFonts w:ascii="Arial" w:cs="Arial" w:eastAsia="Arial" w:hAnsi="Arial"/>
          <w:sz w:val="18"/>
          <w:szCs w:val="18"/>
          <w:b w:val="1"/>
          <w:bCs w:val="1"/>
          <w:color w:val="56C271"/>
        </w:rPr>
        <w:t xml:space="preserve">Employment Agreements. </w:t>
      </w:r>
      <w:r>
        <w:rPr>
          <w:rFonts w:ascii="Arial" w:cs="Arial" w:eastAsia="Arial" w:hAnsi="Arial"/>
          <w:sz w:val="18"/>
          <w:szCs w:val="18"/>
          <w:color w:val="000000"/>
        </w:rPr>
        <w:t>Each of the NEOs except for Mr. Chan entered into an employment agreement</w:t>
      </w:r>
      <w:r>
        <w:rPr>
          <w:rFonts w:ascii="Arial" w:cs="Arial" w:eastAsia="Arial" w:hAnsi="Arial"/>
          <w:sz w:val="18"/>
          <w:szCs w:val="18"/>
          <w:b w:val="1"/>
          <w:bCs w:val="1"/>
          <w:color w:val="56C271"/>
        </w:rPr>
        <w:t xml:space="preserve"> </w:t>
      </w:r>
      <w:r>
        <w:rPr>
          <w:rFonts w:ascii="Arial" w:cs="Arial" w:eastAsia="Arial" w:hAnsi="Arial"/>
          <w:sz w:val="18"/>
          <w:szCs w:val="18"/>
          <w:color w:val="000000"/>
        </w:rPr>
        <w:t>with the Company.</w:t>
      </w:r>
    </w:p>
    <w:p>
      <w:pPr>
        <w:spacing w:after="0" w:line="95" w:lineRule="exact"/>
        <w:rPr>
          <w:sz w:val="20"/>
          <w:szCs w:val="20"/>
          <w:color w:val="auto"/>
        </w:rPr>
      </w:pPr>
    </w:p>
    <w:p>
      <w:pPr>
        <w:ind w:left="1000" w:right="359"/>
        <w:spacing w:after="0" w:line="238" w:lineRule="auto"/>
        <w:rPr>
          <w:sz w:val="20"/>
          <w:szCs w:val="20"/>
          <w:color w:val="auto"/>
        </w:rPr>
      </w:pPr>
      <w:r>
        <w:rPr>
          <w:rFonts w:ascii="Arial" w:cs="Arial" w:eastAsia="Arial" w:hAnsi="Arial"/>
          <w:sz w:val="18"/>
          <w:szCs w:val="18"/>
          <w:color w:val="auto"/>
        </w:rPr>
        <w:t>Under the Executive Severance Plan, adopted on August 10, 2017, executive officers may be eligible to receive severance benefits if they are not entitled to severance payments under any other employment agreement. The employment agreement for Mr. Liguori, which was dated after the adoption of the Executive Severance Plan, provides that he is eligible to participate in the Executive Severance Plan.</w:t>
      </w:r>
    </w:p>
    <w:p>
      <w:pPr>
        <w:spacing w:after="0" w:line="137" w:lineRule="exact"/>
        <w:rPr>
          <w:sz w:val="20"/>
          <w:szCs w:val="20"/>
          <w:color w:val="auto"/>
        </w:rPr>
      </w:pPr>
    </w:p>
    <w:p>
      <w:pPr>
        <w:ind w:left="1000" w:right="279"/>
        <w:spacing w:after="0" w:line="237" w:lineRule="auto"/>
        <w:rPr>
          <w:sz w:val="20"/>
          <w:szCs w:val="20"/>
          <w:color w:val="auto"/>
        </w:rPr>
      </w:pPr>
      <w:r>
        <w:rPr>
          <w:rFonts w:ascii="Arial" w:cs="Arial" w:eastAsia="Arial" w:hAnsi="Arial"/>
          <w:sz w:val="18"/>
          <w:szCs w:val="18"/>
          <w:color w:val="auto"/>
        </w:rPr>
        <w:t>The employment agreements for Messrs. Gallagher, Arnold and McCoy provide, and the employment agreements for Messrs. Amelio and Bartolotta provided, that if the Company terminates their employment without cause, they will receive a lump sum equal to: (1) base annual salary and (2) target bonus for the year in which the termination occurs. For purposes of the above, “cause” generally includes gross misconduct, breach of any material term of the agreement, willful breach, habitual neglect or wanton disregard of the executive’s duties, or conviction of any criminal act.</w:t>
      </w:r>
    </w:p>
    <w:p>
      <w:pPr>
        <w:spacing w:after="0" w:line="137" w:lineRule="exact"/>
        <w:rPr>
          <w:sz w:val="20"/>
          <w:szCs w:val="20"/>
          <w:color w:val="auto"/>
        </w:rPr>
      </w:pPr>
    </w:p>
    <w:p>
      <w:pPr>
        <w:ind w:left="1000" w:right="199"/>
        <w:spacing w:after="0"/>
        <w:rPr>
          <w:sz w:val="20"/>
          <w:szCs w:val="20"/>
          <w:color w:val="auto"/>
        </w:rPr>
      </w:pPr>
      <w:r>
        <w:rPr>
          <w:rFonts w:ascii="Arial" w:cs="Arial" w:eastAsia="Arial" w:hAnsi="Arial"/>
          <w:sz w:val="18"/>
          <w:szCs w:val="18"/>
          <w:color w:val="auto"/>
        </w:rPr>
        <w:t>Ms. Miller’s employment agreement is terminable by either the individual or the Company upon one-year advance written notice to the other. Per the terms of the Executive Severance Plan, Ms. Miller is not eligible to participate in the Executive Severance Plan.</w:t>
      </w:r>
    </w:p>
    <w:p>
      <w:pPr>
        <w:spacing w:after="0" w:line="100" w:lineRule="exact"/>
        <w:rPr>
          <w:sz w:val="20"/>
          <w:szCs w:val="20"/>
          <w:color w:val="auto"/>
        </w:rPr>
      </w:pPr>
    </w:p>
    <w:p>
      <w:pPr>
        <w:ind w:left="1000" w:right="219"/>
        <w:spacing w:after="0" w:line="237" w:lineRule="auto"/>
        <w:rPr>
          <w:sz w:val="20"/>
          <w:szCs w:val="20"/>
          <w:color w:val="auto"/>
        </w:rPr>
      </w:pPr>
      <w:r>
        <w:rPr>
          <w:rFonts w:ascii="Arial" w:cs="Arial" w:eastAsia="Arial" w:hAnsi="Arial"/>
          <w:sz w:val="18"/>
          <w:szCs w:val="18"/>
          <w:b w:val="1"/>
          <w:bCs w:val="1"/>
          <w:color w:val="56C271"/>
        </w:rPr>
        <w:t xml:space="preserve">Executive Severance Plan. </w:t>
      </w:r>
      <w:r>
        <w:rPr>
          <w:rFonts w:ascii="Arial" w:cs="Arial" w:eastAsia="Arial" w:hAnsi="Arial"/>
          <w:sz w:val="18"/>
          <w:szCs w:val="18"/>
          <w:color w:val="000000"/>
        </w:rPr>
        <w:t>Under the Executive Severance Plan, if the Company terminates an executive’s</w:t>
      </w:r>
      <w:r>
        <w:rPr>
          <w:rFonts w:ascii="Arial" w:cs="Arial" w:eastAsia="Arial" w:hAnsi="Arial"/>
          <w:sz w:val="18"/>
          <w:szCs w:val="18"/>
          <w:b w:val="1"/>
          <w:bCs w:val="1"/>
          <w:color w:val="56C271"/>
        </w:rPr>
        <w:t xml:space="preserve"> </w:t>
      </w:r>
      <w:r>
        <w:rPr>
          <w:rFonts w:ascii="Arial" w:cs="Arial" w:eastAsia="Arial" w:hAnsi="Arial"/>
          <w:sz w:val="18"/>
          <w:szCs w:val="18"/>
          <w:color w:val="000000"/>
        </w:rPr>
        <w:t>employment without “cause”, the executive will receive: (1) one times their annual base salary, or in the case of the CEO two times their annual base salary; (2) health care benefit continuation for the duration of the severance period; and (3) the incentive payment based on the relevant performance factors in the year of termination. For purposes of the above, “cause” generally includes gross misconduct, breach of any material term of the agreement, willful breach, habitual neglect or wanton disregard of the executive’s duties, or conviction of certain criminal acts. Mr. Liguori is the sole NEO covered by the Executive Severance Plan. Messrs. Gallagher, Arnold and McCoy and Ms. Miller, as well as Messrs. Amelio and Bartolotta, are not covered under the Executive Severance Plan but instead are covered by their employment agreements.</w:t>
      </w:r>
    </w:p>
    <w:p>
      <w:pPr>
        <w:spacing w:after="0" w:line="5" w:lineRule="exact"/>
        <w:rPr>
          <w:sz w:val="20"/>
          <w:szCs w:val="20"/>
          <w:color w:val="auto"/>
        </w:rPr>
      </w:pPr>
    </w:p>
    <w:p>
      <w:pPr>
        <w:ind w:left="1000" w:right="379"/>
        <w:spacing w:after="0" w:line="246" w:lineRule="auto"/>
        <w:rPr>
          <w:sz w:val="20"/>
          <w:szCs w:val="20"/>
          <w:color w:val="auto"/>
        </w:rPr>
      </w:pPr>
      <w:r>
        <w:rPr>
          <w:rFonts w:ascii="Arial" w:cs="Arial" w:eastAsia="Arial" w:hAnsi="Arial"/>
          <w:sz w:val="18"/>
          <w:szCs w:val="18"/>
          <w:color w:val="auto"/>
        </w:rPr>
        <w:t>Mr. Chan is covered by the Avnet Severance Plan, as revised on August 1, 2015, which generally covers all employees in the US.</w:t>
      </w:r>
    </w:p>
    <w:p>
      <w:pPr>
        <w:spacing w:after="0" w:line="107" w:lineRule="exact"/>
        <w:rPr>
          <w:sz w:val="20"/>
          <w:szCs w:val="20"/>
          <w:color w:val="auto"/>
        </w:rPr>
      </w:pPr>
    </w:p>
    <w:p>
      <w:pPr>
        <w:ind w:left="1000" w:right="159"/>
        <w:spacing w:after="0" w:line="257" w:lineRule="auto"/>
        <w:rPr>
          <w:sz w:val="20"/>
          <w:szCs w:val="20"/>
          <w:color w:val="auto"/>
        </w:rPr>
      </w:pPr>
      <w:r>
        <w:rPr>
          <w:rFonts w:ascii="Arial" w:cs="Arial" w:eastAsia="Arial" w:hAnsi="Arial"/>
          <w:sz w:val="17"/>
          <w:szCs w:val="17"/>
          <w:b w:val="1"/>
          <w:bCs w:val="1"/>
          <w:color w:val="56C271"/>
        </w:rPr>
        <w:t xml:space="preserve">Change of Control Agreements. </w:t>
      </w:r>
      <w:r>
        <w:rPr>
          <w:rFonts w:ascii="Arial" w:cs="Arial" w:eastAsia="Arial" w:hAnsi="Arial"/>
          <w:sz w:val="17"/>
          <w:szCs w:val="17"/>
          <w:color w:val="000000"/>
        </w:rPr>
        <w:t>Each of the NEOs entered into a change of control agreement with the</w:t>
      </w:r>
      <w:r>
        <w:rPr>
          <w:rFonts w:ascii="Arial" w:cs="Arial" w:eastAsia="Arial" w:hAnsi="Arial"/>
          <w:sz w:val="17"/>
          <w:szCs w:val="17"/>
          <w:b w:val="1"/>
          <w:bCs w:val="1"/>
          <w:color w:val="56C271"/>
        </w:rPr>
        <w:t xml:space="preserve"> </w:t>
      </w:r>
      <w:r>
        <w:rPr>
          <w:rFonts w:ascii="Arial" w:cs="Arial" w:eastAsia="Arial" w:hAnsi="Arial"/>
          <w:sz w:val="17"/>
          <w:szCs w:val="17"/>
          <w:color w:val="000000"/>
        </w:rPr>
        <w:t>Company, which provides that in the event of actual or constructive termination within 24 months of a change of control, the Company must pay the NEO all accrued base salary and pro-rata incentive payments, plus 2.99 (except for Mr. Chan, whose multiplier is 1.5 times) times the sum of (i) the NEO’s then-current annual base salary and (ii) the NEO’s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95885</wp:posOffset>
            </wp:positionV>
            <wp:extent cx="1482725" cy="3003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3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ind w:left="7460"/>
        <w:spacing w:after="0" w:line="187" w:lineRule="auto"/>
        <w:rPr>
          <w:sz w:val="20"/>
          <w:szCs w:val="20"/>
          <w:color w:val="auto"/>
        </w:rPr>
      </w:pPr>
      <w:r>
        <w:rPr>
          <w:rFonts w:ascii="Arial" w:cs="Arial" w:eastAsia="Arial" w:hAnsi="Arial"/>
          <w:sz w:val="12"/>
          <w:szCs w:val="12"/>
          <w:color w:val="auto"/>
        </w:rPr>
        <w:t>Compensation of Executive Officers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980"/>
        <w:spacing w:after="0" w:line="254" w:lineRule="auto"/>
        <w:rPr>
          <w:sz w:val="20"/>
          <w:szCs w:val="20"/>
          <w:color w:val="auto"/>
        </w:rPr>
      </w:pPr>
      <w:r>
        <w:rPr>
          <w:rFonts w:ascii="Arial" w:cs="Arial" w:eastAsia="Arial" w:hAnsi="Arial"/>
          <w:sz w:val="18"/>
          <w:szCs w:val="18"/>
          <w:color w:val="auto"/>
        </w:rPr>
        <w:t>will be accelerated and delivered. No NEO is entitled to a tax gross-up for excise taxes related to payments made upon a change of control. The change of control agreements between the Company and the NEOs have provisions to ensure compliance with Section 409A of the Code, by deferring any payment due upon termination of employment for up to six months to the extent required by Section 409A.</w:t>
      </w:r>
    </w:p>
    <w:p>
      <w:pPr>
        <w:spacing w:after="0" w:line="123" w:lineRule="exact"/>
        <w:rPr>
          <w:sz w:val="20"/>
          <w:szCs w:val="20"/>
          <w:color w:val="auto"/>
        </w:rPr>
      </w:pPr>
    </w:p>
    <w:p>
      <w:pPr>
        <w:ind w:left="1000" w:right="1020"/>
        <w:spacing w:after="0" w:line="251" w:lineRule="auto"/>
        <w:rPr>
          <w:sz w:val="20"/>
          <w:szCs w:val="20"/>
          <w:color w:val="auto"/>
        </w:rPr>
      </w:pPr>
      <w:r>
        <w:rPr>
          <w:rFonts w:ascii="Arial" w:cs="Arial" w:eastAsia="Arial" w:hAnsi="Arial"/>
          <w:sz w:val="18"/>
          <w:szCs w:val="18"/>
          <w:color w:val="auto"/>
        </w:rPr>
        <w:t>Pursuant to these agreements, a constructive termination includes a material diminution in the NEO’s responsibilities, a material change in the geographic location at which the NEO is primarily required to perform services for the Company, a material reduction in the NEO’s base compensation or, any other action or inaction that constitutes a material breach by the Company under its employment agreement with the NEO. A change of control is defined as including the acquisition of voting or dispositive power with respect to 50% or more of the outstanding shares of the Company’s Common Stock, a change in the individuals serving on the Board of Directors so that those serving on the effective date of the applicable agreement and those persons appointed by such individuals to the Board no longer constitute a majority of the Board, or the approval by shareholders of a liquidation, dissolution or sale of substantially all of the assets of the Company.</w:t>
      </w:r>
    </w:p>
    <w:p>
      <w:pPr>
        <w:spacing w:after="0" w:line="122" w:lineRule="exact"/>
        <w:rPr>
          <w:sz w:val="20"/>
          <w:szCs w:val="20"/>
          <w:color w:val="auto"/>
        </w:rPr>
      </w:pPr>
    </w:p>
    <w:p>
      <w:pPr>
        <w:ind w:left="1000" w:right="1000"/>
        <w:spacing w:after="0" w:line="275" w:lineRule="auto"/>
        <w:rPr>
          <w:sz w:val="20"/>
          <w:szCs w:val="20"/>
          <w:color w:val="auto"/>
        </w:rPr>
      </w:pPr>
      <w:r>
        <w:rPr>
          <w:rFonts w:ascii="Arial" w:cs="Arial" w:eastAsia="Arial" w:hAnsi="Arial"/>
          <w:sz w:val="17"/>
          <w:szCs w:val="17"/>
          <w:b w:val="1"/>
          <w:bCs w:val="1"/>
          <w:color w:val="56C271"/>
        </w:rPr>
        <w:t xml:space="preserve">Potential Payouts upon Termination Table. </w:t>
      </w:r>
      <w:r>
        <w:rPr>
          <w:rFonts w:ascii="Arial" w:cs="Arial" w:eastAsia="Arial" w:hAnsi="Arial"/>
          <w:sz w:val="17"/>
          <w:szCs w:val="17"/>
          <w:color w:val="000000"/>
        </w:rPr>
        <w:t>The following table sets forth the estimated payments and value</w:t>
      </w:r>
      <w:r>
        <w:rPr>
          <w:rFonts w:ascii="Arial" w:cs="Arial" w:eastAsia="Arial" w:hAnsi="Arial"/>
          <w:sz w:val="17"/>
          <w:szCs w:val="17"/>
          <w:b w:val="1"/>
          <w:bCs w:val="1"/>
          <w:color w:val="56C271"/>
        </w:rPr>
        <w:t xml:space="preserve"> </w:t>
      </w:r>
      <w:r>
        <w:rPr>
          <w:rFonts w:ascii="Arial" w:cs="Arial" w:eastAsia="Arial" w:hAnsi="Arial"/>
          <w:sz w:val="17"/>
          <w:szCs w:val="17"/>
          <w:color w:val="000000"/>
        </w:rPr>
        <w:t>of benefits that each of the NEOs would be entitled to receive under their employment agreements, the Executive Severance Plan, the Avnet Severance Plan and change of control agreements, as applicable, in the event of the termination of their employment under various scenarios. The table assumes that the termination occurred on July 3, 2021, which is the Company’s fiscal year end. The market value of the stock awards is based on the closing market price of the Company’s Common Stock as of July 3, 2021, which was $40.03.</w:t>
      </w:r>
    </w:p>
    <w:p>
      <w:pPr>
        <w:spacing w:after="0" w:line="1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section:</w:t>
      </w:r>
    </w:p>
    <w:p>
      <w:pPr>
        <w:spacing w:after="0" w:line="95" w:lineRule="exact"/>
        <w:rPr>
          <w:sz w:val="20"/>
          <w:szCs w:val="20"/>
          <w:color w:val="auto"/>
        </w:rPr>
      </w:pPr>
    </w:p>
    <w:p>
      <w:pPr>
        <w:ind w:left="1540" w:hanging="190"/>
        <w:spacing w:after="0"/>
        <w:tabs>
          <w:tab w:leader="none" w:pos="1540" w:val="left"/>
        </w:tabs>
        <w:numPr>
          <w:ilvl w:val="0"/>
          <w:numId w:val="75"/>
        </w:numPr>
        <w:rPr>
          <w:rFonts w:ascii="Arial" w:cs="Arial" w:eastAsia="Arial" w:hAnsi="Arial"/>
          <w:sz w:val="18"/>
          <w:szCs w:val="18"/>
          <w:color w:val="56C271"/>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a NEO;</w:t>
      </w:r>
    </w:p>
    <w:p>
      <w:pPr>
        <w:spacing w:after="0" w:line="117" w:lineRule="exact"/>
        <w:rPr>
          <w:rFonts w:ascii="Arial" w:cs="Arial" w:eastAsia="Arial" w:hAnsi="Arial"/>
          <w:sz w:val="18"/>
          <w:szCs w:val="18"/>
          <w:color w:val="56C271"/>
        </w:rPr>
      </w:pPr>
    </w:p>
    <w:p>
      <w:pPr>
        <w:ind w:left="1540" w:right="1040" w:hanging="190"/>
        <w:spacing w:after="0" w:line="287" w:lineRule="auto"/>
        <w:tabs>
          <w:tab w:leader="none" w:pos="1540" w:val="left"/>
        </w:tabs>
        <w:numPr>
          <w:ilvl w:val="0"/>
          <w:numId w:val="75"/>
        </w:numPr>
        <w:rPr>
          <w:rFonts w:ascii="Arial" w:cs="Arial" w:eastAsia="Arial" w:hAnsi="Arial"/>
          <w:sz w:val="18"/>
          <w:szCs w:val="18"/>
          <w:color w:val="56C271"/>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NEO becoming permanently and totally disabled during the term of the NEO’s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w:t>
      </w:r>
    </w:p>
    <w:p>
      <w:pPr>
        <w:spacing w:after="0" w:line="44" w:lineRule="exact"/>
        <w:rPr>
          <w:rFonts w:ascii="Arial" w:cs="Arial" w:eastAsia="Arial" w:hAnsi="Arial"/>
          <w:sz w:val="18"/>
          <w:szCs w:val="18"/>
          <w:color w:val="56C271"/>
        </w:rPr>
      </w:pPr>
    </w:p>
    <w:p>
      <w:pPr>
        <w:ind w:left="1540" w:right="1080" w:hanging="190"/>
        <w:spacing w:after="0" w:line="287" w:lineRule="auto"/>
        <w:tabs>
          <w:tab w:leader="none" w:pos="1540" w:val="left"/>
        </w:tabs>
        <w:numPr>
          <w:ilvl w:val="0"/>
          <w:numId w:val="75"/>
        </w:numPr>
        <w:rPr>
          <w:rFonts w:ascii="Arial" w:cs="Arial" w:eastAsia="Arial" w:hAnsi="Arial"/>
          <w:sz w:val="18"/>
          <w:szCs w:val="18"/>
          <w:color w:val="56C271"/>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NEO is fired without cause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44" w:lineRule="exact"/>
        <w:rPr>
          <w:rFonts w:ascii="Arial" w:cs="Arial" w:eastAsia="Arial" w:hAnsi="Arial"/>
          <w:sz w:val="18"/>
          <w:szCs w:val="18"/>
          <w:color w:val="56C271"/>
        </w:rPr>
      </w:pPr>
    </w:p>
    <w:p>
      <w:pPr>
        <w:ind w:left="1540" w:right="1800" w:hanging="190"/>
        <w:spacing w:after="0" w:line="287" w:lineRule="auto"/>
        <w:tabs>
          <w:tab w:leader="none" w:pos="1540" w:val="left"/>
        </w:tabs>
        <w:numPr>
          <w:ilvl w:val="0"/>
          <w:numId w:val="75"/>
        </w:numPr>
        <w:rPr>
          <w:rFonts w:ascii="Arial" w:cs="Arial" w:eastAsia="Arial" w:hAnsi="Arial"/>
          <w:sz w:val="18"/>
          <w:szCs w:val="18"/>
          <w:color w:val="56C271"/>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constructive termination of the NEO within 24 months of the change; and</w:t>
      </w:r>
    </w:p>
    <w:p>
      <w:pPr>
        <w:spacing w:after="0" w:line="44" w:lineRule="exact"/>
        <w:rPr>
          <w:rFonts w:ascii="Arial" w:cs="Arial" w:eastAsia="Arial" w:hAnsi="Arial"/>
          <w:sz w:val="18"/>
          <w:szCs w:val="18"/>
          <w:color w:val="56C271"/>
        </w:rPr>
      </w:pPr>
    </w:p>
    <w:p>
      <w:pPr>
        <w:ind w:left="1540" w:hanging="190"/>
        <w:spacing w:after="0"/>
        <w:tabs>
          <w:tab w:leader="none" w:pos="1540" w:val="left"/>
        </w:tabs>
        <w:numPr>
          <w:ilvl w:val="0"/>
          <w:numId w:val="75"/>
        </w:numPr>
        <w:rPr>
          <w:rFonts w:ascii="Arial" w:cs="Arial" w:eastAsia="Arial" w:hAnsi="Arial"/>
          <w:sz w:val="18"/>
          <w:szCs w:val="18"/>
          <w:color w:val="56C271"/>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for the purpose of determining benefit under the stock plans, means all the following:</w:t>
      </w:r>
    </w:p>
    <w:p>
      <w:pPr>
        <w:spacing w:after="0" w:line="31" w:lineRule="exact"/>
        <w:rPr>
          <w:rFonts w:ascii="Arial" w:cs="Arial" w:eastAsia="Arial" w:hAnsi="Arial"/>
          <w:sz w:val="18"/>
          <w:szCs w:val="18"/>
          <w:color w:val="56C271"/>
        </w:rPr>
      </w:pPr>
    </w:p>
    <w:p>
      <w:pPr>
        <w:ind w:left="1540" w:right="1380"/>
        <w:spacing w:after="0" w:line="261" w:lineRule="auto"/>
        <w:rPr>
          <w:rFonts w:ascii="Arial" w:cs="Arial" w:eastAsia="Arial" w:hAnsi="Arial"/>
          <w:sz w:val="18"/>
          <w:szCs w:val="18"/>
          <w:color w:val="56C271"/>
        </w:rPr>
      </w:pPr>
      <w:r>
        <w:rPr>
          <w:rFonts w:ascii="Arial" w:cs="Arial" w:eastAsia="Arial" w:hAnsi="Arial"/>
          <w:sz w:val="18"/>
          <w:szCs w:val="18"/>
          <w:color w:val="auto"/>
        </w:rPr>
        <w:t>(a) age 55, (b) five years of service, (c) age plus years of service is equal to at least 65, and (d) the NEO must have signed a non-compete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0" w:type="dxa"/>
            <w:vAlign w:val="bottom"/>
          </w:tcPr>
          <w:p>
            <w:pPr>
              <w:spacing w:after="0"/>
              <w:rPr>
                <w:sz w:val="15"/>
                <w:szCs w:val="15"/>
                <w:color w:val="auto"/>
              </w:rPr>
            </w:pPr>
          </w:p>
        </w:tc>
        <w:tc>
          <w:tcPr>
            <w:tcW w:w="3460" w:type="dxa"/>
            <w:vAlign w:val="bottom"/>
            <w:shd w:val="clear" w:color="auto" w:fill="56C271"/>
          </w:tcPr>
          <w:p>
            <w:pPr>
              <w:spacing w:after="0"/>
              <w:rPr>
                <w:sz w:val="15"/>
                <w:szCs w:val="15"/>
                <w:color w:val="auto"/>
              </w:rPr>
            </w:pPr>
          </w:p>
        </w:tc>
        <w:tc>
          <w:tcPr>
            <w:tcW w:w="1200" w:type="dxa"/>
            <w:vAlign w:val="bottom"/>
            <w:shd w:val="clear" w:color="auto" w:fill="56C271"/>
          </w:tcPr>
          <w:p>
            <w:pPr>
              <w:spacing w:after="0"/>
              <w:rPr>
                <w:sz w:val="15"/>
                <w:szCs w:val="15"/>
                <w:color w:val="auto"/>
              </w:rPr>
            </w:pPr>
          </w:p>
        </w:tc>
        <w:tc>
          <w:tcPr>
            <w:tcW w:w="1040" w:type="dxa"/>
            <w:vAlign w:val="bottom"/>
            <w:shd w:val="clear" w:color="auto" w:fill="56C271"/>
          </w:tcPr>
          <w:p>
            <w:pPr>
              <w:spacing w:after="0"/>
              <w:rPr>
                <w:sz w:val="15"/>
                <w:szCs w:val="15"/>
                <w:color w:val="auto"/>
              </w:rPr>
            </w:pPr>
          </w:p>
        </w:tc>
        <w:tc>
          <w:tcPr>
            <w:tcW w:w="1060" w:type="dxa"/>
            <w:vAlign w:val="bottom"/>
            <w:shd w:val="clear" w:color="auto" w:fill="56C271"/>
          </w:tcPr>
          <w:p>
            <w:pPr>
              <w:jc w:val="right"/>
              <w:ind w:right="76"/>
              <w:spacing w:after="0"/>
              <w:rPr>
                <w:sz w:val="20"/>
                <w:szCs w:val="20"/>
                <w:color w:val="auto"/>
              </w:rPr>
            </w:pPr>
            <w:r>
              <w:rPr>
                <w:rFonts w:ascii="Arial" w:cs="Arial" w:eastAsia="Arial" w:hAnsi="Arial"/>
                <w:sz w:val="14"/>
                <w:szCs w:val="14"/>
                <w:b w:val="1"/>
                <w:bCs w:val="1"/>
                <w:color w:val="FEFEFE"/>
              </w:rPr>
              <w:t>Company</w:t>
            </w:r>
          </w:p>
        </w:tc>
        <w:tc>
          <w:tcPr>
            <w:tcW w:w="1020" w:type="dxa"/>
            <w:vAlign w:val="bottom"/>
            <w:shd w:val="clear" w:color="auto" w:fill="56C271"/>
          </w:tcPr>
          <w:p>
            <w:pPr>
              <w:spacing w:after="0"/>
              <w:rPr>
                <w:sz w:val="15"/>
                <w:szCs w:val="15"/>
                <w:color w:val="auto"/>
              </w:rPr>
            </w:pPr>
          </w:p>
        </w:tc>
        <w:tc>
          <w:tcPr>
            <w:tcW w:w="980" w:type="dxa"/>
            <w:vAlign w:val="bottom"/>
            <w:shd w:val="clear" w:color="auto" w:fill="56C271"/>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980" w:type="dxa"/>
            <w:vAlign w:val="bottom"/>
          </w:tcPr>
          <w:p>
            <w:pPr>
              <w:spacing w:after="0"/>
              <w:rPr>
                <w:sz w:val="14"/>
                <w:szCs w:val="14"/>
                <w:color w:val="auto"/>
              </w:rPr>
            </w:pPr>
          </w:p>
        </w:tc>
        <w:tc>
          <w:tcPr>
            <w:tcW w:w="3460" w:type="dxa"/>
            <w:vAlign w:val="bottom"/>
            <w:shd w:val="clear" w:color="auto" w:fill="56C271"/>
          </w:tcPr>
          <w:p>
            <w:pPr>
              <w:spacing w:after="0"/>
              <w:rPr>
                <w:sz w:val="14"/>
                <w:szCs w:val="14"/>
                <w:color w:val="auto"/>
              </w:rPr>
            </w:pPr>
          </w:p>
        </w:tc>
        <w:tc>
          <w:tcPr>
            <w:tcW w:w="1200" w:type="dxa"/>
            <w:vAlign w:val="bottom"/>
            <w:shd w:val="clear" w:color="auto" w:fill="56C271"/>
          </w:tcPr>
          <w:p>
            <w:pPr>
              <w:spacing w:after="0"/>
              <w:rPr>
                <w:sz w:val="14"/>
                <w:szCs w:val="14"/>
                <w:color w:val="auto"/>
              </w:rPr>
            </w:pPr>
          </w:p>
        </w:tc>
        <w:tc>
          <w:tcPr>
            <w:tcW w:w="1040" w:type="dxa"/>
            <w:vAlign w:val="bottom"/>
            <w:shd w:val="clear" w:color="auto" w:fill="56C271"/>
          </w:tcPr>
          <w:p>
            <w:pPr>
              <w:spacing w:after="0"/>
              <w:rPr>
                <w:sz w:val="14"/>
                <w:szCs w:val="14"/>
                <w:color w:val="auto"/>
              </w:rPr>
            </w:pPr>
          </w:p>
        </w:tc>
        <w:tc>
          <w:tcPr>
            <w:tcW w:w="1060" w:type="dxa"/>
            <w:vAlign w:val="bottom"/>
            <w:shd w:val="clear" w:color="auto" w:fill="56C271"/>
          </w:tcPr>
          <w:p>
            <w:pPr>
              <w:jc w:val="right"/>
              <w:ind w:right="76"/>
              <w:spacing w:after="0"/>
              <w:rPr>
                <w:sz w:val="20"/>
                <w:szCs w:val="20"/>
                <w:color w:val="auto"/>
              </w:rPr>
            </w:pPr>
            <w:r>
              <w:rPr>
                <w:rFonts w:ascii="Arial" w:cs="Arial" w:eastAsia="Arial" w:hAnsi="Arial"/>
                <w:sz w:val="14"/>
                <w:szCs w:val="14"/>
                <w:b w:val="1"/>
                <w:bCs w:val="1"/>
                <w:color w:val="FEFEFE"/>
              </w:rPr>
              <w:t>Termination</w:t>
            </w:r>
          </w:p>
        </w:tc>
        <w:tc>
          <w:tcPr>
            <w:tcW w:w="1020" w:type="dxa"/>
            <w:vAlign w:val="bottom"/>
            <w:shd w:val="clear" w:color="auto" w:fill="56C271"/>
          </w:tcPr>
          <w:p>
            <w:pPr>
              <w:jc w:val="right"/>
              <w:ind w:right="55"/>
              <w:spacing w:after="0"/>
              <w:rPr>
                <w:sz w:val="20"/>
                <w:szCs w:val="20"/>
                <w:color w:val="auto"/>
              </w:rPr>
            </w:pPr>
            <w:r>
              <w:rPr>
                <w:rFonts w:ascii="Arial" w:cs="Arial" w:eastAsia="Arial" w:hAnsi="Arial"/>
                <w:sz w:val="14"/>
                <w:szCs w:val="14"/>
                <w:b w:val="1"/>
                <w:bCs w:val="1"/>
                <w:color w:val="FEFEFE"/>
              </w:rPr>
              <w:t>Change of</w:t>
            </w:r>
          </w:p>
        </w:tc>
        <w:tc>
          <w:tcPr>
            <w:tcW w:w="980" w:type="dxa"/>
            <w:vAlign w:val="bottom"/>
            <w:shd w:val="clear" w:color="auto" w:fill="56C271"/>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3460" w:type="dxa"/>
            <w:vAlign w:val="bottom"/>
            <w:shd w:val="clear" w:color="auto" w:fill="56C271"/>
          </w:tcPr>
          <w:p>
            <w:pPr>
              <w:spacing w:after="0"/>
              <w:rPr>
                <w:sz w:val="14"/>
                <w:szCs w:val="14"/>
                <w:color w:val="auto"/>
              </w:rPr>
            </w:pPr>
          </w:p>
        </w:tc>
        <w:tc>
          <w:tcPr>
            <w:tcW w:w="1200" w:type="dxa"/>
            <w:vAlign w:val="bottom"/>
            <w:shd w:val="clear" w:color="auto" w:fill="56C271"/>
          </w:tcPr>
          <w:p>
            <w:pPr>
              <w:spacing w:after="0"/>
              <w:rPr>
                <w:sz w:val="14"/>
                <w:szCs w:val="14"/>
                <w:color w:val="auto"/>
              </w:rPr>
            </w:pPr>
          </w:p>
        </w:tc>
        <w:tc>
          <w:tcPr>
            <w:tcW w:w="1040" w:type="dxa"/>
            <w:vAlign w:val="bottom"/>
            <w:shd w:val="clear" w:color="auto" w:fill="56C271"/>
          </w:tcPr>
          <w:p>
            <w:pPr>
              <w:jc w:val="right"/>
              <w:ind w:right="73"/>
              <w:spacing w:after="0"/>
              <w:rPr>
                <w:sz w:val="20"/>
                <w:szCs w:val="20"/>
                <w:color w:val="auto"/>
              </w:rPr>
            </w:pPr>
            <w:r>
              <w:rPr>
                <w:rFonts w:ascii="Arial" w:cs="Arial" w:eastAsia="Arial" w:hAnsi="Arial"/>
                <w:sz w:val="14"/>
                <w:szCs w:val="14"/>
                <w:b w:val="1"/>
                <w:bCs w:val="1"/>
                <w:color w:val="FEFEFE"/>
              </w:rPr>
              <w:t>Disability</w:t>
            </w:r>
          </w:p>
        </w:tc>
        <w:tc>
          <w:tcPr>
            <w:tcW w:w="1060" w:type="dxa"/>
            <w:vAlign w:val="bottom"/>
            <w:shd w:val="clear" w:color="auto" w:fill="56C271"/>
          </w:tcPr>
          <w:p>
            <w:pPr>
              <w:jc w:val="right"/>
              <w:ind w:right="76"/>
              <w:spacing w:after="0"/>
              <w:rPr>
                <w:sz w:val="20"/>
                <w:szCs w:val="20"/>
                <w:color w:val="auto"/>
              </w:rPr>
            </w:pPr>
            <w:r>
              <w:rPr>
                <w:rFonts w:ascii="Arial" w:cs="Arial" w:eastAsia="Arial" w:hAnsi="Arial"/>
                <w:sz w:val="14"/>
                <w:szCs w:val="14"/>
                <w:b w:val="1"/>
                <w:bCs w:val="1"/>
                <w:color w:val="FEFEFE"/>
              </w:rPr>
              <w:t>w/o Cause</w:t>
            </w:r>
          </w:p>
        </w:tc>
        <w:tc>
          <w:tcPr>
            <w:tcW w:w="1020" w:type="dxa"/>
            <w:vAlign w:val="bottom"/>
            <w:shd w:val="clear" w:color="auto" w:fill="56C271"/>
          </w:tcPr>
          <w:p>
            <w:pPr>
              <w:jc w:val="right"/>
              <w:ind w:right="55"/>
              <w:spacing w:after="0"/>
              <w:rPr>
                <w:sz w:val="20"/>
                <w:szCs w:val="20"/>
                <w:color w:val="auto"/>
              </w:rPr>
            </w:pPr>
            <w:r>
              <w:rPr>
                <w:rFonts w:ascii="Arial" w:cs="Arial" w:eastAsia="Arial" w:hAnsi="Arial"/>
                <w:sz w:val="14"/>
                <w:szCs w:val="14"/>
                <w:b w:val="1"/>
                <w:bCs w:val="1"/>
                <w:color w:val="FEFEFE"/>
              </w:rPr>
              <w:t>Control</w:t>
            </w:r>
          </w:p>
        </w:tc>
        <w:tc>
          <w:tcPr>
            <w:tcW w:w="980" w:type="dxa"/>
            <w:vAlign w:val="bottom"/>
            <w:shd w:val="clear" w:color="auto" w:fill="56C271"/>
          </w:tcPr>
          <w:p>
            <w:pPr>
              <w:jc w:val="right"/>
              <w:ind w:right="13"/>
              <w:spacing w:after="0"/>
              <w:rPr>
                <w:sz w:val="20"/>
                <w:szCs w:val="20"/>
                <w:color w:val="auto"/>
              </w:rPr>
            </w:pPr>
            <w:r>
              <w:rPr>
                <w:rFonts w:ascii="Arial" w:cs="Arial" w:eastAsia="Arial" w:hAnsi="Arial"/>
                <w:sz w:val="14"/>
                <w:szCs w:val="14"/>
                <w:b w:val="1"/>
                <w:bCs w:val="1"/>
                <w:color w:val="FEFEFE"/>
              </w:rPr>
              <w:t>Retirement</w:t>
            </w:r>
          </w:p>
        </w:tc>
        <w:tc>
          <w:tcPr>
            <w:tcW w:w="980" w:type="dxa"/>
            <w:vAlign w:val="bottom"/>
          </w:tcPr>
          <w:p>
            <w:pPr>
              <w:spacing w:after="0"/>
              <w:rPr>
                <w:sz w:val="14"/>
                <w:szCs w:val="14"/>
                <w:color w:val="auto"/>
              </w:rPr>
            </w:pPr>
          </w:p>
        </w:tc>
      </w:tr>
      <w:tr>
        <w:trPr>
          <w:trHeight w:val="175"/>
        </w:trPr>
        <w:tc>
          <w:tcPr>
            <w:tcW w:w="980" w:type="dxa"/>
            <w:vAlign w:val="bottom"/>
          </w:tcPr>
          <w:p>
            <w:pPr>
              <w:spacing w:after="0"/>
              <w:rPr>
                <w:sz w:val="15"/>
                <w:szCs w:val="15"/>
                <w:color w:val="auto"/>
              </w:rPr>
            </w:pPr>
          </w:p>
        </w:tc>
        <w:tc>
          <w:tcPr>
            <w:tcW w:w="3460" w:type="dxa"/>
            <w:vAlign w:val="bottom"/>
            <w:shd w:val="clear" w:color="auto" w:fill="56C271"/>
          </w:tcPr>
          <w:p>
            <w:pPr>
              <w:spacing w:after="0"/>
              <w:rPr>
                <w:sz w:val="15"/>
                <w:szCs w:val="15"/>
                <w:color w:val="auto"/>
              </w:rPr>
            </w:pPr>
          </w:p>
        </w:tc>
        <w:tc>
          <w:tcPr>
            <w:tcW w:w="1200" w:type="dxa"/>
            <w:vAlign w:val="bottom"/>
            <w:shd w:val="clear" w:color="auto" w:fill="56C271"/>
          </w:tcPr>
          <w:p>
            <w:pPr>
              <w:jc w:val="right"/>
              <w:ind w:right="12"/>
              <w:spacing w:after="0"/>
              <w:rPr>
                <w:sz w:val="20"/>
                <w:szCs w:val="20"/>
                <w:color w:val="auto"/>
              </w:rPr>
            </w:pPr>
            <w:r>
              <w:rPr>
                <w:rFonts w:ascii="Arial" w:cs="Arial" w:eastAsia="Arial" w:hAnsi="Arial"/>
                <w:sz w:val="14"/>
                <w:szCs w:val="14"/>
                <w:b w:val="1"/>
                <w:bCs w:val="1"/>
                <w:color w:val="FEFEFE"/>
              </w:rPr>
              <w:t>Death ($)</w:t>
            </w:r>
          </w:p>
        </w:tc>
        <w:tc>
          <w:tcPr>
            <w:tcW w:w="1040" w:type="dxa"/>
            <w:vAlign w:val="bottom"/>
            <w:shd w:val="clear" w:color="auto" w:fill="56C271"/>
          </w:tcPr>
          <w:p>
            <w:pPr>
              <w:jc w:val="right"/>
              <w:ind w:right="33"/>
              <w:spacing w:after="0"/>
              <w:rPr>
                <w:sz w:val="20"/>
                <w:szCs w:val="20"/>
                <w:color w:val="auto"/>
              </w:rPr>
            </w:pPr>
            <w:r>
              <w:rPr>
                <w:rFonts w:ascii="Arial" w:cs="Arial" w:eastAsia="Arial" w:hAnsi="Arial"/>
                <w:sz w:val="14"/>
                <w:szCs w:val="14"/>
                <w:b w:val="1"/>
                <w:bCs w:val="1"/>
                <w:color w:val="FEFEFE"/>
              </w:rPr>
              <w:t>($)</w:t>
            </w:r>
          </w:p>
        </w:tc>
        <w:tc>
          <w:tcPr>
            <w:tcW w:w="1060" w:type="dxa"/>
            <w:vAlign w:val="bottom"/>
            <w:shd w:val="clear" w:color="auto" w:fill="56C271"/>
          </w:tcPr>
          <w:p>
            <w:pPr>
              <w:jc w:val="right"/>
              <w:ind w:right="36"/>
              <w:spacing w:after="0"/>
              <w:rPr>
                <w:sz w:val="20"/>
                <w:szCs w:val="20"/>
                <w:color w:val="auto"/>
              </w:rPr>
            </w:pPr>
            <w:r>
              <w:rPr>
                <w:rFonts w:ascii="Arial" w:cs="Arial" w:eastAsia="Arial" w:hAnsi="Arial"/>
                <w:sz w:val="14"/>
                <w:szCs w:val="14"/>
                <w:b w:val="1"/>
                <w:bCs w:val="1"/>
                <w:color w:val="FEFEFE"/>
              </w:rPr>
              <w:t>($)</w:t>
            </w:r>
          </w:p>
        </w:tc>
        <w:tc>
          <w:tcPr>
            <w:tcW w:w="1020" w:type="dxa"/>
            <w:vAlign w:val="bottom"/>
            <w:shd w:val="clear" w:color="auto" w:fill="56C271"/>
          </w:tcPr>
          <w:p>
            <w:pPr>
              <w:jc w:val="right"/>
              <w:ind w:right="15"/>
              <w:spacing w:after="0"/>
              <w:rPr>
                <w:sz w:val="20"/>
                <w:szCs w:val="20"/>
                <w:color w:val="auto"/>
              </w:rPr>
            </w:pPr>
            <w:r>
              <w:rPr>
                <w:rFonts w:ascii="Arial" w:cs="Arial" w:eastAsia="Arial" w:hAnsi="Arial"/>
                <w:sz w:val="14"/>
                <w:szCs w:val="14"/>
                <w:b w:val="1"/>
                <w:bCs w:val="1"/>
                <w:color w:val="FEFEFE"/>
              </w:rPr>
              <w:t>($)</w:t>
            </w: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980" w:type="dxa"/>
            <w:vAlign w:val="bottom"/>
          </w:tcPr>
          <w:p>
            <w:pPr>
              <w:spacing w:after="0"/>
              <w:rPr>
                <w:sz w:val="15"/>
                <w:szCs w:val="15"/>
                <w:color w:val="auto"/>
              </w:rPr>
            </w:pPr>
          </w:p>
        </w:tc>
      </w:tr>
      <w:tr>
        <w:trPr>
          <w:trHeight w:val="202"/>
        </w:trPr>
        <w:tc>
          <w:tcPr>
            <w:tcW w:w="980" w:type="dxa"/>
            <w:vAlign w:val="bottom"/>
          </w:tcPr>
          <w:p>
            <w:pPr>
              <w:spacing w:after="0"/>
              <w:rPr>
                <w:sz w:val="17"/>
                <w:szCs w:val="17"/>
                <w:color w:val="auto"/>
              </w:rPr>
            </w:pPr>
          </w:p>
        </w:tc>
        <w:tc>
          <w:tcPr>
            <w:tcW w:w="3460" w:type="dxa"/>
            <w:vAlign w:val="bottom"/>
          </w:tcPr>
          <w:p>
            <w:pPr>
              <w:ind w:left="60"/>
              <w:spacing w:after="0" w:line="202" w:lineRule="exact"/>
              <w:rPr>
                <w:sz w:val="20"/>
                <w:szCs w:val="20"/>
                <w:color w:val="auto"/>
              </w:rPr>
            </w:pPr>
            <w:r>
              <w:rPr>
                <w:rFonts w:ascii="Arial" w:cs="Arial" w:eastAsia="Arial" w:hAnsi="Arial"/>
                <w:sz w:val="18"/>
                <w:szCs w:val="18"/>
                <w:color w:val="auto"/>
              </w:rPr>
              <w:t>Philip R. Gallagher</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980" w:type="dxa"/>
            <w:vAlign w:val="bottom"/>
          </w:tcPr>
          <w:p>
            <w:pPr>
              <w:spacing w:after="0"/>
              <w:rPr>
                <w:sz w:val="22"/>
                <w:szCs w:val="22"/>
                <w:color w:val="auto"/>
              </w:rPr>
            </w:pPr>
          </w:p>
        </w:tc>
        <w:tc>
          <w:tcPr>
            <w:tcW w:w="3460" w:type="dxa"/>
            <w:vAlign w:val="bottom"/>
          </w:tcPr>
          <w:p>
            <w:pPr>
              <w:ind w:left="240"/>
              <w:spacing w:after="0" w:line="256"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2,500,000</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7,475,000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r>
      <w:tr>
        <w:trPr>
          <w:trHeight w:val="216"/>
        </w:trPr>
        <w:tc>
          <w:tcPr>
            <w:tcW w:w="980" w:type="dxa"/>
            <w:vAlign w:val="bottom"/>
          </w:tcPr>
          <w:p>
            <w:pPr>
              <w:spacing w:after="0"/>
              <w:rPr>
                <w:sz w:val="18"/>
                <w:szCs w:val="18"/>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Settlement of previously vested stock</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980" w:type="dxa"/>
            <w:vAlign w:val="bottom"/>
          </w:tcPr>
          <w:p>
            <w:pPr>
              <w:spacing w:after="0"/>
              <w:rPr>
                <w:sz w:val="18"/>
                <w:szCs w:val="18"/>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options</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95,612</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95,612</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95,612</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95,612</w:t>
            </w:r>
          </w:p>
        </w:tc>
        <w:tc>
          <w:tcPr>
            <w:tcW w:w="980" w:type="dxa"/>
            <w:vAlign w:val="bottom"/>
          </w:tcPr>
          <w:p>
            <w:pPr>
              <w:jc w:val="right"/>
              <w:spacing w:after="0"/>
              <w:rPr>
                <w:sz w:val="20"/>
                <w:szCs w:val="20"/>
                <w:color w:val="auto"/>
              </w:rPr>
            </w:pPr>
            <w:r>
              <w:rPr>
                <w:rFonts w:ascii="Arial" w:cs="Arial" w:eastAsia="Arial" w:hAnsi="Arial"/>
                <w:sz w:val="18"/>
                <w:szCs w:val="18"/>
                <w:color w:val="auto"/>
              </w:rPr>
              <w:t>95,612</w:t>
            </w:r>
          </w:p>
        </w:tc>
        <w:tc>
          <w:tcPr>
            <w:tcW w:w="980" w:type="dxa"/>
            <w:vAlign w:val="bottom"/>
          </w:tcPr>
          <w:p>
            <w:pPr>
              <w:spacing w:after="0"/>
              <w:rPr>
                <w:sz w:val="18"/>
                <w:szCs w:val="18"/>
                <w:color w:val="auto"/>
              </w:rPr>
            </w:pPr>
          </w:p>
        </w:tc>
      </w:tr>
      <w:tr>
        <w:trPr>
          <w:trHeight w:val="202"/>
        </w:trPr>
        <w:tc>
          <w:tcPr>
            <w:tcW w:w="980" w:type="dxa"/>
            <w:vAlign w:val="bottom"/>
          </w:tcPr>
          <w:p>
            <w:pPr>
              <w:spacing w:after="0"/>
              <w:rPr>
                <w:sz w:val="17"/>
                <w:szCs w:val="17"/>
                <w:color w:val="auto"/>
              </w:rPr>
            </w:pPr>
          </w:p>
        </w:tc>
        <w:tc>
          <w:tcPr>
            <w:tcW w:w="3460" w:type="dxa"/>
            <w:vAlign w:val="bottom"/>
          </w:tcPr>
          <w:p>
            <w:pPr>
              <w:ind w:left="240"/>
              <w:spacing w:after="0" w:line="202" w:lineRule="exact"/>
              <w:rPr>
                <w:sz w:val="20"/>
                <w:szCs w:val="20"/>
                <w:color w:val="auto"/>
              </w:rPr>
            </w:pPr>
            <w:r>
              <w:rPr>
                <w:rFonts w:ascii="Arial" w:cs="Arial" w:eastAsia="Arial" w:hAnsi="Arial"/>
                <w:sz w:val="18"/>
                <w:szCs w:val="18"/>
                <w:color w:val="auto"/>
              </w:rPr>
              <w:t>Settlement of unvested stock options</w:t>
            </w: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2,062,320</w:t>
            </w:r>
          </w:p>
        </w:tc>
        <w:tc>
          <w:tcPr>
            <w:tcW w:w="10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27,661</w:t>
            </w:r>
          </w:p>
        </w:tc>
        <w:tc>
          <w:tcPr>
            <w:tcW w:w="10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2,062,320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27,661</w:t>
            </w:r>
          </w:p>
        </w:tc>
        <w:tc>
          <w:tcPr>
            <w:tcW w:w="980" w:type="dxa"/>
            <w:vAlign w:val="bottom"/>
          </w:tcPr>
          <w:p>
            <w:pPr>
              <w:spacing w:after="0"/>
              <w:rPr>
                <w:sz w:val="17"/>
                <w:szCs w:val="17"/>
                <w:color w:val="auto"/>
              </w:rPr>
            </w:pPr>
          </w:p>
        </w:tc>
      </w:tr>
      <w:tr>
        <w:trPr>
          <w:trHeight w:val="229"/>
        </w:trPr>
        <w:tc>
          <w:tcPr>
            <w:tcW w:w="980" w:type="dxa"/>
            <w:vAlign w:val="bottom"/>
          </w:tcPr>
          <w:p>
            <w:pPr>
              <w:spacing w:after="0"/>
              <w:rPr>
                <w:sz w:val="19"/>
                <w:szCs w:val="19"/>
                <w:color w:val="auto"/>
              </w:rPr>
            </w:pPr>
          </w:p>
        </w:tc>
        <w:tc>
          <w:tcPr>
            <w:tcW w:w="3460" w:type="dxa"/>
            <w:vAlign w:val="bottom"/>
          </w:tcPr>
          <w:p>
            <w:pPr>
              <w:ind w:left="240"/>
              <w:spacing w:after="0" w:line="230"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(2)(5)</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2,027,759</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239,499</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239,499</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2,027,759</w:t>
            </w:r>
          </w:p>
        </w:tc>
        <w:tc>
          <w:tcPr>
            <w:tcW w:w="980" w:type="dxa"/>
            <w:vAlign w:val="bottom"/>
          </w:tcPr>
          <w:p>
            <w:pPr>
              <w:jc w:val="right"/>
              <w:spacing w:after="0"/>
              <w:rPr>
                <w:sz w:val="20"/>
                <w:szCs w:val="20"/>
                <w:color w:val="auto"/>
              </w:rPr>
            </w:pPr>
            <w:r>
              <w:rPr>
                <w:rFonts w:ascii="Arial" w:cs="Arial" w:eastAsia="Arial" w:hAnsi="Arial"/>
                <w:sz w:val="18"/>
                <w:szCs w:val="18"/>
                <w:color w:val="auto"/>
              </w:rPr>
              <w:t>239,499</w:t>
            </w:r>
          </w:p>
        </w:tc>
        <w:tc>
          <w:tcPr>
            <w:tcW w:w="980" w:type="dxa"/>
            <w:vAlign w:val="bottom"/>
          </w:tcPr>
          <w:p>
            <w:pPr>
              <w:spacing w:after="0"/>
              <w:rPr>
                <w:sz w:val="19"/>
                <w:szCs w:val="19"/>
                <w:color w:val="auto"/>
              </w:rPr>
            </w:pPr>
          </w:p>
        </w:tc>
      </w:tr>
      <w:tr>
        <w:trPr>
          <w:trHeight w:val="270"/>
        </w:trPr>
        <w:tc>
          <w:tcPr>
            <w:tcW w:w="980" w:type="dxa"/>
            <w:vAlign w:val="bottom"/>
          </w:tcPr>
          <w:p>
            <w:pPr>
              <w:spacing w:after="0"/>
              <w:rPr>
                <w:sz w:val="23"/>
                <w:szCs w:val="23"/>
                <w:color w:val="auto"/>
              </w:rPr>
            </w:pPr>
          </w:p>
        </w:tc>
        <w:tc>
          <w:tcPr>
            <w:tcW w:w="3460" w:type="dxa"/>
            <w:vAlign w:val="bottom"/>
          </w:tcPr>
          <w:p>
            <w:pPr>
              <w:ind w:left="240"/>
              <w:spacing w:after="0" w:line="270"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(3)(5)</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453,540</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680,310</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680,310</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680,310</w:t>
            </w:r>
          </w:p>
        </w:tc>
        <w:tc>
          <w:tcPr>
            <w:tcW w:w="980" w:type="dxa"/>
            <w:vAlign w:val="bottom"/>
          </w:tcPr>
          <w:p>
            <w:pPr>
              <w:jc w:val="right"/>
              <w:spacing w:after="0"/>
              <w:rPr>
                <w:sz w:val="20"/>
                <w:szCs w:val="20"/>
                <w:color w:val="auto"/>
              </w:rPr>
            </w:pPr>
            <w:r>
              <w:rPr>
                <w:rFonts w:ascii="Arial" w:cs="Arial" w:eastAsia="Arial" w:hAnsi="Arial"/>
                <w:sz w:val="18"/>
                <w:szCs w:val="18"/>
                <w:color w:val="auto"/>
              </w:rPr>
              <w:t>680,310</w:t>
            </w:r>
          </w:p>
        </w:tc>
        <w:tc>
          <w:tcPr>
            <w:tcW w:w="980" w:type="dxa"/>
            <w:vAlign w:val="bottom"/>
          </w:tcPr>
          <w:p>
            <w:pPr>
              <w:spacing w:after="0"/>
              <w:rPr>
                <w:sz w:val="23"/>
                <w:szCs w:val="23"/>
                <w:color w:val="auto"/>
              </w:rPr>
            </w:pPr>
          </w:p>
        </w:tc>
      </w:tr>
      <w:tr>
        <w:trPr>
          <w:trHeight w:val="216"/>
        </w:trPr>
        <w:tc>
          <w:tcPr>
            <w:tcW w:w="980" w:type="dxa"/>
            <w:vAlign w:val="bottom"/>
          </w:tcPr>
          <w:p>
            <w:pPr>
              <w:spacing w:after="0"/>
              <w:rPr>
                <w:sz w:val="18"/>
                <w:szCs w:val="18"/>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Welfare benefits</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72,402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Life insurance benefit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176"/>
        </w:trPr>
        <w:tc>
          <w:tcPr>
            <w:tcW w:w="980" w:type="dxa"/>
            <w:vAlign w:val="bottom"/>
          </w:tcPr>
          <w:p>
            <w:pPr>
              <w:spacing w:after="0"/>
              <w:rPr>
                <w:sz w:val="15"/>
                <w:szCs w:val="15"/>
                <w:color w:val="auto"/>
              </w:rPr>
            </w:pPr>
          </w:p>
        </w:tc>
        <w:tc>
          <w:tcPr>
            <w:tcW w:w="3460" w:type="dxa"/>
            <w:vAlign w:val="bottom"/>
          </w:tcPr>
          <w:p>
            <w:pPr>
              <w:ind w:left="240"/>
              <w:spacing w:after="0" w:line="176" w:lineRule="exact"/>
              <w:rPr>
                <w:sz w:val="20"/>
                <w:szCs w:val="20"/>
                <w:color w:val="auto"/>
              </w:rPr>
            </w:pPr>
            <w:r>
              <w:rPr>
                <w:rFonts w:ascii="Arial" w:cs="Arial" w:eastAsia="Arial" w:hAnsi="Arial"/>
                <w:sz w:val="18"/>
                <w:szCs w:val="18"/>
                <w:color w:val="auto"/>
              </w:rPr>
              <w:t>Pension</w:t>
            </w:r>
          </w:p>
        </w:tc>
        <w:tc>
          <w:tcPr>
            <w:tcW w:w="1200" w:type="dxa"/>
            <w:vAlign w:val="bottom"/>
          </w:tcPr>
          <w:p>
            <w:pPr>
              <w:jc w:val="right"/>
              <w:ind w:right="12"/>
              <w:spacing w:after="0" w:line="176" w:lineRule="exact"/>
              <w:rPr>
                <w:sz w:val="20"/>
                <w:szCs w:val="20"/>
                <w:color w:val="auto"/>
              </w:rPr>
            </w:pPr>
            <w:r>
              <w:rPr>
                <w:rFonts w:ascii="Arial" w:cs="Arial" w:eastAsia="Arial" w:hAnsi="Arial"/>
                <w:sz w:val="18"/>
                <w:szCs w:val="18"/>
                <w:color w:val="auto"/>
              </w:rPr>
              <w:t>98,263</w:t>
            </w:r>
          </w:p>
        </w:tc>
        <w:tc>
          <w:tcPr>
            <w:tcW w:w="1040" w:type="dxa"/>
            <w:vAlign w:val="bottom"/>
          </w:tcPr>
          <w:p>
            <w:pPr>
              <w:jc w:val="right"/>
              <w:ind w:right="33"/>
              <w:spacing w:after="0" w:line="176" w:lineRule="exact"/>
              <w:rPr>
                <w:sz w:val="20"/>
                <w:szCs w:val="20"/>
                <w:color w:val="auto"/>
              </w:rPr>
            </w:pPr>
            <w:r>
              <w:rPr>
                <w:rFonts w:ascii="Arial" w:cs="Arial" w:eastAsia="Arial" w:hAnsi="Arial"/>
                <w:sz w:val="18"/>
                <w:szCs w:val="18"/>
                <w:color w:val="auto"/>
              </w:rPr>
              <w:t>98,263</w:t>
            </w:r>
          </w:p>
        </w:tc>
        <w:tc>
          <w:tcPr>
            <w:tcW w:w="1060" w:type="dxa"/>
            <w:vAlign w:val="bottom"/>
          </w:tcPr>
          <w:p>
            <w:pPr>
              <w:jc w:val="right"/>
              <w:ind w:right="36"/>
              <w:spacing w:after="0" w:line="176" w:lineRule="exact"/>
              <w:rPr>
                <w:sz w:val="20"/>
                <w:szCs w:val="20"/>
                <w:color w:val="auto"/>
              </w:rPr>
            </w:pPr>
            <w:r>
              <w:rPr>
                <w:rFonts w:ascii="Arial" w:cs="Arial" w:eastAsia="Arial" w:hAnsi="Arial"/>
                <w:sz w:val="18"/>
                <w:szCs w:val="18"/>
                <w:color w:val="auto"/>
              </w:rPr>
              <w:t>98,263</w:t>
            </w:r>
          </w:p>
        </w:tc>
        <w:tc>
          <w:tcPr>
            <w:tcW w:w="1020" w:type="dxa"/>
            <w:vAlign w:val="bottom"/>
          </w:tcPr>
          <w:p>
            <w:pPr>
              <w:jc w:val="right"/>
              <w:ind w:right="35"/>
              <w:spacing w:after="0" w:line="176" w:lineRule="exact"/>
              <w:rPr>
                <w:sz w:val="20"/>
                <w:szCs w:val="20"/>
                <w:color w:val="auto"/>
              </w:rPr>
            </w:pPr>
            <w:r>
              <w:rPr>
                <w:rFonts w:ascii="Arial" w:cs="Arial" w:eastAsia="Arial" w:hAnsi="Arial"/>
                <w:sz w:val="18"/>
                <w:szCs w:val="18"/>
                <w:color w:val="auto"/>
              </w:rPr>
              <w:t>98,263</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98,263</w:t>
            </w:r>
          </w:p>
        </w:tc>
        <w:tc>
          <w:tcPr>
            <w:tcW w:w="980" w:type="dxa"/>
            <w:vAlign w:val="bottom"/>
          </w:tcPr>
          <w:p>
            <w:pPr>
              <w:spacing w:after="0"/>
              <w:rPr>
                <w:sz w:val="15"/>
                <w:szCs w:val="15"/>
                <w:color w:val="auto"/>
              </w:rPr>
            </w:pPr>
          </w:p>
        </w:tc>
      </w:tr>
      <w:tr>
        <w:trPr>
          <w:trHeight w:val="345"/>
        </w:trPr>
        <w:tc>
          <w:tcPr>
            <w:tcW w:w="980" w:type="dxa"/>
            <w:vAlign w:val="bottom"/>
          </w:tcPr>
          <w:p>
            <w:pPr>
              <w:spacing w:after="0"/>
              <w:rPr>
                <w:sz w:val="24"/>
                <w:szCs w:val="24"/>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Nonqualified retirement plans</w:t>
            </w:r>
            <w:r>
              <w:rPr>
                <w:rFonts w:ascii="Arial" w:cs="Arial" w:eastAsia="Arial" w:hAnsi="Arial"/>
                <w:sz w:val="26"/>
                <w:szCs w:val="26"/>
                <w:color w:val="auto"/>
                <w:vertAlign w:val="superscript"/>
              </w:rPr>
              <w:t>(6)</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6,493,546</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2,944,670</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2,944,670</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2,944,670</w:t>
            </w:r>
          </w:p>
        </w:tc>
        <w:tc>
          <w:tcPr>
            <w:tcW w:w="980" w:type="dxa"/>
            <w:vAlign w:val="bottom"/>
          </w:tcPr>
          <w:p>
            <w:pPr>
              <w:jc w:val="right"/>
              <w:spacing w:after="0"/>
              <w:rPr>
                <w:sz w:val="20"/>
                <w:szCs w:val="20"/>
                <w:color w:val="auto"/>
              </w:rPr>
            </w:pPr>
            <w:r>
              <w:rPr>
                <w:rFonts w:ascii="Arial" w:cs="Arial" w:eastAsia="Arial" w:hAnsi="Arial"/>
                <w:sz w:val="18"/>
                <w:szCs w:val="18"/>
                <w:color w:val="auto"/>
              </w:rPr>
              <w:t>2,944,670</w:t>
            </w:r>
          </w:p>
        </w:tc>
        <w:tc>
          <w:tcPr>
            <w:tcW w:w="980" w:type="dxa"/>
            <w:vAlign w:val="bottom"/>
          </w:tcPr>
          <w:p>
            <w:pPr>
              <w:spacing w:after="0"/>
              <w:rPr>
                <w:sz w:val="24"/>
                <w:szCs w:val="24"/>
                <w:color w:val="auto"/>
              </w:rPr>
            </w:pPr>
          </w:p>
        </w:tc>
      </w:tr>
      <w:tr>
        <w:trPr>
          <w:trHeight w:val="722"/>
        </w:trPr>
        <w:tc>
          <w:tcPr>
            <w:tcW w:w="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980" w:type="dxa"/>
            <w:vAlign w:val="bottom"/>
          </w:tcPr>
          <w:p>
            <w:pPr>
              <w:spacing w:after="0"/>
              <w:rPr>
                <w:sz w:val="24"/>
                <w:szCs w:val="24"/>
                <w:color w:val="auto"/>
              </w:rPr>
            </w:pPr>
          </w:p>
        </w:tc>
      </w:tr>
      <w:tr>
        <w:trPr>
          <w:trHeight w:val="453"/>
        </w:trPr>
        <w:tc>
          <w:tcPr>
            <w:tcW w:w="9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-573405</wp:posOffset>
            </wp:positionV>
            <wp:extent cx="1482725" cy="3003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3580" w:type="dxa"/>
            <w:vAlign w:val="bottom"/>
          </w:tcPr>
          <w:p>
            <w:pPr>
              <w:ind w:left="20"/>
              <w:spacing w:after="0"/>
              <w:rPr>
                <w:sz w:val="20"/>
                <w:szCs w:val="20"/>
                <w:color w:val="auto"/>
              </w:rPr>
            </w:pPr>
            <w:r>
              <w:rPr>
                <w:rFonts w:ascii="Arial" w:cs="Arial" w:eastAsia="Arial" w:hAnsi="Arial"/>
                <w:sz w:val="14"/>
                <w:szCs w:val="14"/>
                <w:b w:val="1"/>
                <w:bCs w:val="1"/>
                <w:color w:val="56C271"/>
              </w:rPr>
              <w:t>2021 ANNUAL</w:t>
            </w: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gridSpan w:val="4"/>
            <w:vMerge w:val="restart"/>
          </w:tcPr>
          <w:p>
            <w:pPr>
              <w:ind w:left="760"/>
              <w:spacing w:after="0"/>
              <w:rPr>
                <w:sz w:val="20"/>
                <w:szCs w:val="20"/>
                <w:color w:val="auto"/>
              </w:rPr>
            </w:pPr>
            <w:r>
              <w:rPr>
                <w:rFonts w:ascii="Arial" w:cs="Arial" w:eastAsia="Arial" w:hAnsi="Arial"/>
                <w:sz w:val="14"/>
                <w:szCs w:val="14"/>
                <w:color w:val="auto"/>
              </w:rPr>
              <w:t>Compensation of Executive Officers</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1"/>
        </w:trPr>
        <w:tc>
          <w:tcPr>
            <w:tcW w:w="9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3580" w:type="dxa"/>
            <w:vAlign w:val="bottom"/>
            <w:shd w:val="clear" w:color="auto" w:fill="56C271"/>
          </w:tcPr>
          <w:p>
            <w:pPr>
              <w:spacing w:after="0"/>
              <w:rPr>
                <w:sz w:val="15"/>
                <w:szCs w:val="15"/>
                <w:color w:val="auto"/>
              </w:rPr>
            </w:pPr>
          </w:p>
        </w:tc>
        <w:tc>
          <w:tcPr>
            <w:tcW w:w="1120" w:type="dxa"/>
            <w:vAlign w:val="bottom"/>
            <w:shd w:val="clear" w:color="auto" w:fill="56C271"/>
          </w:tcPr>
          <w:p>
            <w:pPr>
              <w:spacing w:after="0"/>
              <w:rPr>
                <w:sz w:val="15"/>
                <w:szCs w:val="15"/>
                <w:color w:val="auto"/>
              </w:rPr>
            </w:pPr>
          </w:p>
        </w:tc>
        <w:tc>
          <w:tcPr>
            <w:tcW w:w="920" w:type="dxa"/>
            <w:vAlign w:val="bottom"/>
            <w:shd w:val="clear" w:color="auto" w:fill="56C271"/>
          </w:tcPr>
          <w:p>
            <w:pPr>
              <w:spacing w:after="0"/>
              <w:rPr>
                <w:sz w:val="15"/>
                <w:szCs w:val="15"/>
                <w:color w:val="auto"/>
              </w:rPr>
            </w:pPr>
          </w:p>
        </w:tc>
        <w:tc>
          <w:tcPr>
            <w:tcW w:w="100" w:type="dxa"/>
            <w:vAlign w:val="bottom"/>
            <w:shd w:val="clear" w:color="auto" w:fill="56C271"/>
          </w:tcPr>
          <w:p>
            <w:pPr>
              <w:spacing w:after="0"/>
              <w:rPr>
                <w:sz w:val="15"/>
                <w:szCs w:val="15"/>
                <w:color w:val="auto"/>
              </w:rPr>
            </w:pPr>
          </w:p>
        </w:tc>
        <w:tc>
          <w:tcPr>
            <w:tcW w:w="1060" w:type="dxa"/>
            <w:vAlign w:val="bottom"/>
            <w:shd w:val="clear" w:color="auto" w:fill="56C271"/>
          </w:tcPr>
          <w:p>
            <w:pPr>
              <w:jc w:val="right"/>
              <w:ind w:right="53"/>
              <w:spacing w:after="0"/>
              <w:rPr>
                <w:sz w:val="20"/>
                <w:szCs w:val="20"/>
                <w:color w:val="auto"/>
              </w:rPr>
            </w:pPr>
            <w:r>
              <w:rPr>
                <w:rFonts w:ascii="Arial" w:cs="Arial" w:eastAsia="Arial" w:hAnsi="Arial"/>
                <w:sz w:val="14"/>
                <w:szCs w:val="14"/>
                <w:b w:val="1"/>
                <w:bCs w:val="1"/>
                <w:color w:val="FEFEFE"/>
              </w:rPr>
              <w:t>Company</w:t>
            </w:r>
          </w:p>
        </w:tc>
        <w:tc>
          <w:tcPr>
            <w:tcW w:w="1020" w:type="dxa"/>
            <w:vAlign w:val="bottom"/>
            <w:shd w:val="clear" w:color="auto" w:fill="56C271"/>
          </w:tcPr>
          <w:p>
            <w:pPr>
              <w:spacing w:after="0"/>
              <w:rPr>
                <w:sz w:val="15"/>
                <w:szCs w:val="15"/>
                <w:color w:val="auto"/>
              </w:rPr>
            </w:pPr>
          </w:p>
        </w:tc>
        <w:tc>
          <w:tcPr>
            <w:tcW w:w="960" w:type="dxa"/>
            <w:vAlign w:val="bottom"/>
            <w:shd w:val="clear" w:color="auto" w:fill="56C271"/>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3580" w:type="dxa"/>
            <w:vAlign w:val="bottom"/>
            <w:shd w:val="clear" w:color="auto" w:fill="56C271"/>
          </w:tcPr>
          <w:p>
            <w:pPr>
              <w:spacing w:after="0"/>
              <w:rPr>
                <w:sz w:val="14"/>
                <w:szCs w:val="14"/>
                <w:color w:val="auto"/>
              </w:rPr>
            </w:pPr>
          </w:p>
        </w:tc>
        <w:tc>
          <w:tcPr>
            <w:tcW w:w="1120" w:type="dxa"/>
            <w:vAlign w:val="bottom"/>
            <w:shd w:val="clear" w:color="auto" w:fill="56C271"/>
          </w:tcPr>
          <w:p>
            <w:pPr>
              <w:spacing w:after="0"/>
              <w:rPr>
                <w:sz w:val="14"/>
                <w:szCs w:val="14"/>
                <w:color w:val="auto"/>
              </w:rPr>
            </w:pPr>
          </w:p>
        </w:tc>
        <w:tc>
          <w:tcPr>
            <w:tcW w:w="9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1060" w:type="dxa"/>
            <w:vAlign w:val="bottom"/>
            <w:shd w:val="clear" w:color="auto" w:fill="56C271"/>
          </w:tcPr>
          <w:p>
            <w:pPr>
              <w:jc w:val="right"/>
              <w:ind w:right="53"/>
              <w:spacing w:after="0"/>
              <w:rPr>
                <w:sz w:val="20"/>
                <w:szCs w:val="20"/>
                <w:color w:val="auto"/>
              </w:rPr>
            </w:pPr>
            <w:r>
              <w:rPr>
                <w:rFonts w:ascii="Arial" w:cs="Arial" w:eastAsia="Arial" w:hAnsi="Arial"/>
                <w:sz w:val="14"/>
                <w:szCs w:val="14"/>
                <w:b w:val="1"/>
                <w:bCs w:val="1"/>
                <w:color w:val="FEFEFE"/>
              </w:rPr>
              <w:t>Termination</w:t>
            </w:r>
          </w:p>
        </w:tc>
        <w:tc>
          <w:tcPr>
            <w:tcW w:w="1020" w:type="dxa"/>
            <w:vAlign w:val="bottom"/>
            <w:shd w:val="clear" w:color="auto" w:fill="56C271"/>
          </w:tcPr>
          <w:p>
            <w:pPr>
              <w:jc w:val="right"/>
              <w:ind w:right="71"/>
              <w:spacing w:after="0"/>
              <w:rPr>
                <w:sz w:val="20"/>
                <w:szCs w:val="20"/>
                <w:color w:val="auto"/>
              </w:rPr>
            </w:pPr>
            <w:r>
              <w:rPr>
                <w:rFonts w:ascii="Arial" w:cs="Arial" w:eastAsia="Arial" w:hAnsi="Arial"/>
                <w:sz w:val="14"/>
                <w:szCs w:val="14"/>
                <w:b w:val="1"/>
                <w:bCs w:val="1"/>
                <w:color w:val="FEFEFE"/>
              </w:rPr>
              <w:t>Change of</w:t>
            </w:r>
          </w:p>
        </w:tc>
        <w:tc>
          <w:tcPr>
            <w:tcW w:w="960" w:type="dxa"/>
            <w:vAlign w:val="bottom"/>
            <w:shd w:val="clear" w:color="auto" w:fill="56C271"/>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3580" w:type="dxa"/>
            <w:vAlign w:val="bottom"/>
            <w:shd w:val="clear" w:color="auto" w:fill="56C271"/>
          </w:tcPr>
          <w:p>
            <w:pPr>
              <w:spacing w:after="0"/>
              <w:rPr>
                <w:sz w:val="14"/>
                <w:szCs w:val="14"/>
                <w:color w:val="auto"/>
              </w:rPr>
            </w:pPr>
          </w:p>
        </w:tc>
        <w:tc>
          <w:tcPr>
            <w:tcW w:w="1120" w:type="dxa"/>
            <w:vAlign w:val="bottom"/>
            <w:shd w:val="clear" w:color="auto" w:fill="56C271"/>
          </w:tcPr>
          <w:p>
            <w:pPr>
              <w:spacing w:after="0"/>
              <w:rPr>
                <w:sz w:val="14"/>
                <w:szCs w:val="14"/>
                <w:color w:val="auto"/>
              </w:rPr>
            </w:pPr>
          </w:p>
        </w:tc>
        <w:tc>
          <w:tcPr>
            <w:tcW w:w="9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Disability</w:t>
            </w:r>
          </w:p>
        </w:tc>
        <w:tc>
          <w:tcPr>
            <w:tcW w:w="100" w:type="dxa"/>
            <w:vAlign w:val="bottom"/>
            <w:shd w:val="clear" w:color="auto" w:fill="56C271"/>
          </w:tcPr>
          <w:p>
            <w:pPr>
              <w:spacing w:after="0"/>
              <w:rPr>
                <w:sz w:val="14"/>
                <w:szCs w:val="14"/>
                <w:color w:val="auto"/>
              </w:rPr>
            </w:pPr>
          </w:p>
        </w:tc>
        <w:tc>
          <w:tcPr>
            <w:tcW w:w="1060" w:type="dxa"/>
            <w:vAlign w:val="bottom"/>
            <w:shd w:val="clear" w:color="auto" w:fill="56C271"/>
          </w:tcPr>
          <w:p>
            <w:pPr>
              <w:jc w:val="right"/>
              <w:ind w:right="53"/>
              <w:spacing w:after="0"/>
              <w:rPr>
                <w:sz w:val="20"/>
                <w:szCs w:val="20"/>
                <w:color w:val="auto"/>
              </w:rPr>
            </w:pPr>
            <w:r>
              <w:rPr>
                <w:rFonts w:ascii="Arial" w:cs="Arial" w:eastAsia="Arial" w:hAnsi="Arial"/>
                <w:sz w:val="14"/>
                <w:szCs w:val="14"/>
                <w:b w:val="1"/>
                <w:bCs w:val="1"/>
                <w:color w:val="FEFEFE"/>
              </w:rPr>
              <w:t>w/o Cause</w:t>
            </w:r>
          </w:p>
        </w:tc>
        <w:tc>
          <w:tcPr>
            <w:tcW w:w="1020" w:type="dxa"/>
            <w:vAlign w:val="bottom"/>
            <w:shd w:val="clear" w:color="auto" w:fill="56C271"/>
          </w:tcPr>
          <w:p>
            <w:pPr>
              <w:jc w:val="right"/>
              <w:ind w:right="71"/>
              <w:spacing w:after="0"/>
              <w:rPr>
                <w:sz w:val="20"/>
                <w:szCs w:val="20"/>
                <w:color w:val="auto"/>
              </w:rPr>
            </w:pPr>
            <w:r>
              <w:rPr>
                <w:rFonts w:ascii="Arial" w:cs="Arial" w:eastAsia="Arial" w:hAnsi="Arial"/>
                <w:sz w:val="14"/>
                <w:szCs w:val="14"/>
                <w:b w:val="1"/>
                <w:bCs w:val="1"/>
                <w:color w:val="FEFEFE"/>
              </w:rPr>
              <w:t>Control</w:t>
            </w:r>
          </w:p>
        </w:tc>
        <w:tc>
          <w:tcPr>
            <w:tcW w:w="960" w:type="dxa"/>
            <w:vAlign w:val="bottom"/>
            <w:shd w:val="clear" w:color="auto" w:fill="56C271"/>
          </w:tcPr>
          <w:p>
            <w:pPr>
              <w:jc w:val="right"/>
              <w:ind w:right="11"/>
              <w:spacing w:after="0"/>
              <w:rPr>
                <w:sz w:val="20"/>
                <w:szCs w:val="20"/>
                <w:color w:val="auto"/>
              </w:rPr>
            </w:pPr>
            <w:r>
              <w:rPr>
                <w:rFonts w:ascii="Arial" w:cs="Arial" w:eastAsia="Arial" w:hAnsi="Arial"/>
                <w:sz w:val="14"/>
                <w:szCs w:val="14"/>
                <w:b w:val="1"/>
                <w:bCs w:val="1"/>
                <w:color w:val="FEFEFE"/>
              </w:rPr>
              <w:t>Retirement</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3580" w:type="dxa"/>
            <w:vAlign w:val="bottom"/>
            <w:shd w:val="clear" w:color="auto" w:fill="56C271"/>
          </w:tcPr>
          <w:p>
            <w:pPr>
              <w:spacing w:after="0"/>
              <w:rPr>
                <w:sz w:val="15"/>
                <w:szCs w:val="15"/>
                <w:color w:val="auto"/>
              </w:rPr>
            </w:pPr>
          </w:p>
        </w:tc>
        <w:tc>
          <w:tcPr>
            <w:tcW w:w="1120" w:type="dxa"/>
            <w:vAlign w:val="bottom"/>
            <w:shd w:val="clear" w:color="auto" w:fill="56C271"/>
          </w:tcPr>
          <w:p>
            <w:pPr>
              <w:jc w:val="right"/>
              <w:ind w:right="11"/>
              <w:spacing w:after="0"/>
              <w:rPr>
                <w:sz w:val="20"/>
                <w:szCs w:val="20"/>
                <w:color w:val="auto"/>
              </w:rPr>
            </w:pPr>
            <w:r>
              <w:rPr>
                <w:rFonts w:ascii="Arial" w:cs="Arial" w:eastAsia="Arial" w:hAnsi="Arial"/>
                <w:sz w:val="14"/>
                <w:szCs w:val="14"/>
                <w:b w:val="1"/>
                <w:bCs w:val="1"/>
                <w:color w:val="FEFEFE"/>
              </w:rPr>
              <w:t>Death ($)</w:t>
            </w:r>
          </w:p>
        </w:tc>
        <w:tc>
          <w:tcPr>
            <w:tcW w:w="9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1160" w:type="dxa"/>
            <w:vAlign w:val="bottom"/>
            <w:gridSpan w:val="2"/>
            <w:shd w:val="clear" w:color="auto" w:fill="56C271"/>
          </w:tcPr>
          <w:p>
            <w:pPr>
              <w:jc w:val="right"/>
              <w:ind w:right="13"/>
              <w:spacing w:after="0"/>
              <w:rPr>
                <w:sz w:val="20"/>
                <w:szCs w:val="20"/>
                <w:color w:val="auto"/>
              </w:rPr>
            </w:pPr>
            <w:r>
              <w:rPr>
                <w:rFonts w:ascii="Arial" w:cs="Arial" w:eastAsia="Arial" w:hAnsi="Arial"/>
                <w:sz w:val="14"/>
                <w:szCs w:val="14"/>
                <w:b w:val="1"/>
                <w:bCs w:val="1"/>
                <w:color w:val="FEFEFE"/>
              </w:rPr>
              <w:t>($)</w:t>
            </w:r>
          </w:p>
        </w:tc>
        <w:tc>
          <w:tcPr>
            <w:tcW w:w="1020" w:type="dxa"/>
            <w:vAlign w:val="bottom"/>
            <w:shd w:val="clear" w:color="auto" w:fill="56C271"/>
          </w:tcPr>
          <w:p>
            <w:pPr>
              <w:jc w:val="right"/>
              <w:ind w:right="31"/>
              <w:spacing w:after="0"/>
              <w:rPr>
                <w:sz w:val="20"/>
                <w:szCs w:val="20"/>
                <w:color w:val="auto"/>
              </w:rPr>
            </w:pPr>
            <w:r>
              <w:rPr>
                <w:rFonts w:ascii="Arial" w:cs="Arial" w:eastAsia="Arial" w:hAnsi="Arial"/>
                <w:sz w:val="14"/>
                <w:szCs w:val="14"/>
                <w:b w:val="1"/>
                <w:bCs w:val="1"/>
                <w:color w:val="FEFEFE"/>
              </w:rPr>
              <w:t>($)</w:t>
            </w:r>
          </w:p>
        </w:tc>
        <w:tc>
          <w:tcPr>
            <w:tcW w:w="9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580" w:type="dxa"/>
            <w:vAlign w:val="bottom"/>
            <w:shd w:val="clear" w:color="auto" w:fill="CCEDD4"/>
          </w:tcPr>
          <w:p>
            <w:pPr>
              <w:ind w:left="60"/>
              <w:spacing w:after="0"/>
              <w:rPr>
                <w:sz w:val="20"/>
                <w:szCs w:val="20"/>
                <w:color w:val="auto"/>
              </w:rPr>
            </w:pPr>
            <w:r>
              <w:rPr>
                <w:rFonts w:ascii="Arial" w:cs="Arial" w:eastAsia="Arial" w:hAnsi="Arial"/>
                <w:sz w:val="18"/>
                <w:szCs w:val="18"/>
                <w:color w:val="auto"/>
              </w:rPr>
              <w:t>Thomas Liguori</w:t>
            </w:r>
          </w:p>
        </w:tc>
        <w:tc>
          <w:tcPr>
            <w:tcW w:w="1120" w:type="dxa"/>
            <w:vAlign w:val="bottom"/>
            <w:shd w:val="clear" w:color="auto" w:fill="CCEDD4"/>
          </w:tcPr>
          <w:p>
            <w:pPr>
              <w:spacing w:after="0"/>
              <w:rPr>
                <w:sz w:val="18"/>
                <w:szCs w:val="18"/>
                <w:color w:val="auto"/>
              </w:rPr>
            </w:pPr>
          </w:p>
        </w:tc>
        <w:tc>
          <w:tcPr>
            <w:tcW w:w="920" w:type="dxa"/>
            <w:vAlign w:val="bottom"/>
            <w:shd w:val="clear" w:color="auto" w:fill="CCEDD4"/>
          </w:tcPr>
          <w:p>
            <w:pPr>
              <w:spacing w:after="0"/>
              <w:rPr>
                <w:sz w:val="18"/>
                <w:szCs w:val="18"/>
                <w:color w:val="auto"/>
              </w:rPr>
            </w:pPr>
          </w:p>
        </w:tc>
        <w:tc>
          <w:tcPr>
            <w:tcW w:w="100" w:type="dxa"/>
            <w:vAlign w:val="bottom"/>
            <w:shd w:val="clear" w:color="auto" w:fill="CCEDD4"/>
          </w:tcPr>
          <w:p>
            <w:pPr>
              <w:spacing w:after="0"/>
              <w:rPr>
                <w:sz w:val="18"/>
                <w:szCs w:val="18"/>
                <w:color w:val="auto"/>
              </w:rPr>
            </w:pPr>
          </w:p>
        </w:tc>
        <w:tc>
          <w:tcPr>
            <w:tcW w:w="1060" w:type="dxa"/>
            <w:vAlign w:val="bottom"/>
            <w:shd w:val="clear" w:color="auto" w:fill="CCEDD4"/>
          </w:tcPr>
          <w:p>
            <w:pPr>
              <w:spacing w:after="0"/>
              <w:rPr>
                <w:sz w:val="18"/>
                <w:szCs w:val="18"/>
                <w:color w:val="auto"/>
              </w:rPr>
            </w:pPr>
          </w:p>
        </w:tc>
        <w:tc>
          <w:tcPr>
            <w:tcW w:w="1020" w:type="dxa"/>
            <w:vAlign w:val="bottom"/>
            <w:shd w:val="clear" w:color="auto" w:fill="CCEDD4"/>
          </w:tcPr>
          <w:p>
            <w:pPr>
              <w:spacing w:after="0"/>
              <w:rPr>
                <w:sz w:val="18"/>
                <w:szCs w:val="18"/>
                <w:color w:val="auto"/>
              </w:rPr>
            </w:pPr>
          </w:p>
        </w:tc>
        <w:tc>
          <w:tcPr>
            <w:tcW w:w="960" w:type="dxa"/>
            <w:vAlign w:val="bottom"/>
            <w:shd w:val="clear" w:color="auto" w:fill="CCEDD4"/>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3580" w:type="dxa"/>
            <w:vAlign w:val="bottom"/>
            <w:shd w:val="clear" w:color="auto" w:fill="CCEDD4"/>
          </w:tcPr>
          <w:p>
            <w:pPr>
              <w:ind w:left="240"/>
              <w:spacing w:after="0" w:line="256"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DD4"/>
          </w:tcPr>
          <w:p>
            <w:pPr>
              <w:jc w:val="right"/>
              <w:ind w:right="13"/>
              <w:spacing w:after="0"/>
              <w:rPr>
                <w:sz w:val="20"/>
                <w:szCs w:val="20"/>
                <w:color w:val="auto"/>
              </w:rPr>
            </w:pPr>
            <w:r>
              <w:rPr>
                <w:rFonts w:ascii="Arial" w:cs="Arial" w:eastAsia="Arial" w:hAnsi="Arial"/>
                <w:sz w:val="18"/>
                <w:szCs w:val="18"/>
                <w:color w:val="auto"/>
              </w:rPr>
              <w:t>1,388,865</w:t>
            </w:r>
          </w:p>
        </w:tc>
        <w:tc>
          <w:tcPr>
            <w:tcW w:w="10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3,169,400</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previously vested stock</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2,747</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2,747</w:t>
            </w:r>
          </w:p>
        </w:tc>
        <w:tc>
          <w:tcPr>
            <w:tcW w:w="1160" w:type="dxa"/>
            <w:vAlign w:val="bottom"/>
            <w:gridSpan w:val="2"/>
            <w:shd w:val="clear" w:color="auto" w:fill="CCEDD4"/>
          </w:tcPr>
          <w:p>
            <w:pPr>
              <w:jc w:val="right"/>
              <w:ind w:right="13"/>
              <w:spacing w:after="0"/>
              <w:rPr>
                <w:sz w:val="20"/>
                <w:szCs w:val="20"/>
                <w:color w:val="auto"/>
              </w:rPr>
            </w:pPr>
            <w:r>
              <w:rPr>
                <w:rFonts w:ascii="Arial" w:cs="Arial" w:eastAsia="Arial" w:hAnsi="Arial"/>
                <w:sz w:val="18"/>
                <w:szCs w:val="18"/>
                <w:color w:val="auto"/>
              </w:rPr>
              <w:t>2,747</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2,747</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2,747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options</w:t>
            </w:r>
          </w:p>
        </w:tc>
        <w:tc>
          <w:tcPr>
            <w:tcW w:w="1120" w:type="dxa"/>
            <w:vAlign w:val="bottom"/>
            <w:shd w:val="clear" w:color="auto" w:fill="CCEDD4"/>
          </w:tcPr>
          <w:p>
            <w:pPr>
              <w:spacing w:after="0"/>
              <w:rPr>
                <w:sz w:val="18"/>
                <w:szCs w:val="18"/>
                <w:color w:val="auto"/>
              </w:rPr>
            </w:pPr>
          </w:p>
        </w:tc>
        <w:tc>
          <w:tcPr>
            <w:tcW w:w="920" w:type="dxa"/>
            <w:vAlign w:val="bottom"/>
            <w:shd w:val="clear" w:color="auto" w:fill="CCEDD4"/>
          </w:tcPr>
          <w:p>
            <w:pPr>
              <w:spacing w:after="0"/>
              <w:rPr>
                <w:sz w:val="18"/>
                <w:szCs w:val="18"/>
                <w:color w:val="auto"/>
              </w:rPr>
            </w:pPr>
          </w:p>
        </w:tc>
        <w:tc>
          <w:tcPr>
            <w:tcW w:w="100" w:type="dxa"/>
            <w:vAlign w:val="bottom"/>
            <w:shd w:val="clear" w:color="auto" w:fill="CCEDD4"/>
          </w:tcPr>
          <w:p>
            <w:pPr>
              <w:spacing w:after="0"/>
              <w:rPr>
                <w:sz w:val="18"/>
                <w:szCs w:val="18"/>
                <w:color w:val="auto"/>
              </w:rPr>
            </w:pPr>
          </w:p>
        </w:tc>
        <w:tc>
          <w:tcPr>
            <w:tcW w:w="1060" w:type="dxa"/>
            <w:vAlign w:val="bottom"/>
            <w:shd w:val="clear" w:color="auto" w:fill="CCEDD4"/>
          </w:tcPr>
          <w:p>
            <w:pPr>
              <w:spacing w:after="0"/>
              <w:rPr>
                <w:sz w:val="18"/>
                <w:szCs w:val="18"/>
                <w:color w:val="auto"/>
              </w:rPr>
            </w:pPr>
          </w:p>
        </w:tc>
        <w:tc>
          <w:tcPr>
            <w:tcW w:w="1020" w:type="dxa"/>
            <w:vAlign w:val="bottom"/>
            <w:shd w:val="clear" w:color="auto" w:fill="CCEDD4"/>
          </w:tcPr>
          <w:p>
            <w:pPr>
              <w:spacing w:after="0"/>
              <w:rPr>
                <w:sz w:val="18"/>
                <w:szCs w:val="18"/>
                <w:color w:val="auto"/>
              </w:rPr>
            </w:pPr>
          </w:p>
        </w:tc>
        <w:tc>
          <w:tcPr>
            <w:tcW w:w="960" w:type="dxa"/>
            <w:vAlign w:val="bottom"/>
            <w:shd w:val="clear" w:color="auto" w:fill="CCEDD4"/>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unvested stock options</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9"/>
                <w:szCs w:val="19"/>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829,197</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580" w:type="dxa"/>
            <w:vAlign w:val="bottom"/>
            <w:shd w:val="clear" w:color="auto" w:fill="CCEDD4"/>
          </w:tcPr>
          <w:p>
            <w:pPr>
              <w:ind w:left="24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1,703,917</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21"/>
                <w:szCs w:val="21"/>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1,703,917</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580" w:type="dxa"/>
            <w:vAlign w:val="bottom"/>
            <w:shd w:val="clear" w:color="auto" w:fill="CCEDD4"/>
          </w:tcPr>
          <w:p>
            <w:pPr>
              <w:ind w:left="240"/>
              <w:spacing w:after="0" w:line="257"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503,898</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503,898</w:t>
            </w:r>
          </w:p>
        </w:tc>
        <w:tc>
          <w:tcPr>
            <w:tcW w:w="100" w:type="dxa"/>
            <w:vAlign w:val="bottom"/>
            <w:shd w:val="clear" w:color="auto" w:fill="CCEDD4"/>
          </w:tcPr>
          <w:p>
            <w:pPr>
              <w:spacing w:after="0"/>
              <w:rPr>
                <w:sz w:val="22"/>
                <w:szCs w:val="22"/>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755,846</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Welfare benefits</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DD4"/>
          </w:tcPr>
          <w:p>
            <w:pPr>
              <w:jc w:val="right"/>
              <w:ind w:right="13"/>
              <w:spacing w:after="0"/>
              <w:rPr>
                <w:sz w:val="20"/>
                <w:szCs w:val="20"/>
                <w:color w:val="auto"/>
              </w:rPr>
            </w:pPr>
            <w:r>
              <w:rPr>
                <w:rFonts w:ascii="Arial" w:cs="Arial" w:eastAsia="Arial" w:hAnsi="Arial"/>
                <w:sz w:val="18"/>
                <w:szCs w:val="18"/>
                <w:color w:val="auto"/>
              </w:rPr>
              <w:t>14,345</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70,476</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Life insurance benefit</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500,000</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9"/>
                <w:szCs w:val="19"/>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Pension</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62,469</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62,469</w:t>
            </w:r>
          </w:p>
        </w:tc>
        <w:tc>
          <w:tcPr>
            <w:tcW w:w="100" w:type="dxa"/>
            <w:vAlign w:val="bottom"/>
            <w:shd w:val="clear" w:color="auto" w:fill="CCEDD4"/>
          </w:tcPr>
          <w:p>
            <w:pPr>
              <w:spacing w:after="0"/>
              <w:rPr>
                <w:sz w:val="19"/>
                <w:szCs w:val="19"/>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62,469</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62,469</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62,469</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Restoration Plan</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76,004</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76,004</w:t>
            </w:r>
          </w:p>
        </w:tc>
        <w:tc>
          <w:tcPr>
            <w:tcW w:w="100" w:type="dxa"/>
            <w:vAlign w:val="bottom"/>
            <w:shd w:val="clear" w:color="auto" w:fill="CCEDD4"/>
          </w:tcPr>
          <w:p>
            <w:pPr>
              <w:spacing w:after="0"/>
              <w:rPr>
                <w:sz w:val="19"/>
                <w:szCs w:val="19"/>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76,004</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76,004</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76,004</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580" w:type="dxa"/>
            <w:vAlign w:val="bottom"/>
          </w:tcPr>
          <w:p>
            <w:pPr>
              <w:ind w:left="60"/>
              <w:spacing w:after="0"/>
              <w:rPr>
                <w:sz w:val="20"/>
                <w:szCs w:val="20"/>
                <w:color w:val="auto"/>
              </w:rPr>
            </w:pPr>
            <w:r>
              <w:rPr>
                <w:rFonts w:ascii="Arial" w:cs="Arial" w:eastAsia="Arial" w:hAnsi="Arial"/>
                <w:sz w:val="18"/>
                <w:szCs w:val="18"/>
                <w:color w:val="auto"/>
              </w:rPr>
              <w:t>Ken E. Arnold</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3580" w:type="dxa"/>
            <w:vAlign w:val="bottom"/>
          </w:tcPr>
          <w:p>
            <w:pPr>
              <w:ind w:left="240"/>
              <w:spacing w:after="0" w:line="256"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
              <w:spacing w:after="0"/>
              <w:rPr>
                <w:sz w:val="20"/>
                <w:szCs w:val="20"/>
                <w:color w:val="auto"/>
              </w:rPr>
            </w:pPr>
            <w:r>
              <w:rPr>
                <w:rFonts w:ascii="Arial" w:cs="Arial" w:eastAsia="Arial" w:hAnsi="Arial"/>
                <w:sz w:val="18"/>
                <w:szCs w:val="18"/>
                <w:color w:val="auto"/>
              </w:rPr>
              <w:t>663,000</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1,982,370</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Settlement of previously vested stock</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961</w:t>
            </w:r>
          </w:p>
        </w:tc>
        <w:tc>
          <w:tcPr>
            <w:tcW w:w="920" w:type="dxa"/>
            <w:vAlign w:val="bottom"/>
          </w:tcPr>
          <w:p>
            <w:pPr>
              <w:jc w:val="right"/>
              <w:spacing w:after="0"/>
              <w:rPr>
                <w:sz w:val="20"/>
                <w:szCs w:val="20"/>
                <w:color w:val="auto"/>
              </w:rPr>
            </w:pPr>
            <w:r>
              <w:rPr>
                <w:rFonts w:ascii="Arial" w:cs="Arial" w:eastAsia="Arial" w:hAnsi="Arial"/>
                <w:sz w:val="18"/>
                <w:szCs w:val="18"/>
                <w:color w:val="auto"/>
              </w:rPr>
              <w:t>961</w:t>
            </w:r>
          </w:p>
        </w:tc>
        <w:tc>
          <w:tcPr>
            <w:tcW w:w="1160" w:type="dxa"/>
            <w:vAlign w:val="bottom"/>
            <w:gridSpan w:val="2"/>
          </w:tcPr>
          <w:p>
            <w:pPr>
              <w:jc w:val="right"/>
              <w:ind w:right="13"/>
              <w:spacing w:after="0"/>
              <w:rPr>
                <w:sz w:val="20"/>
                <w:szCs w:val="20"/>
                <w:color w:val="auto"/>
              </w:rPr>
            </w:pPr>
            <w:r>
              <w:rPr>
                <w:rFonts w:ascii="Arial" w:cs="Arial" w:eastAsia="Arial" w:hAnsi="Arial"/>
                <w:sz w:val="18"/>
                <w:szCs w:val="18"/>
                <w:color w:val="auto"/>
              </w:rPr>
              <w:t>961</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961</w:t>
            </w:r>
          </w:p>
        </w:tc>
        <w:tc>
          <w:tcPr>
            <w:tcW w:w="960" w:type="dxa"/>
            <w:vAlign w:val="bottom"/>
          </w:tcPr>
          <w:p>
            <w:pPr>
              <w:jc w:val="right"/>
              <w:spacing w:after="0"/>
              <w:rPr>
                <w:sz w:val="20"/>
                <w:szCs w:val="20"/>
                <w:color w:val="auto"/>
              </w:rPr>
            </w:pPr>
            <w:r>
              <w:rPr>
                <w:rFonts w:ascii="Arial" w:cs="Arial" w:eastAsia="Arial" w:hAnsi="Arial"/>
                <w:sz w:val="18"/>
                <w:szCs w:val="18"/>
                <w:color w:val="auto"/>
              </w:rPr>
              <w:t>961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options</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Settlement of unvested stock options</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344,973</w:t>
            </w:r>
          </w:p>
        </w:tc>
        <w:tc>
          <w:tcPr>
            <w:tcW w:w="1160" w:type="dxa"/>
            <w:vAlign w:val="bottom"/>
            <w:gridSpan w:val="2"/>
          </w:tcPr>
          <w:p>
            <w:pPr>
              <w:jc w:val="right"/>
              <w:ind w:right="13"/>
              <w:spacing w:after="0"/>
              <w:rPr>
                <w:sz w:val="20"/>
                <w:szCs w:val="20"/>
                <w:color w:val="auto"/>
              </w:rPr>
            </w:pPr>
            <w:r>
              <w:rPr>
                <w:rFonts w:ascii="Arial" w:cs="Arial" w:eastAsia="Arial" w:hAnsi="Arial"/>
                <w:sz w:val="18"/>
                <w:szCs w:val="18"/>
                <w:color w:val="auto"/>
              </w:rPr>
              <w:t>2,885</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344,973</w:t>
            </w:r>
          </w:p>
        </w:tc>
        <w:tc>
          <w:tcPr>
            <w:tcW w:w="960" w:type="dxa"/>
            <w:vAlign w:val="bottom"/>
          </w:tcPr>
          <w:p>
            <w:pPr>
              <w:jc w:val="right"/>
              <w:spacing w:after="0"/>
              <w:rPr>
                <w:sz w:val="20"/>
                <w:szCs w:val="20"/>
                <w:color w:val="auto"/>
              </w:rPr>
            </w:pPr>
            <w:r>
              <w:rPr>
                <w:rFonts w:ascii="Arial" w:cs="Arial" w:eastAsia="Arial" w:hAnsi="Arial"/>
                <w:sz w:val="18"/>
                <w:szCs w:val="18"/>
                <w:color w:val="auto"/>
              </w:rPr>
              <w:t>2,885</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580" w:type="dxa"/>
            <w:vAlign w:val="bottom"/>
          </w:tcPr>
          <w:p>
            <w:pPr>
              <w:ind w:left="24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(2)(5)</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451,459</w:t>
            </w:r>
          </w:p>
        </w:tc>
        <w:tc>
          <w:tcPr>
            <w:tcW w:w="920" w:type="dxa"/>
            <w:vAlign w:val="bottom"/>
          </w:tcPr>
          <w:p>
            <w:pPr>
              <w:jc w:val="right"/>
              <w:spacing w:after="0"/>
              <w:rPr>
                <w:sz w:val="20"/>
                <w:szCs w:val="20"/>
                <w:color w:val="auto"/>
              </w:rPr>
            </w:pPr>
            <w:r>
              <w:rPr>
                <w:rFonts w:ascii="Arial" w:cs="Arial" w:eastAsia="Arial" w:hAnsi="Arial"/>
                <w:sz w:val="18"/>
                <w:szCs w:val="18"/>
                <w:color w:val="auto"/>
              </w:rPr>
              <w:t>137,183</w:t>
            </w:r>
          </w:p>
        </w:tc>
        <w:tc>
          <w:tcPr>
            <w:tcW w:w="1160" w:type="dxa"/>
            <w:vAlign w:val="bottom"/>
            <w:gridSpan w:val="2"/>
          </w:tcPr>
          <w:p>
            <w:pPr>
              <w:jc w:val="right"/>
              <w:ind w:right="13"/>
              <w:spacing w:after="0"/>
              <w:rPr>
                <w:sz w:val="20"/>
                <w:szCs w:val="20"/>
                <w:color w:val="auto"/>
              </w:rPr>
            </w:pPr>
            <w:r>
              <w:rPr>
                <w:rFonts w:ascii="Arial" w:cs="Arial" w:eastAsia="Arial" w:hAnsi="Arial"/>
                <w:sz w:val="18"/>
                <w:szCs w:val="18"/>
                <w:color w:val="auto"/>
              </w:rPr>
              <w:t>137,183</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451,459</w:t>
            </w:r>
          </w:p>
        </w:tc>
        <w:tc>
          <w:tcPr>
            <w:tcW w:w="960" w:type="dxa"/>
            <w:vAlign w:val="bottom"/>
          </w:tcPr>
          <w:p>
            <w:pPr>
              <w:jc w:val="right"/>
              <w:spacing w:after="0"/>
              <w:rPr>
                <w:sz w:val="20"/>
                <w:szCs w:val="20"/>
                <w:color w:val="auto"/>
              </w:rPr>
            </w:pPr>
            <w:r>
              <w:rPr>
                <w:rFonts w:ascii="Arial" w:cs="Arial" w:eastAsia="Arial" w:hAnsi="Arial"/>
                <w:sz w:val="18"/>
                <w:szCs w:val="18"/>
                <w:color w:val="auto"/>
              </w:rPr>
              <w:t>137,183</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3580" w:type="dxa"/>
            <w:vAlign w:val="bottom"/>
          </w:tcPr>
          <w:p>
            <w:pPr>
              <w:ind w:left="240"/>
              <w:spacing w:after="0" w:line="28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(3)(5)</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176,372</w:t>
            </w:r>
          </w:p>
        </w:tc>
        <w:tc>
          <w:tcPr>
            <w:tcW w:w="920" w:type="dxa"/>
            <w:vAlign w:val="bottom"/>
          </w:tcPr>
          <w:p>
            <w:pPr>
              <w:jc w:val="right"/>
              <w:spacing w:after="0"/>
              <w:rPr>
                <w:sz w:val="20"/>
                <w:szCs w:val="20"/>
                <w:color w:val="auto"/>
              </w:rPr>
            </w:pPr>
            <w:r>
              <w:rPr>
                <w:rFonts w:ascii="Arial" w:cs="Arial" w:eastAsia="Arial" w:hAnsi="Arial"/>
                <w:sz w:val="18"/>
                <w:szCs w:val="18"/>
                <w:color w:val="auto"/>
              </w:rPr>
              <w:t>264,558</w:t>
            </w:r>
          </w:p>
        </w:tc>
        <w:tc>
          <w:tcPr>
            <w:tcW w:w="1160" w:type="dxa"/>
            <w:vAlign w:val="bottom"/>
            <w:gridSpan w:val="2"/>
          </w:tcPr>
          <w:p>
            <w:pPr>
              <w:jc w:val="right"/>
              <w:ind w:right="13"/>
              <w:spacing w:after="0"/>
              <w:rPr>
                <w:sz w:val="20"/>
                <w:szCs w:val="20"/>
                <w:color w:val="auto"/>
              </w:rPr>
            </w:pPr>
            <w:r>
              <w:rPr>
                <w:rFonts w:ascii="Arial" w:cs="Arial" w:eastAsia="Arial" w:hAnsi="Arial"/>
                <w:sz w:val="18"/>
                <w:szCs w:val="18"/>
                <w:color w:val="auto"/>
              </w:rPr>
              <w:t>264,558</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264,558</w:t>
            </w:r>
          </w:p>
        </w:tc>
        <w:tc>
          <w:tcPr>
            <w:tcW w:w="960" w:type="dxa"/>
            <w:vAlign w:val="bottom"/>
          </w:tcPr>
          <w:p>
            <w:pPr>
              <w:jc w:val="right"/>
              <w:spacing w:after="0"/>
              <w:rPr>
                <w:sz w:val="20"/>
                <w:szCs w:val="20"/>
                <w:color w:val="auto"/>
              </w:rPr>
            </w:pPr>
            <w:r>
              <w:rPr>
                <w:rFonts w:ascii="Arial" w:cs="Arial" w:eastAsia="Arial" w:hAnsi="Arial"/>
                <w:sz w:val="18"/>
                <w:szCs w:val="18"/>
                <w:color w:val="auto"/>
              </w:rPr>
              <w:t>264,558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Welfare benefits</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72,046</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Life insurance benefit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Pension</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335,123</w:t>
            </w:r>
          </w:p>
        </w:tc>
        <w:tc>
          <w:tcPr>
            <w:tcW w:w="920" w:type="dxa"/>
            <w:vAlign w:val="bottom"/>
          </w:tcPr>
          <w:p>
            <w:pPr>
              <w:jc w:val="right"/>
              <w:spacing w:after="0"/>
              <w:rPr>
                <w:sz w:val="20"/>
                <w:szCs w:val="20"/>
                <w:color w:val="auto"/>
              </w:rPr>
            </w:pPr>
            <w:r>
              <w:rPr>
                <w:rFonts w:ascii="Arial" w:cs="Arial" w:eastAsia="Arial" w:hAnsi="Arial"/>
                <w:sz w:val="18"/>
                <w:szCs w:val="18"/>
                <w:color w:val="auto"/>
              </w:rPr>
              <w:t>335,123</w:t>
            </w:r>
          </w:p>
        </w:tc>
        <w:tc>
          <w:tcPr>
            <w:tcW w:w="1160" w:type="dxa"/>
            <w:vAlign w:val="bottom"/>
            <w:gridSpan w:val="2"/>
          </w:tcPr>
          <w:p>
            <w:pPr>
              <w:jc w:val="right"/>
              <w:ind w:right="13"/>
              <w:spacing w:after="0"/>
              <w:rPr>
                <w:sz w:val="20"/>
                <w:szCs w:val="20"/>
                <w:color w:val="auto"/>
              </w:rPr>
            </w:pPr>
            <w:r>
              <w:rPr>
                <w:rFonts w:ascii="Arial" w:cs="Arial" w:eastAsia="Arial" w:hAnsi="Arial"/>
                <w:sz w:val="18"/>
                <w:szCs w:val="18"/>
                <w:color w:val="auto"/>
              </w:rPr>
              <w:t>335,123</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335,123</w:t>
            </w:r>
          </w:p>
        </w:tc>
        <w:tc>
          <w:tcPr>
            <w:tcW w:w="960" w:type="dxa"/>
            <w:vAlign w:val="bottom"/>
          </w:tcPr>
          <w:p>
            <w:pPr>
              <w:jc w:val="right"/>
              <w:spacing w:after="0"/>
              <w:rPr>
                <w:sz w:val="20"/>
                <w:szCs w:val="20"/>
                <w:color w:val="auto"/>
              </w:rPr>
            </w:pPr>
            <w:r>
              <w:rPr>
                <w:rFonts w:ascii="Arial" w:cs="Arial" w:eastAsia="Arial" w:hAnsi="Arial"/>
                <w:sz w:val="18"/>
                <w:szCs w:val="18"/>
                <w:color w:val="auto"/>
              </w:rPr>
              <w:t>335,123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Restoration Plan</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23,711</w:t>
            </w:r>
          </w:p>
        </w:tc>
        <w:tc>
          <w:tcPr>
            <w:tcW w:w="920" w:type="dxa"/>
            <w:vAlign w:val="bottom"/>
          </w:tcPr>
          <w:p>
            <w:pPr>
              <w:jc w:val="right"/>
              <w:spacing w:after="0"/>
              <w:rPr>
                <w:sz w:val="20"/>
                <w:szCs w:val="20"/>
                <w:color w:val="auto"/>
              </w:rPr>
            </w:pPr>
            <w:r>
              <w:rPr>
                <w:rFonts w:ascii="Arial" w:cs="Arial" w:eastAsia="Arial" w:hAnsi="Arial"/>
                <w:sz w:val="18"/>
                <w:szCs w:val="18"/>
                <w:color w:val="auto"/>
              </w:rPr>
              <w:t>23,711</w:t>
            </w:r>
          </w:p>
        </w:tc>
        <w:tc>
          <w:tcPr>
            <w:tcW w:w="1160" w:type="dxa"/>
            <w:vAlign w:val="bottom"/>
            <w:gridSpan w:val="2"/>
          </w:tcPr>
          <w:p>
            <w:pPr>
              <w:jc w:val="right"/>
              <w:ind w:right="13"/>
              <w:spacing w:after="0"/>
              <w:rPr>
                <w:sz w:val="20"/>
                <w:szCs w:val="20"/>
                <w:color w:val="auto"/>
              </w:rPr>
            </w:pPr>
            <w:r>
              <w:rPr>
                <w:rFonts w:ascii="Arial" w:cs="Arial" w:eastAsia="Arial" w:hAnsi="Arial"/>
                <w:sz w:val="18"/>
                <w:szCs w:val="18"/>
                <w:color w:val="auto"/>
              </w:rPr>
              <w:t>23,711</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23,711</w:t>
            </w:r>
          </w:p>
        </w:tc>
        <w:tc>
          <w:tcPr>
            <w:tcW w:w="960" w:type="dxa"/>
            <w:vAlign w:val="bottom"/>
          </w:tcPr>
          <w:p>
            <w:pPr>
              <w:jc w:val="right"/>
              <w:spacing w:after="0"/>
              <w:rPr>
                <w:sz w:val="20"/>
                <w:szCs w:val="20"/>
                <w:color w:val="auto"/>
              </w:rPr>
            </w:pPr>
            <w:r>
              <w:rPr>
                <w:rFonts w:ascii="Arial" w:cs="Arial" w:eastAsia="Arial" w:hAnsi="Arial"/>
                <w:sz w:val="18"/>
                <w:szCs w:val="18"/>
                <w:color w:val="auto"/>
              </w:rPr>
              <w:t>23,711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580" w:type="dxa"/>
            <w:vAlign w:val="bottom"/>
            <w:shd w:val="clear" w:color="auto" w:fill="CCEDD4"/>
          </w:tcPr>
          <w:p>
            <w:pPr>
              <w:ind w:left="60"/>
              <w:spacing w:after="0"/>
              <w:rPr>
                <w:sz w:val="20"/>
                <w:szCs w:val="20"/>
                <w:color w:val="auto"/>
              </w:rPr>
            </w:pPr>
            <w:r>
              <w:rPr>
                <w:rFonts w:ascii="Arial" w:cs="Arial" w:eastAsia="Arial" w:hAnsi="Arial"/>
                <w:sz w:val="18"/>
                <w:szCs w:val="18"/>
                <w:color w:val="auto"/>
              </w:rPr>
              <w:t>Max Chan</w:t>
            </w:r>
          </w:p>
        </w:tc>
        <w:tc>
          <w:tcPr>
            <w:tcW w:w="1120" w:type="dxa"/>
            <w:vAlign w:val="bottom"/>
            <w:shd w:val="clear" w:color="auto" w:fill="CCEDD4"/>
          </w:tcPr>
          <w:p>
            <w:pPr>
              <w:spacing w:after="0"/>
              <w:rPr>
                <w:sz w:val="18"/>
                <w:szCs w:val="18"/>
                <w:color w:val="auto"/>
              </w:rPr>
            </w:pPr>
          </w:p>
        </w:tc>
        <w:tc>
          <w:tcPr>
            <w:tcW w:w="920" w:type="dxa"/>
            <w:vAlign w:val="bottom"/>
            <w:shd w:val="clear" w:color="auto" w:fill="CCEDD4"/>
          </w:tcPr>
          <w:p>
            <w:pPr>
              <w:spacing w:after="0"/>
              <w:rPr>
                <w:sz w:val="18"/>
                <w:szCs w:val="18"/>
                <w:color w:val="auto"/>
              </w:rPr>
            </w:pPr>
          </w:p>
        </w:tc>
        <w:tc>
          <w:tcPr>
            <w:tcW w:w="100" w:type="dxa"/>
            <w:vAlign w:val="bottom"/>
            <w:shd w:val="clear" w:color="auto" w:fill="CCEDD4"/>
          </w:tcPr>
          <w:p>
            <w:pPr>
              <w:spacing w:after="0"/>
              <w:rPr>
                <w:sz w:val="18"/>
                <w:szCs w:val="18"/>
                <w:color w:val="auto"/>
              </w:rPr>
            </w:pPr>
          </w:p>
        </w:tc>
        <w:tc>
          <w:tcPr>
            <w:tcW w:w="1060" w:type="dxa"/>
            <w:vAlign w:val="bottom"/>
            <w:shd w:val="clear" w:color="auto" w:fill="CCEDD4"/>
          </w:tcPr>
          <w:p>
            <w:pPr>
              <w:spacing w:after="0"/>
              <w:rPr>
                <w:sz w:val="18"/>
                <w:szCs w:val="18"/>
                <w:color w:val="auto"/>
              </w:rPr>
            </w:pPr>
          </w:p>
        </w:tc>
        <w:tc>
          <w:tcPr>
            <w:tcW w:w="1020" w:type="dxa"/>
            <w:vAlign w:val="bottom"/>
            <w:shd w:val="clear" w:color="auto" w:fill="CCEDD4"/>
          </w:tcPr>
          <w:p>
            <w:pPr>
              <w:spacing w:after="0"/>
              <w:rPr>
                <w:sz w:val="18"/>
                <w:szCs w:val="18"/>
                <w:color w:val="auto"/>
              </w:rPr>
            </w:pPr>
          </w:p>
        </w:tc>
        <w:tc>
          <w:tcPr>
            <w:tcW w:w="960" w:type="dxa"/>
            <w:vAlign w:val="bottom"/>
            <w:shd w:val="clear" w:color="auto" w:fill="CCEDD4"/>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3580" w:type="dxa"/>
            <w:vAlign w:val="bottom"/>
            <w:shd w:val="clear" w:color="auto" w:fill="CCEDD4"/>
          </w:tcPr>
          <w:p>
            <w:pPr>
              <w:ind w:left="240"/>
              <w:spacing w:after="0" w:line="256"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DD4"/>
          </w:tcPr>
          <w:p>
            <w:pPr>
              <w:jc w:val="right"/>
              <w:ind w:right="13"/>
              <w:spacing w:after="0"/>
              <w:rPr>
                <w:sz w:val="20"/>
                <w:szCs w:val="20"/>
                <w:color w:val="auto"/>
              </w:rPr>
            </w:pPr>
            <w:r>
              <w:rPr>
                <w:rFonts w:ascii="Arial" w:cs="Arial" w:eastAsia="Arial" w:hAnsi="Arial"/>
                <w:sz w:val="18"/>
                <w:szCs w:val="18"/>
                <w:color w:val="auto"/>
              </w:rPr>
              <w:t>178,272</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772,500</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previously vested stock</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8"/>
                <w:szCs w:val="18"/>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options</w:t>
            </w:r>
          </w:p>
        </w:tc>
        <w:tc>
          <w:tcPr>
            <w:tcW w:w="1120" w:type="dxa"/>
            <w:vAlign w:val="bottom"/>
            <w:shd w:val="clear" w:color="auto" w:fill="CCEDD4"/>
          </w:tcPr>
          <w:p>
            <w:pPr>
              <w:spacing w:after="0"/>
              <w:rPr>
                <w:sz w:val="18"/>
                <w:szCs w:val="18"/>
                <w:color w:val="auto"/>
              </w:rPr>
            </w:pPr>
          </w:p>
        </w:tc>
        <w:tc>
          <w:tcPr>
            <w:tcW w:w="920" w:type="dxa"/>
            <w:vAlign w:val="bottom"/>
            <w:shd w:val="clear" w:color="auto" w:fill="CCEDD4"/>
          </w:tcPr>
          <w:p>
            <w:pPr>
              <w:spacing w:after="0"/>
              <w:rPr>
                <w:sz w:val="18"/>
                <w:szCs w:val="18"/>
                <w:color w:val="auto"/>
              </w:rPr>
            </w:pPr>
          </w:p>
        </w:tc>
        <w:tc>
          <w:tcPr>
            <w:tcW w:w="100" w:type="dxa"/>
            <w:vAlign w:val="bottom"/>
            <w:shd w:val="clear" w:color="auto" w:fill="CCEDD4"/>
          </w:tcPr>
          <w:p>
            <w:pPr>
              <w:spacing w:after="0"/>
              <w:rPr>
                <w:sz w:val="18"/>
                <w:szCs w:val="18"/>
                <w:color w:val="auto"/>
              </w:rPr>
            </w:pPr>
          </w:p>
        </w:tc>
        <w:tc>
          <w:tcPr>
            <w:tcW w:w="1060" w:type="dxa"/>
            <w:vAlign w:val="bottom"/>
            <w:shd w:val="clear" w:color="auto" w:fill="CCEDD4"/>
          </w:tcPr>
          <w:p>
            <w:pPr>
              <w:spacing w:after="0"/>
              <w:rPr>
                <w:sz w:val="18"/>
                <w:szCs w:val="18"/>
                <w:color w:val="auto"/>
              </w:rPr>
            </w:pPr>
          </w:p>
        </w:tc>
        <w:tc>
          <w:tcPr>
            <w:tcW w:w="1020" w:type="dxa"/>
            <w:vAlign w:val="bottom"/>
            <w:shd w:val="clear" w:color="auto" w:fill="CCEDD4"/>
          </w:tcPr>
          <w:p>
            <w:pPr>
              <w:spacing w:after="0"/>
              <w:rPr>
                <w:sz w:val="18"/>
                <w:szCs w:val="18"/>
                <w:color w:val="auto"/>
              </w:rPr>
            </w:pPr>
          </w:p>
        </w:tc>
        <w:tc>
          <w:tcPr>
            <w:tcW w:w="960" w:type="dxa"/>
            <w:vAlign w:val="bottom"/>
            <w:shd w:val="clear" w:color="auto" w:fill="CCEDD4"/>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unvested stock options</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9"/>
                <w:szCs w:val="19"/>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580" w:type="dxa"/>
            <w:vAlign w:val="bottom"/>
            <w:shd w:val="clear" w:color="auto" w:fill="CCEDD4"/>
          </w:tcPr>
          <w:p>
            <w:pPr>
              <w:ind w:left="240"/>
              <w:spacing w:after="0" w:line="257"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669,221</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22"/>
                <w:szCs w:val="22"/>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669,221</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PSUs</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9"/>
                <w:szCs w:val="19"/>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Welfare benefits</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9"/>
                <w:szCs w:val="19"/>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36,596</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Life insurance benefit</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500,000</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9"/>
                <w:szCs w:val="19"/>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Pension</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71,577</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71,577</w:t>
            </w:r>
          </w:p>
        </w:tc>
        <w:tc>
          <w:tcPr>
            <w:tcW w:w="100" w:type="dxa"/>
            <w:vAlign w:val="bottom"/>
            <w:shd w:val="clear" w:color="auto" w:fill="CCEDD4"/>
          </w:tcPr>
          <w:p>
            <w:pPr>
              <w:spacing w:after="0"/>
              <w:rPr>
                <w:sz w:val="19"/>
                <w:szCs w:val="19"/>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71,577</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71,577</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71,577</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Restoration Plan</w:t>
            </w:r>
          </w:p>
        </w:tc>
        <w:tc>
          <w:tcPr>
            <w:tcW w:w="112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30,706</w:t>
            </w:r>
          </w:p>
        </w:tc>
        <w:tc>
          <w:tcPr>
            <w:tcW w:w="9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30,706</w:t>
            </w:r>
          </w:p>
        </w:tc>
        <w:tc>
          <w:tcPr>
            <w:tcW w:w="100" w:type="dxa"/>
            <w:vAlign w:val="bottom"/>
            <w:shd w:val="clear" w:color="auto" w:fill="CCEDD4"/>
          </w:tcPr>
          <w:p>
            <w:pPr>
              <w:spacing w:after="0"/>
              <w:rPr>
                <w:sz w:val="19"/>
                <w:szCs w:val="19"/>
                <w:color w:val="auto"/>
              </w:rPr>
            </w:pPr>
          </w:p>
        </w:tc>
        <w:tc>
          <w:tcPr>
            <w:tcW w:w="1060" w:type="dxa"/>
            <w:vAlign w:val="bottom"/>
            <w:shd w:val="clear" w:color="auto" w:fill="CCEDD4"/>
          </w:tcPr>
          <w:p>
            <w:pPr>
              <w:jc w:val="right"/>
              <w:ind w:right="13"/>
              <w:spacing w:after="0"/>
              <w:rPr>
                <w:sz w:val="20"/>
                <w:szCs w:val="20"/>
                <w:color w:val="auto"/>
              </w:rPr>
            </w:pPr>
            <w:r>
              <w:rPr>
                <w:rFonts w:ascii="Arial" w:cs="Arial" w:eastAsia="Arial" w:hAnsi="Arial"/>
                <w:sz w:val="18"/>
                <w:szCs w:val="18"/>
                <w:color w:val="auto"/>
              </w:rPr>
              <w:t>30,706</w:t>
            </w:r>
          </w:p>
        </w:tc>
        <w:tc>
          <w:tcPr>
            <w:tcW w:w="10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30,706</w:t>
            </w:r>
          </w:p>
        </w:tc>
        <w:tc>
          <w:tcPr>
            <w:tcW w:w="9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30,706</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580" w:type="dxa"/>
            <w:vAlign w:val="bottom"/>
          </w:tcPr>
          <w:p>
            <w:pPr>
              <w:ind w:left="60"/>
              <w:spacing w:after="0"/>
              <w:rPr>
                <w:sz w:val="20"/>
                <w:szCs w:val="20"/>
                <w:color w:val="auto"/>
              </w:rPr>
            </w:pPr>
            <w:r>
              <w:rPr>
                <w:rFonts w:ascii="Arial" w:cs="Arial" w:eastAsia="Arial" w:hAnsi="Arial"/>
                <w:sz w:val="18"/>
                <w:szCs w:val="18"/>
                <w:color w:val="auto"/>
              </w:rPr>
              <w:t>Michael R. McCoy</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3580" w:type="dxa"/>
            <w:vAlign w:val="bottom"/>
          </w:tcPr>
          <w:p>
            <w:pPr>
              <w:ind w:left="240"/>
              <w:spacing w:after="0" w:line="256"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
              <w:spacing w:after="0"/>
              <w:rPr>
                <w:sz w:val="20"/>
                <w:szCs w:val="20"/>
                <w:color w:val="auto"/>
              </w:rPr>
            </w:pPr>
            <w:r>
              <w:rPr>
                <w:rFonts w:ascii="Arial" w:cs="Arial" w:eastAsia="Arial" w:hAnsi="Arial"/>
                <w:sz w:val="18"/>
                <w:szCs w:val="18"/>
                <w:color w:val="auto"/>
              </w:rPr>
              <w:t>742,500</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2,220,075</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Settlement of previously vested stock</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options</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Settlement of unvested stock options</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369,453</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3580" w:type="dxa"/>
            <w:vAlign w:val="bottom"/>
          </w:tcPr>
          <w:p>
            <w:pPr>
              <w:ind w:left="240"/>
              <w:spacing w:after="0" w:line="28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608,175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608,175</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Settlement of PSUs</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Welfare benefits</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64,362</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Life insurance benefit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Pension</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155,072</w:t>
            </w:r>
          </w:p>
        </w:tc>
        <w:tc>
          <w:tcPr>
            <w:tcW w:w="920" w:type="dxa"/>
            <w:vAlign w:val="bottom"/>
          </w:tcPr>
          <w:p>
            <w:pPr>
              <w:jc w:val="right"/>
              <w:spacing w:after="0"/>
              <w:rPr>
                <w:sz w:val="20"/>
                <w:szCs w:val="20"/>
                <w:color w:val="auto"/>
              </w:rPr>
            </w:pPr>
            <w:r>
              <w:rPr>
                <w:rFonts w:ascii="Arial" w:cs="Arial" w:eastAsia="Arial" w:hAnsi="Arial"/>
                <w:sz w:val="18"/>
                <w:szCs w:val="18"/>
                <w:color w:val="auto"/>
              </w:rPr>
              <w:t>155,072</w:t>
            </w:r>
          </w:p>
        </w:tc>
        <w:tc>
          <w:tcPr>
            <w:tcW w:w="1160" w:type="dxa"/>
            <w:vAlign w:val="bottom"/>
            <w:gridSpan w:val="2"/>
          </w:tcPr>
          <w:p>
            <w:pPr>
              <w:jc w:val="right"/>
              <w:ind w:right="13"/>
              <w:spacing w:after="0"/>
              <w:rPr>
                <w:sz w:val="20"/>
                <w:szCs w:val="20"/>
                <w:color w:val="auto"/>
              </w:rPr>
            </w:pPr>
            <w:r>
              <w:rPr>
                <w:rFonts w:ascii="Arial" w:cs="Arial" w:eastAsia="Arial" w:hAnsi="Arial"/>
                <w:sz w:val="18"/>
                <w:szCs w:val="18"/>
                <w:color w:val="auto"/>
              </w:rPr>
              <w:t>155,072</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155,072</w:t>
            </w:r>
          </w:p>
        </w:tc>
        <w:tc>
          <w:tcPr>
            <w:tcW w:w="960" w:type="dxa"/>
            <w:vAlign w:val="bottom"/>
          </w:tcPr>
          <w:p>
            <w:pPr>
              <w:jc w:val="right"/>
              <w:spacing w:after="0"/>
              <w:rPr>
                <w:sz w:val="20"/>
                <w:szCs w:val="20"/>
                <w:color w:val="auto"/>
              </w:rPr>
            </w:pPr>
            <w:r>
              <w:rPr>
                <w:rFonts w:ascii="Arial" w:cs="Arial" w:eastAsia="Arial" w:hAnsi="Arial"/>
                <w:sz w:val="18"/>
                <w:szCs w:val="18"/>
                <w:color w:val="auto"/>
              </w:rPr>
              <w:t>155,072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Restoration Plan</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23,761</w:t>
            </w:r>
          </w:p>
        </w:tc>
        <w:tc>
          <w:tcPr>
            <w:tcW w:w="920" w:type="dxa"/>
            <w:vAlign w:val="bottom"/>
          </w:tcPr>
          <w:p>
            <w:pPr>
              <w:jc w:val="right"/>
              <w:spacing w:after="0"/>
              <w:rPr>
                <w:sz w:val="20"/>
                <w:szCs w:val="20"/>
                <w:color w:val="auto"/>
              </w:rPr>
            </w:pPr>
            <w:r>
              <w:rPr>
                <w:rFonts w:ascii="Arial" w:cs="Arial" w:eastAsia="Arial" w:hAnsi="Arial"/>
                <w:sz w:val="18"/>
                <w:szCs w:val="18"/>
                <w:color w:val="auto"/>
              </w:rPr>
              <w:t>23,761</w:t>
            </w:r>
          </w:p>
        </w:tc>
        <w:tc>
          <w:tcPr>
            <w:tcW w:w="1160" w:type="dxa"/>
            <w:vAlign w:val="bottom"/>
            <w:gridSpan w:val="2"/>
          </w:tcPr>
          <w:p>
            <w:pPr>
              <w:jc w:val="right"/>
              <w:ind w:right="13"/>
              <w:spacing w:after="0"/>
              <w:rPr>
                <w:sz w:val="20"/>
                <w:szCs w:val="20"/>
                <w:color w:val="auto"/>
              </w:rPr>
            </w:pPr>
            <w:r>
              <w:rPr>
                <w:rFonts w:ascii="Arial" w:cs="Arial" w:eastAsia="Arial" w:hAnsi="Arial"/>
                <w:sz w:val="18"/>
                <w:szCs w:val="18"/>
                <w:color w:val="auto"/>
              </w:rPr>
              <w:t>23,761</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23,761</w:t>
            </w:r>
          </w:p>
        </w:tc>
        <w:tc>
          <w:tcPr>
            <w:tcW w:w="960" w:type="dxa"/>
            <w:vAlign w:val="bottom"/>
          </w:tcPr>
          <w:p>
            <w:pPr>
              <w:jc w:val="right"/>
              <w:spacing w:after="0"/>
              <w:rPr>
                <w:sz w:val="20"/>
                <w:szCs w:val="20"/>
                <w:color w:val="auto"/>
              </w:rPr>
            </w:pPr>
            <w:r>
              <w:rPr>
                <w:rFonts w:ascii="Arial" w:cs="Arial" w:eastAsia="Arial" w:hAnsi="Arial"/>
                <w:sz w:val="18"/>
                <w:szCs w:val="18"/>
                <w:color w:val="auto"/>
              </w:rPr>
              <w:t>23,761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980" w:type="dxa"/>
            <w:vAlign w:val="bottom"/>
          </w:tcPr>
          <w:p>
            <w:pPr>
              <w:spacing w:after="0"/>
              <w:rPr>
                <w:sz w:val="24"/>
                <w:szCs w:val="24"/>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70</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-573405</wp:posOffset>
            </wp:positionV>
            <wp:extent cx="1482725" cy="3003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3580" w:type="dxa"/>
            <w:vAlign w:val="bottom"/>
          </w:tcPr>
          <w:p>
            <w:pPr>
              <w:ind w:left="20"/>
              <w:spacing w:after="0"/>
              <w:rPr>
                <w:sz w:val="20"/>
                <w:szCs w:val="20"/>
                <w:color w:val="auto"/>
              </w:rPr>
            </w:pPr>
            <w:r>
              <w:rPr>
                <w:rFonts w:ascii="Arial" w:cs="Arial" w:eastAsia="Arial" w:hAnsi="Arial"/>
                <w:sz w:val="14"/>
                <w:szCs w:val="14"/>
                <w:b w:val="1"/>
                <w:bCs w:val="1"/>
                <w:color w:val="56C271"/>
              </w:rPr>
              <w:t>2021 ANNUAL</w:t>
            </w: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60" w:type="dxa"/>
            <w:vAlign w:val="bottom"/>
            <w:gridSpan w:val="3"/>
            <w:vMerge w:val="restart"/>
          </w:tcPr>
          <w:p>
            <w:pPr>
              <w:jc w:val="right"/>
              <w:spacing w:after="0"/>
              <w:rPr>
                <w:sz w:val="20"/>
                <w:szCs w:val="20"/>
                <w:color w:val="auto"/>
              </w:rPr>
            </w:pPr>
            <w:r>
              <w:rPr>
                <w:rFonts w:ascii="Arial" w:cs="Arial" w:eastAsia="Arial" w:hAnsi="Arial"/>
                <w:sz w:val="14"/>
                <w:szCs w:val="14"/>
                <w:color w:val="auto"/>
              </w:rPr>
              <w:t>Compensation of Executive Officers</w:t>
            </w:r>
          </w:p>
        </w:tc>
        <w:tc>
          <w:tcPr>
            <w:tcW w:w="0" w:type="dxa"/>
            <w:vAlign w:val="bottom"/>
          </w:tcPr>
          <w:p>
            <w:pPr>
              <w:spacing w:after="0"/>
              <w:rPr>
                <w:sz w:val="1"/>
                <w:szCs w:val="1"/>
                <w:color w:val="auto"/>
              </w:rPr>
            </w:pPr>
          </w:p>
        </w:tc>
      </w:tr>
      <w:tr>
        <w:trPr>
          <w:trHeight w:val="108"/>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1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1"/>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56C271"/>
          </w:tcPr>
          <w:p>
            <w:pPr>
              <w:spacing w:after="0"/>
              <w:rPr>
                <w:sz w:val="15"/>
                <w:szCs w:val="15"/>
                <w:color w:val="auto"/>
              </w:rPr>
            </w:pPr>
          </w:p>
        </w:tc>
        <w:tc>
          <w:tcPr>
            <w:tcW w:w="1120" w:type="dxa"/>
            <w:vAlign w:val="bottom"/>
            <w:shd w:val="clear" w:color="auto" w:fill="56C271"/>
          </w:tcPr>
          <w:p>
            <w:pPr>
              <w:spacing w:after="0"/>
              <w:rPr>
                <w:sz w:val="15"/>
                <w:szCs w:val="15"/>
                <w:color w:val="auto"/>
              </w:rPr>
            </w:pPr>
          </w:p>
        </w:tc>
        <w:tc>
          <w:tcPr>
            <w:tcW w:w="1000" w:type="dxa"/>
            <w:vAlign w:val="bottom"/>
            <w:shd w:val="clear" w:color="auto" w:fill="56C271"/>
          </w:tcPr>
          <w:p>
            <w:pPr>
              <w:spacing w:after="0"/>
              <w:rPr>
                <w:sz w:val="15"/>
                <w:szCs w:val="15"/>
                <w:color w:val="auto"/>
              </w:rPr>
            </w:pPr>
          </w:p>
        </w:tc>
        <w:tc>
          <w:tcPr>
            <w:tcW w:w="1080" w:type="dxa"/>
            <w:vAlign w:val="bottom"/>
            <w:shd w:val="clear" w:color="auto" w:fill="56C271"/>
          </w:tcPr>
          <w:p>
            <w:pPr>
              <w:jc w:val="right"/>
              <w:ind w:right="73"/>
              <w:spacing w:after="0"/>
              <w:rPr>
                <w:sz w:val="20"/>
                <w:szCs w:val="20"/>
                <w:color w:val="auto"/>
              </w:rPr>
            </w:pPr>
            <w:r>
              <w:rPr>
                <w:rFonts w:ascii="Arial" w:cs="Arial" w:eastAsia="Arial" w:hAnsi="Arial"/>
                <w:sz w:val="14"/>
                <w:szCs w:val="14"/>
                <w:b w:val="1"/>
                <w:bCs w:val="1"/>
                <w:color w:val="FEFEFE"/>
              </w:rPr>
              <w:t>Company</w:t>
            </w:r>
          </w:p>
        </w:tc>
        <w:tc>
          <w:tcPr>
            <w:tcW w:w="1000" w:type="dxa"/>
            <w:vAlign w:val="bottom"/>
            <w:shd w:val="clear" w:color="auto" w:fill="56C271"/>
          </w:tcPr>
          <w:p>
            <w:pPr>
              <w:spacing w:after="0"/>
              <w:rPr>
                <w:sz w:val="15"/>
                <w:szCs w:val="15"/>
                <w:color w:val="auto"/>
              </w:rPr>
            </w:pPr>
          </w:p>
        </w:tc>
        <w:tc>
          <w:tcPr>
            <w:tcW w:w="980" w:type="dxa"/>
            <w:vAlign w:val="bottom"/>
            <w:shd w:val="clear" w:color="auto" w:fill="56C271"/>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56C271"/>
          </w:tcPr>
          <w:p>
            <w:pPr>
              <w:spacing w:after="0"/>
              <w:rPr>
                <w:sz w:val="14"/>
                <w:szCs w:val="14"/>
                <w:color w:val="auto"/>
              </w:rPr>
            </w:pPr>
          </w:p>
        </w:tc>
        <w:tc>
          <w:tcPr>
            <w:tcW w:w="1120" w:type="dxa"/>
            <w:vAlign w:val="bottom"/>
            <w:shd w:val="clear" w:color="auto" w:fill="56C271"/>
          </w:tcPr>
          <w:p>
            <w:pPr>
              <w:spacing w:after="0"/>
              <w:rPr>
                <w:sz w:val="14"/>
                <w:szCs w:val="14"/>
                <w:color w:val="auto"/>
              </w:rPr>
            </w:pPr>
          </w:p>
        </w:tc>
        <w:tc>
          <w:tcPr>
            <w:tcW w:w="1000" w:type="dxa"/>
            <w:vAlign w:val="bottom"/>
            <w:shd w:val="clear" w:color="auto" w:fill="56C271"/>
          </w:tcPr>
          <w:p>
            <w:pPr>
              <w:spacing w:after="0"/>
              <w:rPr>
                <w:sz w:val="14"/>
                <w:szCs w:val="14"/>
                <w:color w:val="auto"/>
              </w:rPr>
            </w:pPr>
          </w:p>
        </w:tc>
        <w:tc>
          <w:tcPr>
            <w:tcW w:w="1080" w:type="dxa"/>
            <w:vAlign w:val="bottom"/>
            <w:shd w:val="clear" w:color="auto" w:fill="56C271"/>
          </w:tcPr>
          <w:p>
            <w:pPr>
              <w:jc w:val="right"/>
              <w:ind w:right="73"/>
              <w:spacing w:after="0"/>
              <w:rPr>
                <w:sz w:val="20"/>
                <w:szCs w:val="20"/>
                <w:color w:val="auto"/>
              </w:rPr>
            </w:pPr>
            <w:r>
              <w:rPr>
                <w:rFonts w:ascii="Arial" w:cs="Arial" w:eastAsia="Arial" w:hAnsi="Arial"/>
                <w:sz w:val="14"/>
                <w:szCs w:val="14"/>
                <w:b w:val="1"/>
                <w:bCs w:val="1"/>
                <w:color w:val="FEFEFE"/>
              </w:rPr>
              <w:t>Termination</w:t>
            </w:r>
          </w:p>
        </w:tc>
        <w:tc>
          <w:tcPr>
            <w:tcW w:w="1000" w:type="dxa"/>
            <w:vAlign w:val="bottom"/>
            <w:shd w:val="clear" w:color="auto" w:fill="56C271"/>
          </w:tcPr>
          <w:p>
            <w:pPr>
              <w:jc w:val="right"/>
              <w:ind w:right="52"/>
              <w:spacing w:after="0"/>
              <w:rPr>
                <w:sz w:val="20"/>
                <w:szCs w:val="20"/>
                <w:color w:val="auto"/>
              </w:rPr>
            </w:pPr>
            <w:r>
              <w:rPr>
                <w:rFonts w:ascii="Arial" w:cs="Arial" w:eastAsia="Arial" w:hAnsi="Arial"/>
                <w:sz w:val="14"/>
                <w:szCs w:val="14"/>
                <w:b w:val="1"/>
                <w:bCs w:val="1"/>
                <w:color w:val="FEFEFE"/>
              </w:rPr>
              <w:t>Change of</w:t>
            </w:r>
          </w:p>
        </w:tc>
        <w:tc>
          <w:tcPr>
            <w:tcW w:w="980" w:type="dxa"/>
            <w:vAlign w:val="bottom"/>
            <w:shd w:val="clear" w:color="auto" w:fill="56C27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56C271"/>
          </w:tcPr>
          <w:p>
            <w:pPr>
              <w:spacing w:after="0"/>
              <w:rPr>
                <w:sz w:val="14"/>
                <w:szCs w:val="14"/>
                <w:color w:val="auto"/>
              </w:rPr>
            </w:pPr>
          </w:p>
        </w:tc>
        <w:tc>
          <w:tcPr>
            <w:tcW w:w="1120" w:type="dxa"/>
            <w:vAlign w:val="bottom"/>
            <w:shd w:val="clear" w:color="auto" w:fill="56C271"/>
          </w:tcPr>
          <w:p>
            <w:pPr>
              <w:spacing w:after="0"/>
              <w:rPr>
                <w:sz w:val="14"/>
                <w:szCs w:val="14"/>
                <w:color w:val="auto"/>
              </w:rPr>
            </w:pPr>
          </w:p>
        </w:tc>
        <w:tc>
          <w:tcPr>
            <w:tcW w:w="1000" w:type="dxa"/>
            <w:vAlign w:val="bottom"/>
            <w:shd w:val="clear" w:color="auto" w:fill="56C271"/>
          </w:tcPr>
          <w:p>
            <w:pPr>
              <w:jc w:val="right"/>
              <w:ind w:right="51"/>
              <w:spacing w:after="0"/>
              <w:rPr>
                <w:sz w:val="20"/>
                <w:szCs w:val="20"/>
                <w:color w:val="auto"/>
              </w:rPr>
            </w:pPr>
            <w:r>
              <w:rPr>
                <w:rFonts w:ascii="Arial" w:cs="Arial" w:eastAsia="Arial" w:hAnsi="Arial"/>
                <w:sz w:val="14"/>
                <w:szCs w:val="14"/>
                <w:b w:val="1"/>
                <w:bCs w:val="1"/>
                <w:color w:val="FEFEFE"/>
              </w:rPr>
              <w:t>Disability</w:t>
            </w:r>
          </w:p>
        </w:tc>
        <w:tc>
          <w:tcPr>
            <w:tcW w:w="1080" w:type="dxa"/>
            <w:vAlign w:val="bottom"/>
            <w:shd w:val="clear" w:color="auto" w:fill="56C271"/>
          </w:tcPr>
          <w:p>
            <w:pPr>
              <w:jc w:val="right"/>
              <w:ind w:right="73"/>
              <w:spacing w:after="0"/>
              <w:rPr>
                <w:sz w:val="20"/>
                <w:szCs w:val="20"/>
                <w:color w:val="auto"/>
              </w:rPr>
            </w:pPr>
            <w:r>
              <w:rPr>
                <w:rFonts w:ascii="Arial" w:cs="Arial" w:eastAsia="Arial" w:hAnsi="Arial"/>
                <w:sz w:val="14"/>
                <w:szCs w:val="14"/>
                <w:b w:val="1"/>
                <w:bCs w:val="1"/>
                <w:color w:val="FEFEFE"/>
              </w:rPr>
              <w:t>w/o Cause</w:t>
            </w:r>
          </w:p>
        </w:tc>
        <w:tc>
          <w:tcPr>
            <w:tcW w:w="1000" w:type="dxa"/>
            <w:vAlign w:val="bottom"/>
            <w:shd w:val="clear" w:color="auto" w:fill="56C271"/>
          </w:tcPr>
          <w:p>
            <w:pPr>
              <w:jc w:val="right"/>
              <w:ind w:right="52"/>
              <w:spacing w:after="0"/>
              <w:rPr>
                <w:sz w:val="20"/>
                <w:szCs w:val="20"/>
                <w:color w:val="auto"/>
              </w:rPr>
            </w:pPr>
            <w:r>
              <w:rPr>
                <w:rFonts w:ascii="Arial" w:cs="Arial" w:eastAsia="Arial" w:hAnsi="Arial"/>
                <w:sz w:val="14"/>
                <w:szCs w:val="14"/>
                <w:b w:val="1"/>
                <w:bCs w:val="1"/>
                <w:color w:val="FEFEFE"/>
              </w:rPr>
              <w:t>Control</w:t>
            </w:r>
          </w:p>
        </w:tc>
        <w:tc>
          <w:tcPr>
            <w:tcW w:w="980" w:type="dxa"/>
            <w:vAlign w:val="bottom"/>
            <w:shd w:val="clear" w:color="auto" w:fill="56C271"/>
          </w:tcPr>
          <w:p>
            <w:pPr>
              <w:jc w:val="right"/>
              <w:ind w:right="11"/>
              <w:spacing w:after="0"/>
              <w:rPr>
                <w:sz w:val="20"/>
                <w:szCs w:val="20"/>
                <w:color w:val="auto"/>
              </w:rPr>
            </w:pPr>
            <w:r>
              <w:rPr>
                <w:rFonts w:ascii="Arial" w:cs="Arial" w:eastAsia="Arial" w:hAnsi="Arial"/>
                <w:sz w:val="14"/>
                <w:szCs w:val="14"/>
                <w:b w:val="1"/>
                <w:bCs w:val="1"/>
                <w:color w:val="FEFEFE"/>
              </w:rPr>
              <w:t>Retirement</w:t>
            </w:r>
          </w:p>
        </w:tc>
        <w:tc>
          <w:tcPr>
            <w:tcW w:w="0" w:type="dxa"/>
            <w:vAlign w:val="bottom"/>
          </w:tcPr>
          <w:p>
            <w:pPr>
              <w:spacing w:after="0"/>
              <w:rPr>
                <w:sz w:val="1"/>
                <w:szCs w:val="1"/>
                <w:color w:val="auto"/>
              </w:rPr>
            </w:pPr>
          </w:p>
        </w:tc>
      </w:tr>
      <w:tr>
        <w:trPr>
          <w:trHeight w:val="175"/>
        </w:trPr>
        <w:tc>
          <w:tcPr>
            <w:tcW w:w="3580" w:type="dxa"/>
            <w:vAlign w:val="bottom"/>
            <w:shd w:val="clear" w:color="auto" w:fill="56C271"/>
          </w:tcPr>
          <w:p>
            <w:pPr>
              <w:spacing w:after="0"/>
              <w:rPr>
                <w:sz w:val="15"/>
                <w:szCs w:val="15"/>
                <w:color w:val="auto"/>
              </w:rPr>
            </w:pPr>
          </w:p>
        </w:tc>
        <w:tc>
          <w:tcPr>
            <w:tcW w:w="1120" w:type="dxa"/>
            <w:vAlign w:val="bottom"/>
            <w:shd w:val="clear" w:color="auto" w:fill="56C271"/>
          </w:tcPr>
          <w:p>
            <w:pPr>
              <w:jc w:val="right"/>
              <w:ind w:right="31"/>
              <w:spacing w:after="0"/>
              <w:rPr>
                <w:sz w:val="20"/>
                <w:szCs w:val="20"/>
                <w:color w:val="auto"/>
              </w:rPr>
            </w:pPr>
            <w:r>
              <w:rPr>
                <w:rFonts w:ascii="Arial" w:cs="Arial" w:eastAsia="Arial" w:hAnsi="Arial"/>
                <w:sz w:val="14"/>
                <w:szCs w:val="14"/>
                <w:b w:val="1"/>
                <w:bCs w:val="1"/>
                <w:color w:val="FEFEFE"/>
              </w:rPr>
              <w:t>Death ($)</w:t>
            </w:r>
          </w:p>
        </w:tc>
        <w:tc>
          <w:tcPr>
            <w:tcW w:w="1000" w:type="dxa"/>
            <w:vAlign w:val="bottom"/>
            <w:shd w:val="clear" w:color="auto" w:fill="56C271"/>
          </w:tcPr>
          <w:p>
            <w:pPr>
              <w:jc w:val="right"/>
              <w:ind w:right="11"/>
              <w:spacing w:after="0"/>
              <w:rPr>
                <w:sz w:val="20"/>
                <w:szCs w:val="20"/>
                <w:color w:val="auto"/>
              </w:rPr>
            </w:pPr>
            <w:r>
              <w:rPr>
                <w:rFonts w:ascii="Arial" w:cs="Arial" w:eastAsia="Arial" w:hAnsi="Arial"/>
                <w:sz w:val="14"/>
                <w:szCs w:val="14"/>
                <w:b w:val="1"/>
                <w:bCs w:val="1"/>
                <w:color w:val="FEFEFE"/>
              </w:rPr>
              <w:t>($)</w:t>
            </w:r>
          </w:p>
        </w:tc>
        <w:tc>
          <w:tcPr>
            <w:tcW w:w="1080" w:type="dxa"/>
            <w:vAlign w:val="bottom"/>
            <w:shd w:val="clear" w:color="auto" w:fill="56C271"/>
          </w:tcPr>
          <w:p>
            <w:pPr>
              <w:jc w:val="right"/>
              <w:ind w:right="33"/>
              <w:spacing w:after="0"/>
              <w:rPr>
                <w:sz w:val="20"/>
                <w:szCs w:val="20"/>
                <w:color w:val="auto"/>
              </w:rPr>
            </w:pPr>
            <w:r>
              <w:rPr>
                <w:rFonts w:ascii="Arial" w:cs="Arial" w:eastAsia="Arial" w:hAnsi="Arial"/>
                <w:sz w:val="14"/>
                <w:szCs w:val="14"/>
                <w:b w:val="1"/>
                <w:bCs w:val="1"/>
                <w:color w:val="FEFEFE"/>
              </w:rPr>
              <w:t>($)</w:t>
            </w:r>
          </w:p>
        </w:tc>
        <w:tc>
          <w:tcPr>
            <w:tcW w:w="1000" w:type="dxa"/>
            <w:vAlign w:val="bottom"/>
            <w:shd w:val="clear" w:color="auto" w:fill="56C271"/>
          </w:tcPr>
          <w:p>
            <w:pPr>
              <w:jc w:val="right"/>
              <w:ind w:right="12"/>
              <w:spacing w:after="0"/>
              <w:rPr>
                <w:sz w:val="20"/>
                <w:szCs w:val="20"/>
                <w:color w:val="auto"/>
              </w:rPr>
            </w:pPr>
            <w:r>
              <w:rPr>
                <w:rFonts w:ascii="Arial" w:cs="Arial" w:eastAsia="Arial" w:hAnsi="Arial"/>
                <w:sz w:val="14"/>
                <w:szCs w:val="14"/>
                <w:b w:val="1"/>
                <w:bCs w:val="1"/>
                <w:color w:val="FEFEFE"/>
              </w:rPr>
              <w:t>($)</w:t>
            </w: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43"/>
        </w:trPr>
        <w:tc>
          <w:tcPr>
            <w:tcW w:w="3580" w:type="dxa"/>
            <w:vAlign w:val="bottom"/>
            <w:shd w:val="clear" w:color="auto" w:fill="CCEDD4"/>
          </w:tcPr>
          <w:p>
            <w:pPr>
              <w:ind w:left="60"/>
              <w:spacing w:after="0" w:line="243" w:lineRule="exact"/>
              <w:rPr>
                <w:sz w:val="20"/>
                <w:szCs w:val="20"/>
                <w:color w:val="auto"/>
              </w:rPr>
            </w:pPr>
            <w:r>
              <w:rPr>
                <w:rFonts w:ascii="Arial" w:cs="Arial" w:eastAsia="Arial" w:hAnsi="Arial"/>
                <w:sz w:val="18"/>
                <w:szCs w:val="18"/>
                <w:color w:val="auto"/>
              </w:rPr>
              <w:t>William J. Amelio</w:t>
            </w:r>
            <w:r>
              <w:rPr>
                <w:rFonts w:ascii="Arial" w:cs="Arial" w:eastAsia="Arial" w:hAnsi="Arial"/>
                <w:sz w:val="23"/>
                <w:szCs w:val="23"/>
                <w:color w:val="auto"/>
                <w:vertAlign w:val="superscript"/>
              </w:rPr>
              <w:t>(4)</w:t>
            </w:r>
          </w:p>
        </w:tc>
        <w:tc>
          <w:tcPr>
            <w:tcW w:w="1120" w:type="dxa"/>
            <w:vAlign w:val="bottom"/>
            <w:shd w:val="clear" w:color="auto" w:fill="CCEDD4"/>
          </w:tcPr>
          <w:p>
            <w:pPr>
              <w:spacing w:after="0"/>
              <w:rPr>
                <w:sz w:val="21"/>
                <w:szCs w:val="21"/>
                <w:color w:val="auto"/>
              </w:rPr>
            </w:pPr>
          </w:p>
        </w:tc>
        <w:tc>
          <w:tcPr>
            <w:tcW w:w="1000" w:type="dxa"/>
            <w:vAlign w:val="bottom"/>
            <w:shd w:val="clear" w:color="auto" w:fill="CCEDD4"/>
          </w:tcPr>
          <w:p>
            <w:pPr>
              <w:spacing w:after="0"/>
              <w:rPr>
                <w:sz w:val="21"/>
                <w:szCs w:val="21"/>
                <w:color w:val="auto"/>
              </w:rPr>
            </w:pPr>
          </w:p>
        </w:tc>
        <w:tc>
          <w:tcPr>
            <w:tcW w:w="1080" w:type="dxa"/>
            <w:vAlign w:val="bottom"/>
            <w:shd w:val="clear" w:color="auto" w:fill="CCEDD4"/>
          </w:tcPr>
          <w:p>
            <w:pPr>
              <w:spacing w:after="0"/>
              <w:rPr>
                <w:sz w:val="21"/>
                <w:szCs w:val="21"/>
                <w:color w:val="auto"/>
              </w:rPr>
            </w:pPr>
          </w:p>
        </w:tc>
        <w:tc>
          <w:tcPr>
            <w:tcW w:w="1000" w:type="dxa"/>
            <w:vAlign w:val="bottom"/>
            <w:shd w:val="clear" w:color="auto" w:fill="CCEDD4"/>
          </w:tcPr>
          <w:p>
            <w:pPr>
              <w:spacing w:after="0"/>
              <w:rPr>
                <w:sz w:val="21"/>
                <w:szCs w:val="21"/>
                <w:color w:val="auto"/>
              </w:rPr>
            </w:pPr>
          </w:p>
        </w:tc>
        <w:tc>
          <w:tcPr>
            <w:tcW w:w="980" w:type="dxa"/>
            <w:vAlign w:val="bottom"/>
            <w:shd w:val="clear" w:color="auto" w:fill="CCEDD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DD4"/>
          </w:tcPr>
          <w:p>
            <w:pPr>
              <w:ind w:left="240"/>
              <w:spacing w:after="0" w:line="243" w:lineRule="exact"/>
              <w:rPr>
                <w:sz w:val="20"/>
                <w:szCs w:val="20"/>
                <w:color w:val="auto"/>
              </w:rPr>
            </w:pPr>
            <w:r>
              <w:rPr>
                <w:rFonts w:ascii="Arial" w:cs="Arial" w:eastAsia="Arial" w:hAnsi="Arial"/>
                <w:sz w:val="18"/>
                <w:szCs w:val="18"/>
                <w:color w:val="auto"/>
              </w:rPr>
              <w:t>Severance</w:t>
            </w:r>
            <w:r>
              <w:rPr>
                <w:rFonts w:ascii="Arial" w:cs="Arial" w:eastAsia="Arial" w:hAnsi="Arial"/>
                <w:sz w:val="23"/>
                <w:szCs w:val="23"/>
                <w:color w:val="auto"/>
                <w:vertAlign w:val="superscript"/>
              </w:rPr>
              <w:t>(1)</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2,500,000</w:t>
            </w:r>
          </w:p>
        </w:tc>
        <w:tc>
          <w:tcPr>
            <w:tcW w:w="100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previously vested stock</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options</w:t>
            </w:r>
          </w:p>
        </w:tc>
        <w:tc>
          <w:tcPr>
            <w:tcW w:w="1120" w:type="dxa"/>
            <w:vAlign w:val="bottom"/>
            <w:shd w:val="clear" w:color="auto" w:fill="CCEDD4"/>
          </w:tcPr>
          <w:p>
            <w:pPr>
              <w:spacing w:after="0"/>
              <w:rPr>
                <w:sz w:val="18"/>
                <w:szCs w:val="18"/>
                <w:color w:val="auto"/>
              </w:rPr>
            </w:pPr>
          </w:p>
        </w:tc>
        <w:tc>
          <w:tcPr>
            <w:tcW w:w="1000" w:type="dxa"/>
            <w:vAlign w:val="bottom"/>
            <w:shd w:val="clear" w:color="auto" w:fill="CCEDD4"/>
          </w:tcPr>
          <w:p>
            <w:pPr>
              <w:spacing w:after="0"/>
              <w:rPr>
                <w:sz w:val="18"/>
                <w:szCs w:val="18"/>
                <w:color w:val="auto"/>
              </w:rPr>
            </w:pPr>
          </w:p>
        </w:tc>
        <w:tc>
          <w:tcPr>
            <w:tcW w:w="1080" w:type="dxa"/>
            <w:vAlign w:val="bottom"/>
            <w:shd w:val="clear" w:color="auto" w:fill="CCEDD4"/>
          </w:tcPr>
          <w:p>
            <w:pPr>
              <w:spacing w:after="0"/>
              <w:rPr>
                <w:sz w:val="18"/>
                <w:szCs w:val="18"/>
                <w:color w:val="auto"/>
              </w:rPr>
            </w:pPr>
          </w:p>
        </w:tc>
        <w:tc>
          <w:tcPr>
            <w:tcW w:w="1000" w:type="dxa"/>
            <w:vAlign w:val="bottom"/>
            <w:shd w:val="clear" w:color="auto" w:fill="CCEDD4"/>
          </w:tcPr>
          <w:p>
            <w:pPr>
              <w:spacing w:after="0"/>
              <w:rPr>
                <w:sz w:val="18"/>
                <w:szCs w:val="18"/>
                <w:color w:val="auto"/>
              </w:rPr>
            </w:pPr>
          </w:p>
        </w:tc>
        <w:tc>
          <w:tcPr>
            <w:tcW w:w="980" w:type="dxa"/>
            <w:vAlign w:val="bottom"/>
            <w:shd w:val="clear" w:color="auto" w:fill="CCED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unvested stock options</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RSUs</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PSUs</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Welfare benefits</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55,076</w:t>
            </w:r>
          </w:p>
        </w:tc>
        <w:tc>
          <w:tcPr>
            <w:tcW w:w="100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Life insurance benefit</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Pension</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65,317</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65,317</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65,317</w:t>
            </w:r>
          </w:p>
        </w:tc>
        <w:tc>
          <w:tcPr>
            <w:tcW w:w="100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65,317</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65,317</w:t>
            </w:r>
          </w:p>
        </w:tc>
        <w:tc>
          <w:tcPr>
            <w:tcW w:w="0" w:type="dxa"/>
            <w:vAlign w:val="bottom"/>
          </w:tcPr>
          <w:p>
            <w:pPr>
              <w:spacing w:after="0"/>
              <w:rPr>
                <w:sz w:val="1"/>
                <w:szCs w:val="1"/>
                <w:color w:val="auto"/>
              </w:rPr>
            </w:pPr>
          </w:p>
        </w:tc>
      </w:tr>
      <w:tr>
        <w:trPr>
          <w:trHeight w:val="216"/>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Restoration Plan</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431,504</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431,504</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431,504</w:t>
            </w:r>
          </w:p>
        </w:tc>
        <w:tc>
          <w:tcPr>
            <w:tcW w:w="100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431,504</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431,504</w:t>
            </w:r>
          </w:p>
        </w:tc>
        <w:tc>
          <w:tcPr>
            <w:tcW w:w="0" w:type="dxa"/>
            <w:vAlign w:val="bottom"/>
          </w:tcPr>
          <w:p>
            <w:pPr>
              <w:spacing w:after="0"/>
              <w:rPr>
                <w:sz w:val="1"/>
                <w:szCs w:val="1"/>
                <w:color w:val="auto"/>
              </w:rPr>
            </w:pPr>
          </w:p>
        </w:tc>
      </w:tr>
      <w:tr>
        <w:trPr>
          <w:trHeight w:val="245"/>
        </w:trPr>
        <w:tc>
          <w:tcPr>
            <w:tcW w:w="3580" w:type="dxa"/>
            <w:vAlign w:val="bottom"/>
          </w:tcPr>
          <w:p>
            <w:pPr>
              <w:ind w:left="60"/>
              <w:spacing w:after="0" w:line="245" w:lineRule="exact"/>
              <w:rPr>
                <w:sz w:val="20"/>
                <w:szCs w:val="20"/>
                <w:color w:val="auto"/>
              </w:rPr>
            </w:pPr>
            <w:r>
              <w:rPr>
                <w:rFonts w:ascii="Arial" w:cs="Arial" w:eastAsia="Arial" w:hAnsi="Arial"/>
                <w:sz w:val="18"/>
                <w:szCs w:val="18"/>
                <w:color w:val="auto"/>
              </w:rPr>
              <w:t>Peter G. Bartolotta</w:t>
            </w:r>
            <w:r>
              <w:rPr>
                <w:rFonts w:ascii="Arial" w:cs="Arial" w:eastAsia="Arial" w:hAnsi="Arial"/>
                <w:sz w:val="23"/>
                <w:szCs w:val="23"/>
                <w:color w:val="auto"/>
                <w:vertAlign w:val="superscript"/>
              </w:rPr>
              <w:t>(4)</w:t>
            </w:r>
          </w:p>
        </w:tc>
        <w:tc>
          <w:tcPr>
            <w:tcW w:w="1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580" w:type="dxa"/>
            <w:vAlign w:val="bottom"/>
          </w:tcPr>
          <w:p>
            <w:pPr>
              <w:ind w:left="240"/>
              <w:spacing w:after="0" w:line="253" w:lineRule="exact"/>
              <w:rPr>
                <w:sz w:val="20"/>
                <w:szCs w:val="20"/>
                <w:color w:val="auto"/>
              </w:rPr>
            </w:pPr>
            <w:r>
              <w:rPr>
                <w:rFonts w:ascii="Arial" w:cs="Arial" w:eastAsia="Arial" w:hAnsi="Arial"/>
                <w:sz w:val="18"/>
                <w:szCs w:val="18"/>
                <w:color w:val="auto"/>
              </w:rPr>
              <w:t>Severance</w:t>
            </w:r>
            <w:r>
              <w:rPr>
                <w:rFonts w:ascii="Arial" w:cs="Arial" w:eastAsia="Arial" w:hAnsi="Arial"/>
                <w:sz w:val="23"/>
                <w:szCs w:val="23"/>
                <w:color w:val="auto"/>
                <w:vertAlign w:val="superscript"/>
              </w:rPr>
              <w:t>(1)</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1,100,000</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240"/>
              <w:spacing w:after="0"/>
              <w:rPr>
                <w:sz w:val="20"/>
                <w:szCs w:val="20"/>
                <w:color w:val="auto"/>
              </w:rPr>
            </w:pPr>
            <w:r>
              <w:rPr>
                <w:rFonts w:ascii="Arial" w:cs="Arial" w:eastAsia="Arial" w:hAnsi="Arial"/>
                <w:sz w:val="18"/>
                <w:szCs w:val="18"/>
                <w:color w:val="auto"/>
              </w:rPr>
              <w:t>Settlement of previously vested stock</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580" w:type="dxa"/>
            <w:vAlign w:val="bottom"/>
          </w:tcPr>
          <w:p>
            <w:pPr>
              <w:ind w:left="240"/>
              <w:spacing w:after="0"/>
              <w:rPr>
                <w:sz w:val="20"/>
                <w:szCs w:val="20"/>
                <w:color w:val="auto"/>
              </w:rPr>
            </w:pPr>
            <w:r>
              <w:rPr>
                <w:rFonts w:ascii="Arial" w:cs="Arial" w:eastAsia="Arial" w:hAnsi="Arial"/>
                <w:sz w:val="18"/>
                <w:szCs w:val="18"/>
                <w:color w:val="auto"/>
              </w:rPr>
              <w:t>options</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240"/>
              <w:spacing w:after="0"/>
              <w:rPr>
                <w:sz w:val="20"/>
                <w:szCs w:val="20"/>
                <w:color w:val="auto"/>
              </w:rPr>
            </w:pPr>
            <w:r>
              <w:rPr>
                <w:rFonts w:ascii="Arial" w:cs="Arial" w:eastAsia="Arial" w:hAnsi="Arial"/>
                <w:sz w:val="18"/>
                <w:szCs w:val="18"/>
                <w:color w:val="auto"/>
              </w:rPr>
              <w:t>Settlement of unvested stock options</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Settlement of RSUs</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Settlement of PSUs</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Welfare benefits</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Life insurance benefit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Pension</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60,861</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60,861</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60,861</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60,861</w:t>
            </w:r>
          </w:p>
        </w:tc>
        <w:tc>
          <w:tcPr>
            <w:tcW w:w="980" w:type="dxa"/>
            <w:vAlign w:val="bottom"/>
          </w:tcPr>
          <w:p>
            <w:pPr>
              <w:jc w:val="right"/>
              <w:spacing w:after="0"/>
              <w:rPr>
                <w:sz w:val="20"/>
                <w:szCs w:val="20"/>
                <w:color w:val="auto"/>
              </w:rPr>
            </w:pPr>
            <w:r>
              <w:rPr>
                <w:rFonts w:ascii="Arial" w:cs="Arial" w:eastAsia="Arial" w:hAnsi="Arial"/>
                <w:sz w:val="18"/>
                <w:szCs w:val="18"/>
                <w:color w:val="auto"/>
              </w:rPr>
              <w:t>60,861</w:t>
            </w:r>
          </w:p>
        </w:tc>
        <w:tc>
          <w:tcPr>
            <w:tcW w:w="0" w:type="dxa"/>
            <w:vAlign w:val="bottom"/>
          </w:tcPr>
          <w:p>
            <w:pPr>
              <w:spacing w:after="0"/>
              <w:rPr>
                <w:sz w:val="1"/>
                <w:szCs w:val="1"/>
                <w:color w:val="auto"/>
              </w:rPr>
            </w:pPr>
          </w:p>
        </w:tc>
      </w:tr>
      <w:tr>
        <w:trPr>
          <w:trHeight w:val="216"/>
        </w:trPr>
        <w:tc>
          <w:tcPr>
            <w:tcW w:w="3580" w:type="dxa"/>
            <w:vAlign w:val="bottom"/>
          </w:tcPr>
          <w:p>
            <w:pPr>
              <w:ind w:left="240"/>
              <w:spacing w:after="0"/>
              <w:rPr>
                <w:sz w:val="20"/>
                <w:szCs w:val="20"/>
                <w:color w:val="auto"/>
              </w:rPr>
            </w:pPr>
            <w:r>
              <w:rPr>
                <w:rFonts w:ascii="Arial" w:cs="Arial" w:eastAsia="Arial" w:hAnsi="Arial"/>
                <w:sz w:val="18"/>
                <w:szCs w:val="18"/>
                <w:color w:val="auto"/>
              </w:rPr>
              <w:t>Restoration Plan</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151,351</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151,351</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151,351</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151,351</w:t>
            </w:r>
          </w:p>
        </w:tc>
        <w:tc>
          <w:tcPr>
            <w:tcW w:w="980" w:type="dxa"/>
            <w:vAlign w:val="bottom"/>
          </w:tcPr>
          <w:p>
            <w:pPr>
              <w:jc w:val="right"/>
              <w:spacing w:after="0"/>
              <w:rPr>
                <w:sz w:val="20"/>
                <w:szCs w:val="20"/>
                <w:color w:val="auto"/>
              </w:rPr>
            </w:pPr>
            <w:r>
              <w:rPr>
                <w:rFonts w:ascii="Arial" w:cs="Arial" w:eastAsia="Arial" w:hAnsi="Arial"/>
                <w:sz w:val="18"/>
                <w:szCs w:val="18"/>
                <w:color w:val="auto"/>
              </w:rPr>
              <w:t>151,351</w:t>
            </w:r>
          </w:p>
        </w:tc>
        <w:tc>
          <w:tcPr>
            <w:tcW w:w="0" w:type="dxa"/>
            <w:vAlign w:val="bottom"/>
          </w:tcPr>
          <w:p>
            <w:pPr>
              <w:spacing w:after="0"/>
              <w:rPr>
                <w:sz w:val="1"/>
                <w:szCs w:val="1"/>
                <w:color w:val="auto"/>
              </w:rPr>
            </w:pPr>
          </w:p>
        </w:tc>
      </w:tr>
      <w:tr>
        <w:trPr>
          <w:trHeight w:val="230"/>
        </w:trPr>
        <w:tc>
          <w:tcPr>
            <w:tcW w:w="3580" w:type="dxa"/>
            <w:vAlign w:val="bottom"/>
            <w:shd w:val="clear" w:color="auto" w:fill="CCEDD4"/>
          </w:tcPr>
          <w:p>
            <w:pPr>
              <w:ind w:left="60"/>
              <w:spacing w:after="0"/>
              <w:rPr>
                <w:sz w:val="20"/>
                <w:szCs w:val="20"/>
                <w:color w:val="auto"/>
              </w:rPr>
            </w:pPr>
            <w:r>
              <w:rPr>
                <w:rFonts w:ascii="Arial" w:cs="Arial" w:eastAsia="Arial" w:hAnsi="Arial"/>
                <w:sz w:val="18"/>
                <w:szCs w:val="18"/>
                <w:color w:val="auto"/>
              </w:rPr>
              <w:t>MaryAnn G. Miller</w:t>
            </w:r>
          </w:p>
        </w:tc>
        <w:tc>
          <w:tcPr>
            <w:tcW w:w="1120" w:type="dxa"/>
            <w:vAlign w:val="bottom"/>
            <w:shd w:val="clear" w:color="auto" w:fill="CCEDD4"/>
          </w:tcPr>
          <w:p>
            <w:pPr>
              <w:spacing w:after="0"/>
              <w:rPr>
                <w:sz w:val="19"/>
                <w:szCs w:val="19"/>
                <w:color w:val="auto"/>
              </w:rPr>
            </w:pPr>
          </w:p>
        </w:tc>
        <w:tc>
          <w:tcPr>
            <w:tcW w:w="1000" w:type="dxa"/>
            <w:vAlign w:val="bottom"/>
            <w:shd w:val="clear" w:color="auto" w:fill="CCEDD4"/>
          </w:tcPr>
          <w:p>
            <w:pPr>
              <w:spacing w:after="0"/>
              <w:rPr>
                <w:sz w:val="19"/>
                <w:szCs w:val="19"/>
                <w:color w:val="auto"/>
              </w:rPr>
            </w:pPr>
          </w:p>
        </w:tc>
        <w:tc>
          <w:tcPr>
            <w:tcW w:w="1080" w:type="dxa"/>
            <w:vAlign w:val="bottom"/>
            <w:shd w:val="clear" w:color="auto" w:fill="CCEDD4"/>
          </w:tcPr>
          <w:p>
            <w:pPr>
              <w:spacing w:after="0"/>
              <w:rPr>
                <w:sz w:val="19"/>
                <w:szCs w:val="19"/>
                <w:color w:val="auto"/>
              </w:rPr>
            </w:pPr>
          </w:p>
        </w:tc>
        <w:tc>
          <w:tcPr>
            <w:tcW w:w="1000" w:type="dxa"/>
            <w:vAlign w:val="bottom"/>
            <w:shd w:val="clear" w:color="auto" w:fill="CCEDD4"/>
          </w:tcPr>
          <w:p>
            <w:pPr>
              <w:spacing w:after="0"/>
              <w:rPr>
                <w:sz w:val="19"/>
                <w:szCs w:val="19"/>
                <w:color w:val="auto"/>
              </w:rPr>
            </w:pPr>
          </w:p>
        </w:tc>
        <w:tc>
          <w:tcPr>
            <w:tcW w:w="980" w:type="dxa"/>
            <w:vAlign w:val="bottom"/>
            <w:shd w:val="clear" w:color="auto" w:fill="CCEDD4"/>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580" w:type="dxa"/>
            <w:vAlign w:val="bottom"/>
            <w:shd w:val="clear" w:color="auto" w:fill="CCEDD4"/>
          </w:tcPr>
          <w:p>
            <w:pPr>
              <w:ind w:left="240"/>
              <w:spacing w:after="0" w:line="256" w:lineRule="exact"/>
              <w:rPr>
                <w:sz w:val="20"/>
                <w:szCs w:val="20"/>
                <w:color w:val="auto"/>
              </w:rPr>
            </w:pPr>
            <w:r>
              <w:rPr>
                <w:rFonts w:ascii="Arial" w:cs="Arial" w:eastAsia="Arial" w:hAnsi="Arial"/>
                <w:sz w:val="18"/>
                <w:szCs w:val="18"/>
                <w:color w:val="auto"/>
              </w:rPr>
              <w:t>Severance</w:t>
            </w:r>
            <w:r>
              <w:rPr>
                <w:rFonts w:ascii="Arial" w:cs="Arial" w:eastAsia="Arial" w:hAnsi="Arial"/>
                <w:sz w:val="23"/>
                <w:szCs w:val="23"/>
                <w:color w:val="auto"/>
                <w:vertAlign w:val="superscript"/>
              </w:rPr>
              <w:t>(1)</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2,840,500</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previously vested stock</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209,094</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209,094</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209,094</w:t>
            </w:r>
          </w:p>
        </w:tc>
        <w:tc>
          <w:tcPr>
            <w:tcW w:w="100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209,094</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209,094</w:t>
            </w:r>
          </w:p>
        </w:tc>
        <w:tc>
          <w:tcPr>
            <w:tcW w:w="0" w:type="dxa"/>
            <w:vAlign w:val="bottom"/>
          </w:tcPr>
          <w:p>
            <w:pPr>
              <w:spacing w:after="0"/>
              <w:rPr>
                <w:sz w:val="1"/>
                <w:szCs w:val="1"/>
                <w:color w:val="auto"/>
              </w:rPr>
            </w:pPr>
          </w:p>
        </w:tc>
      </w:tr>
      <w:tr>
        <w:trPr>
          <w:trHeight w:val="217"/>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options</w:t>
            </w:r>
          </w:p>
        </w:tc>
        <w:tc>
          <w:tcPr>
            <w:tcW w:w="1120" w:type="dxa"/>
            <w:vAlign w:val="bottom"/>
            <w:shd w:val="clear" w:color="auto" w:fill="CCEDD4"/>
          </w:tcPr>
          <w:p>
            <w:pPr>
              <w:spacing w:after="0"/>
              <w:rPr>
                <w:sz w:val="18"/>
                <w:szCs w:val="18"/>
                <w:color w:val="auto"/>
              </w:rPr>
            </w:pPr>
          </w:p>
        </w:tc>
        <w:tc>
          <w:tcPr>
            <w:tcW w:w="1000" w:type="dxa"/>
            <w:vAlign w:val="bottom"/>
            <w:shd w:val="clear" w:color="auto" w:fill="CCEDD4"/>
          </w:tcPr>
          <w:p>
            <w:pPr>
              <w:spacing w:after="0"/>
              <w:rPr>
                <w:sz w:val="18"/>
                <w:szCs w:val="18"/>
                <w:color w:val="auto"/>
              </w:rPr>
            </w:pPr>
          </w:p>
        </w:tc>
        <w:tc>
          <w:tcPr>
            <w:tcW w:w="1080" w:type="dxa"/>
            <w:vAlign w:val="bottom"/>
            <w:shd w:val="clear" w:color="auto" w:fill="CCEDD4"/>
          </w:tcPr>
          <w:p>
            <w:pPr>
              <w:spacing w:after="0"/>
              <w:rPr>
                <w:sz w:val="18"/>
                <w:szCs w:val="18"/>
                <w:color w:val="auto"/>
              </w:rPr>
            </w:pPr>
          </w:p>
        </w:tc>
        <w:tc>
          <w:tcPr>
            <w:tcW w:w="1000" w:type="dxa"/>
            <w:vAlign w:val="bottom"/>
            <w:shd w:val="clear" w:color="auto" w:fill="CCEDD4"/>
          </w:tcPr>
          <w:p>
            <w:pPr>
              <w:spacing w:after="0"/>
              <w:rPr>
                <w:sz w:val="18"/>
                <w:szCs w:val="18"/>
                <w:color w:val="auto"/>
              </w:rPr>
            </w:pPr>
          </w:p>
        </w:tc>
        <w:tc>
          <w:tcPr>
            <w:tcW w:w="980" w:type="dxa"/>
            <w:vAlign w:val="bottom"/>
            <w:shd w:val="clear" w:color="auto" w:fill="CCEDD4"/>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Settlement of unvested stock options</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696,507</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26,052</w:t>
            </w:r>
          </w:p>
        </w:tc>
        <w:tc>
          <w:tcPr>
            <w:tcW w:w="100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696,507</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26,052</w:t>
            </w:r>
          </w:p>
        </w:tc>
        <w:tc>
          <w:tcPr>
            <w:tcW w:w="0" w:type="dxa"/>
            <w:vAlign w:val="bottom"/>
          </w:tcPr>
          <w:p>
            <w:pPr>
              <w:spacing w:after="0"/>
              <w:rPr>
                <w:sz w:val="1"/>
                <w:szCs w:val="1"/>
                <w:color w:val="auto"/>
              </w:rPr>
            </w:pPr>
          </w:p>
        </w:tc>
      </w:tr>
      <w:tr>
        <w:trPr>
          <w:trHeight w:val="256"/>
        </w:trPr>
        <w:tc>
          <w:tcPr>
            <w:tcW w:w="3580" w:type="dxa"/>
            <w:vAlign w:val="bottom"/>
            <w:shd w:val="clear" w:color="auto" w:fill="CCEDD4"/>
          </w:tcPr>
          <w:p>
            <w:pPr>
              <w:ind w:left="240"/>
              <w:spacing w:after="0" w:line="256" w:lineRule="exact"/>
              <w:rPr>
                <w:sz w:val="20"/>
                <w:szCs w:val="20"/>
                <w:color w:val="auto"/>
              </w:rPr>
            </w:pPr>
            <w:r>
              <w:rPr>
                <w:rFonts w:ascii="Arial" w:cs="Arial" w:eastAsia="Arial" w:hAnsi="Arial"/>
                <w:sz w:val="18"/>
                <w:szCs w:val="18"/>
                <w:color w:val="auto"/>
              </w:rPr>
              <w:t>Settlement of RSUs</w:t>
            </w:r>
            <w:r>
              <w:rPr>
                <w:rFonts w:ascii="Arial" w:cs="Arial" w:eastAsia="Arial" w:hAnsi="Arial"/>
                <w:sz w:val="23"/>
                <w:szCs w:val="23"/>
                <w:color w:val="auto"/>
                <w:vertAlign w:val="superscript"/>
              </w:rPr>
              <w:t>(2)(5)</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833,465</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217,403</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217,403</w:t>
            </w:r>
          </w:p>
        </w:tc>
        <w:tc>
          <w:tcPr>
            <w:tcW w:w="100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833,465</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217,403</w:t>
            </w:r>
          </w:p>
        </w:tc>
        <w:tc>
          <w:tcPr>
            <w:tcW w:w="0" w:type="dxa"/>
            <w:vAlign w:val="bottom"/>
          </w:tcPr>
          <w:p>
            <w:pPr>
              <w:spacing w:after="0"/>
              <w:rPr>
                <w:sz w:val="1"/>
                <w:szCs w:val="1"/>
                <w:color w:val="auto"/>
              </w:rPr>
            </w:pPr>
          </w:p>
        </w:tc>
      </w:tr>
      <w:tr>
        <w:trPr>
          <w:trHeight w:val="257"/>
        </w:trPr>
        <w:tc>
          <w:tcPr>
            <w:tcW w:w="3580" w:type="dxa"/>
            <w:vAlign w:val="bottom"/>
            <w:shd w:val="clear" w:color="auto" w:fill="CCEDD4"/>
          </w:tcPr>
          <w:p>
            <w:pPr>
              <w:ind w:left="240"/>
              <w:spacing w:after="0" w:line="256" w:lineRule="exact"/>
              <w:rPr>
                <w:sz w:val="20"/>
                <w:szCs w:val="20"/>
                <w:color w:val="auto"/>
              </w:rPr>
            </w:pPr>
            <w:r>
              <w:rPr>
                <w:rFonts w:ascii="Arial" w:cs="Arial" w:eastAsia="Arial" w:hAnsi="Arial"/>
                <w:sz w:val="18"/>
                <w:szCs w:val="18"/>
                <w:color w:val="auto"/>
              </w:rPr>
              <w:t>Settlement of PSUs</w:t>
            </w:r>
            <w:r>
              <w:rPr>
                <w:rFonts w:ascii="Arial" w:cs="Arial" w:eastAsia="Arial" w:hAnsi="Arial"/>
                <w:sz w:val="23"/>
                <w:szCs w:val="23"/>
                <w:color w:val="auto"/>
                <w:vertAlign w:val="superscript"/>
              </w:rPr>
              <w:t>(3)(5)</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411,508</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617,263</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617,263</w:t>
            </w:r>
          </w:p>
        </w:tc>
        <w:tc>
          <w:tcPr>
            <w:tcW w:w="100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617,263</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617,263</w:t>
            </w:r>
          </w:p>
        </w:tc>
        <w:tc>
          <w:tcPr>
            <w:tcW w:w="0" w:type="dxa"/>
            <w:vAlign w:val="bottom"/>
          </w:tcPr>
          <w:p>
            <w:pPr>
              <w:spacing w:after="0"/>
              <w:rPr>
                <w:sz w:val="1"/>
                <w:szCs w:val="1"/>
                <w:color w:val="auto"/>
              </w:rPr>
            </w:pPr>
          </w:p>
        </w:tc>
      </w:tr>
      <w:tr>
        <w:trPr>
          <w:trHeight w:val="229"/>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Welfare benefits</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72,284</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Life insurance benefit</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500,000</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DD4"/>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Pension</w:t>
            </w:r>
          </w:p>
        </w:tc>
        <w:tc>
          <w:tcPr>
            <w:tcW w:w="1120" w:type="dxa"/>
            <w:vAlign w:val="bottom"/>
            <w:shd w:val="clear" w:color="auto" w:fill="CCEDD4"/>
          </w:tcPr>
          <w:p>
            <w:pPr>
              <w:jc w:val="right"/>
              <w:ind w:right="31"/>
              <w:spacing w:after="0"/>
              <w:rPr>
                <w:sz w:val="20"/>
                <w:szCs w:val="20"/>
                <w:color w:val="auto"/>
              </w:rPr>
            </w:pPr>
            <w:r>
              <w:rPr>
                <w:rFonts w:ascii="Arial" w:cs="Arial" w:eastAsia="Arial" w:hAnsi="Arial"/>
                <w:sz w:val="18"/>
                <w:szCs w:val="18"/>
                <w:color w:val="auto"/>
              </w:rPr>
              <w:t>393,295</w:t>
            </w:r>
          </w:p>
        </w:tc>
        <w:tc>
          <w:tcPr>
            <w:tcW w:w="1000" w:type="dxa"/>
            <w:vAlign w:val="bottom"/>
            <w:shd w:val="clear" w:color="auto" w:fill="CCEDD4"/>
          </w:tcPr>
          <w:p>
            <w:pPr>
              <w:jc w:val="right"/>
              <w:ind w:right="11"/>
              <w:spacing w:after="0"/>
              <w:rPr>
                <w:sz w:val="20"/>
                <w:szCs w:val="20"/>
                <w:color w:val="auto"/>
              </w:rPr>
            </w:pPr>
            <w:r>
              <w:rPr>
                <w:rFonts w:ascii="Arial" w:cs="Arial" w:eastAsia="Arial" w:hAnsi="Arial"/>
                <w:sz w:val="18"/>
                <w:szCs w:val="18"/>
                <w:color w:val="auto"/>
              </w:rPr>
              <w:t>393,295</w:t>
            </w:r>
          </w:p>
        </w:tc>
        <w:tc>
          <w:tcPr>
            <w:tcW w:w="1080" w:type="dxa"/>
            <w:vAlign w:val="bottom"/>
            <w:shd w:val="clear" w:color="auto" w:fill="CCEDD4"/>
          </w:tcPr>
          <w:p>
            <w:pPr>
              <w:jc w:val="right"/>
              <w:ind w:right="33"/>
              <w:spacing w:after="0"/>
              <w:rPr>
                <w:sz w:val="20"/>
                <w:szCs w:val="20"/>
                <w:color w:val="auto"/>
              </w:rPr>
            </w:pPr>
            <w:r>
              <w:rPr>
                <w:rFonts w:ascii="Arial" w:cs="Arial" w:eastAsia="Arial" w:hAnsi="Arial"/>
                <w:sz w:val="18"/>
                <w:szCs w:val="18"/>
                <w:color w:val="auto"/>
              </w:rPr>
              <w:t>393,295</w:t>
            </w:r>
          </w:p>
        </w:tc>
        <w:tc>
          <w:tcPr>
            <w:tcW w:w="1000" w:type="dxa"/>
            <w:vAlign w:val="bottom"/>
            <w:shd w:val="clear" w:color="auto" w:fill="CCEDD4"/>
          </w:tcPr>
          <w:p>
            <w:pPr>
              <w:jc w:val="right"/>
              <w:ind w:right="32"/>
              <w:spacing w:after="0"/>
              <w:rPr>
                <w:sz w:val="20"/>
                <w:szCs w:val="20"/>
                <w:color w:val="auto"/>
              </w:rPr>
            </w:pPr>
            <w:r>
              <w:rPr>
                <w:rFonts w:ascii="Arial" w:cs="Arial" w:eastAsia="Arial" w:hAnsi="Arial"/>
                <w:sz w:val="18"/>
                <w:szCs w:val="18"/>
                <w:color w:val="auto"/>
              </w:rPr>
              <w:t>393,295</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393,295</w:t>
            </w:r>
          </w:p>
        </w:tc>
        <w:tc>
          <w:tcPr>
            <w:tcW w:w="0" w:type="dxa"/>
            <w:vAlign w:val="bottom"/>
          </w:tcPr>
          <w:p>
            <w:pPr>
              <w:spacing w:after="0"/>
              <w:rPr>
                <w:sz w:val="1"/>
                <w:szCs w:val="1"/>
                <w:color w:val="auto"/>
              </w:rPr>
            </w:pPr>
          </w:p>
        </w:tc>
      </w:tr>
      <w:tr>
        <w:trPr>
          <w:trHeight w:val="318"/>
        </w:trPr>
        <w:tc>
          <w:tcPr>
            <w:tcW w:w="3580" w:type="dxa"/>
            <w:vAlign w:val="bottom"/>
            <w:tcBorders>
              <w:bottom w:val="single" w:sz="8" w:color="56C271"/>
            </w:tcBorders>
            <w:shd w:val="clear" w:color="auto" w:fill="CCEDD4"/>
          </w:tcPr>
          <w:p>
            <w:pPr>
              <w:ind w:left="240"/>
              <w:spacing w:after="0"/>
              <w:rPr>
                <w:sz w:val="20"/>
                <w:szCs w:val="20"/>
                <w:color w:val="auto"/>
              </w:rPr>
            </w:pPr>
            <w:r>
              <w:rPr>
                <w:rFonts w:ascii="Arial" w:cs="Arial" w:eastAsia="Arial" w:hAnsi="Arial"/>
                <w:sz w:val="18"/>
                <w:szCs w:val="18"/>
                <w:color w:val="auto"/>
              </w:rPr>
              <w:t>Nonqualified retirement plans</w:t>
            </w:r>
            <w:r>
              <w:rPr>
                <w:rFonts w:ascii="Arial" w:cs="Arial" w:eastAsia="Arial" w:hAnsi="Arial"/>
                <w:sz w:val="23"/>
                <w:szCs w:val="23"/>
                <w:color w:val="auto"/>
                <w:vertAlign w:val="superscript"/>
              </w:rPr>
              <w:t>(6)</w:t>
            </w:r>
          </w:p>
        </w:tc>
        <w:tc>
          <w:tcPr>
            <w:tcW w:w="1120" w:type="dxa"/>
            <w:vAlign w:val="bottom"/>
            <w:tcBorders>
              <w:bottom w:val="single" w:sz="8" w:color="56C271"/>
            </w:tcBorders>
            <w:shd w:val="clear" w:color="auto" w:fill="CCEDD4"/>
          </w:tcPr>
          <w:p>
            <w:pPr>
              <w:jc w:val="right"/>
              <w:ind w:right="31"/>
              <w:spacing w:after="0"/>
              <w:rPr>
                <w:sz w:val="20"/>
                <w:szCs w:val="20"/>
                <w:color w:val="auto"/>
              </w:rPr>
            </w:pPr>
            <w:r>
              <w:rPr>
                <w:rFonts w:ascii="Arial" w:cs="Arial" w:eastAsia="Arial" w:hAnsi="Arial"/>
                <w:sz w:val="18"/>
                <w:szCs w:val="18"/>
                <w:color w:val="auto"/>
              </w:rPr>
              <w:t>2,408,810</w:t>
            </w:r>
          </w:p>
        </w:tc>
        <w:tc>
          <w:tcPr>
            <w:tcW w:w="1000" w:type="dxa"/>
            <w:vAlign w:val="bottom"/>
            <w:tcBorders>
              <w:bottom w:val="single" w:sz="8" w:color="56C271"/>
            </w:tcBorders>
            <w:shd w:val="clear" w:color="auto" w:fill="CCEDD4"/>
          </w:tcPr>
          <w:p>
            <w:pPr>
              <w:jc w:val="right"/>
              <w:ind w:right="11"/>
              <w:spacing w:after="0"/>
              <w:rPr>
                <w:sz w:val="20"/>
                <w:szCs w:val="20"/>
                <w:color w:val="auto"/>
              </w:rPr>
            </w:pPr>
            <w:r>
              <w:rPr>
                <w:rFonts w:ascii="Arial" w:cs="Arial" w:eastAsia="Arial" w:hAnsi="Arial"/>
                <w:sz w:val="18"/>
                <w:szCs w:val="18"/>
                <w:color w:val="auto"/>
              </w:rPr>
              <w:t>3,239,092</w:t>
            </w:r>
          </w:p>
        </w:tc>
        <w:tc>
          <w:tcPr>
            <w:tcW w:w="1080" w:type="dxa"/>
            <w:vAlign w:val="bottom"/>
            <w:tcBorders>
              <w:bottom w:val="single" w:sz="8" w:color="56C271"/>
            </w:tcBorders>
            <w:shd w:val="clear" w:color="auto" w:fill="CCEDD4"/>
          </w:tcPr>
          <w:p>
            <w:pPr>
              <w:jc w:val="right"/>
              <w:ind w:right="33"/>
              <w:spacing w:after="0"/>
              <w:rPr>
                <w:sz w:val="20"/>
                <w:szCs w:val="20"/>
                <w:color w:val="auto"/>
              </w:rPr>
            </w:pPr>
            <w:r>
              <w:rPr>
                <w:rFonts w:ascii="Arial" w:cs="Arial" w:eastAsia="Arial" w:hAnsi="Arial"/>
                <w:sz w:val="18"/>
                <w:szCs w:val="18"/>
                <w:color w:val="auto"/>
              </w:rPr>
              <w:t>3,239,092</w:t>
            </w:r>
          </w:p>
        </w:tc>
        <w:tc>
          <w:tcPr>
            <w:tcW w:w="1000" w:type="dxa"/>
            <w:vAlign w:val="bottom"/>
            <w:tcBorders>
              <w:bottom w:val="single" w:sz="8" w:color="56C271"/>
            </w:tcBorders>
            <w:shd w:val="clear" w:color="auto" w:fill="CCEDD4"/>
          </w:tcPr>
          <w:p>
            <w:pPr>
              <w:jc w:val="right"/>
              <w:ind w:right="12"/>
              <w:spacing w:after="0"/>
              <w:rPr>
                <w:sz w:val="20"/>
                <w:szCs w:val="20"/>
                <w:color w:val="auto"/>
              </w:rPr>
            </w:pPr>
            <w:r>
              <w:rPr>
                <w:rFonts w:ascii="Arial" w:cs="Arial" w:eastAsia="Arial" w:hAnsi="Arial"/>
                <w:sz w:val="18"/>
                <w:szCs w:val="18"/>
                <w:color w:val="auto"/>
              </w:rPr>
              <w:t>3,239,092</w:t>
            </w:r>
          </w:p>
        </w:tc>
        <w:tc>
          <w:tcPr>
            <w:tcW w:w="980" w:type="dxa"/>
            <w:vAlign w:val="bottom"/>
            <w:tcBorders>
              <w:bottom w:val="single" w:sz="8" w:color="56C271"/>
            </w:tcBorders>
            <w:shd w:val="clear" w:color="auto" w:fill="CCEDD4"/>
          </w:tcPr>
          <w:p>
            <w:pPr>
              <w:jc w:val="right"/>
              <w:spacing w:after="0"/>
              <w:rPr>
                <w:sz w:val="20"/>
                <w:szCs w:val="20"/>
                <w:color w:val="auto"/>
              </w:rPr>
            </w:pPr>
            <w:r>
              <w:rPr>
                <w:rFonts w:ascii="Arial" w:cs="Arial" w:eastAsia="Arial" w:hAnsi="Arial"/>
                <w:sz w:val="18"/>
                <w:szCs w:val="18"/>
                <w:color w:val="auto"/>
              </w:rPr>
              <w:t>3,239,092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780" w:right="159" w:hanging="718"/>
        <w:spacing w:after="0" w:line="251" w:lineRule="auto"/>
        <w:tabs>
          <w:tab w:leader="none" w:pos="1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Ms. Miller, her employment agreement does not provide for a “severance payment” in the event of a termination by the Company without cause, and she is not eligible to participate in the Executive Severance Plan. For Mr. Liguori, as the table assumes termination as of July 3, 2021 and he is covered under the Executive Severance Plan, the severance amount includes the actual incentive earned in fiscal year 2021. For Messrs. Gallagher, Arnold and McCoy, as the table assumes termination as of July 3, 2021 and their severance payments are covered under their employment agreements, the severance amount includes their target incentive for fiscal year 2021. For Mr. Chan, who is covered under the Avnet Severance Plan, his severance includes two weeks of target compensation (defined as current base compensation and target incentive) for each full year of service, plus two weeks of target compensation. For Messrs. Amelio and Bartolotta, their respective severance amounts were paid prior to the end of the fiscal year.</w:t>
      </w:r>
    </w:p>
    <w:p>
      <w:pPr>
        <w:spacing w:after="0" w:line="143" w:lineRule="exact"/>
        <w:rPr>
          <w:rFonts w:ascii="Arial" w:cs="Arial" w:eastAsia="Arial" w:hAnsi="Arial"/>
          <w:sz w:val="18"/>
          <w:szCs w:val="18"/>
          <w:color w:val="auto"/>
        </w:rPr>
      </w:pPr>
    </w:p>
    <w:p>
      <w:pPr>
        <w:ind w:left="1780" w:right="259" w:hanging="718"/>
        <w:spacing w:after="0" w:line="261" w:lineRule="auto"/>
        <w:tabs>
          <w:tab w:leader="none" w:pos="1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value of RSUs reflected in the table above under death and change of control equals the value of all RSUs allocated to the NEOs but not yet vested at July 3, 2021.</w:t>
      </w:r>
    </w:p>
    <w:p>
      <w:pPr>
        <w:spacing w:after="0" w:line="134"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Compensation of Executive Officers</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780" w:right="139" w:hanging="718"/>
        <w:spacing w:after="0" w:line="252" w:lineRule="auto"/>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NEOs awarded PSUs would be entitled to receive a pro-rata number of PSUs in the case of death or disability and all of the PSUs in the case of a change of control. The value shown for the settlement of PSUs in the table above is calculated with the assumption that the triggering event has occurred on July 3, 2021. Furthermore, the value of the PSU awards for the fiscal 2019 — fiscal 2021 performance cycle is not included in the table above since the performance metric for that plan did not achieve the threshold for payout and has therefore been cancelled. Additionally, the value of the PSUs covering the fiscal 2020 — fiscal 2022 performance period assumes that the target number of shares is awarded to the NEOs.</w:t>
      </w:r>
    </w:p>
    <w:p>
      <w:pPr>
        <w:spacing w:after="0" w:line="124" w:lineRule="exact"/>
        <w:rPr>
          <w:rFonts w:ascii="Arial" w:cs="Arial" w:eastAsia="Arial" w:hAnsi="Arial"/>
          <w:sz w:val="18"/>
          <w:szCs w:val="18"/>
          <w:color w:val="auto"/>
        </w:rPr>
      </w:pPr>
    </w:p>
    <w:p>
      <w:pPr>
        <w:jc w:val="both"/>
        <w:ind w:left="1780" w:right="439" w:hanging="718"/>
        <w:spacing w:after="0" w:line="256" w:lineRule="auto"/>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Since both Mr. Amelio and Mr. Bartolotta did not meet the requirements for Retirement under the applicable equity compensation plans, all of their outstanding equity awards were cancelled as of their respective termination dates.</w:t>
      </w:r>
    </w:p>
    <w:p>
      <w:pPr>
        <w:spacing w:after="0" w:line="134" w:lineRule="exact"/>
        <w:rPr>
          <w:rFonts w:ascii="Arial" w:cs="Arial" w:eastAsia="Arial" w:hAnsi="Arial"/>
          <w:sz w:val="18"/>
          <w:szCs w:val="18"/>
          <w:color w:val="auto"/>
        </w:rPr>
      </w:pPr>
    </w:p>
    <w:p>
      <w:pPr>
        <w:ind w:left="1780" w:right="259" w:hanging="718"/>
        <w:spacing w:after="0" w:line="252" w:lineRule="auto"/>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Since Mr. Gallagher, Mr. Arnold and Ms. Miller are retirement eligible under the applicable equity compensation plans, the amount of potential payouts regarding RSUs in the event of a disability or termination by the Company without cause is the same as that under Retirement because the amount received upon retirement is greater than would be received upon a disability or termination without cause. Similarly, the amount of potential payouts regarding PSUs under disability and termination by the Company without cause is the same as that under Retirement since that amount is greater.</w:t>
      </w:r>
    </w:p>
    <w:p>
      <w:pPr>
        <w:spacing w:after="0" w:line="139" w:lineRule="exact"/>
        <w:rPr>
          <w:rFonts w:ascii="Arial" w:cs="Arial" w:eastAsia="Arial" w:hAnsi="Arial"/>
          <w:sz w:val="18"/>
          <w:szCs w:val="18"/>
          <w:color w:val="auto"/>
        </w:rPr>
      </w:pPr>
    </w:p>
    <w:p>
      <w:pPr>
        <w:ind w:left="1780" w:right="299" w:hanging="718"/>
        <w:spacing w:after="0" w:line="256" w:lineRule="auto"/>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Ms. Miller and Mr. Gallagher, the amounts included with respect to the SERP are calculated based on the present value of the benefit described above relating to Pension Benefits, discounted to reflect the earliest age at which the executive can begin receiving such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4123055</wp:posOffset>
            </wp:positionV>
            <wp:extent cx="1482725" cy="3003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880"/>
        <w:spacing w:after="0"/>
        <w:rPr>
          <w:sz w:val="20"/>
          <w:szCs w:val="20"/>
          <w:color w:val="auto"/>
        </w:rPr>
      </w:pPr>
      <w:r>
        <w:rPr>
          <w:rFonts w:ascii="Arial" w:cs="Arial" w:eastAsia="Arial" w:hAnsi="Arial"/>
          <w:sz w:val="40"/>
          <w:szCs w:val="40"/>
          <w:b w:val="1"/>
          <w:bCs w:val="1"/>
          <w:color w:val="FEFEFE"/>
        </w:rPr>
        <w:t>CEO PAY RATIO</w:t>
      </w:r>
    </w:p>
    <w:p>
      <w:pPr>
        <w:spacing w:after="0" w:line="366" w:lineRule="exact"/>
        <w:rPr>
          <w:sz w:val="20"/>
          <w:szCs w:val="20"/>
          <w:color w:val="auto"/>
        </w:rPr>
      </w:pPr>
    </w:p>
    <w:p>
      <w:pPr>
        <w:ind w:left="1000" w:right="159"/>
        <w:spacing w:after="0" w:line="269" w:lineRule="auto"/>
        <w:rPr>
          <w:sz w:val="20"/>
          <w:szCs w:val="20"/>
          <w:color w:val="auto"/>
        </w:rPr>
      </w:pPr>
      <w:r>
        <w:rPr>
          <w:rFonts w:ascii="Arial" w:cs="Arial" w:eastAsia="Arial" w:hAnsi="Arial"/>
          <w:sz w:val="17"/>
          <w:szCs w:val="17"/>
          <w:color w:val="auto"/>
        </w:rPr>
        <w:t>In compliance with the pay ratio disclosure requirement of the Dodd-Frank Wall Street Reform and Consumer Protection Act, the Company is providing the following information about the relationship of the annual total compensation paid to the individual identified as its median paid employee and the annual total compensation of the CEO, Mr. Gallagher. It has been three years since the Company first established its median employee. Therefore, a new median employee was determined for fiscal 2021 to remain compliant with the disclosure requirement. The fiscal 2021 total compensation of the individual identified as the median paid employee, other than the Company’s CEO, was $59,145. Mr. Gallagher’s fiscal 2021 total compensation was $6,151,987.</w:t>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The ratio of CEO to median employee pay was 1-to-104.</w:t>
      </w:r>
    </w:p>
    <w:p>
      <w:pPr>
        <w:spacing w:after="0" w:line="170" w:lineRule="exact"/>
        <w:rPr>
          <w:sz w:val="20"/>
          <w:szCs w:val="20"/>
          <w:color w:val="auto"/>
        </w:rPr>
      </w:pPr>
    </w:p>
    <w:p>
      <w:pPr>
        <w:ind w:left="1000" w:right="279"/>
        <w:spacing w:after="0" w:line="261" w:lineRule="auto"/>
        <w:rPr>
          <w:sz w:val="20"/>
          <w:szCs w:val="20"/>
          <w:color w:val="auto"/>
        </w:rPr>
      </w:pPr>
      <w:r>
        <w:rPr>
          <w:rFonts w:ascii="Arial" w:cs="Arial" w:eastAsia="Arial" w:hAnsi="Arial"/>
          <w:sz w:val="18"/>
          <w:szCs w:val="18"/>
          <w:color w:val="auto"/>
        </w:rPr>
        <w:t>The following summarizes the methodology, material assumptions, adjustments, and estimates the Company used in calculating the CEO pay ratio for fiscal 2021:</w:t>
      </w:r>
    </w:p>
    <w:p>
      <w:pPr>
        <w:spacing w:after="0" w:line="95" w:lineRule="exact"/>
        <w:rPr>
          <w:sz w:val="20"/>
          <w:szCs w:val="20"/>
          <w:color w:val="auto"/>
        </w:rPr>
      </w:pPr>
    </w:p>
    <w:p>
      <w:pPr>
        <w:ind w:left="1720" w:right="339" w:hanging="370"/>
        <w:spacing w:after="0" w:line="287" w:lineRule="auto"/>
        <w:tabs>
          <w:tab w:leader="none" w:pos="1720" w:val="left"/>
        </w:tabs>
        <w:numPr>
          <w:ilvl w:val="0"/>
          <w:numId w:val="78"/>
        </w:numPr>
        <w:rPr>
          <w:rFonts w:ascii="Arial" w:cs="Arial" w:eastAsia="Arial" w:hAnsi="Arial"/>
          <w:sz w:val="18"/>
          <w:szCs w:val="18"/>
          <w:color w:val="56C271"/>
        </w:rPr>
      </w:pPr>
      <w:r>
        <w:rPr>
          <w:rFonts w:ascii="Arial" w:cs="Arial" w:eastAsia="Arial" w:hAnsi="Arial"/>
          <w:sz w:val="18"/>
          <w:szCs w:val="18"/>
          <w:b w:val="1"/>
          <w:bCs w:val="1"/>
          <w:color w:val="56C271"/>
        </w:rPr>
        <w:t xml:space="preserve">Employee Measurement Date: </w:t>
      </w:r>
      <w:r>
        <w:rPr>
          <w:rFonts w:ascii="Arial" w:cs="Arial" w:eastAsia="Arial" w:hAnsi="Arial"/>
          <w:sz w:val="18"/>
          <w:szCs w:val="18"/>
          <w:color w:val="000000"/>
        </w:rPr>
        <w:t>The Company collected data for all employees as of July 3, 2021,</w:t>
      </w:r>
      <w:r>
        <w:rPr>
          <w:rFonts w:ascii="Arial" w:cs="Arial" w:eastAsia="Arial" w:hAnsi="Arial"/>
          <w:sz w:val="18"/>
          <w:szCs w:val="18"/>
          <w:b w:val="1"/>
          <w:bCs w:val="1"/>
          <w:color w:val="56C271"/>
        </w:rPr>
        <w:t xml:space="preserve"> </w:t>
      </w:r>
      <w:r>
        <w:rPr>
          <w:rFonts w:ascii="Arial" w:cs="Arial" w:eastAsia="Arial" w:hAnsi="Arial"/>
          <w:sz w:val="18"/>
          <w:szCs w:val="18"/>
          <w:color w:val="000000"/>
        </w:rPr>
        <w:t>the last day of the Company’s fiscal year.</w:t>
      </w:r>
    </w:p>
    <w:p>
      <w:pPr>
        <w:spacing w:after="0" w:line="85" w:lineRule="exact"/>
        <w:rPr>
          <w:rFonts w:ascii="Arial" w:cs="Arial" w:eastAsia="Arial" w:hAnsi="Arial"/>
          <w:sz w:val="18"/>
          <w:szCs w:val="18"/>
          <w:color w:val="56C271"/>
        </w:rPr>
      </w:pPr>
    </w:p>
    <w:p>
      <w:pPr>
        <w:ind w:left="1720" w:right="219" w:hanging="370"/>
        <w:spacing w:after="0" w:line="282" w:lineRule="auto"/>
        <w:tabs>
          <w:tab w:leader="none" w:pos="1720" w:val="left"/>
        </w:tabs>
        <w:numPr>
          <w:ilvl w:val="0"/>
          <w:numId w:val="78"/>
        </w:numPr>
        <w:rPr>
          <w:rFonts w:ascii="Arial" w:cs="Arial" w:eastAsia="Arial" w:hAnsi="Arial"/>
          <w:sz w:val="17"/>
          <w:szCs w:val="17"/>
          <w:color w:val="56C271"/>
        </w:rPr>
      </w:pPr>
      <w:r>
        <w:rPr>
          <w:rFonts w:ascii="Arial" w:cs="Arial" w:eastAsia="Arial" w:hAnsi="Arial"/>
          <w:sz w:val="17"/>
          <w:szCs w:val="17"/>
          <w:b w:val="1"/>
          <w:bCs w:val="1"/>
          <w:color w:val="56C271"/>
        </w:rPr>
        <w:t xml:space="preserve">Exclusions: </w:t>
      </w:r>
      <w:r>
        <w:rPr>
          <w:rFonts w:ascii="Arial" w:cs="Arial" w:eastAsia="Arial" w:hAnsi="Arial"/>
          <w:sz w:val="17"/>
          <w:szCs w:val="17"/>
          <w:color w:val="000000"/>
        </w:rPr>
        <w:t>The rule allows companies to exclude non-U.S. employees from countries in which</w:t>
      </w:r>
      <w:r>
        <w:rPr>
          <w:rFonts w:ascii="Arial" w:cs="Arial" w:eastAsia="Arial" w:hAnsi="Arial"/>
          <w:sz w:val="17"/>
          <w:szCs w:val="17"/>
          <w:b w:val="1"/>
          <w:bCs w:val="1"/>
          <w:color w:val="56C271"/>
        </w:rPr>
        <w:t xml:space="preserve"> </w:t>
      </w:r>
      <w:r>
        <w:rPr>
          <w:rFonts w:ascii="Arial" w:cs="Arial" w:eastAsia="Arial" w:hAnsi="Arial"/>
          <w:sz w:val="17"/>
          <w:szCs w:val="17"/>
          <w:color w:val="000000"/>
        </w:rPr>
        <w:t xml:space="preserve">data privacy laws or regulations make companies unable to comply with the rule and provides a </w:t>
      </w:r>
      <w:r>
        <w:rPr>
          <w:rFonts w:ascii="Arial" w:cs="Arial" w:eastAsia="Arial" w:hAnsi="Arial"/>
          <w:sz w:val="17"/>
          <w:szCs w:val="17"/>
          <w:i w:val="1"/>
          <w:iCs w:val="1"/>
          <w:color w:val="000000"/>
        </w:rPr>
        <w:t>de</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minimis </w:t>
      </w:r>
      <w:r>
        <w:rPr>
          <w:rFonts w:ascii="Arial" w:cs="Arial" w:eastAsia="Arial" w:hAnsi="Arial"/>
          <w:sz w:val="17"/>
          <w:szCs w:val="17"/>
          <w:color w:val="000000"/>
        </w:rPr>
        <w:t>exemption for non-U.S. employees. The Company made no exclusions from its calculation</w:t>
      </w:r>
      <w:r>
        <w:rPr>
          <w:rFonts w:ascii="Arial" w:cs="Arial" w:eastAsia="Arial" w:hAnsi="Arial"/>
          <w:sz w:val="17"/>
          <w:szCs w:val="17"/>
          <w:i w:val="1"/>
          <w:iCs w:val="1"/>
          <w:color w:val="000000"/>
        </w:rPr>
        <w:t xml:space="preserve"> </w:t>
      </w:r>
      <w:r>
        <w:rPr>
          <w:rFonts w:ascii="Arial" w:cs="Arial" w:eastAsia="Arial" w:hAnsi="Arial"/>
          <w:sz w:val="17"/>
          <w:szCs w:val="17"/>
          <w:color w:val="000000"/>
        </w:rPr>
        <w:t>and the entire global population of approximately 15,132 employees were included in the calculation.</w:t>
      </w:r>
    </w:p>
    <w:p>
      <w:pPr>
        <w:spacing w:after="0" w:line="93" w:lineRule="exact"/>
        <w:rPr>
          <w:rFonts w:ascii="Arial" w:cs="Arial" w:eastAsia="Arial" w:hAnsi="Arial"/>
          <w:sz w:val="17"/>
          <w:szCs w:val="17"/>
          <w:color w:val="56C271"/>
        </w:rPr>
      </w:pPr>
    </w:p>
    <w:p>
      <w:pPr>
        <w:ind w:left="1720" w:right="539" w:hanging="370"/>
        <w:spacing w:after="0" w:line="287" w:lineRule="auto"/>
        <w:tabs>
          <w:tab w:leader="none" w:pos="1720" w:val="left"/>
        </w:tabs>
        <w:numPr>
          <w:ilvl w:val="0"/>
          <w:numId w:val="78"/>
        </w:numPr>
        <w:rPr>
          <w:rFonts w:ascii="Arial" w:cs="Arial" w:eastAsia="Arial" w:hAnsi="Arial"/>
          <w:sz w:val="18"/>
          <w:szCs w:val="18"/>
          <w:color w:val="56C271"/>
        </w:rPr>
      </w:pPr>
      <w:r>
        <w:rPr>
          <w:rFonts w:ascii="Arial" w:cs="Arial" w:eastAsia="Arial" w:hAnsi="Arial"/>
          <w:sz w:val="18"/>
          <w:szCs w:val="18"/>
          <w:b w:val="1"/>
          <w:bCs w:val="1"/>
          <w:color w:val="56C271"/>
        </w:rPr>
        <w:t xml:space="preserve">Compensation Time Period: </w:t>
      </w:r>
      <w:r>
        <w:rPr>
          <w:rFonts w:ascii="Arial" w:cs="Arial" w:eastAsia="Arial" w:hAnsi="Arial"/>
          <w:sz w:val="18"/>
          <w:szCs w:val="18"/>
          <w:color w:val="000000"/>
        </w:rPr>
        <w:t>The Company measured compensation for the above employees</w:t>
      </w:r>
      <w:r>
        <w:rPr>
          <w:rFonts w:ascii="Arial" w:cs="Arial" w:eastAsia="Arial" w:hAnsi="Arial"/>
          <w:sz w:val="18"/>
          <w:szCs w:val="18"/>
          <w:b w:val="1"/>
          <w:bCs w:val="1"/>
          <w:color w:val="56C271"/>
        </w:rPr>
        <w:t xml:space="preserve"> </w:t>
      </w:r>
      <w:r>
        <w:rPr>
          <w:rFonts w:ascii="Arial" w:cs="Arial" w:eastAsia="Arial" w:hAnsi="Arial"/>
          <w:sz w:val="18"/>
          <w:szCs w:val="18"/>
          <w:color w:val="000000"/>
        </w:rPr>
        <w:t>using the 12-month fiscal period of June 28, 2020 through July 3, 2021.</w:t>
      </w:r>
    </w:p>
    <w:p>
      <w:pPr>
        <w:spacing w:after="0" w:line="71" w:lineRule="exact"/>
        <w:rPr>
          <w:rFonts w:ascii="Arial" w:cs="Arial" w:eastAsia="Arial" w:hAnsi="Arial"/>
          <w:sz w:val="18"/>
          <w:szCs w:val="18"/>
          <w:color w:val="56C271"/>
        </w:rPr>
      </w:pPr>
    </w:p>
    <w:p>
      <w:pPr>
        <w:ind w:left="1720" w:right="179" w:hanging="370"/>
        <w:spacing w:after="0" w:line="262" w:lineRule="auto"/>
        <w:tabs>
          <w:tab w:leader="none" w:pos="1720" w:val="left"/>
        </w:tabs>
        <w:numPr>
          <w:ilvl w:val="0"/>
          <w:numId w:val="78"/>
        </w:numPr>
        <w:rPr>
          <w:rFonts w:ascii="Arial" w:cs="Arial" w:eastAsia="Arial" w:hAnsi="Arial"/>
          <w:sz w:val="18"/>
          <w:szCs w:val="18"/>
          <w:color w:val="56C271"/>
        </w:rPr>
      </w:pPr>
      <w:r>
        <w:rPr>
          <w:rFonts w:ascii="Arial" w:cs="Arial" w:eastAsia="Arial" w:hAnsi="Arial"/>
          <w:sz w:val="18"/>
          <w:szCs w:val="18"/>
          <w:b w:val="1"/>
          <w:bCs w:val="1"/>
          <w:color w:val="56C271"/>
        </w:rPr>
        <w:t xml:space="preserve">Consistently Applied Compensation Measure: </w:t>
      </w:r>
      <w:r>
        <w:rPr>
          <w:rFonts w:ascii="Arial" w:cs="Arial" w:eastAsia="Arial" w:hAnsi="Arial"/>
          <w:sz w:val="18"/>
          <w:szCs w:val="18"/>
          <w:color w:val="000000"/>
        </w:rPr>
        <w:t>Target total cash (base pay plus target bonus) was</w:t>
      </w:r>
      <w:r>
        <w:rPr>
          <w:rFonts w:ascii="Arial" w:cs="Arial" w:eastAsia="Arial" w:hAnsi="Arial"/>
          <w:sz w:val="18"/>
          <w:szCs w:val="18"/>
          <w:b w:val="1"/>
          <w:bCs w:val="1"/>
          <w:color w:val="56C271"/>
        </w:rPr>
        <w:t xml:space="preserve"> </w:t>
      </w:r>
      <w:r>
        <w:rPr>
          <w:rFonts w:ascii="Arial" w:cs="Arial" w:eastAsia="Arial" w:hAnsi="Arial"/>
          <w:sz w:val="18"/>
          <w:szCs w:val="18"/>
          <w:color w:val="000000"/>
        </w:rPr>
        <w:t>selected as the consistently applied compensation measure used to identify the median paid employee. Base pay for hourly employees was calculated based on a reasonable estimate of hours worked in fiscal 2021, and on salary levels for all remaining employees.</w:t>
      </w:r>
    </w:p>
    <w:p>
      <w:pPr>
        <w:spacing w:after="0" w:line="108" w:lineRule="exact"/>
        <w:rPr>
          <w:rFonts w:ascii="Arial" w:cs="Arial" w:eastAsia="Arial" w:hAnsi="Arial"/>
          <w:sz w:val="18"/>
          <w:szCs w:val="18"/>
          <w:color w:val="56C271"/>
        </w:rPr>
      </w:pPr>
    </w:p>
    <w:p>
      <w:pPr>
        <w:ind w:left="1720" w:right="239" w:hanging="370"/>
        <w:spacing w:after="0" w:line="268" w:lineRule="auto"/>
        <w:tabs>
          <w:tab w:leader="none" w:pos="1720" w:val="left"/>
        </w:tabs>
        <w:numPr>
          <w:ilvl w:val="0"/>
          <w:numId w:val="78"/>
        </w:numPr>
        <w:rPr>
          <w:rFonts w:ascii="Arial" w:cs="Arial" w:eastAsia="Arial" w:hAnsi="Arial"/>
          <w:sz w:val="18"/>
          <w:szCs w:val="18"/>
          <w:color w:val="56C271"/>
        </w:rPr>
      </w:pPr>
      <w:r>
        <w:rPr>
          <w:rFonts w:ascii="Arial" w:cs="Arial" w:eastAsia="Arial" w:hAnsi="Arial"/>
          <w:sz w:val="18"/>
          <w:szCs w:val="18"/>
          <w:b w:val="1"/>
          <w:bCs w:val="1"/>
          <w:color w:val="56C271"/>
        </w:rPr>
        <w:t xml:space="preserve">Determining Median Paid Employee’s Pay for CEO Ratio: </w:t>
      </w:r>
      <w:r>
        <w:rPr>
          <w:rFonts w:ascii="Arial" w:cs="Arial" w:eastAsia="Arial" w:hAnsi="Arial"/>
          <w:sz w:val="18"/>
          <w:szCs w:val="18"/>
          <w:color w:val="000000"/>
        </w:rPr>
        <w:t>The individual identified as the median</w:t>
      </w:r>
      <w:r>
        <w:rPr>
          <w:rFonts w:ascii="Arial" w:cs="Arial" w:eastAsia="Arial" w:hAnsi="Arial"/>
          <w:sz w:val="18"/>
          <w:szCs w:val="18"/>
          <w:b w:val="1"/>
          <w:bCs w:val="1"/>
          <w:color w:val="56C271"/>
        </w:rPr>
        <w:t xml:space="preserve"> </w:t>
      </w:r>
      <w:r>
        <w:rPr>
          <w:rFonts w:ascii="Arial" w:cs="Arial" w:eastAsia="Arial" w:hAnsi="Arial"/>
          <w:sz w:val="18"/>
          <w:szCs w:val="18"/>
          <w:color w:val="000000"/>
        </w:rPr>
        <w:t>paid employee received actual earnings in the amount of $59,145 for fiscal 2021, calculated in accordance with the requirements of Item 402(c)(2)(x) of Regulation S-K.</w:t>
      </w:r>
    </w:p>
    <w:p>
      <w:pPr>
        <w:spacing w:after="0" w:line="103" w:lineRule="exact"/>
        <w:rPr>
          <w:rFonts w:ascii="Arial" w:cs="Arial" w:eastAsia="Arial" w:hAnsi="Arial"/>
          <w:sz w:val="18"/>
          <w:szCs w:val="18"/>
          <w:color w:val="56C271"/>
        </w:rPr>
      </w:pPr>
    </w:p>
    <w:p>
      <w:pPr>
        <w:ind w:left="1720" w:right="179" w:hanging="370"/>
        <w:spacing w:after="0" w:line="268" w:lineRule="auto"/>
        <w:tabs>
          <w:tab w:leader="none" w:pos="1720" w:val="left"/>
        </w:tabs>
        <w:numPr>
          <w:ilvl w:val="0"/>
          <w:numId w:val="78"/>
        </w:numPr>
        <w:rPr>
          <w:rFonts w:ascii="Arial" w:cs="Arial" w:eastAsia="Arial" w:hAnsi="Arial"/>
          <w:sz w:val="18"/>
          <w:szCs w:val="18"/>
          <w:color w:val="56C271"/>
        </w:rPr>
      </w:pPr>
      <w:r>
        <w:rPr>
          <w:rFonts w:ascii="Arial" w:cs="Arial" w:eastAsia="Arial" w:hAnsi="Arial"/>
          <w:sz w:val="18"/>
          <w:szCs w:val="18"/>
          <w:b w:val="1"/>
          <w:bCs w:val="1"/>
          <w:color w:val="56C271"/>
        </w:rPr>
        <w:t xml:space="preserve">Determining CEO’s Pay for CEO Ratio: </w:t>
      </w:r>
      <w:r>
        <w:rPr>
          <w:rFonts w:ascii="Arial" w:cs="Arial" w:eastAsia="Arial" w:hAnsi="Arial"/>
          <w:sz w:val="18"/>
          <w:szCs w:val="18"/>
          <w:color w:val="000000"/>
        </w:rPr>
        <w:t>With respect to the annual total compensation of the CEO,</w:t>
      </w:r>
      <w:r>
        <w:rPr>
          <w:rFonts w:ascii="Arial" w:cs="Arial" w:eastAsia="Arial" w:hAnsi="Arial"/>
          <w:sz w:val="18"/>
          <w:szCs w:val="18"/>
          <w:b w:val="1"/>
          <w:bCs w:val="1"/>
          <w:color w:val="56C271"/>
        </w:rPr>
        <w:t xml:space="preserve"> </w:t>
      </w:r>
      <w:r>
        <w:rPr>
          <w:rFonts w:ascii="Arial" w:cs="Arial" w:eastAsia="Arial" w:hAnsi="Arial"/>
          <w:sz w:val="18"/>
          <w:szCs w:val="18"/>
          <w:color w:val="000000"/>
        </w:rPr>
        <w:t>the Company used the amount reported in the “Total” column of the 2021 Summary Compensation Table included in this Proxy Statement.</w:t>
      </w:r>
    </w:p>
    <w:p>
      <w:pPr>
        <w:spacing w:after="0" w:line="112" w:lineRule="exact"/>
        <w:rPr>
          <w:sz w:val="20"/>
          <w:szCs w:val="20"/>
          <w:color w:val="auto"/>
        </w:rPr>
      </w:pPr>
    </w:p>
    <w:p>
      <w:pPr>
        <w:ind w:left="1000" w:right="359"/>
        <w:spacing w:after="0" w:line="254" w:lineRule="auto"/>
        <w:rPr>
          <w:sz w:val="20"/>
          <w:szCs w:val="20"/>
          <w:color w:val="auto"/>
        </w:rPr>
      </w:pPr>
      <w:r>
        <w:rPr>
          <w:rFonts w:ascii="Arial" w:cs="Arial" w:eastAsia="Arial" w:hAnsi="Arial"/>
          <w:sz w:val="18"/>
          <w:szCs w:val="18"/>
          <w:color w:val="auto"/>
        </w:rPr>
        <w:t>The SEC rules for identifying the median employee and calculating the pay ratio permit companies to use various methodologies and assumptions, to apply certain exclusions and to make reasonable estimates that reflect their employee population and compensation practices. As a result, the pay ratio reported by other companies may not be comparable to the pay ratio that the Company has reported.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9861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5498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580" w:right="440"/>
        <w:spacing w:after="0" w:line="263" w:lineRule="auto"/>
        <w:rPr>
          <w:sz w:val="20"/>
          <w:szCs w:val="20"/>
          <w:color w:val="auto"/>
        </w:rPr>
      </w:pPr>
      <w:r>
        <w:rPr>
          <w:rFonts w:ascii="Arial" w:cs="Arial" w:eastAsia="Arial" w:hAnsi="Arial"/>
          <w:sz w:val="40"/>
          <w:szCs w:val="40"/>
          <w:b w:val="1"/>
          <w:bCs w:val="1"/>
          <w:color w:val="FEFEFE"/>
        </w:rPr>
        <w:t>PROPOSAL 3: APPROVAL OF THE AVNET, INC. 2021 STOCK COMPENSATION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216535</wp:posOffset>
            </wp:positionV>
            <wp:extent cx="5554980" cy="7715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37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EFEFE"/>
        </w:rPr>
        <w:t>RECOMMENDATION OF THE BOARD</w:t>
      </w:r>
    </w:p>
    <w:p>
      <w:pPr>
        <w:spacing w:after="0" w:line="306" w:lineRule="exact"/>
        <w:rPr>
          <w:sz w:val="20"/>
          <w:szCs w:val="20"/>
          <w:color w:val="auto"/>
        </w:rPr>
      </w:pPr>
    </w:p>
    <w:p>
      <w:pPr>
        <w:ind w:left="2260" w:right="699"/>
        <w:spacing w:after="0" w:line="287" w:lineRule="auto"/>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6C271"/>
        </w:rPr>
        <w:t>FOR</w:t>
      </w:r>
      <w:r>
        <w:rPr>
          <w:rFonts w:ascii="Arial" w:cs="Arial" w:eastAsia="Arial" w:hAnsi="Arial"/>
          <w:sz w:val="18"/>
          <w:szCs w:val="18"/>
          <w:b w:val="1"/>
          <w:bCs w:val="1"/>
          <w:color w:val="auto"/>
        </w:rPr>
        <w:t xml:space="preserve"> the approval of the Avnet, Inc. 2021 Stock Compensation and Incentive Plan</w:t>
      </w:r>
    </w:p>
    <w:p>
      <w:pPr>
        <w:spacing w:after="0" w:line="31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Description of Proposal</w:t>
      </w:r>
    </w:p>
    <w:p>
      <w:pPr>
        <w:spacing w:after="0" w:line="170" w:lineRule="exact"/>
        <w:rPr>
          <w:sz w:val="20"/>
          <w:szCs w:val="20"/>
          <w:color w:val="auto"/>
        </w:rPr>
      </w:pPr>
    </w:p>
    <w:p>
      <w:pPr>
        <w:jc w:val="both"/>
        <w:ind w:left="1000" w:right="559"/>
        <w:spacing w:after="0"/>
        <w:rPr>
          <w:sz w:val="20"/>
          <w:szCs w:val="20"/>
          <w:color w:val="auto"/>
        </w:rPr>
      </w:pPr>
      <w:r>
        <w:rPr>
          <w:rFonts w:ascii="Arial" w:cs="Arial" w:eastAsia="Arial" w:hAnsi="Arial"/>
          <w:sz w:val="18"/>
          <w:szCs w:val="18"/>
          <w:color w:val="auto"/>
        </w:rPr>
        <w:t>On August 23, 2021, the Compensation and Leadership Development Committee (“Committee”) and the Board unanimously approved the Avnet, Inc. 2021 Stock Compensation and Incentive Plan (“2021 Plan”), subject to the approval by shareholders.</w:t>
      </w:r>
    </w:p>
    <w:p>
      <w:pPr>
        <w:spacing w:after="0" w:line="122" w:lineRule="exact"/>
        <w:rPr>
          <w:sz w:val="20"/>
          <w:szCs w:val="20"/>
          <w:color w:val="auto"/>
        </w:rPr>
      </w:pPr>
    </w:p>
    <w:p>
      <w:pPr>
        <w:ind w:left="1000" w:right="239"/>
        <w:spacing w:after="0" w:line="252" w:lineRule="auto"/>
        <w:rPr>
          <w:sz w:val="20"/>
          <w:szCs w:val="20"/>
          <w:color w:val="auto"/>
        </w:rPr>
      </w:pPr>
      <w:r>
        <w:rPr>
          <w:rFonts w:ascii="Arial" w:cs="Arial" w:eastAsia="Arial" w:hAnsi="Arial"/>
          <w:sz w:val="17"/>
          <w:szCs w:val="17"/>
          <w:color w:val="auto"/>
        </w:rPr>
        <w:t>The purposes of the 2021 Plan are to: (a) promote the Company’s long-term success and increase shareholder value by incentivizing employees to contribute to the Company’s long-term growth and profitability; and (b) assist the Company in attracting, retaining and motivating highly qualified individuals. The 2021 Plan will accomplish these purposes by serving as the primary vehicle for the Company’s equity and cash-based compensation programs. Therefore, the Company believes that approval of the 2021 Plan is important to the Company’s future success. If the 2021 Plan is not approved by shareholders, the Company’s ability to issue equity-based awards at levels consistent with past practice will be limited, which may impair its ability to pay for performance, create an ownership culture and provide competitive compensation.</w:t>
      </w:r>
    </w:p>
    <w:p>
      <w:pPr>
        <w:spacing w:after="0" w:line="127" w:lineRule="exact"/>
        <w:rPr>
          <w:sz w:val="20"/>
          <w:szCs w:val="20"/>
          <w:color w:val="auto"/>
        </w:rPr>
      </w:pPr>
    </w:p>
    <w:p>
      <w:pPr>
        <w:ind w:left="1000" w:right="139"/>
        <w:spacing w:after="0" w:line="251" w:lineRule="auto"/>
        <w:rPr>
          <w:sz w:val="20"/>
          <w:szCs w:val="20"/>
          <w:color w:val="auto"/>
        </w:rPr>
      </w:pPr>
      <w:r>
        <w:rPr>
          <w:rFonts w:ascii="Arial" w:cs="Arial" w:eastAsia="Arial" w:hAnsi="Arial"/>
          <w:sz w:val="17"/>
          <w:szCs w:val="17"/>
          <w:color w:val="auto"/>
        </w:rPr>
        <w:t>The 2021 Plan provides for the issuance of equity-based awards covering up to 2,500,000 shares of the Company’s Common Stock. In addition, awards will continue to be granted under the Avnet, Inc. 2016 Stock Compensation and Incentive Plan (the “2016 Plan”) until the 2.2 million shares available for awards under the 2016 Plan are exhausted, which the Company believes will occur in September, 2022. The Board currently believes that the shares available for grant under the 2021 Plan will provide sufficient shares to satisfy the equity-based compensation needs of the Company for approximately three to four years following the Effective Date. In recommending approval of the 2021 Plan, the Board and the Compensation and Leadership Development Committee, with input from its independent compensation consultant, considered the Company’s historical equity compensation practices, the future compensation needs of the Company, the potential dilution associated with future awards under the 2021 Plan and the Company’s three-year average burn rate.</w:t>
      </w:r>
    </w:p>
    <w:p>
      <w:pPr>
        <w:spacing w:after="0" w:line="129" w:lineRule="exact"/>
        <w:rPr>
          <w:sz w:val="20"/>
          <w:szCs w:val="20"/>
          <w:color w:val="auto"/>
        </w:rPr>
      </w:pPr>
    </w:p>
    <w:p>
      <w:pPr>
        <w:ind w:left="1000" w:right="199"/>
        <w:spacing w:after="0" w:line="238" w:lineRule="auto"/>
        <w:rPr>
          <w:sz w:val="20"/>
          <w:szCs w:val="20"/>
          <w:color w:val="auto"/>
        </w:rPr>
      </w:pPr>
      <w:r>
        <w:rPr>
          <w:rFonts w:ascii="Arial" w:cs="Arial" w:eastAsia="Arial" w:hAnsi="Arial"/>
          <w:sz w:val="18"/>
          <w:szCs w:val="18"/>
          <w:color w:val="auto"/>
        </w:rPr>
        <w:t>The estimated dilution from the adoption of the 2021 Plan, as commonly calculated, would be approximately 8%. The Company’s three-year average burn rate was 1.4%. “Burn rate” is the number of equity awards granted divided by the weighted average diluted shares outstanding as of the end of the applicable fiscal year. The Company calculated its burn rate by applying equal weight to the number of stock options, RSUs and PSUs granted in the applicable fiscal year.</w:t>
      </w:r>
    </w:p>
    <w:p>
      <w:pPr>
        <w:spacing w:after="0" w:line="121" w:lineRule="exact"/>
        <w:rPr>
          <w:sz w:val="20"/>
          <w:szCs w:val="20"/>
          <w:color w:val="auto"/>
        </w:rPr>
      </w:pPr>
    </w:p>
    <w:p>
      <w:pPr>
        <w:ind w:left="1000" w:right="279"/>
        <w:spacing w:after="0" w:line="238" w:lineRule="auto"/>
        <w:rPr>
          <w:sz w:val="20"/>
          <w:szCs w:val="20"/>
          <w:color w:val="auto"/>
        </w:rPr>
      </w:pPr>
      <w:r>
        <w:rPr>
          <w:rFonts w:ascii="Arial" w:cs="Arial" w:eastAsia="Arial" w:hAnsi="Arial"/>
          <w:sz w:val="18"/>
          <w:szCs w:val="18"/>
          <w:color w:val="auto"/>
        </w:rPr>
        <w:t>The closing price of the Company’s Common Stock on the Nasdaq Global Select Market was $36.69 per share on September 20, 2021. For additional information with respect to the Company’s outstanding equity-based awards, please see “Outstanding Equity Awards at Fiscal Year-End” included in this Proxy Statement and Note 13, Stock-based compensation, in the Notes to Consolidated Financial Statements contained in the Company’s Annual Report on Form 10-K filed with the SEC for the fiscal year ended July 3, 2021.</w:t>
      </w:r>
    </w:p>
    <w:p>
      <w:pPr>
        <w:spacing w:after="0" w:line="135" w:lineRule="exact"/>
        <w:rPr>
          <w:sz w:val="20"/>
          <w:szCs w:val="20"/>
          <w:color w:val="auto"/>
        </w:rPr>
      </w:pPr>
    </w:p>
    <w:p>
      <w:pPr>
        <w:ind w:left="1000" w:right="259"/>
        <w:spacing w:after="0" w:line="274" w:lineRule="auto"/>
        <w:rPr>
          <w:sz w:val="20"/>
          <w:szCs w:val="20"/>
          <w:color w:val="auto"/>
        </w:rPr>
      </w:pPr>
      <w:r>
        <w:rPr>
          <w:rFonts w:ascii="Arial" w:cs="Arial" w:eastAsia="Arial" w:hAnsi="Arial"/>
          <w:sz w:val="17"/>
          <w:szCs w:val="17"/>
          <w:color w:val="auto"/>
        </w:rPr>
        <w:t>A summary of important features and tax consequences of the 2021 Plan is set forth below, but this summary is qualified in its entirety by reference to the actual text of the 2021 Plan. Capitalized terms that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85725</wp:posOffset>
            </wp:positionV>
            <wp:extent cx="1482725" cy="3003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3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3: Approval of the Avnet, Inc. 2021 Stock Compensation and Incentive Plan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799"/>
        <w:spacing w:after="0" w:line="246" w:lineRule="auto"/>
        <w:rPr>
          <w:sz w:val="20"/>
          <w:szCs w:val="20"/>
          <w:color w:val="auto"/>
        </w:rPr>
      </w:pPr>
      <w:r>
        <w:rPr>
          <w:rFonts w:ascii="Arial" w:cs="Arial" w:eastAsia="Arial" w:hAnsi="Arial"/>
          <w:sz w:val="18"/>
          <w:szCs w:val="18"/>
          <w:color w:val="auto"/>
        </w:rPr>
        <w:t xml:space="preserve">defined in this summary have the meanings given to them in the 2021 Plan. A copy of the 2021 Plan is attached to this Proxy Statement as </w:t>
      </w:r>
      <w:r>
        <w:rPr>
          <w:rFonts w:ascii="Arial" w:cs="Arial" w:eastAsia="Arial" w:hAnsi="Arial"/>
          <w:sz w:val="18"/>
          <w:szCs w:val="18"/>
          <w:u w:val="single" w:color="auto"/>
          <w:color w:val="auto"/>
        </w:rPr>
        <w:t>Appendix B.</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Vote Required for Approval</w:t>
      </w:r>
    </w:p>
    <w:p>
      <w:pPr>
        <w:spacing w:after="0" w:line="157" w:lineRule="exact"/>
        <w:rPr>
          <w:sz w:val="20"/>
          <w:szCs w:val="20"/>
          <w:color w:val="auto"/>
        </w:rPr>
      </w:pPr>
    </w:p>
    <w:p>
      <w:pPr>
        <w:ind w:left="1000" w:right="259"/>
        <w:spacing w:after="0" w:line="237" w:lineRule="auto"/>
        <w:rPr>
          <w:sz w:val="20"/>
          <w:szCs w:val="20"/>
          <w:color w:val="auto"/>
        </w:rPr>
      </w:pPr>
      <w:r>
        <w:rPr>
          <w:rFonts w:ascii="Arial" w:cs="Arial" w:eastAsia="Arial" w:hAnsi="Arial"/>
          <w:sz w:val="18"/>
          <w:szCs w:val="18"/>
          <w:color w:val="auto"/>
        </w:rPr>
        <w:t>For approval, this proposal requires the affirmative vote of the majority of the votes cast by the shareholders present in person or by proxy, provided a quorum is present,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Proxy</w:t>
      </w:r>
    </w:p>
    <w:p>
      <w:pPr>
        <w:spacing w:after="0" w:line="170" w:lineRule="exact"/>
        <w:rPr>
          <w:sz w:val="20"/>
          <w:szCs w:val="20"/>
          <w:color w:val="auto"/>
        </w:rPr>
      </w:pPr>
    </w:p>
    <w:p>
      <w:pPr>
        <w:ind w:left="1000" w:right="299"/>
        <w:spacing w:after="0"/>
        <w:rPr>
          <w:sz w:val="20"/>
          <w:szCs w:val="20"/>
          <w:color w:val="auto"/>
        </w:rPr>
      </w:pPr>
      <w:r>
        <w:rPr>
          <w:rFonts w:ascii="Arial" w:cs="Arial" w:eastAsia="Arial" w:hAnsi="Arial"/>
          <w:sz w:val="18"/>
          <w:szCs w:val="18"/>
          <w:color w:val="auto"/>
        </w:rPr>
        <w:t>Unless otherwise directed by the shareholder, it is the intention of the persons named as proxies in the proxy card to vote each properly signed and returned proxy card FOR the approval of the Avnet, Inc. 2021 Stock Compensation and Incentive Plan.</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SUMMARY DESCRIPTION OF THE 2021 PLAN</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Persons Eligible for Awards</w:t>
      </w:r>
    </w:p>
    <w:p>
      <w:pPr>
        <w:spacing w:after="0" w:line="161" w:lineRule="exact"/>
        <w:rPr>
          <w:sz w:val="20"/>
          <w:szCs w:val="20"/>
          <w:color w:val="auto"/>
        </w:rPr>
      </w:pPr>
    </w:p>
    <w:p>
      <w:pPr>
        <w:ind w:left="1000" w:right="259"/>
        <w:spacing w:after="0" w:line="238" w:lineRule="auto"/>
        <w:rPr>
          <w:sz w:val="20"/>
          <w:szCs w:val="20"/>
          <w:color w:val="auto"/>
        </w:rPr>
      </w:pPr>
      <w:r>
        <w:rPr>
          <w:rFonts w:ascii="Arial" w:cs="Arial" w:eastAsia="Arial" w:hAnsi="Arial"/>
          <w:sz w:val="18"/>
          <w:szCs w:val="18"/>
          <w:color w:val="auto"/>
        </w:rPr>
        <w:t>Persons eligible to participate in the 2021 Plan include employees of the Company and its Subsidiaries, Non-Employee Directors, consultants, independent contractors, and advisers to the Company and its subsidiaries. There will be 11 Non-Employee Directors and approximately 525 employees who may be considered for the grant of awards under the 2021 Plan.</w:t>
      </w:r>
    </w:p>
    <w:p>
      <w:pPr>
        <w:spacing w:after="0" w:line="11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Types of Awards under 2021 Plan</w:t>
      </w:r>
    </w:p>
    <w:p>
      <w:pPr>
        <w:spacing w:after="0" w:line="175" w:lineRule="exact"/>
        <w:rPr>
          <w:sz w:val="20"/>
          <w:szCs w:val="20"/>
          <w:color w:val="auto"/>
        </w:rPr>
      </w:pPr>
    </w:p>
    <w:p>
      <w:pPr>
        <w:ind w:left="1000" w:right="159"/>
        <w:spacing w:after="0" w:line="238" w:lineRule="auto"/>
        <w:rPr>
          <w:sz w:val="20"/>
          <w:szCs w:val="20"/>
          <w:color w:val="auto"/>
        </w:rPr>
      </w:pPr>
      <w:r>
        <w:rPr>
          <w:rFonts w:ascii="Arial" w:cs="Arial" w:eastAsia="Arial" w:hAnsi="Arial"/>
          <w:sz w:val="18"/>
          <w:szCs w:val="18"/>
          <w:color w:val="auto"/>
        </w:rPr>
        <w:t>The 2021 Plan provides for the grant of incentive stock options (“ISOs”), non-qualified stock options (“NQSOs”), stock appreciation rights (“SARs”), restricted stock, restricted stock units, performance share units, and other stock unit awards. Each of these awards is payable in, valued in whole or in part by reference to, or otherwise based on the Company’s Common Stock. In addition, the 2021 Plan includes performance-based cash awards (“EIP Awards”).</w:t>
      </w:r>
    </w:p>
    <w:p>
      <w:pPr>
        <w:spacing w:after="0" w:line="9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Shares Available Under the 2021 Plan</w:t>
      </w:r>
    </w:p>
    <w:p>
      <w:pPr>
        <w:spacing w:after="0" w:line="175" w:lineRule="exact"/>
        <w:rPr>
          <w:sz w:val="20"/>
          <w:szCs w:val="20"/>
          <w:color w:val="auto"/>
        </w:rPr>
      </w:pPr>
    </w:p>
    <w:p>
      <w:pPr>
        <w:ind w:left="1000" w:right="219"/>
        <w:spacing w:after="0"/>
        <w:rPr>
          <w:sz w:val="20"/>
          <w:szCs w:val="20"/>
          <w:color w:val="auto"/>
        </w:rPr>
      </w:pPr>
      <w:r>
        <w:rPr>
          <w:rFonts w:ascii="Arial" w:cs="Arial" w:eastAsia="Arial" w:hAnsi="Arial"/>
          <w:sz w:val="18"/>
          <w:szCs w:val="18"/>
          <w:color w:val="auto"/>
        </w:rPr>
        <w:t>If approved by shareholders, the 2021 Plan will be applicable to awards granted on or after the Effective Date. A total of 2,500,000 shares of the Company’s Common Stock will be available for the grant of awards under the 2021 Plan.</w:t>
      </w:r>
    </w:p>
    <w:p>
      <w:pPr>
        <w:spacing w:after="0" w:line="108"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Limits on Awards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limitations apply for individual awards:</w:t>
      </w:r>
    </w:p>
    <w:p>
      <w:pPr>
        <w:spacing w:after="0" w:line="117" w:lineRule="exact"/>
        <w:rPr>
          <w:sz w:val="20"/>
          <w:szCs w:val="20"/>
          <w:color w:val="auto"/>
        </w:rPr>
      </w:pPr>
    </w:p>
    <w:p>
      <w:pPr>
        <w:ind w:left="1620" w:right="179" w:hanging="270"/>
        <w:spacing w:after="0" w:line="256" w:lineRule="auto"/>
        <w:tabs>
          <w:tab w:leader="none" w:pos="1620" w:val="left"/>
        </w:tabs>
        <w:numPr>
          <w:ilvl w:val="0"/>
          <w:numId w:val="79"/>
        </w:numPr>
        <w:rPr>
          <w:rFonts w:ascii="Arial" w:cs="Arial" w:eastAsia="Arial" w:hAnsi="Arial"/>
          <w:sz w:val="18"/>
          <w:szCs w:val="18"/>
          <w:color w:val="56C271"/>
        </w:rPr>
      </w:pPr>
      <w:r>
        <w:rPr>
          <w:rFonts w:ascii="Arial" w:cs="Arial" w:eastAsia="Arial" w:hAnsi="Arial"/>
          <w:sz w:val="18"/>
          <w:szCs w:val="18"/>
          <w:color w:val="auto"/>
        </w:rPr>
        <w:t>The maximum number of shares that may be subject to awards (in the aggregate, including options, SARs, restricted stock, restricted stock units, performance share units and other equity-based awards) granted to an individual in any calendar year is 1,000,000 shares.</w:t>
      </w:r>
    </w:p>
    <w:p>
      <w:pPr>
        <w:spacing w:after="0" w:line="93" w:lineRule="exact"/>
        <w:rPr>
          <w:rFonts w:ascii="Arial" w:cs="Arial" w:eastAsia="Arial" w:hAnsi="Arial"/>
          <w:sz w:val="18"/>
          <w:szCs w:val="18"/>
          <w:color w:val="56C271"/>
        </w:rPr>
      </w:pPr>
    </w:p>
    <w:p>
      <w:pPr>
        <w:ind w:left="1620" w:right="299" w:hanging="270"/>
        <w:spacing w:after="0" w:line="253" w:lineRule="auto"/>
        <w:tabs>
          <w:tab w:leader="none" w:pos="1620" w:val="left"/>
        </w:tabs>
        <w:numPr>
          <w:ilvl w:val="0"/>
          <w:numId w:val="79"/>
        </w:numPr>
        <w:rPr>
          <w:rFonts w:ascii="Arial" w:cs="Arial" w:eastAsia="Arial" w:hAnsi="Arial"/>
          <w:sz w:val="18"/>
          <w:szCs w:val="18"/>
          <w:color w:val="56C271"/>
        </w:rPr>
      </w:pPr>
      <w:r>
        <w:rPr>
          <w:rFonts w:ascii="Arial" w:cs="Arial" w:eastAsia="Arial" w:hAnsi="Arial"/>
          <w:sz w:val="18"/>
          <w:szCs w:val="18"/>
          <w:color w:val="auto"/>
        </w:rPr>
        <w:t>For Non-Employee Directors, the maximum number of shares that may be subject to awards granted to an individual in any calendar year is the number of shares with a value of $1,000,000, determined with respect to each share on the date of grant; provided, however, that in the year in which a Non-Employee Director first joins the Board of Directors or is first designated Chairman of the Board of Directors (or Lead Director), the limit is increased to $2,000,000.</w:t>
      </w:r>
    </w:p>
    <w:p>
      <w:pPr>
        <w:spacing w:after="0" w:line="97" w:lineRule="exact"/>
        <w:rPr>
          <w:rFonts w:ascii="Arial" w:cs="Arial" w:eastAsia="Arial" w:hAnsi="Arial"/>
          <w:sz w:val="18"/>
          <w:szCs w:val="18"/>
          <w:color w:val="56C271"/>
        </w:rPr>
      </w:pPr>
    </w:p>
    <w:p>
      <w:pPr>
        <w:ind w:left="1620" w:right="159" w:hanging="270"/>
        <w:spacing w:after="0" w:line="261" w:lineRule="auto"/>
        <w:tabs>
          <w:tab w:leader="none" w:pos="1620" w:val="left"/>
        </w:tabs>
        <w:numPr>
          <w:ilvl w:val="0"/>
          <w:numId w:val="79"/>
        </w:numPr>
        <w:rPr>
          <w:rFonts w:ascii="Arial" w:cs="Arial" w:eastAsia="Arial" w:hAnsi="Arial"/>
          <w:sz w:val="18"/>
          <w:szCs w:val="18"/>
          <w:color w:val="56C271"/>
        </w:rPr>
      </w:pPr>
      <w:r>
        <w:rPr>
          <w:rFonts w:ascii="Arial" w:cs="Arial" w:eastAsia="Arial" w:hAnsi="Arial"/>
          <w:sz w:val="18"/>
          <w:szCs w:val="18"/>
          <w:color w:val="auto"/>
        </w:rPr>
        <w:t>The maximum EIP Award granted to an individual in any 12-month period is $5,000,000, adjusted on a pro-rata basis up or down if the performance period is more or less than 12 months.</w:t>
      </w:r>
    </w:p>
    <w:p>
      <w:pPr>
        <w:spacing w:after="0" w:line="120"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30035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3: Approval of the Avnet, Inc. 2021 Stock Compensation and Incentive Plan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159"/>
        <w:spacing w:after="0" w:line="238" w:lineRule="auto"/>
        <w:rPr>
          <w:sz w:val="20"/>
          <w:szCs w:val="20"/>
          <w:color w:val="auto"/>
        </w:rPr>
      </w:pPr>
      <w:r>
        <w:rPr>
          <w:rFonts w:ascii="Arial" w:cs="Arial" w:eastAsia="Arial" w:hAnsi="Arial"/>
          <w:sz w:val="18"/>
          <w:szCs w:val="18"/>
          <w:color w:val="auto"/>
        </w:rPr>
        <w:t>The shares awarded or issued upon exercise under the 2021 Plan may be authorized and previously unissued shares or treasury shares held by the Company. Both the aggregate number of shares covered by the 2021 Plan and the number of shares covered by individual options will be adjusted in the event of stock dividends, recapitalizations, splits or combinations of shares, and similar capital adjustments affecting the Company’s Common Stock.</w:t>
      </w:r>
    </w:p>
    <w:p>
      <w:pPr>
        <w:spacing w:after="0" w:line="9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Share Counting Provisions</w:t>
      </w:r>
    </w:p>
    <w:p>
      <w:pPr>
        <w:spacing w:after="0" w:line="175" w:lineRule="exact"/>
        <w:rPr>
          <w:sz w:val="20"/>
          <w:szCs w:val="20"/>
          <w:color w:val="auto"/>
        </w:rPr>
      </w:pPr>
    </w:p>
    <w:p>
      <w:pPr>
        <w:ind w:left="1000" w:right="259"/>
        <w:spacing w:after="0" w:line="237" w:lineRule="auto"/>
        <w:rPr>
          <w:sz w:val="20"/>
          <w:szCs w:val="20"/>
          <w:color w:val="auto"/>
        </w:rPr>
      </w:pPr>
      <w:r>
        <w:rPr>
          <w:rFonts w:ascii="Arial" w:cs="Arial" w:eastAsia="Arial" w:hAnsi="Arial"/>
          <w:sz w:val="18"/>
          <w:szCs w:val="18"/>
          <w:color w:val="auto"/>
        </w:rPr>
        <w:t>Shares that are not issued upon the net settlement or net exercise of options or SARs, shares that are delivered to or retained by the Company to pay the exercise price or withholding taxes related to awards, and shares repurchased on the open market with the proceeds of option exercises, will not be available for additional grants under the 2021 Plan. In general, shares subject to awards under the 2021 Plan that expire, terminate, or are canceled or forfeited before issuance, and shares subject to awards that are settled without delivery of stock, will again be available for issuance under the 2021 Plan.</w:t>
      </w:r>
    </w:p>
    <w:p>
      <w:pPr>
        <w:spacing w:after="0" w:line="11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Administration of the Plan</w:t>
      </w:r>
    </w:p>
    <w:p>
      <w:pPr>
        <w:spacing w:after="0" w:line="161" w:lineRule="exact"/>
        <w:rPr>
          <w:sz w:val="20"/>
          <w:szCs w:val="20"/>
          <w:color w:val="auto"/>
        </w:rPr>
      </w:pPr>
    </w:p>
    <w:p>
      <w:pPr>
        <w:ind w:left="1000" w:right="159"/>
        <w:spacing w:after="0" w:line="236" w:lineRule="auto"/>
        <w:rPr>
          <w:sz w:val="20"/>
          <w:szCs w:val="20"/>
          <w:color w:val="auto"/>
        </w:rPr>
      </w:pPr>
      <w:r>
        <w:rPr>
          <w:rFonts w:ascii="Arial" w:cs="Arial" w:eastAsia="Arial" w:hAnsi="Arial"/>
          <w:sz w:val="18"/>
          <w:szCs w:val="18"/>
          <w:color w:val="auto"/>
        </w:rPr>
        <w:t>The 2021 Plan will be administered by the Administrator, which is defined as (a) the Compensation and Leadership Development Committee of the Board (the “Committee”) for awards to employees, consultants and advisers, and (b) the Company’s independent directors for awards to Non-Employee Directors. The Administrator has the power and authority, among other things, to: (i) designate participants and determine the types of awards granted to each participant; (ii) determine the number of shares reserved under any award or grant, the exercise price, terms and conditions, duration and payment provisions, any schedule for lapse of forfeiture restrictions and restrictions on exercisability, and accelerations and waivers thereof; (iii) determine the amount of, and performance criteria and performance period for, performance-based awards; (iv) construe and interpret the 2021 Plan; (v) establish and amend rules and regulations for the administration of the 2021 Plan; (vi) correct any defect, remedy any omission, and reconcile any inconsistency in the 2021 Plan and any award in the manner and to the extent that it deems appropriate to carry out the intent of the 2021 Plan and such award; and (vi) certify the level as to which each Performance Objective was attained.</w:t>
      </w:r>
    </w:p>
    <w:p>
      <w:pPr>
        <w:spacing w:after="0" w:line="136" w:lineRule="exact"/>
        <w:rPr>
          <w:sz w:val="20"/>
          <w:szCs w:val="20"/>
          <w:color w:val="auto"/>
        </w:rPr>
      </w:pPr>
    </w:p>
    <w:p>
      <w:pPr>
        <w:jc w:val="both"/>
        <w:ind w:left="1000" w:right="359"/>
        <w:spacing w:after="0"/>
        <w:rPr>
          <w:sz w:val="20"/>
          <w:szCs w:val="20"/>
          <w:color w:val="auto"/>
        </w:rPr>
      </w:pPr>
      <w:r>
        <w:rPr>
          <w:rFonts w:ascii="Arial" w:cs="Arial" w:eastAsia="Arial" w:hAnsi="Arial"/>
          <w:sz w:val="18"/>
          <w:szCs w:val="18"/>
          <w:color w:val="auto"/>
        </w:rPr>
        <w:t>In addition, the 2021 Plan authorizes the CEO to make awards to Eligible Employees who are not Executive Officers, including employees who are promoted to Executive Officer positions, subject to any limits that the Committee may impose.</w:t>
      </w:r>
    </w:p>
    <w:p>
      <w:pPr>
        <w:spacing w:after="0" w:line="108"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Stock Options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stock option grants are subject to the following rules:</w:t>
      </w:r>
    </w:p>
    <w:p>
      <w:pPr>
        <w:spacing w:after="0" w:line="104" w:lineRule="exact"/>
        <w:rPr>
          <w:sz w:val="20"/>
          <w:szCs w:val="20"/>
          <w:color w:val="auto"/>
        </w:rPr>
      </w:pPr>
    </w:p>
    <w:p>
      <w:pPr>
        <w:ind w:left="1620" w:right="219" w:hanging="270"/>
        <w:spacing w:after="0" w:line="252" w:lineRule="auto"/>
        <w:tabs>
          <w:tab w:leader="none" w:pos="1620" w:val="left"/>
        </w:tabs>
        <w:numPr>
          <w:ilvl w:val="0"/>
          <w:numId w:val="80"/>
        </w:numPr>
        <w:rPr>
          <w:rFonts w:ascii="Arial" w:cs="Arial" w:eastAsia="Arial" w:hAnsi="Arial"/>
          <w:sz w:val="18"/>
          <w:szCs w:val="18"/>
          <w:color w:val="56C271"/>
        </w:rPr>
      </w:pPr>
      <w:r>
        <w:rPr>
          <w:rFonts w:ascii="Arial" w:cs="Arial" w:eastAsia="Arial" w:hAnsi="Arial"/>
          <w:sz w:val="18"/>
          <w:szCs w:val="18"/>
          <w:color w:val="auto"/>
        </w:rPr>
        <w:t>The exercise price per share for each ISO and NQSO under the 2021 Plan will be no less than 100% of the fair market value per share of the Company’s Common Stock on the grant date. The fair market value of Common Stock on any date will be the closing sales price (as reported for the Nasdaq Composite Index ) on that date, or if no trading is reported on that date, the fair market value will be the closing price as of the next preceding day for which trading was reported, or such other price as determined by the Committee in accordance with applicable law.</w:t>
      </w:r>
    </w:p>
    <w:p>
      <w:pPr>
        <w:spacing w:after="0" w:line="100" w:lineRule="exact"/>
        <w:rPr>
          <w:rFonts w:ascii="Arial" w:cs="Arial" w:eastAsia="Arial" w:hAnsi="Arial"/>
          <w:sz w:val="18"/>
          <w:szCs w:val="18"/>
          <w:color w:val="56C271"/>
        </w:rPr>
      </w:pPr>
    </w:p>
    <w:p>
      <w:pPr>
        <w:ind w:left="1620" w:right="399" w:hanging="270"/>
        <w:spacing w:after="0" w:line="261" w:lineRule="auto"/>
        <w:tabs>
          <w:tab w:leader="none" w:pos="1620" w:val="left"/>
        </w:tabs>
        <w:numPr>
          <w:ilvl w:val="0"/>
          <w:numId w:val="80"/>
        </w:numPr>
        <w:rPr>
          <w:rFonts w:ascii="Arial" w:cs="Arial" w:eastAsia="Arial" w:hAnsi="Arial"/>
          <w:sz w:val="18"/>
          <w:szCs w:val="18"/>
          <w:color w:val="56C271"/>
        </w:rPr>
      </w:pPr>
      <w:r>
        <w:rPr>
          <w:rFonts w:ascii="Arial" w:cs="Arial" w:eastAsia="Arial" w:hAnsi="Arial"/>
          <w:sz w:val="18"/>
          <w:szCs w:val="18"/>
          <w:color w:val="auto"/>
        </w:rPr>
        <w:t>The Administrator (or the CEO to the extent described above) will establish the vesting schedule for each option and the terms and conditions for exercising the option.</w:t>
      </w:r>
    </w:p>
    <w:p>
      <w:pPr>
        <w:spacing w:after="0" w:line="76" w:lineRule="exact"/>
        <w:rPr>
          <w:rFonts w:ascii="Arial" w:cs="Arial" w:eastAsia="Arial" w:hAnsi="Arial"/>
          <w:sz w:val="18"/>
          <w:szCs w:val="18"/>
          <w:color w:val="56C271"/>
        </w:rPr>
      </w:pPr>
    </w:p>
    <w:p>
      <w:pPr>
        <w:ind w:left="1620" w:right="159" w:hanging="270"/>
        <w:spacing w:after="0" w:line="252" w:lineRule="auto"/>
        <w:tabs>
          <w:tab w:leader="none" w:pos="1620" w:val="left"/>
        </w:tabs>
        <w:numPr>
          <w:ilvl w:val="0"/>
          <w:numId w:val="80"/>
        </w:numPr>
        <w:rPr>
          <w:rFonts w:ascii="Arial" w:cs="Arial" w:eastAsia="Arial" w:hAnsi="Arial"/>
          <w:sz w:val="18"/>
          <w:szCs w:val="18"/>
          <w:color w:val="56C271"/>
        </w:rPr>
      </w:pPr>
      <w:r>
        <w:rPr>
          <w:rFonts w:ascii="Arial" w:cs="Arial" w:eastAsia="Arial" w:hAnsi="Arial"/>
          <w:sz w:val="18"/>
          <w:szCs w:val="18"/>
          <w:color w:val="auto"/>
        </w:rPr>
        <w:t>An option generally may not become vested at a rate faster than pro-rata annually over three years from the grant date. However, the Administrator is authorized to grant awards of options, SARs, restricted stock, restricted stock units, performance share units and other stock unit awards that do not satisfy the minimum vesting periods and Periods of Restriction as required by the 2021 Plan if the total number of shares underlying such awards does not exceed 5% of the total number of shares available for grant under the 2021 Plan. In addition, as described below, the Administrator may accelerate vesting under certain circumstances.</w:t>
      </w:r>
    </w:p>
    <w:p>
      <w:pPr>
        <w:spacing w:after="0" w:line="85" w:lineRule="exact"/>
        <w:rPr>
          <w:rFonts w:ascii="Arial" w:cs="Arial" w:eastAsia="Arial" w:hAnsi="Arial"/>
          <w:sz w:val="18"/>
          <w:szCs w:val="18"/>
          <w:color w:val="56C271"/>
        </w:rPr>
      </w:pPr>
    </w:p>
    <w:p>
      <w:pPr>
        <w:ind w:left="1620" w:right="299" w:hanging="270"/>
        <w:spacing w:after="0" w:line="256" w:lineRule="auto"/>
        <w:tabs>
          <w:tab w:leader="none" w:pos="1620" w:val="left"/>
        </w:tabs>
        <w:numPr>
          <w:ilvl w:val="0"/>
          <w:numId w:val="80"/>
        </w:numPr>
        <w:rPr>
          <w:rFonts w:ascii="Arial" w:cs="Arial" w:eastAsia="Arial" w:hAnsi="Arial"/>
          <w:sz w:val="18"/>
          <w:szCs w:val="18"/>
          <w:color w:val="56C271"/>
        </w:rPr>
      </w:pPr>
      <w:r>
        <w:rPr>
          <w:rFonts w:ascii="Arial" w:cs="Arial" w:eastAsia="Arial" w:hAnsi="Arial"/>
          <w:sz w:val="18"/>
          <w:szCs w:val="18"/>
          <w:color w:val="auto"/>
        </w:rPr>
        <w:t>Upon exercise, the purchase price is to be paid in full in cash or another form permitted by the Administrator. Other forms may include net exercise, broker-assisted cashless exercise or delivery of shares of the Company’s Common Stock in lieu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102870</wp:posOffset>
            </wp:positionV>
            <wp:extent cx="1482725" cy="291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3: Approval of the Avnet, Inc. 2021 Stock Compensation and Incentive Plan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620" w:right="219" w:hanging="270"/>
        <w:spacing w:after="0" w:line="261" w:lineRule="auto"/>
        <w:tabs>
          <w:tab w:leader="none" w:pos="1620" w:val="left"/>
        </w:tabs>
        <w:numPr>
          <w:ilvl w:val="0"/>
          <w:numId w:val="81"/>
        </w:numPr>
        <w:rPr>
          <w:rFonts w:ascii="Arial" w:cs="Arial" w:eastAsia="Arial" w:hAnsi="Arial"/>
          <w:sz w:val="18"/>
          <w:szCs w:val="18"/>
          <w:color w:val="56C271"/>
        </w:rPr>
      </w:pPr>
      <w:r>
        <w:rPr>
          <w:rFonts w:ascii="Arial" w:cs="Arial" w:eastAsia="Arial" w:hAnsi="Arial"/>
          <w:sz w:val="18"/>
          <w:szCs w:val="18"/>
          <w:color w:val="auto"/>
        </w:rPr>
        <w:t>No option granted under the 2021 Plan will be exercisable after the day of the tenth anniversary of the grant date.</w:t>
      </w:r>
    </w:p>
    <w:p>
      <w:pPr>
        <w:spacing w:after="0" w:line="103" w:lineRule="exact"/>
        <w:rPr>
          <w:rFonts w:ascii="Arial" w:cs="Arial" w:eastAsia="Arial" w:hAnsi="Arial"/>
          <w:sz w:val="18"/>
          <w:szCs w:val="18"/>
          <w:color w:val="56C271"/>
        </w:rPr>
      </w:pPr>
    </w:p>
    <w:p>
      <w:pPr>
        <w:ind w:left="1620" w:right="319" w:hanging="270"/>
        <w:spacing w:after="0" w:line="261" w:lineRule="auto"/>
        <w:tabs>
          <w:tab w:leader="none" w:pos="1620" w:val="left"/>
        </w:tabs>
        <w:numPr>
          <w:ilvl w:val="0"/>
          <w:numId w:val="81"/>
        </w:numPr>
        <w:rPr>
          <w:rFonts w:ascii="Arial" w:cs="Arial" w:eastAsia="Arial" w:hAnsi="Arial"/>
          <w:sz w:val="18"/>
          <w:szCs w:val="18"/>
          <w:color w:val="56C271"/>
        </w:rPr>
      </w:pPr>
      <w:r>
        <w:rPr>
          <w:rFonts w:ascii="Arial" w:cs="Arial" w:eastAsia="Arial" w:hAnsi="Arial"/>
          <w:sz w:val="18"/>
          <w:szCs w:val="18"/>
          <w:color w:val="auto"/>
        </w:rPr>
        <w:t>Stock option holders are not entitled to receive dividends or other distributions with respect to shares of the Company’s Common Stock underlying such options.</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Stock Appreciation Rights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SARs are subject to the following rules:</w:t>
      </w:r>
    </w:p>
    <w:p>
      <w:pPr>
        <w:spacing w:after="0" w:line="131" w:lineRule="exact"/>
        <w:rPr>
          <w:sz w:val="20"/>
          <w:szCs w:val="20"/>
          <w:color w:val="auto"/>
        </w:rPr>
      </w:pPr>
    </w:p>
    <w:p>
      <w:pPr>
        <w:ind w:left="1620" w:hanging="270"/>
        <w:spacing w:after="0"/>
        <w:tabs>
          <w:tab w:leader="none" w:pos="1620" w:val="left"/>
        </w:tabs>
        <w:numPr>
          <w:ilvl w:val="0"/>
          <w:numId w:val="82"/>
        </w:numPr>
        <w:rPr>
          <w:rFonts w:ascii="Arial" w:cs="Arial" w:eastAsia="Arial" w:hAnsi="Arial"/>
          <w:sz w:val="18"/>
          <w:szCs w:val="18"/>
          <w:color w:val="56C271"/>
        </w:rPr>
      </w:pPr>
      <w:r>
        <w:rPr>
          <w:rFonts w:ascii="Arial" w:cs="Arial" w:eastAsia="Arial" w:hAnsi="Arial"/>
          <w:sz w:val="18"/>
          <w:szCs w:val="18"/>
          <w:color w:val="auto"/>
        </w:rPr>
        <w:t>SARs may be granted in tandem with an option or alone (“freestanding”).</w:t>
      </w:r>
    </w:p>
    <w:p>
      <w:pPr>
        <w:spacing w:after="0" w:line="130" w:lineRule="exact"/>
        <w:rPr>
          <w:rFonts w:ascii="Arial" w:cs="Arial" w:eastAsia="Arial" w:hAnsi="Arial"/>
          <w:sz w:val="18"/>
          <w:szCs w:val="18"/>
          <w:color w:val="56C271"/>
        </w:rPr>
      </w:pPr>
    </w:p>
    <w:p>
      <w:pPr>
        <w:ind w:left="1620" w:right="299" w:hanging="270"/>
        <w:spacing w:after="0" w:line="256" w:lineRule="auto"/>
        <w:tabs>
          <w:tab w:leader="none" w:pos="1620" w:val="left"/>
        </w:tabs>
        <w:numPr>
          <w:ilvl w:val="0"/>
          <w:numId w:val="82"/>
        </w:numPr>
        <w:rPr>
          <w:rFonts w:ascii="Arial" w:cs="Arial" w:eastAsia="Arial" w:hAnsi="Arial"/>
          <w:sz w:val="18"/>
          <w:szCs w:val="18"/>
          <w:color w:val="56C271"/>
        </w:rPr>
      </w:pPr>
      <w:r>
        <w:rPr>
          <w:rFonts w:ascii="Arial" w:cs="Arial" w:eastAsia="Arial" w:hAnsi="Arial"/>
          <w:sz w:val="18"/>
          <w:szCs w:val="18"/>
          <w:color w:val="auto"/>
        </w:rPr>
        <w:t>The exercise price per share for each tandem SAR will be no less than the exercise price for the related option, and the exercise price per share for each freestanding SAR will be no less than 100% of the Fair Market Value per share of the Company’s Common Stock on the grant date.</w:t>
      </w:r>
    </w:p>
    <w:p>
      <w:pPr>
        <w:spacing w:after="0" w:line="107" w:lineRule="exact"/>
        <w:rPr>
          <w:rFonts w:ascii="Arial" w:cs="Arial" w:eastAsia="Arial" w:hAnsi="Arial"/>
          <w:sz w:val="18"/>
          <w:szCs w:val="18"/>
          <w:color w:val="56C271"/>
        </w:rPr>
      </w:pPr>
    </w:p>
    <w:p>
      <w:pPr>
        <w:ind w:left="1620" w:right="399" w:hanging="270"/>
        <w:spacing w:after="0" w:line="261" w:lineRule="auto"/>
        <w:tabs>
          <w:tab w:leader="none" w:pos="1620" w:val="left"/>
        </w:tabs>
        <w:numPr>
          <w:ilvl w:val="0"/>
          <w:numId w:val="82"/>
        </w:numPr>
        <w:rPr>
          <w:rFonts w:ascii="Arial" w:cs="Arial" w:eastAsia="Arial" w:hAnsi="Arial"/>
          <w:sz w:val="18"/>
          <w:szCs w:val="18"/>
          <w:color w:val="56C271"/>
        </w:rPr>
      </w:pPr>
      <w:r>
        <w:rPr>
          <w:rFonts w:ascii="Arial" w:cs="Arial" w:eastAsia="Arial" w:hAnsi="Arial"/>
          <w:sz w:val="18"/>
          <w:szCs w:val="18"/>
          <w:color w:val="auto"/>
        </w:rPr>
        <w:t>The Administrator (or the CEO to the extent described above) will establish the vesting schedule for each SAR and the terms and conditions for exercising the SAR.</w:t>
      </w:r>
    </w:p>
    <w:p>
      <w:pPr>
        <w:spacing w:after="0" w:line="103" w:lineRule="exact"/>
        <w:rPr>
          <w:rFonts w:ascii="Arial" w:cs="Arial" w:eastAsia="Arial" w:hAnsi="Arial"/>
          <w:sz w:val="18"/>
          <w:szCs w:val="18"/>
          <w:color w:val="56C271"/>
        </w:rPr>
      </w:pPr>
    </w:p>
    <w:p>
      <w:pPr>
        <w:ind w:left="1620" w:right="439" w:hanging="270"/>
        <w:spacing w:after="0" w:line="261" w:lineRule="auto"/>
        <w:tabs>
          <w:tab w:leader="none" w:pos="1620" w:val="left"/>
        </w:tabs>
        <w:numPr>
          <w:ilvl w:val="0"/>
          <w:numId w:val="82"/>
        </w:numPr>
        <w:rPr>
          <w:rFonts w:ascii="Arial" w:cs="Arial" w:eastAsia="Arial" w:hAnsi="Arial"/>
          <w:sz w:val="18"/>
          <w:szCs w:val="18"/>
          <w:color w:val="56C271"/>
        </w:rPr>
      </w:pPr>
      <w:r>
        <w:rPr>
          <w:rFonts w:ascii="Arial" w:cs="Arial" w:eastAsia="Arial" w:hAnsi="Arial"/>
          <w:sz w:val="18"/>
          <w:szCs w:val="18"/>
          <w:color w:val="auto"/>
        </w:rPr>
        <w:t>SARs will be subject to the same minimum vesting period as applies for options (described above). Tandom SARS will exercisable only to the extent that the related option is exercisable.</w:t>
      </w:r>
    </w:p>
    <w:p>
      <w:pPr>
        <w:spacing w:after="0" w:line="103" w:lineRule="exact"/>
        <w:rPr>
          <w:rFonts w:ascii="Arial" w:cs="Arial" w:eastAsia="Arial" w:hAnsi="Arial"/>
          <w:sz w:val="18"/>
          <w:szCs w:val="18"/>
          <w:color w:val="56C271"/>
        </w:rPr>
      </w:pPr>
    </w:p>
    <w:p>
      <w:pPr>
        <w:ind w:left="1620" w:right="159" w:hanging="270"/>
        <w:spacing w:after="0" w:line="254" w:lineRule="auto"/>
        <w:tabs>
          <w:tab w:leader="none" w:pos="1620" w:val="left"/>
        </w:tabs>
        <w:numPr>
          <w:ilvl w:val="0"/>
          <w:numId w:val="82"/>
        </w:numPr>
        <w:rPr>
          <w:rFonts w:ascii="Arial" w:cs="Arial" w:eastAsia="Arial" w:hAnsi="Arial"/>
          <w:sz w:val="18"/>
          <w:szCs w:val="18"/>
          <w:color w:val="56C271"/>
        </w:rPr>
      </w:pPr>
      <w:r>
        <w:rPr>
          <w:rFonts w:ascii="Arial" w:cs="Arial" w:eastAsia="Arial" w:hAnsi="Arial"/>
          <w:sz w:val="18"/>
          <w:szCs w:val="18"/>
          <w:color w:val="auto"/>
        </w:rPr>
        <w:t>Upon exercise, the holder will receive payment in shares of the Company’s Common Stock or cash (or a combination) in an amount equal to the excess of the Fair Market Value of the shares with respect to which the SAR is exercised over the exercise price. No fractional shares will be issued. Any amount that would have been payable in fractional shares will be paid in cash.</w:t>
      </w:r>
    </w:p>
    <w:p>
      <w:pPr>
        <w:spacing w:after="0" w:line="122" w:lineRule="exact"/>
        <w:rPr>
          <w:rFonts w:ascii="Arial" w:cs="Arial" w:eastAsia="Arial" w:hAnsi="Arial"/>
          <w:sz w:val="18"/>
          <w:szCs w:val="18"/>
          <w:color w:val="56C271"/>
        </w:rPr>
      </w:pPr>
    </w:p>
    <w:p>
      <w:pPr>
        <w:ind w:left="1620" w:right="339" w:hanging="270"/>
        <w:spacing w:after="0" w:line="261" w:lineRule="auto"/>
        <w:tabs>
          <w:tab w:leader="none" w:pos="1620" w:val="left"/>
        </w:tabs>
        <w:numPr>
          <w:ilvl w:val="0"/>
          <w:numId w:val="82"/>
        </w:numPr>
        <w:rPr>
          <w:rFonts w:ascii="Arial" w:cs="Arial" w:eastAsia="Arial" w:hAnsi="Arial"/>
          <w:sz w:val="18"/>
          <w:szCs w:val="18"/>
          <w:color w:val="56C271"/>
        </w:rPr>
      </w:pPr>
      <w:r>
        <w:rPr>
          <w:rFonts w:ascii="Arial" w:cs="Arial" w:eastAsia="Arial" w:hAnsi="Arial"/>
          <w:sz w:val="18"/>
          <w:szCs w:val="18"/>
          <w:color w:val="auto"/>
        </w:rPr>
        <w:t>No SAR granted under the 2021 Plan will be exercisable after the day of the tenth anniversary of the grant date.</w:t>
      </w:r>
    </w:p>
    <w:p>
      <w:pPr>
        <w:spacing w:after="0" w:line="103" w:lineRule="exact"/>
        <w:rPr>
          <w:rFonts w:ascii="Arial" w:cs="Arial" w:eastAsia="Arial" w:hAnsi="Arial"/>
          <w:sz w:val="18"/>
          <w:szCs w:val="18"/>
          <w:color w:val="56C271"/>
        </w:rPr>
      </w:pPr>
    </w:p>
    <w:p>
      <w:pPr>
        <w:ind w:left="1620" w:right="419" w:hanging="270"/>
        <w:spacing w:after="0" w:line="261" w:lineRule="auto"/>
        <w:tabs>
          <w:tab w:leader="none" w:pos="1620" w:val="left"/>
        </w:tabs>
        <w:numPr>
          <w:ilvl w:val="0"/>
          <w:numId w:val="82"/>
        </w:numPr>
        <w:rPr>
          <w:rFonts w:ascii="Arial" w:cs="Arial" w:eastAsia="Arial" w:hAnsi="Arial"/>
          <w:sz w:val="18"/>
          <w:szCs w:val="18"/>
          <w:color w:val="56C271"/>
        </w:rPr>
      </w:pPr>
      <w:r>
        <w:rPr>
          <w:rFonts w:ascii="Arial" w:cs="Arial" w:eastAsia="Arial" w:hAnsi="Arial"/>
          <w:sz w:val="18"/>
          <w:szCs w:val="18"/>
          <w:color w:val="auto"/>
        </w:rPr>
        <w:t>Holders of SARs are not entitled to receive dividends or other distributions with respect to shares of the Company’s Common Stock underlying such SARs.</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Restricted Stock</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grants of restricted stock are subject to the following rules:</w:t>
      </w:r>
    </w:p>
    <w:p>
      <w:pPr>
        <w:spacing w:after="0" w:line="131" w:lineRule="exact"/>
        <w:rPr>
          <w:sz w:val="20"/>
          <w:szCs w:val="20"/>
          <w:color w:val="auto"/>
        </w:rPr>
      </w:pPr>
    </w:p>
    <w:p>
      <w:pPr>
        <w:ind w:left="1620" w:right="279" w:hanging="270"/>
        <w:spacing w:after="0" w:line="261" w:lineRule="auto"/>
        <w:tabs>
          <w:tab w:leader="none" w:pos="1620" w:val="left"/>
        </w:tabs>
        <w:numPr>
          <w:ilvl w:val="0"/>
          <w:numId w:val="83"/>
        </w:numPr>
        <w:rPr>
          <w:rFonts w:ascii="Arial" w:cs="Arial" w:eastAsia="Arial" w:hAnsi="Arial"/>
          <w:sz w:val="18"/>
          <w:szCs w:val="18"/>
          <w:color w:val="56C271"/>
        </w:rPr>
      </w:pPr>
      <w:r>
        <w:rPr>
          <w:rFonts w:ascii="Arial" w:cs="Arial" w:eastAsia="Arial" w:hAnsi="Arial"/>
          <w:sz w:val="18"/>
          <w:szCs w:val="18"/>
          <w:color w:val="auto"/>
        </w:rPr>
        <w:t>The Administrator (or the CEO to the extent described above) will establish the terms, conditions and restrictions of any grant of restricted stock.</w:t>
      </w:r>
    </w:p>
    <w:p>
      <w:pPr>
        <w:spacing w:after="0" w:line="103" w:lineRule="exact"/>
        <w:rPr>
          <w:rFonts w:ascii="Arial" w:cs="Arial" w:eastAsia="Arial" w:hAnsi="Arial"/>
          <w:sz w:val="18"/>
          <w:szCs w:val="18"/>
          <w:color w:val="56C271"/>
        </w:rPr>
      </w:pPr>
    </w:p>
    <w:p>
      <w:pPr>
        <w:ind w:left="1620" w:right="279" w:hanging="270"/>
        <w:spacing w:after="0" w:line="261" w:lineRule="auto"/>
        <w:tabs>
          <w:tab w:leader="none" w:pos="1620" w:val="left"/>
        </w:tabs>
        <w:numPr>
          <w:ilvl w:val="0"/>
          <w:numId w:val="83"/>
        </w:numPr>
        <w:rPr>
          <w:rFonts w:ascii="Arial" w:cs="Arial" w:eastAsia="Arial" w:hAnsi="Arial"/>
          <w:sz w:val="18"/>
          <w:szCs w:val="18"/>
          <w:color w:val="56C271"/>
        </w:rPr>
      </w:pPr>
      <w:r>
        <w:rPr>
          <w:rFonts w:ascii="Arial" w:cs="Arial" w:eastAsia="Arial" w:hAnsi="Arial"/>
          <w:sz w:val="18"/>
          <w:szCs w:val="18"/>
          <w:color w:val="auto"/>
        </w:rPr>
        <w:t>Restricted stock will be subject to the same minimum vesting period as applies for options (described above).</w:t>
      </w:r>
    </w:p>
    <w:p>
      <w:pPr>
        <w:spacing w:after="0" w:line="103" w:lineRule="exact"/>
        <w:rPr>
          <w:rFonts w:ascii="Arial" w:cs="Arial" w:eastAsia="Arial" w:hAnsi="Arial"/>
          <w:sz w:val="18"/>
          <w:szCs w:val="18"/>
          <w:color w:val="56C271"/>
        </w:rPr>
      </w:pPr>
    </w:p>
    <w:p>
      <w:pPr>
        <w:ind w:left="1620" w:right="199" w:hanging="270"/>
        <w:spacing w:after="0" w:line="253" w:lineRule="auto"/>
        <w:tabs>
          <w:tab w:leader="none" w:pos="1620" w:val="left"/>
        </w:tabs>
        <w:numPr>
          <w:ilvl w:val="0"/>
          <w:numId w:val="83"/>
        </w:numPr>
        <w:rPr>
          <w:rFonts w:ascii="Arial" w:cs="Arial" w:eastAsia="Arial" w:hAnsi="Arial"/>
          <w:sz w:val="18"/>
          <w:szCs w:val="18"/>
          <w:color w:val="56C271"/>
        </w:rPr>
      </w:pPr>
      <w:r>
        <w:rPr>
          <w:rFonts w:ascii="Arial" w:cs="Arial" w:eastAsia="Arial" w:hAnsi="Arial"/>
          <w:sz w:val="18"/>
          <w:szCs w:val="18"/>
          <w:color w:val="auto"/>
        </w:rPr>
        <w:t>Restricted stock holders have full voting rights and are entitled to receive any dividends paid on the Company’s Common Stock. All dividends will be reinvested automatically in additional shares of restricted stock that are subject to the same terms and conditions as the initial award, but no fractional shares will be issued. If a dividend would result in a fractional share of Common Stock, the fractional amount will be payable in cash when the vesting period ends.</w:t>
      </w:r>
    </w:p>
    <w:p>
      <w:pPr>
        <w:spacing w:after="0" w:line="11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Restricted Stock Units</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restricted stock units are subject to the following rules:</w:t>
      </w:r>
    </w:p>
    <w:p>
      <w:pPr>
        <w:spacing w:after="0" w:line="117" w:lineRule="exact"/>
        <w:rPr>
          <w:sz w:val="20"/>
          <w:szCs w:val="20"/>
          <w:color w:val="auto"/>
        </w:rPr>
      </w:pPr>
    </w:p>
    <w:p>
      <w:pPr>
        <w:ind w:left="1620" w:right="299" w:hanging="270"/>
        <w:spacing w:after="0" w:line="261" w:lineRule="auto"/>
        <w:tabs>
          <w:tab w:leader="none" w:pos="1620" w:val="left"/>
        </w:tabs>
        <w:numPr>
          <w:ilvl w:val="0"/>
          <w:numId w:val="84"/>
        </w:numPr>
        <w:rPr>
          <w:rFonts w:ascii="Arial" w:cs="Arial" w:eastAsia="Arial" w:hAnsi="Arial"/>
          <w:sz w:val="18"/>
          <w:szCs w:val="18"/>
          <w:color w:val="56C271"/>
        </w:rPr>
      </w:pPr>
      <w:r>
        <w:rPr>
          <w:rFonts w:ascii="Arial" w:cs="Arial" w:eastAsia="Arial" w:hAnsi="Arial"/>
          <w:sz w:val="18"/>
          <w:szCs w:val="18"/>
          <w:color w:val="auto"/>
        </w:rPr>
        <w:t>The Administrator (or the CEO to the extent described above) will establish the vesting schedule and the terms and conditions for each restricted stock unit award.</w:t>
      </w:r>
    </w:p>
    <w:p>
      <w:pPr>
        <w:spacing w:after="0" w:line="103" w:lineRule="exact"/>
        <w:rPr>
          <w:rFonts w:ascii="Arial" w:cs="Arial" w:eastAsia="Arial" w:hAnsi="Arial"/>
          <w:sz w:val="18"/>
          <w:szCs w:val="18"/>
          <w:color w:val="56C271"/>
        </w:rPr>
      </w:pPr>
    </w:p>
    <w:p>
      <w:pPr>
        <w:ind w:left="1620" w:right="739" w:hanging="270"/>
        <w:spacing w:after="0" w:line="261" w:lineRule="auto"/>
        <w:tabs>
          <w:tab w:leader="none" w:pos="1620" w:val="left"/>
        </w:tabs>
        <w:numPr>
          <w:ilvl w:val="0"/>
          <w:numId w:val="84"/>
        </w:numPr>
        <w:rPr>
          <w:rFonts w:ascii="Arial" w:cs="Arial" w:eastAsia="Arial" w:hAnsi="Arial"/>
          <w:sz w:val="18"/>
          <w:szCs w:val="18"/>
          <w:color w:val="56C271"/>
        </w:rPr>
      </w:pPr>
      <w:r>
        <w:rPr>
          <w:rFonts w:ascii="Arial" w:cs="Arial" w:eastAsia="Arial" w:hAnsi="Arial"/>
          <w:sz w:val="18"/>
          <w:szCs w:val="18"/>
          <w:color w:val="auto"/>
        </w:rPr>
        <w:t>Restricted stock units will be subject to the same minimum vesting period as applies for options (described above).</w:t>
      </w:r>
    </w:p>
    <w:p>
      <w:pPr>
        <w:spacing w:after="0" w:line="103" w:lineRule="exact"/>
        <w:rPr>
          <w:rFonts w:ascii="Arial" w:cs="Arial" w:eastAsia="Arial" w:hAnsi="Arial"/>
          <w:sz w:val="18"/>
          <w:szCs w:val="18"/>
          <w:color w:val="56C271"/>
        </w:rPr>
      </w:pPr>
    </w:p>
    <w:p>
      <w:pPr>
        <w:ind w:left="1620" w:right="159" w:hanging="270"/>
        <w:spacing w:after="0" w:line="261" w:lineRule="auto"/>
        <w:tabs>
          <w:tab w:leader="none" w:pos="1620" w:val="left"/>
        </w:tabs>
        <w:numPr>
          <w:ilvl w:val="0"/>
          <w:numId w:val="84"/>
        </w:numPr>
        <w:rPr>
          <w:rFonts w:ascii="Arial" w:cs="Arial" w:eastAsia="Arial" w:hAnsi="Arial"/>
          <w:sz w:val="18"/>
          <w:szCs w:val="18"/>
          <w:color w:val="56C271"/>
        </w:rPr>
      </w:pPr>
      <w:r>
        <w:rPr>
          <w:rFonts w:ascii="Arial" w:cs="Arial" w:eastAsia="Arial" w:hAnsi="Arial"/>
          <w:sz w:val="18"/>
          <w:szCs w:val="18"/>
          <w:color w:val="auto"/>
        </w:rPr>
        <w:t>Restricted stock units will be paid upon vesting in shares of the Company’s Common Stock or cash (or a combination). No fractional shares will be issued.</w:t>
      </w:r>
    </w:p>
    <w:p>
      <w:pPr>
        <w:sectPr>
          <w:pgSz w:w="11900" w:h="16838" w:orient="portrait"/>
          <w:cols w:equalWidth="0" w:num="1">
            <w:col w:w="9879"/>
          </w:cols>
          <w:pgMar w:left="580" w:top="131" w:right="1440" w:bottom="1440" w:gutter="0" w:footer="0" w:header="0"/>
        </w:sectPr>
      </w:pPr>
    </w:p>
    <w:p>
      <w:pPr>
        <w:spacing w:after="0" w:line="146"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3: Approval of the Avnet, Inc. 2021 Stock Compensation and Incentive Plan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620" w:right="239" w:hanging="270"/>
        <w:spacing w:after="0" w:line="256" w:lineRule="auto"/>
        <w:tabs>
          <w:tab w:leader="none" w:pos="1620" w:val="left"/>
        </w:tabs>
        <w:numPr>
          <w:ilvl w:val="0"/>
          <w:numId w:val="85"/>
        </w:numPr>
        <w:rPr>
          <w:rFonts w:ascii="Arial" w:cs="Arial" w:eastAsia="Arial" w:hAnsi="Arial"/>
          <w:sz w:val="18"/>
          <w:szCs w:val="18"/>
          <w:color w:val="56C271"/>
        </w:rPr>
      </w:pPr>
      <w:r>
        <w:rPr>
          <w:rFonts w:ascii="Arial" w:cs="Arial" w:eastAsia="Arial" w:hAnsi="Arial"/>
          <w:sz w:val="18"/>
          <w:szCs w:val="18"/>
          <w:color w:val="auto"/>
        </w:rPr>
        <w:t>Holders of restricted stock units have no voting or other shareholder rights with respect to the underlying shares, but the Administrator (and the CEO to the extent described above) is authorized to grant dividend equivalents with respect to restricted stock unit awards.</w:t>
      </w:r>
    </w:p>
    <w:p>
      <w:pPr>
        <w:spacing w:after="0" w:line="9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Performance Share Units</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performance share units are subject to the following rules:</w:t>
      </w:r>
    </w:p>
    <w:p>
      <w:pPr>
        <w:spacing w:after="0" w:line="117" w:lineRule="exact"/>
        <w:rPr>
          <w:sz w:val="20"/>
          <w:szCs w:val="20"/>
          <w:color w:val="auto"/>
        </w:rPr>
      </w:pPr>
    </w:p>
    <w:p>
      <w:pPr>
        <w:ind w:left="1620" w:right="619" w:hanging="270"/>
        <w:spacing w:after="0" w:line="261" w:lineRule="auto"/>
        <w:tabs>
          <w:tab w:leader="none" w:pos="1620" w:val="left"/>
        </w:tabs>
        <w:numPr>
          <w:ilvl w:val="0"/>
          <w:numId w:val="86"/>
        </w:numPr>
        <w:rPr>
          <w:rFonts w:ascii="Arial" w:cs="Arial" w:eastAsia="Arial" w:hAnsi="Arial"/>
          <w:sz w:val="18"/>
          <w:szCs w:val="18"/>
          <w:color w:val="56C271"/>
        </w:rPr>
      </w:pPr>
      <w:r>
        <w:rPr>
          <w:rFonts w:ascii="Arial" w:cs="Arial" w:eastAsia="Arial" w:hAnsi="Arial"/>
          <w:sz w:val="18"/>
          <w:szCs w:val="18"/>
          <w:color w:val="auto"/>
        </w:rPr>
        <w:t>The Administrator (or the CEO to the extent described above) will establish the vesting and other terms and conditions for each performance share unit award.</w:t>
      </w:r>
    </w:p>
    <w:p>
      <w:pPr>
        <w:spacing w:after="0" w:line="89" w:lineRule="exact"/>
        <w:rPr>
          <w:rFonts w:ascii="Arial" w:cs="Arial" w:eastAsia="Arial" w:hAnsi="Arial"/>
          <w:sz w:val="18"/>
          <w:szCs w:val="18"/>
          <w:color w:val="56C271"/>
        </w:rPr>
      </w:pPr>
    </w:p>
    <w:p>
      <w:pPr>
        <w:ind w:left="1620" w:right="479" w:hanging="270"/>
        <w:spacing w:after="0" w:line="261" w:lineRule="auto"/>
        <w:tabs>
          <w:tab w:leader="none" w:pos="1620" w:val="left"/>
        </w:tabs>
        <w:numPr>
          <w:ilvl w:val="0"/>
          <w:numId w:val="86"/>
        </w:numPr>
        <w:rPr>
          <w:rFonts w:ascii="Arial" w:cs="Arial" w:eastAsia="Arial" w:hAnsi="Arial"/>
          <w:sz w:val="18"/>
          <w:szCs w:val="18"/>
          <w:color w:val="56C271"/>
        </w:rPr>
      </w:pPr>
      <w:r>
        <w:rPr>
          <w:rFonts w:ascii="Arial" w:cs="Arial" w:eastAsia="Arial" w:hAnsi="Arial"/>
          <w:sz w:val="18"/>
          <w:szCs w:val="18"/>
          <w:color w:val="auto"/>
        </w:rPr>
        <w:t>Performance share units will be subject to the same minimum vesting period as applies for options (described above).</w:t>
      </w:r>
    </w:p>
    <w:p>
      <w:pPr>
        <w:spacing w:after="0" w:line="89" w:lineRule="exact"/>
        <w:rPr>
          <w:rFonts w:ascii="Arial" w:cs="Arial" w:eastAsia="Arial" w:hAnsi="Arial"/>
          <w:sz w:val="18"/>
          <w:szCs w:val="18"/>
          <w:color w:val="56C271"/>
        </w:rPr>
      </w:pPr>
    </w:p>
    <w:p>
      <w:pPr>
        <w:ind w:left="1620" w:right="159" w:hanging="270"/>
        <w:spacing w:after="0" w:line="254" w:lineRule="auto"/>
        <w:tabs>
          <w:tab w:leader="none" w:pos="1620" w:val="left"/>
        </w:tabs>
        <w:numPr>
          <w:ilvl w:val="0"/>
          <w:numId w:val="86"/>
        </w:numPr>
        <w:rPr>
          <w:rFonts w:ascii="Arial" w:cs="Arial" w:eastAsia="Arial" w:hAnsi="Arial"/>
          <w:sz w:val="18"/>
          <w:szCs w:val="18"/>
          <w:color w:val="56C271"/>
        </w:rPr>
      </w:pPr>
      <w:r>
        <w:rPr>
          <w:rFonts w:ascii="Arial" w:cs="Arial" w:eastAsia="Arial" w:hAnsi="Arial"/>
          <w:sz w:val="18"/>
          <w:szCs w:val="18"/>
          <w:color w:val="auto"/>
        </w:rPr>
        <w:t>Performance share units will provide for payment of a specified number of shares of the Company’s Common Stock or cash (or a combination), if specified vesting conditions are achieved. The number of shares of Common Stock or amount of cash, if any, will be determined based on the extent to which Performance Objectives are achieved.</w:t>
      </w:r>
    </w:p>
    <w:p>
      <w:pPr>
        <w:spacing w:after="0" w:line="95" w:lineRule="exact"/>
        <w:rPr>
          <w:rFonts w:ascii="Arial" w:cs="Arial" w:eastAsia="Arial" w:hAnsi="Arial"/>
          <w:sz w:val="18"/>
          <w:szCs w:val="18"/>
          <w:color w:val="56C271"/>
        </w:rPr>
      </w:pPr>
    </w:p>
    <w:p>
      <w:pPr>
        <w:ind w:left="1620" w:right="239" w:hanging="270"/>
        <w:spacing w:after="0" w:line="256" w:lineRule="auto"/>
        <w:tabs>
          <w:tab w:leader="none" w:pos="1620" w:val="left"/>
        </w:tabs>
        <w:numPr>
          <w:ilvl w:val="0"/>
          <w:numId w:val="86"/>
        </w:numPr>
        <w:rPr>
          <w:rFonts w:ascii="Arial" w:cs="Arial" w:eastAsia="Arial" w:hAnsi="Arial"/>
          <w:sz w:val="18"/>
          <w:szCs w:val="18"/>
          <w:color w:val="56C271"/>
        </w:rPr>
      </w:pPr>
      <w:r>
        <w:rPr>
          <w:rFonts w:ascii="Arial" w:cs="Arial" w:eastAsia="Arial" w:hAnsi="Arial"/>
          <w:sz w:val="18"/>
          <w:szCs w:val="18"/>
          <w:color w:val="auto"/>
        </w:rPr>
        <w:t>Holders of performance share units have no voting or other shareholder rights with respect to any underlying shares, but the Administrator (and the CEO to the extent described above) is authorized to grant dividend equivalents with respect to performance share unit awards.</w:t>
      </w:r>
    </w:p>
    <w:p>
      <w:pPr>
        <w:spacing w:after="0" w:line="10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Other Stock Unit Awards</w:t>
      </w:r>
    </w:p>
    <w:p>
      <w:pPr>
        <w:spacing w:after="0" w:line="161" w:lineRule="exact"/>
        <w:rPr>
          <w:sz w:val="20"/>
          <w:szCs w:val="20"/>
          <w:color w:val="auto"/>
        </w:rPr>
      </w:pPr>
    </w:p>
    <w:p>
      <w:pPr>
        <w:ind w:left="1000" w:right="279"/>
        <w:spacing w:after="0" w:line="256" w:lineRule="auto"/>
        <w:rPr>
          <w:sz w:val="20"/>
          <w:szCs w:val="20"/>
          <w:color w:val="auto"/>
        </w:rPr>
      </w:pPr>
      <w:r>
        <w:rPr>
          <w:rFonts w:ascii="Arial" w:cs="Arial" w:eastAsia="Arial" w:hAnsi="Arial"/>
          <w:sz w:val="18"/>
          <w:szCs w:val="18"/>
          <w:color w:val="auto"/>
        </w:rPr>
        <w:t>In addition to the other types of awards described above, the Administrator (or the CEO to the extent described above) may grant other stock unit awards under the 2021 Plan. In general, other stock unit awards are “full value” awards and are subject to the following rules:</w:t>
      </w:r>
    </w:p>
    <w:p>
      <w:pPr>
        <w:spacing w:after="0" w:line="94" w:lineRule="exact"/>
        <w:rPr>
          <w:sz w:val="20"/>
          <w:szCs w:val="20"/>
          <w:color w:val="auto"/>
        </w:rPr>
      </w:pPr>
    </w:p>
    <w:p>
      <w:pPr>
        <w:ind w:left="1620" w:right="299" w:hanging="270"/>
        <w:spacing w:after="0" w:line="256" w:lineRule="auto"/>
        <w:tabs>
          <w:tab w:leader="none" w:pos="1620" w:val="left"/>
        </w:tabs>
        <w:numPr>
          <w:ilvl w:val="0"/>
          <w:numId w:val="87"/>
        </w:numPr>
        <w:rPr>
          <w:rFonts w:ascii="Arial" w:cs="Arial" w:eastAsia="Arial" w:hAnsi="Arial"/>
          <w:sz w:val="18"/>
          <w:szCs w:val="18"/>
          <w:color w:val="56C271"/>
        </w:rPr>
      </w:pPr>
      <w:r>
        <w:rPr>
          <w:rFonts w:ascii="Arial" w:cs="Arial" w:eastAsia="Arial" w:hAnsi="Arial"/>
          <w:sz w:val="18"/>
          <w:szCs w:val="18"/>
          <w:color w:val="auto"/>
        </w:rPr>
        <w:t>The Administrator (or the CEO to the extent described above) will establish the vesting schedule and the terms and conditions for each other stock unit award, including whether the award is payable in shares of Common Stock, other securities, cash or a combination.</w:t>
      </w:r>
    </w:p>
    <w:p>
      <w:pPr>
        <w:spacing w:after="0" w:line="93" w:lineRule="exact"/>
        <w:rPr>
          <w:rFonts w:ascii="Arial" w:cs="Arial" w:eastAsia="Arial" w:hAnsi="Arial"/>
          <w:sz w:val="18"/>
          <w:szCs w:val="18"/>
          <w:color w:val="56C271"/>
        </w:rPr>
      </w:pPr>
    </w:p>
    <w:p>
      <w:pPr>
        <w:ind w:left="1620" w:right="439" w:hanging="270"/>
        <w:spacing w:after="0" w:line="254" w:lineRule="auto"/>
        <w:tabs>
          <w:tab w:leader="none" w:pos="1620" w:val="left"/>
        </w:tabs>
        <w:numPr>
          <w:ilvl w:val="0"/>
          <w:numId w:val="87"/>
        </w:numPr>
        <w:rPr>
          <w:rFonts w:ascii="Arial" w:cs="Arial" w:eastAsia="Arial" w:hAnsi="Arial"/>
          <w:sz w:val="18"/>
          <w:szCs w:val="18"/>
          <w:color w:val="56C271"/>
        </w:rPr>
      </w:pPr>
      <w:r>
        <w:rPr>
          <w:rFonts w:ascii="Arial" w:cs="Arial" w:eastAsia="Arial" w:hAnsi="Arial"/>
          <w:sz w:val="18"/>
          <w:szCs w:val="18"/>
          <w:color w:val="auto"/>
        </w:rPr>
        <w:t>Except for awards made to Non-Employee Directors, other stock unit awards will be subject to the same minimum vesting period as applies for options, as described above. In addition, the Administrator has discretion to accelerate vesting under the same circumstances as with respect to options.</w:t>
      </w:r>
    </w:p>
    <w:p>
      <w:pPr>
        <w:spacing w:after="0" w:line="95" w:lineRule="exact"/>
        <w:rPr>
          <w:rFonts w:ascii="Arial" w:cs="Arial" w:eastAsia="Arial" w:hAnsi="Arial"/>
          <w:sz w:val="18"/>
          <w:szCs w:val="18"/>
          <w:color w:val="56C271"/>
        </w:rPr>
      </w:pPr>
    </w:p>
    <w:p>
      <w:pPr>
        <w:ind w:left="1620" w:right="239" w:hanging="270"/>
        <w:spacing w:after="0" w:line="256" w:lineRule="auto"/>
        <w:tabs>
          <w:tab w:leader="none" w:pos="1620" w:val="left"/>
        </w:tabs>
        <w:numPr>
          <w:ilvl w:val="0"/>
          <w:numId w:val="87"/>
        </w:numPr>
        <w:rPr>
          <w:rFonts w:ascii="Arial" w:cs="Arial" w:eastAsia="Arial" w:hAnsi="Arial"/>
          <w:sz w:val="18"/>
          <w:szCs w:val="18"/>
          <w:color w:val="56C271"/>
        </w:rPr>
      </w:pPr>
      <w:r>
        <w:rPr>
          <w:rFonts w:ascii="Arial" w:cs="Arial" w:eastAsia="Arial" w:hAnsi="Arial"/>
          <w:sz w:val="18"/>
          <w:szCs w:val="18"/>
          <w:color w:val="auto"/>
        </w:rPr>
        <w:t>Holders of other stock unit awards have no voting or other shareholder rights with respect to the underlying shares, but the Administrator (and the CEO to the extent described above) is authorized to grant dividend equivalents with respect to other stock unit awards.</w:t>
      </w:r>
    </w:p>
    <w:p>
      <w:pPr>
        <w:spacing w:after="0" w:line="10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EIP Awards</w:t>
      </w:r>
    </w:p>
    <w:p>
      <w:pPr>
        <w:spacing w:after="0" w:line="175" w:lineRule="exact"/>
        <w:rPr>
          <w:sz w:val="20"/>
          <w:szCs w:val="20"/>
          <w:color w:val="auto"/>
        </w:rPr>
      </w:pPr>
    </w:p>
    <w:p>
      <w:pPr>
        <w:ind w:left="1000" w:right="239"/>
        <w:spacing w:after="0" w:line="256" w:lineRule="auto"/>
        <w:rPr>
          <w:sz w:val="20"/>
          <w:szCs w:val="20"/>
          <w:color w:val="auto"/>
        </w:rPr>
      </w:pPr>
      <w:r>
        <w:rPr>
          <w:rFonts w:ascii="Arial" w:cs="Arial" w:eastAsia="Arial" w:hAnsi="Arial"/>
          <w:sz w:val="18"/>
          <w:szCs w:val="18"/>
          <w:color w:val="auto"/>
        </w:rPr>
        <w:t>The Administrator (or the CEO to the extent described above) may grant EIP Awards to employees who are Executive Officers or members of senior management. The EIP Awards are contingent upon the achievement of Performance Objectives.</w:t>
      </w:r>
    </w:p>
    <w:p>
      <w:pPr>
        <w:spacing w:after="0" w:line="9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No Repricing Allowed</w:t>
      </w:r>
    </w:p>
    <w:p>
      <w:pPr>
        <w:spacing w:after="0" w:line="175" w:lineRule="exact"/>
        <w:rPr>
          <w:sz w:val="20"/>
          <w:szCs w:val="20"/>
          <w:color w:val="auto"/>
        </w:rPr>
      </w:pPr>
    </w:p>
    <w:p>
      <w:pPr>
        <w:ind w:left="1000" w:right="259"/>
        <w:spacing w:after="0" w:line="254" w:lineRule="auto"/>
        <w:rPr>
          <w:sz w:val="20"/>
          <w:szCs w:val="20"/>
          <w:color w:val="auto"/>
        </w:rPr>
      </w:pPr>
      <w:r>
        <w:rPr>
          <w:rFonts w:ascii="Arial" w:cs="Arial" w:eastAsia="Arial" w:hAnsi="Arial"/>
          <w:sz w:val="18"/>
          <w:szCs w:val="18"/>
          <w:color w:val="auto"/>
        </w:rPr>
        <w:t>Except in connection with certain corporate transactions, the Company may not reprice, replace or regrant an option or SAR through cancellation, or by lowering the exercise price of the option or SAR, and no option or SAR with an exercise price that exceeds the Fair Market Value of a share of Common Stock (</w:t>
      </w:r>
      <w:r>
        <w:rPr>
          <w:rFonts w:ascii="Arial" w:cs="Arial" w:eastAsia="Arial" w:hAnsi="Arial"/>
          <w:sz w:val="18"/>
          <w:szCs w:val="18"/>
          <w:i w:val="1"/>
          <w:iCs w:val="1"/>
          <w:color w:val="auto"/>
        </w:rPr>
        <w:t>i.e., an under-water option) can be cashed-out,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678815</wp:posOffset>
            </wp:positionV>
            <wp:extent cx="1482725" cy="291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3: Approval of the Avnet, Inc. 2021 Stock Compensation and Incentive Plan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5"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Acceleration upon Certain Events</w:t>
      </w:r>
    </w:p>
    <w:p>
      <w:pPr>
        <w:spacing w:after="0" w:line="161" w:lineRule="exact"/>
        <w:rPr>
          <w:sz w:val="20"/>
          <w:szCs w:val="20"/>
          <w:color w:val="auto"/>
        </w:rPr>
      </w:pPr>
    </w:p>
    <w:p>
      <w:pPr>
        <w:ind w:left="1000" w:right="139"/>
        <w:spacing w:after="0" w:line="254" w:lineRule="auto"/>
        <w:rPr>
          <w:sz w:val="20"/>
          <w:szCs w:val="20"/>
          <w:color w:val="auto"/>
        </w:rPr>
      </w:pPr>
      <w:r>
        <w:rPr>
          <w:rFonts w:ascii="Arial" w:cs="Arial" w:eastAsia="Arial" w:hAnsi="Arial"/>
          <w:sz w:val="18"/>
          <w:szCs w:val="18"/>
          <w:color w:val="auto"/>
        </w:rPr>
        <w:t>The Administrator, in its sole discretion, may accelerate the vesting of any award and/or release restrictions in the event of a Change in Control, the participant’s death, retirement, layoff, termination in connection with a Change in Control or other termination if the Administrator determines it is appropriate and in the best interests of Avnet.</w:t>
      </w:r>
    </w:p>
    <w:p>
      <w:pPr>
        <w:spacing w:after="0" w:line="11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No Transfer of Awards</w:t>
      </w:r>
    </w:p>
    <w:p>
      <w:pPr>
        <w:spacing w:after="0" w:line="175" w:lineRule="exact"/>
        <w:rPr>
          <w:sz w:val="20"/>
          <w:szCs w:val="20"/>
          <w:color w:val="auto"/>
        </w:rPr>
      </w:pPr>
    </w:p>
    <w:p>
      <w:pPr>
        <w:ind w:left="1000" w:right="239"/>
        <w:spacing w:after="0" w:line="253" w:lineRule="auto"/>
        <w:rPr>
          <w:sz w:val="20"/>
          <w:szCs w:val="20"/>
          <w:color w:val="auto"/>
        </w:rPr>
      </w:pPr>
      <w:r>
        <w:rPr>
          <w:rFonts w:ascii="Arial" w:cs="Arial" w:eastAsia="Arial" w:hAnsi="Arial"/>
          <w:sz w:val="18"/>
          <w:szCs w:val="18"/>
          <w:color w:val="auto"/>
        </w:rPr>
        <w:t>In general, no right or interest of a participant in any award made under the 2021 Plan may be sold, assigned or otherwise transferred other than by will, beneficiary designation or the laws of descent and distribution. However, the Committee may allow the transfer of an option (other than an ISO) to specified family members of the participant, as well as to certain trusts and other entities controlled by the participant or the participant’s family.</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Deferral of Awards</w:t>
      </w:r>
    </w:p>
    <w:p>
      <w:pPr>
        <w:spacing w:after="0" w:line="175" w:lineRule="exact"/>
        <w:rPr>
          <w:sz w:val="20"/>
          <w:szCs w:val="20"/>
          <w:color w:val="auto"/>
        </w:rPr>
      </w:pPr>
    </w:p>
    <w:p>
      <w:pPr>
        <w:ind w:left="1000" w:right="219"/>
        <w:spacing w:after="0" w:line="253" w:lineRule="auto"/>
        <w:rPr>
          <w:sz w:val="20"/>
          <w:szCs w:val="20"/>
          <w:color w:val="auto"/>
        </w:rPr>
      </w:pPr>
      <w:r>
        <w:rPr>
          <w:rFonts w:ascii="Arial" w:cs="Arial" w:eastAsia="Arial" w:hAnsi="Arial"/>
          <w:sz w:val="18"/>
          <w:szCs w:val="18"/>
          <w:color w:val="auto"/>
        </w:rPr>
        <w:t>The Administrator is authorized to allow participants to defer receipt of any payment of cash or delivery of shares of Common Stock that would otherwise be due upon the exercise, earn-out or settlement of any award made under the 2021 Plan, other than stock options or SARs. Before allowing any deferral, the Administrator will establish rules and procedures for deferrals of payments under awards. The terms and conditions of any deferral will be set forth in any award agreement that is intended to provide for a deferral.</w:t>
      </w:r>
    </w:p>
    <w:p>
      <w:pPr>
        <w:spacing w:after="0" w:line="11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Termination of 2021 Plan</w:t>
      </w:r>
    </w:p>
    <w:p>
      <w:pPr>
        <w:spacing w:after="0" w:line="161" w:lineRule="exact"/>
        <w:rPr>
          <w:sz w:val="20"/>
          <w:szCs w:val="20"/>
          <w:color w:val="auto"/>
        </w:rPr>
      </w:pPr>
    </w:p>
    <w:p>
      <w:pPr>
        <w:ind w:left="1000" w:right="159"/>
        <w:spacing w:after="0" w:line="253" w:lineRule="auto"/>
        <w:rPr>
          <w:sz w:val="20"/>
          <w:szCs w:val="20"/>
          <w:color w:val="auto"/>
        </w:rPr>
      </w:pPr>
      <w:r>
        <w:rPr>
          <w:rFonts w:ascii="Arial" w:cs="Arial" w:eastAsia="Arial" w:hAnsi="Arial"/>
          <w:sz w:val="18"/>
          <w:szCs w:val="18"/>
          <w:color w:val="auto"/>
        </w:rPr>
        <w:t>The 2021 Plan was adopted by the Board of Directors on August 24, 2021, and will become effective only if approved by shareholders at the Annual Meeting. If approved at the Annual Meeting, the 2021 Plan will automatically terminate on November 17, 2031, unless terminated earlier by the Board of Directors. All awards granted before the 2021 Plan is terminated will continue in effect in accordance with the terms of the applicable award agreements and the 2021 Plan.</w:t>
      </w:r>
    </w:p>
    <w:p>
      <w:pPr>
        <w:spacing w:after="0" w:line="11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Amendment of Plan</w:t>
      </w:r>
    </w:p>
    <w:p>
      <w:pPr>
        <w:spacing w:after="0" w:line="175" w:lineRule="exact"/>
        <w:rPr>
          <w:sz w:val="20"/>
          <w:szCs w:val="20"/>
          <w:color w:val="auto"/>
        </w:rPr>
      </w:pPr>
    </w:p>
    <w:p>
      <w:pPr>
        <w:ind w:left="1000" w:right="499"/>
        <w:spacing w:after="0" w:line="265" w:lineRule="auto"/>
        <w:rPr>
          <w:sz w:val="20"/>
          <w:szCs w:val="20"/>
          <w:color w:val="auto"/>
        </w:rPr>
      </w:pPr>
      <w:r>
        <w:rPr>
          <w:rFonts w:ascii="Arial" w:cs="Arial" w:eastAsia="Arial" w:hAnsi="Arial"/>
          <w:sz w:val="17"/>
          <w:szCs w:val="17"/>
          <w:color w:val="auto"/>
        </w:rPr>
        <w:t>The Board of Directors may amend the 2021 Plan and/or any Award at any time, except that shareholder approval is required for any amendment that (a) affects the composition and functioning of the Committee;</w:t>
      </w:r>
    </w:p>
    <w:p>
      <w:pPr>
        <w:ind w:left="1000" w:right="259" w:hanging="10"/>
        <w:spacing w:after="0" w:line="252" w:lineRule="auto"/>
        <w:tabs>
          <w:tab w:leader="none" w:pos="1268"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materially increases the aggregate number of shares of Common Stock available for awards under the 2021 Plan; (c) materially increases the aggregate number of shares of Common Stock with respect to which options or other awards may be granted to any participant during any calendar year; (d) materially decreases the minimum exercise price per share for options; (e) extends the ten-year maximum period during which an award is exercisable or the termination date of the 2021 Plan; or (f) otherwise triggers a shareholder approval requirement under an applicable law or listing standard. In addition, a participant’s written consent will be required for any amendment to an outstanding award that has a material adverse effect on the participant’s rights under such award.</w:t>
      </w:r>
    </w:p>
    <w:p>
      <w:pPr>
        <w:spacing w:after="0" w:line="98"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New Plan Benefits</w:t>
      </w:r>
    </w:p>
    <w:p>
      <w:pPr>
        <w:spacing w:after="0" w:line="175" w:lineRule="exact"/>
        <w:rPr>
          <w:sz w:val="20"/>
          <w:szCs w:val="20"/>
          <w:color w:val="auto"/>
        </w:rPr>
      </w:pPr>
    </w:p>
    <w:p>
      <w:pPr>
        <w:ind w:left="1000" w:right="339"/>
        <w:spacing w:after="0" w:line="254" w:lineRule="auto"/>
        <w:rPr>
          <w:sz w:val="20"/>
          <w:szCs w:val="20"/>
          <w:color w:val="auto"/>
        </w:rPr>
      </w:pPr>
      <w:r>
        <w:rPr>
          <w:rFonts w:ascii="Arial" w:cs="Arial" w:eastAsia="Arial" w:hAnsi="Arial"/>
          <w:sz w:val="18"/>
          <w:szCs w:val="18"/>
          <w:color w:val="auto"/>
        </w:rPr>
        <w:t>Because benefits under the 2021 Plan will depend on the Committee’s and/or independent directors’ actions and the Fair Market Value of the Company’s Common Stock at various future dates, it is not possible to determine the benefits that will be received by Directors, executive officers and other employees if the 2021 Plan is approved by shareholders.</w:t>
      </w:r>
    </w:p>
    <w:p>
      <w:pPr>
        <w:spacing w:after="0" w:line="11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Recoupment/Clawback</w:t>
      </w:r>
    </w:p>
    <w:p>
      <w:pPr>
        <w:spacing w:after="0" w:line="161" w:lineRule="exact"/>
        <w:rPr>
          <w:sz w:val="20"/>
          <w:szCs w:val="20"/>
          <w:color w:val="auto"/>
        </w:rPr>
      </w:pPr>
    </w:p>
    <w:p>
      <w:pPr>
        <w:jc w:val="both"/>
        <w:ind w:left="1000" w:right="399"/>
        <w:spacing w:after="0" w:line="256" w:lineRule="auto"/>
        <w:rPr>
          <w:sz w:val="20"/>
          <w:szCs w:val="20"/>
          <w:color w:val="auto"/>
        </w:rPr>
      </w:pPr>
      <w:r>
        <w:rPr>
          <w:rFonts w:ascii="Arial" w:cs="Arial" w:eastAsia="Arial" w:hAnsi="Arial"/>
          <w:sz w:val="18"/>
          <w:szCs w:val="18"/>
          <w:color w:val="auto"/>
        </w:rPr>
        <w:t>The 2021 Plan incorporates the Company’s compensation recoupment or clawback policy by reference. All awards under the 2021 Plan will be subject to that policy — including changes that are made to the policy in the future.</w:t>
      </w:r>
    </w:p>
    <w:p>
      <w:pPr>
        <w:spacing w:after="0" w:line="137"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3: Approval of the Avnet, Inc. 2021 Stock Compensation and Incentive Plan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FEDERAL INCOME TAX CONSEQUENCES OF THE 2021 PLAN</w:t>
      </w:r>
    </w:p>
    <w:p>
      <w:pPr>
        <w:spacing w:after="0" w:line="157" w:lineRule="exact"/>
        <w:rPr>
          <w:sz w:val="20"/>
          <w:szCs w:val="20"/>
          <w:color w:val="auto"/>
        </w:rPr>
      </w:pPr>
    </w:p>
    <w:p>
      <w:pPr>
        <w:ind w:left="1000" w:right="259"/>
        <w:spacing w:after="0" w:line="252" w:lineRule="auto"/>
        <w:rPr>
          <w:sz w:val="20"/>
          <w:szCs w:val="20"/>
          <w:color w:val="auto"/>
        </w:rPr>
      </w:pPr>
      <w:r>
        <w:rPr>
          <w:rFonts w:ascii="Arial" w:cs="Arial" w:eastAsia="Arial" w:hAnsi="Arial"/>
          <w:sz w:val="18"/>
          <w:szCs w:val="18"/>
          <w:color w:val="auto"/>
        </w:rPr>
        <w:t>The following general summary describes the typical U.S. federal income tax consequences of awards granted under the 2021 Plan based upon the federal tax laws currently in effect, which are subject to change (possibly with retroactive effect). This is not intended to be a complete analysis and discussion of the federal income tax treatment of awards and does not discuss estate and gift taxes or the tax laws of any municipality, state or foreign country. The Company (or a designated payer) will generally withhold required taxes in connection with the exercise or payment of an award and may require the participant to pay such taxes as a condition to exercise of an award.</w:t>
      </w:r>
    </w:p>
    <w:p>
      <w:pPr>
        <w:spacing w:after="0" w:line="112"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Stock Options</w:t>
      </w:r>
    </w:p>
    <w:p>
      <w:pPr>
        <w:spacing w:after="0" w:line="175" w:lineRule="exact"/>
        <w:rPr>
          <w:sz w:val="20"/>
          <w:szCs w:val="20"/>
          <w:color w:val="auto"/>
        </w:rPr>
      </w:pPr>
    </w:p>
    <w:p>
      <w:pPr>
        <w:ind w:left="1000" w:right="299"/>
        <w:spacing w:after="0" w:line="261" w:lineRule="auto"/>
        <w:rPr>
          <w:sz w:val="20"/>
          <w:szCs w:val="20"/>
          <w:color w:val="auto"/>
        </w:rPr>
      </w:pPr>
      <w:r>
        <w:rPr>
          <w:rFonts w:ascii="Arial" w:cs="Arial" w:eastAsia="Arial" w:hAnsi="Arial"/>
          <w:sz w:val="18"/>
          <w:szCs w:val="18"/>
          <w:color w:val="auto"/>
        </w:rPr>
        <w:t>ISOs and NQSOs are treated differently for federal income tax purposes. ISOs must satisfy the requirements of Section 422 of the Internal Revenue Code. NQSOs need not satisfy such requirements.</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Incentive Stock Options</w:t>
      </w:r>
    </w:p>
    <w:p>
      <w:pPr>
        <w:spacing w:after="0" w:line="175" w:lineRule="exact"/>
        <w:rPr>
          <w:sz w:val="20"/>
          <w:szCs w:val="20"/>
          <w:color w:val="auto"/>
        </w:rPr>
      </w:pPr>
    </w:p>
    <w:p>
      <w:pPr>
        <w:ind w:left="1000" w:right="279"/>
        <w:spacing w:after="0" w:line="254" w:lineRule="auto"/>
        <w:rPr>
          <w:sz w:val="20"/>
          <w:szCs w:val="20"/>
          <w:color w:val="auto"/>
        </w:rPr>
      </w:pPr>
      <w:r>
        <w:rPr>
          <w:rFonts w:ascii="Arial" w:cs="Arial" w:eastAsia="Arial" w:hAnsi="Arial"/>
          <w:sz w:val="18"/>
          <w:szCs w:val="18"/>
          <w:color w:val="auto"/>
        </w:rPr>
        <w:t>The recipient of an ISO will not realize any taxable income on the grant or the exercise of the ISO, except as described in the next sentence. The difference between the exercise price and the fair market value of the shares on the exercise date will be a preference item for purposes of the alternative minimum tax, and thus a participant could be subject to the alternative minimum tax as a result of exercising an ISO.</w:t>
      </w:r>
    </w:p>
    <w:p>
      <w:pPr>
        <w:spacing w:after="0" w:line="136" w:lineRule="exact"/>
        <w:rPr>
          <w:sz w:val="20"/>
          <w:szCs w:val="20"/>
          <w:color w:val="auto"/>
        </w:rPr>
      </w:pPr>
    </w:p>
    <w:p>
      <w:pPr>
        <w:ind w:left="1000" w:right="259"/>
        <w:spacing w:after="0" w:line="253" w:lineRule="auto"/>
        <w:rPr>
          <w:sz w:val="20"/>
          <w:szCs w:val="20"/>
          <w:color w:val="auto"/>
        </w:rPr>
      </w:pPr>
      <w:r>
        <w:rPr>
          <w:rFonts w:ascii="Arial" w:cs="Arial" w:eastAsia="Arial" w:hAnsi="Arial"/>
          <w:sz w:val="18"/>
          <w:szCs w:val="18"/>
          <w:color w:val="auto"/>
        </w:rPr>
        <w:t>If a participant holds the shares acquired upon exercise of an ISO for at least two years after the grant date and at least one year after exercise, the participant’s gain, if any, upon a subsequent disposition of such shares will be long-term capital gain or conversely, a loss will be a long-term capital loss. The measure of the gain (or loss) is the difference between the proceeds received on disposition and the participant’s basis in the shares. In general, the participant’s basis is equal to the exercise price.</w:t>
      </w:r>
    </w:p>
    <w:p>
      <w:pPr>
        <w:spacing w:after="0" w:line="124" w:lineRule="exact"/>
        <w:rPr>
          <w:sz w:val="20"/>
          <w:szCs w:val="20"/>
          <w:color w:val="auto"/>
        </w:rPr>
      </w:pPr>
    </w:p>
    <w:p>
      <w:pPr>
        <w:ind w:left="1000" w:right="699"/>
        <w:spacing w:after="0" w:line="261" w:lineRule="auto"/>
        <w:rPr>
          <w:sz w:val="20"/>
          <w:szCs w:val="20"/>
          <w:color w:val="auto"/>
        </w:rPr>
      </w:pPr>
      <w:r>
        <w:rPr>
          <w:rFonts w:ascii="Arial" w:cs="Arial" w:eastAsia="Arial" w:hAnsi="Arial"/>
          <w:sz w:val="18"/>
          <w:szCs w:val="18"/>
          <w:color w:val="auto"/>
        </w:rPr>
        <w:t>If a participant disposes of shares acquired by exercising an ISO before satisfying the one and two-year holding periods described above (a “disqualifying disposition”), then —</w:t>
      </w:r>
    </w:p>
    <w:p>
      <w:pPr>
        <w:spacing w:after="0" w:line="103" w:lineRule="exact"/>
        <w:rPr>
          <w:sz w:val="20"/>
          <w:szCs w:val="20"/>
          <w:color w:val="auto"/>
        </w:rPr>
      </w:pPr>
    </w:p>
    <w:p>
      <w:pPr>
        <w:ind w:left="1620" w:right="179" w:hanging="270"/>
        <w:spacing w:after="0" w:line="253" w:lineRule="auto"/>
        <w:tabs>
          <w:tab w:leader="none" w:pos="1620" w:val="left"/>
        </w:tabs>
        <w:numPr>
          <w:ilvl w:val="0"/>
          <w:numId w:val="89"/>
        </w:numPr>
        <w:rPr>
          <w:rFonts w:ascii="Arial" w:cs="Arial" w:eastAsia="Arial" w:hAnsi="Arial"/>
          <w:sz w:val="18"/>
          <w:szCs w:val="18"/>
          <w:color w:val="56C271"/>
        </w:rPr>
      </w:pPr>
      <w:r>
        <w:rPr>
          <w:rFonts w:ascii="Arial" w:cs="Arial" w:eastAsia="Arial" w:hAnsi="Arial"/>
          <w:sz w:val="18"/>
          <w:szCs w:val="18"/>
          <w:color w:val="auto"/>
        </w:rPr>
        <w:t>If the proceeds received exceed the exercise price of the ISO, the participant will (a) realize ordinary income equal to the excess, if any, of the lesser of the proceeds received or the fair market value of the shares on the date of exercise over the exercise price of the ISO, and (b) realize capital gain equal to the excess, if any, of the proceeds received over the fair market value of the shares on the date of exercise; or</w:t>
      </w:r>
    </w:p>
    <w:p>
      <w:pPr>
        <w:spacing w:after="0" w:line="124" w:lineRule="exact"/>
        <w:rPr>
          <w:rFonts w:ascii="Arial" w:cs="Arial" w:eastAsia="Arial" w:hAnsi="Arial"/>
          <w:sz w:val="18"/>
          <w:szCs w:val="18"/>
          <w:color w:val="56C271"/>
        </w:rPr>
      </w:pPr>
    </w:p>
    <w:p>
      <w:pPr>
        <w:ind w:left="1620" w:right="159" w:hanging="270"/>
        <w:spacing w:after="0" w:line="261" w:lineRule="auto"/>
        <w:tabs>
          <w:tab w:leader="none" w:pos="1620" w:val="left"/>
        </w:tabs>
        <w:numPr>
          <w:ilvl w:val="0"/>
          <w:numId w:val="89"/>
        </w:numPr>
        <w:rPr>
          <w:rFonts w:ascii="Arial" w:cs="Arial" w:eastAsia="Arial" w:hAnsi="Arial"/>
          <w:sz w:val="18"/>
          <w:szCs w:val="18"/>
          <w:color w:val="56C271"/>
        </w:rPr>
      </w:pPr>
      <w:r>
        <w:rPr>
          <w:rFonts w:ascii="Arial" w:cs="Arial" w:eastAsia="Arial" w:hAnsi="Arial"/>
          <w:sz w:val="18"/>
          <w:szCs w:val="18"/>
          <w:color w:val="auto"/>
        </w:rPr>
        <w:t>If the proceeds received are less than the exercise price of the ISO, the participant will realize a capital loss equal to the excess of the exercise price of the ISO over the proceeds received.</w:t>
      </w:r>
    </w:p>
    <w:p>
      <w:pPr>
        <w:spacing w:after="0" w:line="117" w:lineRule="exact"/>
        <w:rPr>
          <w:sz w:val="20"/>
          <w:szCs w:val="20"/>
          <w:color w:val="auto"/>
        </w:rPr>
      </w:pPr>
    </w:p>
    <w:p>
      <w:pPr>
        <w:jc w:val="both"/>
        <w:ind w:left="1000" w:right="259"/>
        <w:spacing w:after="0" w:line="256" w:lineRule="auto"/>
        <w:rPr>
          <w:sz w:val="20"/>
          <w:szCs w:val="20"/>
          <w:color w:val="auto"/>
        </w:rPr>
      </w:pPr>
      <w:r>
        <w:rPr>
          <w:rFonts w:ascii="Arial" w:cs="Arial" w:eastAsia="Arial" w:hAnsi="Arial"/>
          <w:sz w:val="18"/>
          <w:szCs w:val="18"/>
          <w:color w:val="auto"/>
        </w:rPr>
        <w:t>Capital gains (or losses) realized upon a disqualifying disposition will be treated as long-term capital gains (or losses) if the participant held the shares for more than one year after the exercise of the ISO, or otherwise as short-term capital gains (or losses).</w:t>
      </w:r>
    </w:p>
    <w:p>
      <w:pPr>
        <w:spacing w:after="0" w:line="134" w:lineRule="exact"/>
        <w:rPr>
          <w:sz w:val="20"/>
          <w:szCs w:val="20"/>
          <w:color w:val="auto"/>
        </w:rPr>
      </w:pPr>
    </w:p>
    <w:p>
      <w:pPr>
        <w:ind w:left="1000" w:right="359"/>
        <w:spacing w:after="0" w:line="253" w:lineRule="auto"/>
        <w:rPr>
          <w:sz w:val="20"/>
          <w:szCs w:val="20"/>
          <w:color w:val="auto"/>
        </w:rPr>
      </w:pPr>
      <w:r>
        <w:rPr>
          <w:rFonts w:ascii="Arial" w:cs="Arial" w:eastAsia="Arial" w:hAnsi="Arial"/>
          <w:sz w:val="18"/>
          <w:szCs w:val="18"/>
          <w:color w:val="auto"/>
        </w:rPr>
        <w:t>The Company is not entitled to an income tax deduction on the grant or exercise of an ISO or on the participant’s disposition of the shares after satisfying the holding period requirements described above. However, if the participant does not satisfy the holding period, the Company will be entitled to a deduction in the year the participant disposes of the shares. The amount of the deduction will be equal to the ordinary income realized by the participant.</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Non-Qualified Stock Options</w:t>
      </w:r>
    </w:p>
    <w:p>
      <w:pPr>
        <w:spacing w:after="0" w:line="175" w:lineRule="exact"/>
        <w:rPr>
          <w:sz w:val="20"/>
          <w:szCs w:val="20"/>
          <w:color w:val="auto"/>
        </w:rPr>
      </w:pPr>
    </w:p>
    <w:p>
      <w:pPr>
        <w:jc w:val="both"/>
        <w:ind w:left="1000" w:right="219"/>
        <w:spacing w:after="0" w:line="253" w:lineRule="auto"/>
        <w:rPr>
          <w:sz w:val="20"/>
          <w:szCs w:val="20"/>
          <w:color w:val="auto"/>
        </w:rPr>
      </w:pPr>
      <w:r>
        <w:rPr>
          <w:rFonts w:ascii="Arial" w:cs="Arial" w:eastAsia="Arial" w:hAnsi="Arial"/>
          <w:sz w:val="18"/>
          <w:szCs w:val="18"/>
          <w:color w:val="auto"/>
        </w:rPr>
        <w:t>The recipient of a NQSO will not realize any taxable income on the grant of the option. Upon exercise of the NQSO, the participant will realize ordinary income in an amount equal to the excess, if any, of the fair market value of the shares subject to the exercised option on the date of exercise over the total option exercise price. The Company will generally be entitled to a deduction in the same amount as the ordinary income realized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113665</wp:posOffset>
            </wp:positionV>
            <wp:extent cx="1482725" cy="291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3: Approval of the Avnet, Inc. 2021 Stock Compensation and Incentive Plan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319"/>
        <w:spacing w:after="0" w:line="255" w:lineRule="auto"/>
        <w:rPr>
          <w:sz w:val="20"/>
          <w:szCs w:val="20"/>
          <w:color w:val="auto"/>
        </w:rPr>
      </w:pPr>
      <w:r>
        <w:rPr>
          <w:rFonts w:ascii="Arial" w:cs="Arial" w:eastAsia="Arial" w:hAnsi="Arial"/>
          <w:sz w:val="17"/>
          <w:szCs w:val="17"/>
          <w:color w:val="auto"/>
        </w:rPr>
        <w:t>Upon the sale of shares acquired from exercising an option, the participant will realize a capital gain (or loss) equal to the difference between the proceeds received and the fair market value of the shares on the date of exercise (</w:t>
      </w:r>
      <w:r>
        <w:rPr>
          <w:rFonts w:ascii="Arial" w:cs="Arial" w:eastAsia="Arial" w:hAnsi="Arial"/>
          <w:sz w:val="17"/>
          <w:szCs w:val="17"/>
          <w:i w:val="1"/>
          <w:iCs w:val="1"/>
          <w:color w:val="auto"/>
        </w:rPr>
        <w:t>i.e.</w:t>
      </w:r>
      <w:r>
        <w:rPr>
          <w:rFonts w:ascii="Arial" w:cs="Arial" w:eastAsia="Arial" w:hAnsi="Arial"/>
          <w:sz w:val="17"/>
          <w:szCs w:val="17"/>
          <w:color w:val="auto"/>
        </w:rPr>
        <w:t>, the excess, if any, of the total proceeds received over the participant’s tax basis in the shares sold). The capital gain (or loss) will be a long-term capital gain (or loss) if the participant held the shares for more than one year after the exercise of the NQSO, or otherwise a short-term capital gain (or loss).</w:t>
      </w:r>
    </w:p>
    <w:p>
      <w:pPr>
        <w:spacing w:after="0" w:line="109" w:lineRule="exact"/>
        <w:rPr>
          <w:sz w:val="20"/>
          <w:szCs w:val="20"/>
          <w:color w:val="auto"/>
        </w:rPr>
      </w:pPr>
    </w:p>
    <w:p>
      <w:pPr>
        <w:ind w:left="1000" w:right="539"/>
        <w:spacing w:after="0" w:line="238" w:lineRule="auto"/>
        <w:rPr>
          <w:sz w:val="20"/>
          <w:szCs w:val="20"/>
          <w:color w:val="auto"/>
        </w:rPr>
      </w:pPr>
      <w:r>
        <w:rPr>
          <w:rFonts w:ascii="Arial" w:cs="Arial" w:eastAsia="Arial" w:hAnsi="Arial"/>
          <w:sz w:val="18"/>
          <w:szCs w:val="18"/>
          <w:color w:val="auto"/>
        </w:rPr>
        <w:t>Special rules will apply if the exercise price or applicable withholding tax obligations are paid by delivering shares or by reducing the number of shares otherwise issuable pursuant to the award. The surrender or withholding of such shares will in certain circumstances result in income with respect to such shares or a carryover basis in the shares acquired and may constitute a disposition for purposes of applying the ISO holding periods discussed above.</w:t>
      </w:r>
    </w:p>
    <w:p>
      <w:pPr>
        <w:spacing w:after="0" w:line="108"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Stock Appreciation Rights</w:t>
      </w:r>
    </w:p>
    <w:p>
      <w:pPr>
        <w:spacing w:after="0" w:line="175" w:lineRule="exact"/>
        <w:rPr>
          <w:sz w:val="20"/>
          <w:szCs w:val="20"/>
          <w:color w:val="auto"/>
        </w:rPr>
      </w:pPr>
    </w:p>
    <w:p>
      <w:pPr>
        <w:ind w:left="1000" w:right="359"/>
        <w:spacing w:after="0" w:line="238" w:lineRule="auto"/>
        <w:rPr>
          <w:sz w:val="20"/>
          <w:szCs w:val="20"/>
          <w:color w:val="auto"/>
        </w:rPr>
      </w:pPr>
      <w:r>
        <w:rPr>
          <w:rFonts w:ascii="Arial" w:cs="Arial" w:eastAsia="Arial" w:hAnsi="Arial"/>
          <w:sz w:val="18"/>
          <w:szCs w:val="18"/>
          <w:color w:val="auto"/>
        </w:rPr>
        <w:t>The recipient of a SAR will not realize any taxable income on the grant of the SAR. Upon the exercise of the SAR, the participant will realize ordinary income in an amount equal to the fair market value of the shares and/or cash received on the date of exercise. The Company will generally be entitled to a corresponding tax deduction.</w:t>
      </w:r>
    </w:p>
    <w:p>
      <w:pPr>
        <w:spacing w:after="0" w:line="124" w:lineRule="exact"/>
        <w:rPr>
          <w:sz w:val="20"/>
          <w:szCs w:val="20"/>
          <w:color w:val="auto"/>
        </w:rPr>
      </w:pPr>
    </w:p>
    <w:p>
      <w:pPr>
        <w:ind w:left="1000" w:right="179"/>
        <w:spacing w:after="0" w:line="238" w:lineRule="auto"/>
        <w:rPr>
          <w:sz w:val="20"/>
          <w:szCs w:val="20"/>
          <w:color w:val="auto"/>
        </w:rPr>
      </w:pPr>
      <w:r>
        <w:rPr>
          <w:rFonts w:ascii="Arial" w:cs="Arial" w:eastAsia="Arial" w:hAnsi="Arial"/>
          <w:sz w:val="18"/>
          <w:szCs w:val="18"/>
          <w:color w:val="auto"/>
        </w:rPr>
        <w:t>Upon the sale of shares acquired from exercising a SAR,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one year after the exercise of the SAR, or otherwise a short-term capital gain (or loss).</w:t>
      </w:r>
    </w:p>
    <w:p>
      <w:pPr>
        <w:spacing w:after="0" w:line="11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Restricted Stock</w:t>
      </w:r>
    </w:p>
    <w:p>
      <w:pPr>
        <w:spacing w:after="0" w:line="175" w:lineRule="exact"/>
        <w:rPr>
          <w:sz w:val="20"/>
          <w:szCs w:val="20"/>
          <w:color w:val="auto"/>
        </w:rPr>
      </w:pPr>
    </w:p>
    <w:p>
      <w:pPr>
        <w:ind w:left="1000" w:right="159"/>
        <w:spacing w:after="0" w:line="236" w:lineRule="auto"/>
        <w:rPr>
          <w:sz w:val="20"/>
          <w:szCs w:val="20"/>
          <w:color w:val="auto"/>
        </w:rPr>
      </w:pPr>
      <w:r>
        <w:rPr>
          <w:rFonts w:ascii="Arial" w:cs="Arial" w:eastAsia="Arial" w:hAnsi="Arial"/>
          <w:sz w:val="18"/>
          <w:szCs w:val="18"/>
          <w:color w:val="auto"/>
        </w:rPr>
        <w:t>The federal income tax consequences of a grant of restricted stock depend on whether a participant elects to be taxed at the time of the grant (an “83(b) election,” named for Section 83(b) of the Internal Revenue Code). If the participant does not make an 83(b) election, the participant will not realize taxable income at the time of grant. When the restrictions on the shares lapse, the participant will realize ordinary income in an amount equal to the fair market value of the restricted stock at that time (less any amount that the participant pays for the shares). If the participant makes an 83(b) election, the participant will realize ordinary income at the time of grant in an amount equal to the fair market value of the shares at that time (less any amount that the participant pays for the shares), determined without regard to any of the restrictions. If shares are forfeited before the restrictions lapse, the participant will not be entitled to a corresponding deduction.</w:t>
      </w:r>
    </w:p>
    <w:p>
      <w:pPr>
        <w:spacing w:after="0" w:line="126" w:lineRule="exact"/>
        <w:rPr>
          <w:sz w:val="20"/>
          <w:szCs w:val="20"/>
          <w:color w:val="auto"/>
        </w:rPr>
      </w:pPr>
    </w:p>
    <w:p>
      <w:pPr>
        <w:ind w:left="1000" w:right="259"/>
        <w:spacing w:after="0" w:line="237" w:lineRule="auto"/>
        <w:rPr>
          <w:sz w:val="20"/>
          <w:szCs w:val="20"/>
          <w:color w:val="auto"/>
        </w:rPr>
      </w:pPr>
      <w:r>
        <w:rPr>
          <w:rFonts w:ascii="Arial" w:cs="Arial" w:eastAsia="Arial" w:hAnsi="Arial"/>
          <w:sz w:val="18"/>
          <w:szCs w:val="18"/>
          <w:color w:val="auto"/>
        </w:rPr>
        <w:t>The participant’s tax basis in restricted stock will be the income realized with respect to the shares (plus any amount that the participant paid for the shares). Upon a subsequent disposition of any shares, the participant will realize a capital gain or loss, equal to the amount received upon disposition minus the participant’s tax basis. The capital gain (or loss) will be a long-term capital gain (or loss) if the participant held the shares for more than one year after realizing income attributable to the shares, or otherwise a short-term capital gain (or loss).</w:t>
      </w:r>
    </w:p>
    <w:p>
      <w:pPr>
        <w:spacing w:after="0" w:line="137" w:lineRule="exact"/>
        <w:rPr>
          <w:sz w:val="20"/>
          <w:szCs w:val="20"/>
          <w:color w:val="auto"/>
        </w:rPr>
      </w:pPr>
    </w:p>
    <w:p>
      <w:pPr>
        <w:ind w:left="1000" w:right="719"/>
        <w:spacing w:after="0" w:line="246" w:lineRule="auto"/>
        <w:rPr>
          <w:sz w:val="20"/>
          <w:szCs w:val="20"/>
          <w:color w:val="auto"/>
        </w:rPr>
      </w:pPr>
      <w:r>
        <w:rPr>
          <w:rFonts w:ascii="Arial" w:cs="Arial" w:eastAsia="Arial" w:hAnsi="Arial"/>
          <w:sz w:val="18"/>
          <w:szCs w:val="18"/>
          <w:color w:val="auto"/>
        </w:rPr>
        <w:t>Avnet will be entitled to a tax deduction in the taxable year in which the participant realizes income. The amount of the deduction will be the same as the amount of income realized by the participant.</w:t>
      </w:r>
    </w:p>
    <w:p>
      <w:pPr>
        <w:spacing w:after="0" w:line="102"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Restricted Stock Units/Performance Share Units/Other Stock Unit Awards</w:t>
      </w:r>
    </w:p>
    <w:p>
      <w:pPr>
        <w:spacing w:after="0" w:line="161" w:lineRule="exact"/>
        <w:rPr>
          <w:sz w:val="20"/>
          <w:szCs w:val="20"/>
          <w:color w:val="auto"/>
        </w:rPr>
      </w:pPr>
    </w:p>
    <w:p>
      <w:pPr>
        <w:ind w:left="1000" w:right="299"/>
        <w:spacing w:after="0" w:line="238" w:lineRule="auto"/>
        <w:rPr>
          <w:sz w:val="20"/>
          <w:szCs w:val="20"/>
          <w:color w:val="auto"/>
        </w:rPr>
      </w:pPr>
      <w:r>
        <w:rPr>
          <w:rFonts w:ascii="Arial" w:cs="Arial" w:eastAsia="Arial" w:hAnsi="Arial"/>
          <w:sz w:val="18"/>
          <w:szCs w:val="18"/>
          <w:color w:val="auto"/>
        </w:rPr>
        <w:t>Recipients of restricted stock units, performance share units and other stock unit awards will not realize any taxable income at the time of grant. Income will be realized when the awards vest and are paid in cash or shares of stock. At that time, the participant will realize ordinary income equal to the then fair market value of the shares or cash paid to the participant. The value of shares included in income will be the participant’s tax basis in the shares.</w:t>
      </w:r>
    </w:p>
    <w:p>
      <w:pPr>
        <w:spacing w:after="0" w:line="135" w:lineRule="exact"/>
        <w:rPr>
          <w:sz w:val="20"/>
          <w:szCs w:val="20"/>
          <w:color w:val="auto"/>
        </w:rPr>
      </w:pPr>
    </w:p>
    <w:p>
      <w:pPr>
        <w:ind w:left="1000" w:right="239"/>
        <w:spacing w:after="0" w:line="257" w:lineRule="auto"/>
        <w:rPr>
          <w:sz w:val="20"/>
          <w:szCs w:val="20"/>
          <w:color w:val="auto"/>
        </w:rPr>
      </w:pPr>
      <w:r>
        <w:rPr>
          <w:rFonts w:ascii="Arial" w:cs="Arial" w:eastAsia="Arial" w:hAnsi="Arial"/>
          <w:sz w:val="17"/>
          <w:szCs w:val="17"/>
          <w:color w:val="auto"/>
        </w:rPr>
        <w:t>The participant’s tax basis in any stock issued to settle a restricted stock unit, performance share unit or other stock unit award will be the amount realized as income attributable to the shares. Upon a subsequent disposition of any shares, the participant will realize capital gain or loss, equal to the amount received upon disposition minus the participant’s tax basis. The capital gain (or loss) will be a long-term capital gain (or loss)</w:t>
      </w:r>
    </w:p>
    <w:p>
      <w:pPr>
        <w:spacing w:after="0" w:line="111"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972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82725" cy="299720"/>
                    </a:xfrm>
                    <a:prstGeom prst="rect">
                      <a:avLst/>
                    </a:prstGeom>
                    <a:noFill/>
                    <a:ln>
                      <a:noFill/>
                    </a:ln>
                  </pic:spPr>
                </pic:pic>
              </a:graphicData>
            </a:graphic>
          </wp:inline>
        </w:drawing>
      </w: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3: Approval of the Avnet, Inc. 2021 Stock Compensation and Incentive Plan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459"/>
        <w:spacing w:after="0" w:line="261" w:lineRule="auto"/>
        <w:rPr>
          <w:sz w:val="20"/>
          <w:szCs w:val="20"/>
          <w:color w:val="auto"/>
        </w:rPr>
      </w:pPr>
      <w:r>
        <w:rPr>
          <w:rFonts w:ascii="Arial" w:cs="Arial" w:eastAsia="Arial" w:hAnsi="Arial"/>
          <w:sz w:val="18"/>
          <w:szCs w:val="18"/>
          <w:color w:val="auto"/>
        </w:rPr>
        <w:t>if the participant held the shares for more than one year after realizing income attributable to the shares, or otherwise a short-term capital gain (or loss).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will be entitled to a tax deduction in the taxable year in which the participant realizes income.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amount of the deduction will be the same as the amount of income realized by the participant.</w:t>
      </w:r>
    </w:p>
    <w:p>
      <w:pPr>
        <w:spacing w:after="0" w:line="13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EIP Awards</w:t>
      </w:r>
    </w:p>
    <w:p>
      <w:pPr>
        <w:spacing w:after="0" w:line="175" w:lineRule="exact"/>
        <w:rPr>
          <w:sz w:val="20"/>
          <w:szCs w:val="20"/>
          <w:color w:val="auto"/>
        </w:rPr>
      </w:pPr>
    </w:p>
    <w:p>
      <w:pPr>
        <w:ind w:left="1000" w:right="299"/>
        <w:spacing w:after="0" w:line="253" w:lineRule="auto"/>
        <w:rPr>
          <w:sz w:val="20"/>
          <w:szCs w:val="20"/>
          <w:color w:val="auto"/>
        </w:rPr>
      </w:pPr>
      <w:r>
        <w:rPr>
          <w:rFonts w:ascii="Arial" w:cs="Arial" w:eastAsia="Arial" w:hAnsi="Arial"/>
          <w:sz w:val="18"/>
          <w:szCs w:val="18"/>
          <w:color w:val="auto"/>
        </w:rPr>
        <w:t>The recipient of an EIP Award will not realize any taxable income at the time of grant. Income will be realized after the Performance Objectives are achieved, when the awards are paid in cash. At that time, the full cash value of the EIP Award paid to the participant will be includible in the participant’s ordinary income. The Company will generally be entitled to a tax deduction in the taxable year in which the participant realizes income.</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Other Tax Issues</w:t>
      </w:r>
    </w:p>
    <w:p>
      <w:pPr>
        <w:spacing w:after="0" w:line="148"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Employment Taxes</w:t>
      </w:r>
    </w:p>
    <w:p>
      <w:pPr>
        <w:spacing w:after="0" w:line="175" w:lineRule="exact"/>
        <w:rPr>
          <w:sz w:val="20"/>
          <w:szCs w:val="20"/>
          <w:color w:val="auto"/>
        </w:rPr>
      </w:pPr>
    </w:p>
    <w:p>
      <w:pPr>
        <w:ind w:left="1000" w:right="259"/>
        <w:spacing w:after="0" w:line="253" w:lineRule="auto"/>
        <w:rPr>
          <w:sz w:val="20"/>
          <w:szCs w:val="20"/>
          <w:color w:val="auto"/>
        </w:rPr>
      </w:pPr>
      <w:r>
        <w:rPr>
          <w:rFonts w:ascii="Arial" w:cs="Arial" w:eastAsia="Arial" w:hAnsi="Arial"/>
          <w:sz w:val="18"/>
          <w:szCs w:val="18"/>
          <w:color w:val="auto"/>
        </w:rPr>
        <w:t>In general, the amount includible in income upon the exercise of NQSOs and SARs and upon the vesting of other awards, will be treated as wages for purposes of employment taxes, including Social Security (up to the Social Security wage base) and Medicare taxes. Also, upon the sale of shares acquired from awards under the 2021 Plan, participants with income above a specified threshold will be subject to a new tax on passive income (in addition to capital gains taxes).</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Section 162 Limitations</w:t>
      </w:r>
    </w:p>
    <w:p>
      <w:pPr>
        <w:spacing w:after="0" w:line="175" w:lineRule="exact"/>
        <w:rPr>
          <w:sz w:val="20"/>
          <w:szCs w:val="20"/>
          <w:color w:val="auto"/>
        </w:rPr>
      </w:pPr>
    </w:p>
    <w:p>
      <w:pPr>
        <w:ind w:left="1000" w:right="159"/>
        <w:spacing w:after="0" w:line="254" w:lineRule="auto"/>
        <w:rPr>
          <w:sz w:val="20"/>
          <w:szCs w:val="20"/>
          <w:color w:val="auto"/>
        </w:rPr>
      </w:pPr>
      <w:r>
        <w:rPr>
          <w:rFonts w:ascii="Arial" w:cs="Arial" w:eastAsia="Arial" w:hAnsi="Arial"/>
          <w:sz w:val="18"/>
          <w:szCs w:val="18"/>
          <w:color w:val="auto"/>
        </w:rPr>
        <w:t>Section 162(m) of the Internal Revenue Code generally disallows a public company’s tax deduction for compensation to covered employees in excess of $1 million in any tax year. Compensation, for this purpose, includes taxable income attributable to awards granted under this 2021 Plan and, therefore, some awards may not be fully deductible by the Company under Section 162(m) of the Internal Revenue Code.</w:t>
      </w:r>
    </w:p>
    <w:p>
      <w:pPr>
        <w:spacing w:after="0" w:line="11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Section 409A</w:t>
      </w:r>
    </w:p>
    <w:p>
      <w:pPr>
        <w:spacing w:after="0" w:line="161" w:lineRule="exact"/>
        <w:rPr>
          <w:sz w:val="20"/>
          <w:szCs w:val="20"/>
          <w:color w:val="auto"/>
        </w:rPr>
      </w:pPr>
    </w:p>
    <w:p>
      <w:pPr>
        <w:ind w:left="1000" w:right="139"/>
        <w:spacing w:after="0" w:line="252" w:lineRule="auto"/>
        <w:rPr>
          <w:sz w:val="20"/>
          <w:szCs w:val="20"/>
          <w:color w:val="auto"/>
        </w:rPr>
      </w:pPr>
      <w:r>
        <w:rPr>
          <w:rFonts w:ascii="Arial" w:cs="Arial" w:eastAsia="Arial" w:hAnsi="Arial"/>
          <w:sz w:val="18"/>
          <w:szCs w:val="18"/>
          <w:color w:val="auto"/>
        </w:rPr>
        <w:t>The 2021 Plan is intended to comply with Section 409A of the Internal Revenue Code (“Section 409A”) to the extent that such section would apply to any award under the 2021 Plan. Section 409A governs the taxation of deferred compensation. Any participant that is granted an award that is deemed to be deferred compensation, such as a grant of deferred stock that does not qualify for an exemption from Section 409A, and does not comply with Section 409A, could be subject to taxation on the award as soon as the award is no longer subject to a substantial risk of forfeiture (even if the award is not exercisable or immediately deliverable) and an additional 20% tax (and a further additional tax based upon an amount of interest determined under Section 409A) on the value of the award.</w:t>
      </w:r>
    </w:p>
    <w:p>
      <w:pPr>
        <w:spacing w:after="0" w:line="11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Section 280G</w:t>
      </w:r>
    </w:p>
    <w:p>
      <w:pPr>
        <w:spacing w:after="0" w:line="175" w:lineRule="exact"/>
        <w:rPr>
          <w:sz w:val="20"/>
          <w:szCs w:val="20"/>
          <w:color w:val="auto"/>
        </w:rPr>
      </w:pPr>
    </w:p>
    <w:p>
      <w:pPr>
        <w:ind w:left="1000" w:right="159"/>
        <w:spacing w:after="0" w:line="251" w:lineRule="auto"/>
        <w:rPr>
          <w:sz w:val="20"/>
          <w:szCs w:val="20"/>
          <w:color w:val="auto"/>
        </w:rPr>
      </w:pPr>
      <w:r>
        <w:rPr>
          <w:rFonts w:ascii="Arial" w:cs="Arial" w:eastAsia="Arial" w:hAnsi="Arial"/>
          <w:sz w:val="18"/>
          <w:szCs w:val="18"/>
          <w:color w:val="auto"/>
        </w:rPr>
        <w:t>As noted above, the Administrator has discretion to accelerate the payment or vesting (including the release of restrictions) on any awards in the event of a Change in Control. If this occurs, payments and transfers of shares to “disqualified individuals” under Section 280G of the Internal Revenue Code (generally officers, the 250 highest paid employees of the Company and subsidiaries in which the Company’s ownership interest is 80% or more, and shareholders who own 1% or more of the Company) that are deemed to be contingent on the Change in Control may be subject to special tax consequences that apply to “parachute payments.” In order to determine whether these special tax consequences are triggered, the sum of the payments and transfers under the 2021 Plan and all other compensation that is deemed to be contingent on the Change in Control (the “potential parachute payments”) must be compared to the disqualified individual’s “base amount.” In general, the base amount is the individual’s average annual taxable compensation from the Company during the five years (or the number of years the individual worked for the Company, if fewer) immediately before the Change in Control. If the amount of the potential parachute payments equals or exceeds three times the base amount, the excess of the potential parachute payments over the base amount will be considered “excess parachute payments.” If any amounts are determined to be excess parachute payments, the disqualified individual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107315</wp:posOffset>
            </wp:positionV>
            <wp:extent cx="1482725" cy="291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Proposal 3: Approval of the Avnet, Inc. 2021 Stock Compensation and Incentive Plan</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159"/>
        <w:spacing w:after="0" w:line="256" w:lineRule="auto"/>
        <w:rPr>
          <w:sz w:val="20"/>
          <w:szCs w:val="20"/>
          <w:color w:val="auto"/>
        </w:rPr>
      </w:pPr>
      <w:r>
        <w:rPr>
          <w:rFonts w:ascii="Arial" w:cs="Arial" w:eastAsia="Arial" w:hAnsi="Arial"/>
          <w:sz w:val="18"/>
          <w:szCs w:val="18"/>
          <w:color w:val="auto"/>
        </w:rPr>
        <w:t>have to pay an excise tax equal to 20% of the excess of the potential parachute payments over the individual’s base amount. In addition, the Company would not be allowed to deduct the amount that is subject to the excise tax.</w:t>
      </w:r>
    </w:p>
    <w:p>
      <w:pPr>
        <w:spacing w:after="0" w:line="9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Importance of Consulting Tax Adviser</w:t>
      </w:r>
    </w:p>
    <w:p>
      <w:pPr>
        <w:spacing w:after="0" w:line="175" w:lineRule="exact"/>
        <w:rPr>
          <w:sz w:val="20"/>
          <w:szCs w:val="20"/>
          <w:color w:val="auto"/>
        </w:rPr>
      </w:pPr>
    </w:p>
    <w:p>
      <w:pPr>
        <w:ind w:left="1000" w:right="179"/>
        <w:spacing w:after="0" w:line="252"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or her particular situation, each recipient should consult his or her tax adviser as to the Federal, state, local and other tax consequences of the grant or exercise of an award or the disposition of Common Stock acquired as a result of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9861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5498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600" w:right="400"/>
        <w:spacing w:after="0" w:line="284" w:lineRule="auto"/>
        <w:rPr>
          <w:sz w:val="20"/>
          <w:szCs w:val="20"/>
          <w:color w:val="auto"/>
        </w:rPr>
      </w:pPr>
      <w:r>
        <w:rPr>
          <w:rFonts w:ascii="Arial" w:cs="Arial" w:eastAsia="Arial" w:hAnsi="Arial"/>
          <w:sz w:val="38"/>
          <w:szCs w:val="38"/>
          <w:b w:val="1"/>
          <w:bCs w:val="1"/>
          <w:color w:val="FEFEFE"/>
        </w:rPr>
        <w:t>PROPOSAL 4: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191770</wp:posOffset>
            </wp:positionV>
            <wp:extent cx="5554980" cy="7715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34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EFEFE"/>
        </w:rPr>
        <w:t>RECOMMENDATION OF THE BOARD</w:t>
      </w:r>
    </w:p>
    <w:p>
      <w:pPr>
        <w:spacing w:after="0" w:line="306" w:lineRule="exact"/>
        <w:rPr>
          <w:sz w:val="20"/>
          <w:szCs w:val="20"/>
          <w:color w:val="auto"/>
        </w:rPr>
      </w:pPr>
    </w:p>
    <w:p>
      <w:pPr>
        <w:ind w:left="2260" w:right="559"/>
        <w:spacing w:after="0" w:line="287" w:lineRule="auto"/>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6C271"/>
        </w:rPr>
        <w:t>FOR</w:t>
      </w:r>
      <w:r>
        <w:rPr>
          <w:rFonts w:ascii="Arial" w:cs="Arial" w:eastAsia="Arial" w:hAnsi="Arial"/>
          <w:sz w:val="18"/>
          <w:szCs w:val="18"/>
          <w:b w:val="1"/>
          <w:bCs w:val="1"/>
          <w:color w:val="auto"/>
        </w:rPr>
        <w:t xml:space="preserve"> the ratification of KPMG LLP as the Company’s independent registered public accounting firm for Fiscal 2022.</w:t>
      </w:r>
    </w:p>
    <w:p>
      <w:pPr>
        <w:spacing w:after="0" w:line="31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Description of Proposal</w:t>
      </w:r>
    </w:p>
    <w:p>
      <w:pPr>
        <w:spacing w:after="0" w:line="170" w:lineRule="exact"/>
        <w:rPr>
          <w:sz w:val="20"/>
          <w:szCs w:val="20"/>
          <w:color w:val="auto"/>
        </w:rPr>
      </w:pPr>
    </w:p>
    <w:p>
      <w:pPr>
        <w:ind w:left="1000" w:right="899"/>
        <w:spacing w:after="0" w:line="261" w:lineRule="auto"/>
        <w:rPr>
          <w:sz w:val="20"/>
          <w:szCs w:val="20"/>
          <w:color w:val="auto"/>
        </w:rPr>
      </w:pPr>
      <w:r>
        <w:rPr>
          <w:rFonts w:ascii="Arial" w:cs="Arial" w:eastAsia="Arial" w:hAnsi="Arial"/>
          <w:sz w:val="18"/>
          <w:szCs w:val="18"/>
          <w:color w:val="auto"/>
        </w:rPr>
        <w:t>The Audit Committee has approved the selection of KPMG LLP (“KPMG”) to serve as the Company’s independent registered public accounting firm for the fiscal year ending July 2, 2022.</w:t>
      </w:r>
    </w:p>
    <w:p>
      <w:pPr>
        <w:spacing w:after="0" w:line="130" w:lineRule="exact"/>
        <w:rPr>
          <w:sz w:val="20"/>
          <w:szCs w:val="20"/>
          <w:color w:val="auto"/>
        </w:rPr>
      </w:pPr>
    </w:p>
    <w:p>
      <w:pPr>
        <w:ind w:left="1000" w:right="399"/>
        <w:spacing w:after="0" w:line="261" w:lineRule="auto"/>
        <w:rPr>
          <w:sz w:val="20"/>
          <w:szCs w:val="20"/>
          <w:color w:val="auto"/>
        </w:rPr>
      </w:pPr>
      <w:r>
        <w:rPr>
          <w:rFonts w:ascii="Arial" w:cs="Arial" w:eastAsia="Arial" w:hAnsi="Arial"/>
          <w:sz w:val="18"/>
          <w:szCs w:val="18"/>
          <w:color w:val="auto"/>
        </w:rPr>
        <w:t>In determining whether to reappoint the independent registered public accounting firm, the Audit Committee annually considers several factors including:</w:t>
      </w:r>
    </w:p>
    <w:p>
      <w:pPr>
        <w:spacing w:after="0" w:line="117" w:lineRule="exact"/>
        <w:rPr>
          <w:sz w:val="20"/>
          <w:szCs w:val="20"/>
          <w:color w:val="auto"/>
        </w:rPr>
      </w:pPr>
    </w:p>
    <w:p>
      <w:pPr>
        <w:ind w:left="1720" w:hanging="370"/>
        <w:spacing w:after="0"/>
        <w:tabs>
          <w:tab w:leader="none" w:pos="1720" w:val="left"/>
        </w:tabs>
        <w:numPr>
          <w:ilvl w:val="0"/>
          <w:numId w:val="90"/>
        </w:numPr>
        <w:rPr>
          <w:rFonts w:ascii="Arial" w:cs="Arial" w:eastAsia="Arial" w:hAnsi="Arial"/>
          <w:sz w:val="18"/>
          <w:szCs w:val="18"/>
          <w:color w:val="56C271"/>
        </w:rPr>
      </w:pPr>
      <w:r>
        <w:rPr>
          <w:rFonts w:ascii="Arial" w:cs="Arial" w:eastAsia="Arial" w:hAnsi="Arial"/>
          <w:sz w:val="18"/>
          <w:szCs w:val="18"/>
          <w:color w:val="auto"/>
        </w:rPr>
        <w:t>the firm’s independence and objectivity;</w:t>
      </w:r>
    </w:p>
    <w:p>
      <w:pPr>
        <w:spacing w:after="0" w:line="157" w:lineRule="exact"/>
        <w:rPr>
          <w:rFonts w:ascii="Arial" w:cs="Arial" w:eastAsia="Arial" w:hAnsi="Arial"/>
          <w:sz w:val="18"/>
          <w:szCs w:val="18"/>
          <w:color w:val="56C271"/>
        </w:rPr>
      </w:pPr>
    </w:p>
    <w:p>
      <w:pPr>
        <w:ind w:left="1720" w:right="439" w:hanging="370"/>
        <w:spacing w:after="0" w:line="261" w:lineRule="auto"/>
        <w:tabs>
          <w:tab w:leader="none" w:pos="1720" w:val="left"/>
        </w:tabs>
        <w:numPr>
          <w:ilvl w:val="0"/>
          <w:numId w:val="90"/>
        </w:numPr>
        <w:rPr>
          <w:rFonts w:ascii="Arial" w:cs="Arial" w:eastAsia="Arial" w:hAnsi="Arial"/>
          <w:sz w:val="18"/>
          <w:szCs w:val="18"/>
          <w:color w:val="56C271"/>
        </w:rPr>
      </w:pPr>
      <w:r>
        <w:rPr>
          <w:rFonts w:ascii="Arial" w:cs="Arial" w:eastAsia="Arial" w:hAnsi="Arial"/>
          <w:sz w:val="18"/>
          <w:szCs w:val="18"/>
          <w:color w:val="auto"/>
        </w:rPr>
        <w:t>the firm’s capability and expertise in handling the breadth and complexity of the Company’s global operations, including the expertise and capability of the lead audit partner;</w:t>
      </w:r>
    </w:p>
    <w:p>
      <w:pPr>
        <w:spacing w:after="0" w:line="130" w:lineRule="exact"/>
        <w:rPr>
          <w:rFonts w:ascii="Arial" w:cs="Arial" w:eastAsia="Arial" w:hAnsi="Arial"/>
          <w:sz w:val="18"/>
          <w:szCs w:val="18"/>
          <w:color w:val="56C271"/>
        </w:rPr>
      </w:pPr>
    </w:p>
    <w:p>
      <w:pPr>
        <w:ind w:left="1720" w:right="279" w:hanging="370"/>
        <w:spacing w:after="0" w:line="261" w:lineRule="auto"/>
        <w:tabs>
          <w:tab w:leader="none" w:pos="1720" w:val="left"/>
        </w:tabs>
        <w:numPr>
          <w:ilvl w:val="0"/>
          <w:numId w:val="90"/>
        </w:numPr>
        <w:rPr>
          <w:rFonts w:ascii="Arial" w:cs="Arial" w:eastAsia="Arial" w:hAnsi="Arial"/>
          <w:sz w:val="18"/>
          <w:szCs w:val="18"/>
          <w:color w:val="56C271"/>
        </w:rPr>
      </w:pPr>
      <w:r>
        <w:rPr>
          <w:rFonts w:ascii="Arial" w:cs="Arial" w:eastAsia="Arial" w:hAnsi="Arial"/>
          <w:sz w:val="18"/>
          <w:szCs w:val="18"/>
          <w:color w:val="auto"/>
        </w:rPr>
        <w:t>historical and recent performance, including the extent and quality of the firm’s communications with the Audit Committee, and management’s views of the firm’s overall performance;</w:t>
      </w:r>
    </w:p>
    <w:p>
      <w:pPr>
        <w:spacing w:after="0" w:line="116" w:lineRule="exact"/>
        <w:rPr>
          <w:rFonts w:ascii="Arial" w:cs="Arial" w:eastAsia="Arial" w:hAnsi="Arial"/>
          <w:sz w:val="18"/>
          <w:szCs w:val="18"/>
          <w:color w:val="56C271"/>
        </w:rPr>
      </w:pPr>
    </w:p>
    <w:p>
      <w:pPr>
        <w:ind w:left="1720" w:right="159" w:hanging="370"/>
        <w:spacing w:after="0" w:line="261" w:lineRule="auto"/>
        <w:tabs>
          <w:tab w:leader="none" w:pos="1720" w:val="left"/>
        </w:tabs>
        <w:numPr>
          <w:ilvl w:val="0"/>
          <w:numId w:val="90"/>
        </w:numPr>
        <w:rPr>
          <w:rFonts w:ascii="Arial" w:cs="Arial" w:eastAsia="Arial" w:hAnsi="Arial"/>
          <w:sz w:val="18"/>
          <w:szCs w:val="18"/>
          <w:color w:val="56C271"/>
        </w:rPr>
      </w:pPr>
      <w:r>
        <w:rPr>
          <w:rFonts w:ascii="Arial" w:cs="Arial" w:eastAsia="Arial" w:hAnsi="Arial"/>
          <w:sz w:val="18"/>
          <w:szCs w:val="18"/>
          <w:color w:val="auto"/>
        </w:rPr>
        <w:t>data related to audit quality and performance, including recent Public Company Accounting Oversight Board inspection reports on the firm; and</w:t>
      </w:r>
    </w:p>
    <w:p>
      <w:pPr>
        <w:spacing w:after="0" w:line="130" w:lineRule="exact"/>
        <w:rPr>
          <w:rFonts w:ascii="Arial" w:cs="Arial" w:eastAsia="Arial" w:hAnsi="Arial"/>
          <w:sz w:val="18"/>
          <w:szCs w:val="18"/>
          <w:color w:val="56C271"/>
        </w:rPr>
      </w:pPr>
    </w:p>
    <w:p>
      <w:pPr>
        <w:ind w:left="1720" w:hanging="370"/>
        <w:spacing w:after="0"/>
        <w:tabs>
          <w:tab w:leader="none" w:pos="1720" w:val="left"/>
        </w:tabs>
        <w:numPr>
          <w:ilvl w:val="0"/>
          <w:numId w:val="90"/>
        </w:numPr>
        <w:rPr>
          <w:rFonts w:ascii="Arial" w:cs="Arial" w:eastAsia="Arial" w:hAnsi="Arial"/>
          <w:sz w:val="18"/>
          <w:szCs w:val="18"/>
          <w:color w:val="56C271"/>
        </w:rPr>
      </w:pPr>
      <w:r>
        <w:rPr>
          <w:rFonts w:ascii="Arial" w:cs="Arial" w:eastAsia="Arial" w:hAnsi="Arial"/>
          <w:sz w:val="18"/>
          <w:szCs w:val="18"/>
          <w:color w:val="auto"/>
        </w:rPr>
        <w:t>the appropriateness of the firm’s fees, both on an absolute basis and as compared with its peers.</w:t>
      </w:r>
    </w:p>
    <w:p>
      <w:pPr>
        <w:spacing w:after="0" w:line="158" w:lineRule="exact"/>
        <w:rPr>
          <w:sz w:val="20"/>
          <w:szCs w:val="20"/>
          <w:color w:val="auto"/>
        </w:rPr>
      </w:pPr>
    </w:p>
    <w:p>
      <w:pPr>
        <w:ind w:left="1000" w:right="719"/>
        <w:spacing w:after="0" w:line="261" w:lineRule="auto"/>
        <w:rPr>
          <w:sz w:val="20"/>
          <w:szCs w:val="20"/>
          <w:color w:val="auto"/>
        </w:rPr>
      </w:pPr>
      <w:r>
        <w:rPr>
          <w:rFonts w:ascii="Arial" w:cs="Arial" w:eastAsia="Arial" w:hAnsi="Arial"/>
          <w:sz w:val="18"/>
          <w:szCs w:val="18"/>
          <w:color w:val="auto"/>
        </w:rPr>
        <w:t>For a summary of the fees that were paid to KPMG in fiscal years 2020 and 2021, please see “Principal Accounting Firm Fees.”</w:t>
      </w:r>
    </w:p>
    <w:p>
      <w:pPr>
        <w:spacing w:after="0" w:line="117" w:lineRule="exact"/>
        <w:rPr>
          <w:sz w:val="20"/>
          <w:szCs w:val="20"/>
          <w:color w:val="auto"/>
        </w:rPr>
      </w:pPr>
    </w:p>
    <w:p>
      <w:pPr>
        <w:ind w:left="1000" w:right="619"/>
        <w:spacing w:after="0" w:line="256" w:lineRule="auto"/>
        <w:rPr>
          <w:sz w:val="20"/>
          <w:szCs w:val="20"/>
          <w:color w:val="auto"/>
        </w:rPr>
      </w:pPr>
      <w:r>
        <w:rPr>
          <w:rFonts w:ascii="Arial" w:cs="Arial" w:eastAsia="Arial" w:hAnsi="Arial"/>
          <w:sz w:val="18"/>
          <w:szCs w:val="18"/>
          <w:color w:val="auto"/>
        </w:rPr>
        <w:t>The Company expects that representatives of KPMG will be present at the Annual Meeting. The representatives will have an opportunity to make a statement as they may desire, and will be available to respond to appropriate questions from shareholders.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Vote Required For Approval</w:t>
      </w:r>
    </w:p>
    <w:p>
      <w:pPr>
        <w:spacing w:after="0" w:line="170" w:lineRule="exact"/>
        <w:rPr>
          <w:sz w:val="20"/>
          <w:szCs w:val="20"/>
          <w:color w:val="auto"/>
        </w:rPr>
      </w:pPr>
    </w:p>
    <w:p>
      <w:pPr>
        <w:ind w:left="1000" w:right="379"/>
        <w:spacing w:after="0" w:line="253" w:lineRule="auto"/>
        <w:rPr>
          <w:sz w:val="20"/>
          <w:szCs w:val="20"/>
          <w:color w:val="auto"/>
        </w:rPr>
      </w:pPr>
      <w:r>
        <w:rPr>
          <w:rFonts w:ascii="Arial" w:cs="Arial" w:eastAsia="Arial" w:hAnsi="Arial"/>
          <w:sz w:val="18"/>
          <w:szCs w:val="18"/>
          <w:color w:val="auto"/>
        </w:rPr>
        <w:t>For approval, this proposal requires the affirmative vote of the majority of the votes cast by the shareholders present in person or by proxy, provided a quorum is present, at the Annual Meeting.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Proxy</w:t>
      </w:r>
    </w:p>
    <w:p>
      <w:pPr>
        <w:spacing w:after="0" w:line="170" w:lineRule="exact"/>
        <w:rPr>
          <w:sz w:val="20"/>
          <w:szCs w:val="20"/>
          <w:color w:val="auto"/>
        </w:rPr>
      </w:pPr>
    </w:p>
    <w:p>
      <w:pPr>
        <w:ind w:left="1000" w:right="299"/>
        <w:spacing w:after="0" w:line="256" w:lineRule="auto"/>
        <w:rPr>
          <w:sz w:val="20"/>
          <w:szCs w:val="20"/>
          <w:color w:val="auto"/>
        </w:rPr>
      </w:pPr>
      <w:r>
        <w:rPr>
          <w:rFonts w:ascii="Arial" w:cs="Arial" w:eastAsia="Arial" w:hAnsi="Arial"/>
          <w:sz w:val="18"/>
          <w:szCs w:val="18"/>
          <w:color w:val="auto"/>
        </w:rPr>
        <w:t>Unless otherwise directed by the shareholder, it is the intention of the persons named as proxies in the proxy card to vote each properly signed and returned proxy card FOR the ratification of KPMG LLP as the Company’s independent registered public accounting firm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213995</wp:posOffset>
            </wp:positionV>
            <wp:extent cx="1482725" cy="291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80"/>
        <w:spacing w:after="0"/>
        <w:rPr>
          <w:sz w:val="20"/>
          <w:szCs w:val="20"/>
          <w:color w:val="auto"/>
        </w:rPr>
      </w:pPr>
      <w:r>
        <w:rPr>
          <w:rFonts w:ascii="Arial" w:cs="Arial" w:eastAsia="Arial" w:hAnsi="Arial"/>
          <w:sz w:val="40"/>
          <w:szCs w:val="40"/>
          <w:b w:val="1"/>
          <w:bCs w:val="1"/>
          <w:color w:val="FEFEFE"/>
        </w:rPr>
        <w:t>PRINCIPAL ACCOUNTING FIRM FEES</w:t>
      </w:r>
    </w:p>
    <w:p>
      <w:pPr>
        <w:spacing w:after="0" w:line="366" w:lineRule="exact"/>
        <w:rPr>
          <w:sz w:val="20"/>
          <w:szCs w:val="20"/>
          <w:color w:val="auto"/>
        </w:rPr>
      </w:pPr>
    </w:p>
    <w:p>
      <w:pPr>
        <w:ind w:left="1000" w:right="239"/>
        <w:spacing w:after="0" w:line="254" w:lineRule="auto"/>
        <w:rPr>
          <w:sz w:val="20"/>
          <w:szCs w:val="20"/>
          <w:color w:val="auto"/>
        </w:rPr>
      </w:pPr>
      <w:r>
        <w:rPr>
          <w:rFonts w:ascii="Arial" w:cs="Arial" w:eastAsia="Arial" w:hAnsi="Arial"/>
          <w:sz w:val="18"/>
          <w:szCs w:val="18"/>
          <w:color w:val="auto"/>
        </w:rPr>
        <w:t>The table below provides information relating to fees charged for services performed by KPMG, the Company’s independent registered public accounting firm, in both fiscal 2020 and fiscal 2021. All the services described in the table were approved in conformity with the Audit Committee’s pre-approval process for independent registered public accounting firm fees.</w:t>
      </w:r>
    </w:p>
    <w:p>
      <w:pPr>
        <w:spacing w:after="0" w:line="16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160" w:type="dxa"/>
            <w:vAlign w:val="bottom"/>
            <w:shd w:val="clear" w:color="auto" w:fill="56C271"/>
          </w:tcPr>
          <w:p>
            <w:pPr>
              <w:spacing w:after="0"/>
              <w:rPr>
                <w:sz w:val="18"/>
                <w:szCs w:val="18"/>
                <w:color w:val="auto"/>
              </w:rPr>
            </w:pPr>
          </w:p>
        </w:tc>
        <w:tc>
          <w:tcPr>
            <w:tcW w:w="1300" w:type="dxa"/>
            <w:vAlign w:val="bottom"/>
            <w:shd w:val="clear" w:color="auto" w:fill="56C271"/>
          </w:tcPr>
          <w:p>
            <w:pPr>
              <w:jc w:val="right"/>
              <w:ind w:right="34"/>
              <w:spacing w:after="0"/>
              <w:rPr>
                <w:sz w:val="20"/>
                <w:szCs w:val="20"/>
                <w:color w:val="auto"/>
              </w:rPr>
            </w:pPr>
            <w:r>
              <w:rPr>
                <w:rFonts w:ascii="Arial" w:cs="Arial" w:eastAsia="Arial" w:hAnsi="Arial"/>
                <w:sz w:val="14"/>
                <w:szCs w:val="14"/>
                <w:b w:val="1"/>
                <w:bCs w:val="1"/>
                <w:color w:val="FEFEFE"/>
              </w:rPr>
              <w:t>Fiscal 2020</w:t>
            </w:r>
          </w:p>
        </w:tc>
        <w:tc>
          <w:tcPr>
            <w:tcW w:w="1300" w:type="dxa"/>
            <w:vAlign w:val="bottom"/>
            <w:shd w:val="clear" w:color="auto" w:fill="56C271"/>
          </w:tcPr>
          <w:p>
            <w:pPr>
              <w:jc w:val="right"/>
              <w:ind w:right="54"/>
              <w:spacing w:after="0"/>
              <w:rPr>
                <w:sz w:val="20"/>
                <w:szCs w:val="20"/>
                <w:color w:val="auto"/>
              </w:rPr>
            </w:pPr>
            <w:r>
              <w:rPr>
                <w:rFonts w:ascii="Arial" w:cs="Arial" w:eastAsia="Arial" w:hAnsi="Arial"/>
                <w:sz w:val="14"/>
                <w:szCs w:val="14"/>
                <w:b w:val="1"/>
                <w:bCs w:val="1"/>
                <w:color w:val="FEFEFE"/>
              </w:rPr>
              <w:t>Fiscal 2021</w:t>
            </w:r>
          </w:p>
        </w:tc>
      </w:tr>
      <w:tr>
        <w:trPr>
          <w:trHeight w:val="257"/>
        </w:trPr>
        <w:tc>
          <w:tcPr>
            <w:tcW w:w="6160" w:type="dxa"/>
            <w:vAlign w:val="bottom"/>
          </w:tcPr>
          <w:p>
            <w:pPr>
              <w:ind w:left="120"/>
              <w:spacing w:after="0"/>
              <w:rPr>
                <w:sz w:val="20"/>
                <w:szCs w:val="20"/>
                <w:color w:val="auto"/>
              </w:rPr>
            </w:pPr>
            <w:r>
              <w:rPr>
                <w:rFonts w:ascii="Arial" w:cs="Arial" w:eastAsia="Arial" w:hAnsi="Arial"/>
                <w:sz w:val="18"/>
                <w:szCs w:val="18"/>
                <w:color w:val="auto"/>
              </w:rPr>
              <w:t>Audit Fees</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  6,147,300</w:t>
            </w: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  5,892,000</w:t>
            </w:r>
          </w:p>
        </w:tc>
      </w:tr>
      <w:tr>
        <w:trPr>
          <w:trHeight w:val="257"/>
        </w:trPr>
        <w:tc>
          <w:tcPr>
            <w:tcW w:w="6160" w:type="dxa"/>
            <w:vAlign w:val="bottom"/>
            <w:shd w:val="clear" w:color="auto" w:fill="CCEDD4"/>
          </w:tcPr>
          <w:p>
            <w:pPr>
              <w:ind w:left="120"/>
              <w:spacing w:after="0"/>
              <w:rPr>
                <w:sz w:val="20"/>
                <w:szCs w:val="20"/>
                <w:color w:val="auto"/>
              </w:rPr>
            </w:pPr>
            <w:r>
              <w:rPr>
                <w:rFonts w:ascii="Arial" w:cs="Arial" w:eastAsia="Arial" w:hAnsi="Arial"/>
                <w:sz w:val="18"/>
                <w:szCs w:val="18"/>
                <w:color w:val="auto"/>
              </w:rPr>
              <w:t>Audit-Related Fees</w:t>
            </w:r>
          </w:p>
        </w:tc>
        <w:tc>
          <w:tcPr>
            <w:tcW w:w="1300" w:type="dxa"/>
            <w:vAlign w:val="bottom"/>
            <w:shd w:val="clear" w:color="auto" w:fill="CCEDD4"/>
          </w:tcPr>
          <w:p>
            <w:pPr>
              <w:jc w:val="right"/>
              <w:ind w:right="34"/>
              <w:spacing w:after="0"/>
              <w:rPr>
                <w:sz w:val="20"/>
                <w:szCs w:val="20"/>
                <w:color w:val="auto"/>
              </w:rPr>
            </w:pPr>
            <w:r>
              <w:rPr>
                <w:rFonts w:ascii="Arial" w:cs="Arial" w:eastAsia="Arial" w:hAnsi="Arial"/>
                <w:sz w:val="18"/>
                <w:szCs w:val="18"/>
                <w:color w:val="auto"/>
              </w:rPr>
              <w:t>44,570</w:t>
            </w:r>
          </w:p>
        </w:tc>
        <w:tc>
          <w:tcPr>
            <w:tcW w:w="1300" w:type="dxa"/>
            <w:vAlign w:val="bottom"/>
            <w:shd w:val="clear" w:color="auto" w:fill="CCEDD4"/>
          </w:tcPr>
          <w:p>
            <w:pPr>
              <w:jc w:val="right"/>
              <w:ind w:right="54"/>
              <w:spacing w:after="0"/>
              <w:rPr>
                <w:sz w:val="20"/>
                <w:szCs w:val="20"/>
                <w:color w:val="auto"/>
              </w:rPr>
            </w:pPr>
            <w:r>
              <w:rPr>
                <w:rFonts w:ascii="Arial" w:cs="Arial" w:eastAsia="Arial" w:hAnsi="Arial"/>
                <w:sz w:val="18"/>
                <w:szCs w:val="18"/>
                <w:color w:val="auto"/>
              </w:rPr>
              <w:t>311,000</w:t>
            </w:r>
          </w:p>
        </w:tc>
      </w:tr>
      <w:tr>
        <w:trPr>
          <w:trHeight w:val="263"/>
        </w:trPr>
        <w:tc>
          <w:tcPr>
            <w:tcW w:w="6160" w:type="dxa"/>
            <w:vAlign w:val="bottom"/>
            <w:tcBorders>
              <w:bottom w:val="single" w:sz="8" w:color="CCEDD4"/>
            </w:tcBorders>
          </w:tcPr>
          <w:p>
            <w:pPr>
              <w:ind w:left="120"/>
              <w:spacing w:after="0"/>
              <w:rPr>
                <w:sz w:val="20"/>
                <w:szCs w:val="20"/>
                <w:color w:val="auto"/>
              </w:rPr>
            </w:pPr>
            <w:r>
              <w:rPr>
                <w:rFonts w:ascii="Arial" w:cs="Arial" w:eastAsia="Arial" w:hAnsi="Arial"/>
                <w:sz w:val="18"/>
                <w:szCs w:val="18"/>
                <w:color w:val="auto"/>
              </w:rPr>
              <w:t>Tax Fees</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309,100</w:t>
            </w: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61,000</w:t>
            </w:r>
          </w:p>
        </w:tc>
      </w:tr>
      <w:tr>
        <w:trPr>
          <w:trHeight w:val="291"/>
        </w:trPr>
        <w:tc>
          <w:tcPr>
            <w:tcW w:w="6160" w:type="dxa"/>
            <w:vAlign w:val="bottom"/>
            <w:tcBorders>
              <w:bottom w:val="single" w:sz="8" w:color="CCEDD4"/>
            </w:tcBorders>
            <w:shd w:val="clear" w:color="auto" w:fill="CCEDD4"/>
          </w:tcPr>
          <w:p>
            <w:pPr>
              <w:ind w:left="1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DD4"/>
            </w:tcBorders>
            <w:shd w:val="clear" w:color="auto" w:fill="CCEDD4"/>
          </w:tcPr>
          <w:p>
            <w:pPr>
              <w:jc w:val="right"/>
              <w:ind w:right="34"/>
              <w:spacing w:after="0"/>
              <w:rPr>
                <w:sz w:val="20"/>
                <w:szCs w:val="20"/>
                <w:color w:val="auto"/>
              </w:rPr>
            </w:pPr>
            <w:r>
              <w:rPr>
                <w:rFonts w:ascii="Arial" w:cs="Arial" w:eastAsia="Arial" w:hAnsi="Arial"/>
                <w:sz w:val="18"/>
                <w:szCs w:val="18"/>
                <w:color w:val="auto"/>
              </w:rPr>
              <w:t>$6,500,970</w:t>
            </w:r>
          </w:p>
        </w:tc>
        <w:tc>
          <w:tcPr>
            <w:tcW w:w="1300" w:type="dxa"/>
            <w:vAlign w:val="bottom"/>
            <w:tcBorders>
              <w:bottom w:val="single" w:sz="8" w:color="CCEDD4"/>
            </w:tcBorders>
            <w:shd w:val="clear" w:color="auto" w:fill="CCEDD4"/>
          </w:tcPr>
          <w:p>
            <w:pPr>
              <w:jc w:val="right"/>
              <w:ind w:right="54"/>
              <w:spacing w:after="0"/>
              <w:rPr>
                <w:sz w:val="20"/>
                <w:szCs w:val="20"/>
                <w:color w:val="auto"/>
              </w:rPr>
            </w:pPr>
            <w:r>
              <w:rPr>
                <w:rFonts w:ascii="Arial" w:cs="Arial" w:eastAsia="Arial" w:hAnsi="Arial"/>
                <w:sz w:val="18"/>
                <w:szCs w:val="18"/>
                <w:color w:val="auto"/>
              </w:rPr>
              <w:t>$6,264,000</w:t>
            </w:r>
          </w:p>
        </w:tc>
      </w:tr>
      <w:tr>
        <w:trPr>
          <w:trHeight w:val="27"/>
        </w:trPr>
        <w:tc>
          <w:tcPr>
            <w:tcW w:w="6160" w:type="dxa"/>
            <w:vAlign w:val="bottom"/>
            <w:shd w:val="clear" w:color="auto" w:fill="56C271"/>
          </w:tcPr>
          <w:p>
            <w:pPr>
              <w:spacing w:after="0"/>
              <w:rPr>
                <w:sz w:val="2"/>
                <w:szCs w:val="2"/>
                <w:color w:val="auto"/>
              </w:rPr>
            </w:pPr>
          </w:p>
        </w:tc>
        <w:tc>
          <w:tcPr>
            <w:tcW w:w="1300" w:type="dxa"/>
            <w:vAlign w:val="bottom"/>
            <w:shd w:val="clear" w:color="auto" w:fill="56C271"/>
          </w:tcPr>
          <w:p>
            <w:pPr>
              <w:spacing w:after="0"/>
              <w:rPr>
                <w:sz w:val="2"/>
                <w:szCs w:val="2"/>
                <w:color w:val="auto"/>
              </w:rPr>
            </w:pPr>
          </w:p>
        </w:tc>
        <w:tc>
          <w:tcPr>
            <w:tcW w:w="1300" w:type="dxa"/>
            <w:vAlign w:val="bottom"/>
            <w:shd w:val="clear" w:color="auto" w:fill="56C271"/>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-222250</wp:posOffset>
            </wp:positionV>
            <wp:extent cx="39001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46" w:lineRule="exact"/>
        <w:rPr>
          <w:sz w:val="20"/>
          <w:szCs w:val="20"/>
          <w:color w:val="auto"/>
        </w:rPr>
      </w:pPr>
    </w:p>
    <w:p>
      <w:pPr>
        <w:ind w:left="1000" w:right="259"/>
        <w:spacing w:after="0" w:line="257" w:lineRule="auto"/>
        <w:rPr>
          <w:sz w:val="20"/>
          <w:szCs w:val="20"/>
          <w:color w:val="auto"/>
        </w:rPr>
      </w:pPr>
      <w:r>
        <w:rPr>
          <w:rFonts w:ascii="Arial" w:cs="Arial" w:eastAsia="Arial" w:hAnsi="Arial"/>
          <w:sz w:val="18"/>
          <w:szCs w:val="18"/>
          <w:b w:val="1"/>
          <w:bCs w:val="1"/>
          <w:color w:val="56C271"/>
        </w:rPr>
        <w:t xml:space="preserve">Audit Fees. </w:t>
      </w:r>
      <w:r>
        <w:rPr>
          <w:rFonts w:ascii="Arial" w:cs="Arial" w:eastAsia="Arial" w:hAnsi="Arial"/>
          <w:sz w:val="18"/>
          <w:szCs w:val="18"/>
          <w:color w:val="000000"/>
        </w:rPr>
        <w:t>In both fiscal years, Audit Fees consisted of fees incurred in connection with work performed by</w:t>
      </w:r>
      <w:r>
        <w:rPr>
          <w:rFonts w:ascii="Arial" w:cs="Arial" w:eastAsia="Arial" w:hAnsi="Arial"/>
          <w:sz w:val="18"/>
          <w:szCs w:val="18"/>
          <w:b w:val="1"/>
          <w:bCs w:val="1"/>
          <w:color w:val="56C271"/>
        </w:rPr>
        <w:t xml:space="preserve"> </w:t>
      </w:r>
      <w:r>
        <w:rPr>
          <w:rFonts w:ascii="Arial" w:cs="Arial" w:eastAsia="Arial" w:hAnsi="Arial"/>
          <w:sz w:val="18"/>
          <w:szCs w:val="18"/>
          <w:color w:val="000000"/>
        </w:rPr>
        <w:t>KPMG associated with the audit of the Company’s consolidated financial statements, including reviews performed on the Company’s Form 10-Q filings, certain statutory audits required for the Company’s subsidiaries, and fees in connection with the audit of internal controls over financial reporting pursuant to Section 404 of the Sarbanes-Oxley Act of 2002. Audit fees also included fees in connection with registration statements filed by the Company, including consents.</w:t>
      </w:r>
    </w:p>
    <w:p>
      <w:pPr>
        <w:spacing w:after="0" w:line="101" w:lineRule="exact"/>
        <w:rPr>
          <w:sz w:val="20"/>
          <w:szCs w:val="20"/>
          <w:color w:val="auto"/>
        </w:rPr>
      </w:pPr>
    </w:p>
    <w:p>
      <w:pPr>
        <w:ind w:left="1000" w:right="819"/>
        <w:spacing w:after="0" w:line="287" w:lineRule="auto"/>
        <w:rPr>
          <w:sz w:val="20"/>
          <w:szCs w:val="20"/>
          <w:color w:val="auto"/>
        </w:rPr>
      </w:pPr>
      <w:r>
        <w:rPr>
          <w:rFonts w:ascii="Arial" w:cs="Arial" w:eastAsia="Arial" w:hAnsi="Arial"/>
          <w:sz w:val="18"/>
          <w:szCs w:val="18"/>
          <w:b w:val="1"/>
          <w:bCs w:val="1"/>
          <w:color w:val="56C271"/>
        </w:rPr>
        <w:t xml:space="preserve">Audit-Related Fees. </w:t>
      </w:r>
      <w:r>
        <w:rPr>
          <w:rFonts w:ascii="Arial" w:cs="Arial" w:eastAsia="Arial" w:hAnsi="Arial"/>
          <w:sz w:val="18"/>
          <w:szCs w:val="18"/>
          <w:color w:val="000000"/>
        </w:rPr>
        <w:t>In both fiscal years, Audit-Related Fees included fees in connection with certain</w:t>
      </w:r>
      <w:r>
        <w:rPr>
          <w:rFonts w:ascii="Arial" w:cs="Arial" w:eastAsia="Arial" w:hAnsi="Arial"/>
          <w:sz w:val="18"/>
          <w:szCs w:val="18"/>
          <w:b w:val="1"/>
          <w:bCs w:val="1"/>
          <w:color w:val="56C271"/>
        </w:rPr>
        <w:t xml:space="preserve"> </w:t>
      </w:r>
      <w:r>
        <w:rPr>
          <w:rFonts w:ascii="Arial" w:cs="Arial" w:eastAsia="Arial" w:hAnsi="Arial"/>
          <w:sz w:val="18"/>
          <w:szCs w:val="18"/>
          <w:color w:val="000000"/>
        </w:rPr>
        <w:t>compliance-related services.</w:t>
      </w:r>
    </w:p>
    <w:p>
      <w:pPr>
        <w:spacing w:after="0" w:line="85" w:lineRule="exact"/>
        <w:rPr>
          <w:sz w:val="20"/>
          <w:szCs w:val="20"/>
          <w:color w:val="auto"/>
        </w:rPr>
      </w:pPr>
    </w:p>
    <w:p>
      <w:pPr>
        <w:ind w:left="1000" w:right="179"/>
        <w:spacing w:after="0" w:line="262" w:lineRule="auto"/>
        <w:rPr>
          <w:sz w:val="20"/>
          <w:szCs w:val="20"/>
          <w:color w:val="auto"/>
        </w:rPr>
      </w:pPr>
      <w:r>
        <w:rPr>
          <w:rFonts w:ascii="Arial" w:cs="Arial" w:eastAsia="Arial" w:hAnsi="Arial"/>
          <w:sz w:val="18"/>
          <w:szCs w:val="18"/>
          <w:b w:val="1"/>
          <w:bCs w:val="1"/>
          <w:color w:val="56C271"/>
        </w:rPr>
        <w:t xml:space="preserve">Tax Fees. </w:t>
      </w:r>
      <w:r>
        <w:rPr>
          <w:rFonts w:ascii="Arial" w:cs="Arial" w:eastAsia="Arial" w:hAnsi="Arial"/>
          <w:sz w:val="18"/>
          <w:szCs w:val="18"/>
          <w:color w:val="000000"/>
        </w:rPr>
        <w:t>In fiscal 2020, Tax Fees consisted of fees primarily in connection with assistance with respect to</w:t>
      </w:r>
      <w:r>
        <w:rPr>
          <w:rFonts w:ascii="Arial" w:cs="Arial" w:eastAsia="Arial" w:hAnsi="Arial"/>
          <w:sz w:val="18"/>
          <w:szCs w:val="18"/>
          <w:b w:val="1"/>
          <w:bCs w:val="1"/>
          <w:color w:val="56C271"/>
        </w:rPr>
        <w:t xml:space="preserve"> </w:t>
      </w:r>
      <w:r>
        <w:rPr>
          <w:rFonts w:ascii="Arial" w:cs="Arial" w:eastAsia="Arial" w:hAnsi="Arial"/>
          <w:sz w:val="18"/>
          <w:szCs w:val="18"/>
          <w:color w:val="000000"/>
        </w:rPr>
        <w:t>global tax compliance (federal, international, state and local) and tax audits. In fiscal 2019, Tax Fees consisted of fees primarily in connection with assistance with respect to global tax compliance (federal, international, state and local), tax audits and tax advice associated with organizational structure.</w:t>
      </w:r>
    </w:p>
    <w:p>
      <w:pPr>
        <w:spacing w:after="0" w:line="131" w:lineRule="exact"/>
        <w:rPr>
          <w:sz w:val="20"/>
          <w:szCs w:val="20"/>
          <w:color w:val="auto"/>
        </w:rPr>
      </w:pPr>
    </w:p>
    <w:p>
      <w:pPr>
        <w:ind w:left="1000" w:right="179"/>
        <w:spacing w:after="0" w:line="251" w:lineRule="auto"/>
        <w:rPr>
          <w:sz w:val="20"/>
          <w:szCs w:val="20"/>
          <w:color w:val="auto"/>
        </w:rPr>
      </w:pPr>
      <w:r>
        <w:rPr>
          <w:rFonts w:ascii="Arial" w:cs="Arial" w:eastAsia="Arial" w:hAnsi="Arial"/>
          <w:sz w:val="18"/>
          <w:szCs w:val="18"/>
          <w:color w:val="auto"/>
        </w:rPr>
        <w:t>All services to be provided by the Company’s independent registered public accounting firm are subject to pre-approval by the Audit Committee. The Audit Committee has adopted an External Auditor Scope of Services Policy (“Scope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 In fiscal 2020, as permitted by the SEC, the Audit Committee has also adopted a pre-approval policy (“Pre-Approval Policy”), whereby certain types of services up to specified cost levels have been pre-approved by the Audit Committee and approval has been delegated to management. Types of services not covered by the Pre-Approval Policy or services exceeding the pre-approved cost levels continue to be subject to pre-approval by the Audit Committee under the Scope Policy. Management provides quarterly reports to the Audit Committee regarding pre-approval requests related to the fees for projects requiring services by KPMG covered by the Scope Policy and regarding the nature and fee amounts for all pre-approved services under the Pre-Approval Policy. All services performed and related fees billed by KPMG during fiscal years 2020 and 2021 were pre-approved by the Audit Committee pursuant to regulations of the SEC.</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80"/>
        <w:spacing w:after="0"/>
        <w:rPr>
          <w:sz w:val="20"/>
          <w:szCs w:val="20"/>
          <w:color w:val="auto"/>
        </w:rPr>
      </w:pPr>
      <w:r>
        <w:rPr>
          <w:rFonts w:ascii="Arial" w:cs="Arial" w:eastAsia="Arial" w:hAnsi="Arial"/>
          <w:sz w:val="40"/>
          <w:szCs w:val="40"/>
          <w:b w:val="1"/>
          <w:bCs w:val="1"/>
          <w:color w:val="FEFEFE"/>
        </w:rPr>
        <w:t>AUDIT COMMITTEE REPORT</w:t>
      </w:r>
    </w:p>
    <w:p>
      <w:pPr>
        <w:spacing w:after="0" w:line="366" w:lineRule="exact"/>
        <w:rPr>
          <w:sz w:val="20"/>
          <w:szCs w:val="20"/>
          <w:color w:val="auto"/>
        </w:rPr>
      </w:pPr>
    </w:p>
    <w:p>
      <w:pPr>
        <w:ind w:left="1000" w:right="279"/>
        <w:spacing w:after="0" w:line="252"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72" w:lineRule="exact"/>
        <w:rPr>
          <w:sz w:val="20"/>
          <w:szCs w:val="20"/>
          <w:color w:val="auto"/>
        </w:rPr>
      </w:pPr>
    </w:p>
    <w:p>
      <w:pPr>
        <w:ind w:left="1000" w:right="179"/>
        <w:spacing w:after="0" w:line="251" w:lineRule="auto"/>
        <w:rPr>
          <w:sz w:val="20"/>
          <w:szCs w:val="20"/>
          <w:color w:val="auto"/>
        </w:rPr>
      </w:pPr>
      <w:r>
        <w:rPr>
          <w:rFonts w:ascii="Arial" w:cs="Arial" w:eastAsia="Arial" w:hAnsi="Arial"/>
          <w:sz w:val="18"/>
          <w:szCs w:val="18"/>
          <w:color w:val="auto"/>
        </w:rPr>
        <w:t>The Audit Committee monitors the activities and performance of the Company’s internal audit function, including scope of reviews, department staffing levels, and reporting and follow-up procedures. The Audit Committee also oversees policies and results with respect to risk assessment and risk management, including risks related to data protection and cybersecurity. In addition, the Audit Committee oversees the Company’s internal ethics and compliance program and receives quarterly 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77" w:lineRule="exact"/>
        <w:rPr>
          <w:sz w:val="20"/>
          <w:szCs w:val="20"/>
          <w:color w:val="auto"/>
        </w:rPr>
      </w:pPr>
    </w:p>
    <w:p>
      <w:pPr>
        <w:ind w:left="1000" w:right="139"/>
        <w:spacing w:after="0" w:line="251" w:lineRule="auto"/>
        <w:rPr>
          <w:sz w:val="20"/>
          <w:szCs w:val="20"/>
          <w:color w:val="auto"/>
        </w:rPr>
      </w:pPr>
      <w:r>
        <w:rPr>
          <w:rFonts w:ascii="Arial" w:cs="Arial" w:eastAsia="Arial" w:hAnsi="Arial"/>
          <w:sz w:val="18"/>
          <w:szCs w:val="18"/>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Audit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As permitted by the SEC, the Audit Committee has approved a pre-approval policy, whereby certain types of services up to specified cost levels have been pre-approved by the Committee and approval has been delegated to management. Types of services not covered by the policy or services exceeding the pre-approved cost levels continue to be subject to pre-approval by the Audit Committee. Management provides quarterly reports to the Audit Committee on the nature and fee amounts for all such pre-approved services.</w:t>
      </w:r>
    </w:p>
    <w:p>
      <w:pPr>
        <w:spacing w:after="0" w:line="76" w:lineRule="exact"/>
        <w:rPr>
          <w:sz w:val="20"/>
          <w:szCs w:val="20"/>
          <w:color w:val="auto"/>
        </w:rPr>
      </w:pPr>
    </w:p>
    <w:p>
      <w:pPr>
        <w:ind w:left="1000" w:right="199"/>
        <w:spacing w:after="0" w:line="251" w:lineRule="auto"/>
        <w:rPr>
          <w:sz w:val="20"/>
          <w:szCs w:val="20"/>
          <w:color w:val="auto"/>
        </w:rPr>
      </w:pPr>
      <w:r>
        <w:rPr>
          <w:rFonts w:ascii="Arial" w:cs="Arial" w:eastAsia="Arial" w:hAnsi="Arial"/>
          <w:sz w:val="18"/>
          <w:szCs w:val="18"/>
          <w:color w:val="auto"/>
        </w:rPr>
        <w:t>The Audit Committee has reviewed and discussed the audited financial statements for fiscal 2021 with management and KPMG. This review included a discussion with KPMG and management of the Company’s accounting principles, the reasonableness of significant estimates and judgments, including disclosure of critical accounting policies, and the conduct of the audit. The Audit Committee has discussed with KPMG the matters required to be discussed under the applicable requirements of the Public Company Accounting Oversight Board (“PCAOB”) and the SEC. The Audit Committee received the written disclosures and the letter from KPMG required by the applicable requirements of the PCAOB regarding KPMG’s communications with the Audit Committee concerning independence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July 3, 2021, for filing with the Securities and Exchange Commission.</w:t>
      </w:r>
    </w:p>
    <w:p>
      <w:pPr>
        <w:sectPr>
          <w:pgSz w:w="11900" w:h="16838" w:orient="portrait"/>
          <w:cols w:equalWidth="0" w:num="1">
            <w:col w:w="9879"/>
          </w:cols>
          <w:pgMar w:left="580" w:top="131" w:right="1440" w:bottom="1440" w:gutter="0" w:footer="0" w:header="0"/>
        </w:sectPr>
      </w:pP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Carlo Bozotti, Chair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Michael A. Bradley</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Oleg Khaykin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William H. Schumann,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365125</wp:posOffset>
            </wp:positionV>
            <wp:extent cx="1482725" cy="291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Rodney C. Adkins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Brenda L. Freeman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Ernest E. Maddock</w:t>
      </w:r>
    </w:p>
    <w:p>
      <w:pPr>
        <w:spacing w:after="0" w:line="404"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307975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6858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FEFEFE"/>
        </w:rPr>
        <w:t>SHAREHOLDER PROPOSALS AND</w:t>
      </w:r>
    </w:p>
    <w:p>
      <w:pPr>
        <w:spacing w:after="0" w:line="63"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FEFEFE"/>
        </w:rPr>
        <w:t>NOMINATIONS</w:t>
      </w:r>
    </w:p>
    <w:p>
      <w:pPr>
        <w:spacing w:after="0" w:line="397" w:lineRule="exact"/>
        <w:rPr>
          <w:sz w:val="20"/>
          <w:szCs w:val="20"/>
          <w:color w:val="auto"/>
        </w:rPr>
      </w:pPr>
    </w:p>
    <w:p>
      <w:pPr>
        <w:ind w:left="1000" w:right="259"/>
        <w:spacing w:after="0" w:line="256" w:lineRule="auto"/>
        <w:rPr>
          <w:sz w:val="20"/>
          <w:szCs w:val="20"/>
          <w:color w:val="auto"/>
        </w:rPr>
      </w:pPr>
      <w:r>
        <w:rPr>
          <w:rFonts w:ascii="Arial" w:cs="Arial" w:eastAsia="Arial" w:hAnsi="Arial"/>
          <w:sz w:val="18"/>
          <w:szCs w:val="18"/>
          <w:color w:val="auto"/>
        </w:rPr>
        <w:t>In regards to the 2021 Annual Meeting, the Company did not receive a request from any shareholder that a matter be submitted to a vote at the Annual Meeting or that a Director nominee be included in the Company’s 2021 proxy statement.</w:t>
      </w:r>
    </w:p>
    <w:p>
      <w:pPr>
        <w:spacing w:after="0" w:line="134" w:lineRule="exact"/>
        <w:rPr>
          <w:sz w:val="20"/>
          <w:szCs w:val="20"/>
          <w:color w:val="auto"/>
        </w:rPr>
      </w:pPr>
    </w:p>
    <w:p>
      <w:pPr>
        <w:ind w:left="1000" w:right="179"/>
        <w:spacing w:after="0" w:line="254" w:lineRule="auto"/>
        <w:rPr>
          <w:sz w:val="20"/>
          <w:szCs w:val="20"/>
          <w:color w:val="auto"/>
        </w:rPr>
      </w:pPr>
      <w:r>
        <w:rPr>
          <w:rFonts w:ascii="Arial" w:cs="Arial" w:eastAsia="Arial" w:hAnsi="Arial"/>
          <w:sz w:val="18"/>
          <w:szCs w:val="18"/>
          <w:color w:val="auto"/>
        </w:rPr>
        <w:t>Under SEC rules, and pursuant to the Company’s By-laws, shareholders may submit proposals that they believe should be voted on at the 2022 Annual Meeting or may recommend persons for nomination to the Board of Directors. There are several alternatives a shareholder may use and a summary of those alternatives follows.</w:t>
      </w:r>
    </w:p>
    <w:p>
      <w:pPr>
        <w:spacing w:after="0" w:line="123" w:lineRule="exact"/>
        <w:rPr>
          <w:sz w:val="20"/>
          <w:szCs w:val="20"/>
          <w:color w:val="auto"/>
        </w:rPr>
      </w:pPr>
    </w:p>
    <w:p>
      <w:pPr>
        <w:ind w:left="1000" w:right="139"/>
        <w:spacing w:after="0" w:line="253" w:lineRule="auto"/>
        <w:rPr>
          <w:sz w:val="20"/>
          <w:szCs w:val="20"/>
          <w:color w:val="auto"/>
        </w:rPr>
      </w:pPr>
      <w:r>
        <w:rPr>
          <w:rFonts w:ascii="Arial" w:cs="Arial" w:eastAsia="Arial" w:hAnsi="Arial"/>
          <w:sz w:val="18"/>
          <w:szCs w:val="18"/>
          <w:color w:val="auto"/>
        </w:rPr>
        <w:t>Under Rule 14a-8 of the Exchange Act, certain shareholder proposals may be eligible to be included in the Company’s 2022 proxy statement. Such shareholder proposals must be submitted, along with proof of ownership of the Company’s Common Stock and other required materials, in accordance with Rule 14a-8(b) to the Company’s Corporate Secretary at: Avnet, Inc., 2211 South 47th Street, Phoenix, Arizona 85034. All shareholder proposals submitted pursuant to Rule 14a-8 must be received by June 9, 2022.</w:t>
      </w:r>
    </w:p>
    <w:p>
      <w:pPr>
        <w:spacing w:after="0" w:line="138" w:lineRule="exact"/>
        <w:rPr>
          <w:sz w:val="20"/>
          <w:szCs w:val="20"/>
          <w:color w:val="auto"/>
        </w:rPr>
      </w:pPr>
    </w:p>
    <w:p>
      <w:pPr>
        <w:ind w:left="1000" w:right="919"/>
        <w:spacing w:after="0" w:line="274" w:lineRule="auto"/>
        <w:rPr>
          <w:sz w:val="20"/>
          <w:szCs w:val="20"/>
          <w:color w:val="auto"/>
        </w:rPr>
      </w:pPr>
      <w:r>
        <w:rPr>
          <w:rFonts w:ascii="Arial" w:cs="Arial" w:eastAsia="Arial" w:hAnsi="Arial"/>
          <w:sz w:val="17"/>
          <w:szCs w:val="17"/>
          <w:color w:val="auto"/>
        </w:rPr>
        <w:t>For information regarding how to nominate a Director for consideration by the Corporate Governance Committee, please see “Corporate Governance — Director Nominations” in this Proxy Statement.</w:t>
      </w:r>
    </w:p>
    <w:p>
      <w:pPr>
        <w:spacing w:after="0" w:line="107" w:lineRule="exact"/>
        <w:rPr>
          <w:sz w:val="20"/>
          <w:szCs w:val="20"/>
          <w:color w:val="auto"/>
        </w:rPr>
      </w:pPr>
    </w:p>
    <w:p>
      <w:pPr>
        <w:ind w:left="1000" w:right="319"/>
        <w:spacing w:after="0" w:line="253" w:lineRule="auto"/>
        <w:rPr>
          <w:sz w:val="20"/>
          <w:szCs w:val="20"/>
          <w:color w:val="auto"/>
        </w:rPr>
      </w:pPr>
      <w:r>
        <w:rPr>
          <w:rFonts w:ascii="Arial" w:cs="Arial" w:eastAsia="Arial" w:hAnsi="Arial"/>
          <w:sz w:val="18"/>
          <w:szCs w:val="18"/>
          <w:color w:val="auto"/>
        </w:rPr>
        <w:t>Alternatively, under the Company’s By-laws, any shareholder wishing to appear at the 2022 Annual Meeting and submit a proposal or nominate a person as a Director candidate must submit the proposal or nomination to the Company’s Corporate Secretary not earlier than May 10, 2022, and not later than June 9, 2022 and comply with the requirements of the Company’s By-laws. Any such shareholder proposal or Director nomination will not appear in the Company’s proxy statement.</w:t>
      </w:r>
    </w:p>
    <w:p>
      <w:pPr>
        <w:spacing w:after="0" w:line="124" w:lineRule="exact"/>
        <w:rPr>
          <w:sz w:val="20"/>
          <w:szCs w:val="20"/>
          <w:color w:val="auto"/>
        </w:rPr>
      </w:pPr>
    </w:p>
    <w:p>
      <w:pPr>
        <w:ind w:left="1000" w:right="779"/>
        <w:spacing w:after="0" w:line="261" w:lineRule="auto"/>
        <w:rPr>
          <w:sz w:val="20"/>
          <w:szCs w:val="20"/>
          <w:color w:val="auto"/>
        </w:rPr>
      </w:pPr>
      <w:r>
        <w:rPr>
          <w:rFonts w:ascii="Arial" w:cs="Arial" w:eastAsia="Arial" w:hAnsi="Arial"/>
          <w:sz w:val="18"/>
          <w:szCs w:val="18"/>
          <w:color w:val="auto"/>
        </w:rPr>
        <w:t>The persons named as proxies in the proxy materials relating to the 2022 Annual Meeting will use their discretion in voting the proxies when these matters are raised at the meeting.</w:t>
      </w:r>
    </w:p>
    <w:p>
      <w:pPr>
        <w:spacing w:after="0" w:line="130" w:lineRule="exact"/>
        <w:rPr>
          <w:sz w:val="20"/>
          <w:szCs w:val="20"/>
          <w:color w:val="auto"/>
        </w:rPr>
      </w:pPr>
    </w:p>
    <w:p>
      <w:pPr>
        <w:jc w:val="both"/>
        <w:ind w:left="1000" w:right="519"/>
        <w:spacing w:after="0" w:line="256" w:lineRule="auto"/>
        <w:rPr>
          <w:sz w:val="20"/>
          <w:szCs w:val="20"/>
          <w:color w:val="auto"/>
        </w:rPr>
      </w:pPr>
      <w:r>
        <w:rPr>
          <w:rFonts w:ascii="Arial" w:cs="Arial" w:eastAsia="Arial" w:hAnsi="Arial"/>
          <w:sz w:val="18"/>
          <w:szCs w:val="18"/>
          <w:color w:val="auto"/>
        </w:rPr>
        <w:t>If notice is received by the Company after June 9, 2022, then such notice will be considered untimely. The Company reserves the right to reject, rule out of order or take other appropriate action with respect to any proposal that does not comply with these and other applicable requirements.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9855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54980"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600" w:right="360"/>
        <w:spacing w:after="0" w:line="263" w:lineRule="auto"/>
        <w:rPr>
          <w:sz w:val="20"/>
          <w:szCs w:val="20"/>
          <w:color w:val="auto"/>
        </w:rPr>
      </w:pPr>
      <w:r>
        <w:rPr>
          <w:rFonts w:ascii="Arial" w:cs="Arial" w:eastAsia="Arial" w:hAnsi="Arial"/>
          <w:sz w:val="40"/>
          <w:szCs w:val="40"/>
          <w:b w:val="1"/>
          <w:bCs w:val="1"/>
          <w:color w:val="FEFEFE"/>
        </w:rPr>
        <w:t>DELIVERY OF DOCUMENTS TO SHAREHOLDERS WITH SAME LAST NAME AND ADDRESS</w:t>
      </w:r>
    </w:p>
    <w:p>
      <w:pPr>
        <w:spacing w:after="0" w:line="340" w:lineRule="exact"/>
        <w:rPr>
          <w:sz w:val="20"/>
          <w:szCs w:val="20"/>
          <w:color w:val="auto"/>
        </w:rPr>
      </w:pPr>
    </w:p>
    <w:p>
      <w:pPr>
        <w:ind w:left="1000" w:right="339"/>
        <w:spacing w:after="0" w:line="253" w:lineRule="auto"/>
        <w:rPr>
          <w:sz w:val="20"/>
          <w:szCs w:val="20"/>
          <w:color w:val="auto"/>
        </w:rPr>
      </w:pPr>
      <w:r>
        <w:rPr>
          <w:rFonts w:ascii="Arial" w:cs="Arial" w:eastAsia="Arial" w:hAnsi="Arial"/>
          <w:sz w:val="18"/>
          <w:szCs w:val="18"/>
          <w:color w:val="auto"/>
        </w:rPr>
        <w:t>Pursuant to SEC rules, the Company is sending only a single copy of its proxy materials or Notice of Availability of Proxy Materials, as applicable, to shareholders who share the same last name and address, unless they have notified the Company that they want to continue receiving multiple copies. This practice, known as “householding,” is designed to reduce duplicate mailings and save significant printing and postage costs as well as natural resources.</w:t>
      </w:r>
    </w:p>
    <w:p>
      <w:pPr>
        <w:spacing w:after="0" w:line="138" w:lineRule="exact"/>
        <w:rPr>
          <w:sz w:val="20"/>
          <w:szCs w:val="20"/>
          <w:color w:val="auto"/>
        </w:rPr>
      </w:pPr>
    </w:p>
    <w:p>
      <w:pPr>
        <w:ind w:left="1000" w:right="199"/>
        <w:spacing w:after="0" w:line="254" w:lineRule="auto"/>
        <w:rPr>
          <w:sz w:val="20"/>
          <w:szCs w:val="20"/>
          <w:color w:val="auto"/>
        </w:rPr>
      </w:pPr>
      <w:r>
        <w:rPr>
          <w:rFonts w:ascii="Arial" w:cs="Arial" w:eastAsia="Arial" w:hAnsi="Arial"/>
          <w:sz w:val="18"/>
          <w:szCs w:val="18"/>
          <w:color w:val="auto"/>
        </w:rPr>
        <w:t>Householding for bank and brokerage accounts is limited to accounts within the same bank or brokerage firm. For example, if you and your spouse share the same last name and address, and you and your spouse each have two accounts containing the Company’s Common Stock at two different brokerage firms, your household will receive two copies of the Company’s proxy materials, one from each brokerage firm.</w:t>
      </w:r>
    </w:p>
    <w:p>
      <w:pPr>
        <w:spacing w:after="0" w:line="123" w:lineRule="exact"/>
        <w:rPr>
          <w:sz w:val="20"/>
          <w:szCs w:val="20"/>
          <w:color w:val="auto"/>
        </w:rPr>
      </w:pPr>
    </w:p>
    <w:p>
      <w:pPr>
        <w:ind w:left="1000" w:right="219"/>
        <w:spacing w:after="0" w:line="253" w:lineRule="auto"/>
        <w:rPr>
          <w:sz w:val="20"/>
          <w:szCs w:val="20"/>
          <w:color w:val="auto"/>
        </w:rPr>
      </w:pPr>
      <w:r>
        <w:rPr>
          <w:rFonts w:ascii="Arial" w:cs="Arial" w:eastAsia="Arial" w:hAnsi="Arial"/>
          <w:sz w:val="18"/>
          <w:szCs w:val="18"/>
          <w:color w:val="auto"/>
        </w:rPr>
        <w:t>If you received a householded mailing this year and you would like to have separate proxy materials mailed to you, or you would like to opt out of this practice for future mailings, please submit your request to Investor Relations by mail to Investor Relations, 2211 South 47th Street, Phoenix, Arizona 85034 or by email to investorrelations@avnet.com. Similarly, you may also contact the Company if you received multiple copies of the proxy materials and would prefer to receive a single copy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156210</wp:posOffset>
            </wp:positionV>
            <wp:extent cx="5554980" cy="3257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37" w:lineRule="exact"/>
        <w:rPr>
          <w:sz w:val="20"/>
          <w:szCs w:val="20"/>
          <w:color w:val="auto"/>
        </w:rPr>
      </w:pPr>
    </w:p>
    <w:p>
      <w:pPr>
        <w:ind w:left="4420"/>
        <w:spacing w:after="0"/>
        <w:rPr>
          <w:sz w:val="20"/>
          <w:szCs w:val="20"/>
          <w:color w:val="auto"/>
        </w:rPr>
      </w:pPr>
      <w:r>
        <w:rPr>
          <w:rFonts w:ascii="Arial" w:cs="Arial" w:eastAsia="Arial" w:hAnsi="Arial"/>
          <w:sz w:val="40"/>
          <w:szCs w:val="40"/>
          <w:b w:val="1"/>
          <w:bCs w:val="1"/>
          <w:color w:val="FEFEFE"/>
        </w:rPr>
        <w:t>GENERAL</w:t>
      </w:r>
    </w:p>
    <w:p>
      <w:pPr>
        <w:spacing w:after="0" w:line="366"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Upon written request of any shareholder entitled to receive this Proxy Statement, the Company will provide, without charge, a copy of its Annual Report on Form 10-K, including the consolidated financial statements, the notes thereto and financial statement schedules, as filed with the SEC. Any such request should be addressed to the Corporate Secretary, Avnet, Inc., 2211 South 47th Street, Phoenix, Arizona 85034. This request must include a representation by the shareholder that as of September 20, 2021, the shareholder is entitled to vote at the Annual Meeting.</w:t>
      </w:r>
    </w:p>
    <w:p>
      <w:pPr>
        <w:spacing w:after="0" w:line="118"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22" w:lineRule="exact"/>
        <w:rPr>
          <w:sz w:val="20"/>
          <w:szCs w:val="20"/>
          <w:color w:val="auto"/>
        </w:rPr>
      </w:pPr>
    </w:p>
    <w:p>
      <w:pPr>
        <w:ind w:left="2800"/>
        <w:spacing w:after="0"/>
        <w:rPr>
          <w:sz w:val="20"/>
          <w:szCs w:val="20"/>
          <w:color w:val="auto"/>
        </w:rPr>
      </w:pPr>
      <w:r>
        <w:rPr>
          <w:rFonts w:ascii="Arial" w:cs="Arial" w:eastAsia="Arial" w:hAnsi="Arial"/>
          <w:sz w:val="18"/>
          <w:szCs w:val="18"/>
          <w:b w:val="1"/>
          <w:bCs w:val="1"/>
          <w:i w:val="1"/>
          <w:iCs w:val="1"/>
          <w:color w:val="auto"/>
        </w:rPr>
        <w:t>THE COMPANY APPRECIATES YOUR PROMPT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1863090</wp:posOffset>
            </wp:positionV>
            <wp:extent cx="1482725" cy="2997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8272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80"/>
        <w:spacing w:after="0"/>
        <w:rPr>
          <w:sz w:val="20"/>
          <w:szCs w:val="20"/>
          <w:color w:val="auto"/>
        </w:rPr>
      </w:pPr>
      <w:r>
        <w:rPr>
          <w:rFonts w:ascii="Arial" w:cs="Arial" w:eastAsia="Arial" w:hAnsi="Arial"/>
          <w:sz w:val="40"/>
          <w:szCs w:val="40"/>
          <w:b w:val="1"/>
          <w:bCs w:val="1"/>
          <w:color w:val="FEFEFE"/>
        </w:rPr>
        <w:t>APPENDIX A</w:t>
      </w:r>
    </w:p>
    <w:p>
      <w:pPr>
        <w:spacing w:after="0" w:line="22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RECONCILIATION OF NON-GAAP MEASURES</w:t>
      </w:r>
    </w:p>
    <w:p>
      <w:pPr>
        <w:spacing w:after="0" w:line="170" w:lineRule="exact"/>
        <w:rPr>
          <w:sz w:val="20"/>
          <w:szCs w:val="20"/>
          <w:color w:val="auto"/>
        </w:rPr>
      </w:pPr>
    </w:p>
    <w:p>
      <w:pPr>
        <w:ind w:left="1000" w:right="919"/>
        <w:spacing w:after="0" w:line="291" w:lineRule="auto"/>
        <w:rPr>
          <w:sz w:val="20"/>
          <w:szCs w:val="20"/>
          <w:color w:val="auto"/>
        </w:rPr>
      </w:pPr>
      <w:r>
        <w:rPr>
          <w:rFonts w:ascii="Arial" w:cs="Arial" w:eastAsia="Arial" w:hAnsi="Arial"/>
          <w:sz w:val="17"/>
          <w:szCs w:val="17"/>
          <w:color w:val="auto"/>
        </w:rPr>
        <w:t>The table below presents a reconciliation of each non-GAAP financial measure included in this Proxy Statement to the most comparable GAAP financial measure for the fiscal years 2021 through 2019.</w:t>
      </w:r>
    </w:p>
    <w:p>
      <w:pPr>
        <w:spacing w:after="0" w:line="134" w:lineRule="exact"/>
        <w:rPr>
          <w:sz w:val="20"/>
          <w:szCs w:val="20"/>
          <w:color w:val="auto"/>
        </w:rPr>
      </w:pPr>
    </w:p>
    <w:tbl>
      <w:tblPr>
        <w:tblLayout w:type="fixed"/>
        <w:tblInd w:w="980" w:type="dxa"/>
        <w:tblCellMar>
          <w:top w:w="0" w:type="dxa"/>
          <w:left w:w="0" w:type="dxa"/>
          <w:bottom w:w="0" w:type="dxa"/>
          <w:right w:w="0" w:type="dxa"/>
        </w:tblCellMar>
      </w:tblPr>
      <w:tr>
        <w:trPr>
          <w:trHeight w:val="223"/>
        </w:trPr>
        <w:tc>
          <w:tcPr>
            <w:tcW w:w="4940" w:type="dxa"/>
            <w:vAlign w:val="bottom"/>
            <w:tcBorders>
              <w:bottom w:val="single" w:sz="8" w:color="56C271"/>
            </w:tcBorders>
            <w:shd w:val="clear" w:color="auto" w:fill="56C271"/>
          </w:tcPr>
          <w:p>
            <w:pPr>
              <w:spacing w:after="0"/>
              <w:rPr>
                <w:sz w:val="19"/>
                <w:szCs w:val="19"/>
                <w:color w:val="auto"/>
              </w:rPr>
            </w:pPr>
          </w:p>
        </w:tc>
        <w:tc>
          <w:tcPr>
            <w:tcW w:w="160" w:type="dxa"/>
            <w:vAlign w:val="bottom"/>
            <w:tcBorders>
              <w:bottom w:val="single" w:sz="8" w:color="56C271"/>
            </w:tcBorders>
            <w:shd w:val="clear" w:color="auto" w:fill="56C271"/>
          </w:tcPr>
          <w:p>
            <w:pPr>
              <w:spacing w:after="0"/>
              <w:rPr>
                <w:sz w:val="19"/>
                <w:szCs w:val="19"/>
                <w:color w:val="auto"/>
              </w:rPr>
            </w:pPr>
          </w:p>
        </w:tc>
        <w:tc>
          <w:tcPr>
            <w:tcW w:w="160" w:type="dxa"/>
            <w:vAlign w:val="bottom"/>
            <w:tcBorders>
              <w:bottom w:val="single" w:sz="8" w:color="auto"/>
            </w:tcBorders>
            <w:shd w:val="clear" w:color="auto" w:fill="56C271"/>
          </w:tcPr>
          <w:p>
            <w:pPr>
              <w:spacing w:after="0"/>
              <w:rPr>
                <w:sz w:val="19"/>
                <w:szCs w:val="19"/>
                <w:color w:val="auto"/>
              </w:rPr>
            </w:pPr>
          </w:p>
        </w:tc>
        <w:tc>
          <w:tcPr>
            <w:tcW w:w="480" w:type="dxa"/>
            <w:vAlign w:val="bottom"/>
            <w:tcBorders>
              <w:bottom w:val="single" w:sz="8" w:color="auto"/>
            </w:tcBorders>
            <w:shd w:val="clear" w:color="auto" w:fill="56C271"/>
          </w:tcPr>
          <w:p>
            <w:pPr>
              <w:spacing w:after="0"/>
              <w:rPr>
                <w:sz w:val="19"/>
                <w:szCs w:val="19"/>
                <w:color w:val="auto"/>
              </w:rPr>
            </w:pPr>
          </w:p>
        </w:tc>
        <w:tc>
          <w:tcPr>
            <w:tcW w:w="2080" w:type="dxa"/>
            <w:vAlign w:val="bottom"/>
            <w:tcBorders>
              <w:bottom w:val="single" w:sz="8" w:color="auto"/>
            </w:tcBorders>
            <w:gridSpan w:val="3"/>
            <w:shd w:val="clear" w:color="auto" w:fill="56C271"/>
          </w:tcPr>
          <w:p>
            <w:pPr>
              <w:ind w:left="600"/>
              <w:spacing w:after="0"/>
              <w:rPr>
                <w:sz w:val="20"/>
                <w:szCs w:val="20"/>
                <w:color w:val="auto"/>
              </w:rPr>
            </w:pPr>
            <w:r>
              <w:rPr>
                <w:rFonts w:ascii="Arial" w:cs="Arial" w:eastAsia="Arial" w:hAnsi="Arial"/>
                <w:sz w:val="14"/>
                <w:szCs w:val="14"/>
                <w:b w:val="1"/>
                <w:bCs w:val="1"/>
                <w:color w:val="FEFEFE"/>
              </w:rPr>
              <w:t>Fiscal Year 2021</w:t>
            </w:r>
          </w:p>
        </w:tc>
        <w:tc>
          <w:tcPr>
            <w:tcW w:w="820" w:type="dxa"/>
            <w:vAlign w:val="bottom"/>
            <w:tcBorders>
              <w:bottom w:val="single" w:sz="8" w:color="auto"/>
            </w:tcBorders>
            <w:shd w:val="clear" w:color="auto" w:fill="56C271"/>
          </w:tcPr>
          <w:p>
            <w:pPr>
              <w:spacing w:after="0"/>
              <w:rPr>
                <w:sz w:val="19"/>
                <w:szCs w:val="19"/>
                <w:color w:val="auto"/>
              </w:rPr>
            </w:pPr>
          </w:p>
        </w:tc>
        <w:tc>
          <w:tcPr>
            <w:tcW w:w="40" w:type="dxa"/>
            <w:vAlign w:val="bottom"/>
            <w:tcBorders>
              <w:bottom w:val="single" w:sz="8" w:color="auto"/>
            </w:tcBorders>
            <w:shd w:val="clear" w:color="auto" w:fill="56C271"/>
          </w:tcPr>
          <w:p>
            <w:pPr>
              <w:spacing w:after="0"/>
              <w:rPr>
                <w:sz w:val="19"/>
                <w:szCs w:val="19"/>
                <w:color w:val="auto"/>
              </w:rPr>
            </w:pPr>
          </w:p>
        </w:tc>
        <w:tc>
          <w:tcPr>
            <w:tcW w:w="80" w:type="dxa"/>
            <w:vAlign w:val="bottom"/>
            <w:tcBorders>
              <w:bottom w:val="single" w:sz="8" w:color="56C271"/>
            </w:tcBorders>
            <w:shd w:val="clear" w:color="auto" w:fill="56C271"/>
          </w:tcPr>
          <w:p>
            <w:pPr>
              <w:spacing w:after="0"/>
              <w:rPr>
                <w:sz w:val="19"/>
                <w:szCs w:val="19"/>
                <w:color w:val="auto"/>
              </w:rPr>
            </w:pPr>
          </w:p>
        </w:tc>
      </w:tr>
      <w:tr>
        <w:trPr>
          <w:trHeight w:val="189"/>
        </w:trPr>
        <w:tc>
          <w:tcPr>
            <w:tcW w:w="4940" w:type="dxa"/>
            <w:vAlign w:val="bottom"/>
            <w:shd w:val="clear" w:color="auto" w:fill="56C271"/>
          </w:tcPr>
          <w:p>
            <w:pPr>
              <w:spacing w:after="0"/>
              <w:rPr>
                <w:sz w:val="16"/>
                <w:szCs w:val="16"/>
                <w:color w:val="auto"/>
              </w:rPr>
            </w:pPr>
          </w:p>
        </w:tc>
        <w:tc>
          <w:tcPr>
            <w:tcW w:w="160" w:type="dxa"/>
            <w:vAlign w:val="bottom"/>
            <w:shd w:val="clear" w:color="auto" w:fill="56C271"/>
          </w:tcPr>
          <w:p>
            <w:pPr>
              <w:spacing w:after="0"/>
              <w:rPr>
                <w:sz w:val="16"/>
                <w:szCs w:val="16"/>
                <w:color w:val="auto"/>
              </w:rPr>
            </w:pPr>
          </w:p>
        </w:tc>
        <w:tc>
          <w:tcPr>
            <w:tcW w:w="160" w:type="dxa"/>
            <w:vAlign w:val="bottom"/>
            <w:shd w:val="clear" w:color="auto" w:fill="56C271"/>
          </w:tcPr>
          <w:p>
            <w:pPr>
              <w:spacing w:after="0"/>
              <w:rPr>
                <w:sz w:val="16"/>
                <w:szCs w:val="16"/>
                <w:color w:val="auto"/>
              </w:rPr>
            </w:pPr>
          </w:p>
        </w:tc>
        <w:tc>
          <w:tcPr>
            <w:tcW w:w="480" w:type="dxa"/>
            <w:vAlign w:val="bottom"/>
            <w:shd w:val="clear" w:color="auto" w:fill="56C271"/>
          </w:tcPr>
          <w:p>
            <w:pPr>
              <w:spacing w:after="0"/>
              <w:rPr>
                <w:sz w:val="16"/>
                <w:szCs w:val="16"/>
                <w:color w:val="auto"/>
              </w:rPr>
            </w:pPr>
          </w:p>
        </w:tc>
        <w:tc>
          <w:tcPr>
            <w:tcW w:w="880" w:type="dxa"/>
            <w:vAlign w:val="bottom"/>
            <w:shd w:val="clear" w:color="auto" w:fill="56C271"/>
          </w:tcPr>
          <w:p>
            <w:pPr>
              <w:spacing w:after="0"/>
              <w:rPr>
                <w:sz w:val="16"/>
                <w:szCs w:val="16"/>
                <w:color w:val="auto"/>
              </w:rPr>
            </w:pPr>
          </w:p>
        </w:tc>
        <w:tc>
          <w:tcPr>
            <w:tcW w:w="300" w:type="dxa"/>
            <w:vAlign w:val="bottom"/>
            <w:shd w:val="clear" w:color="auto" w:fill="56C271"/>
          </w:tcPr>
          <w:p>
            <w:pPr>
              <w:spacing w:after="0"/>
              <w:rPr>
                <w:sz w:val="16"/>
                <w:szCs w:val="16"/>
                <w:color w:val="auto"/>
              </w:rPr>
            </w:pPr>
          </w:p>
        </w:tc>
        <w:tc>
          <w:tcPr>
            <w:tcW w:w="900" w:type="dxa"/>
            <w:vAlign w:val="bottom"/>
            <w:shd w:val="clear" w:color="auto" w:fill="56C271"/>
          </w:tcPr>
          <w:p>
            <w:pPr>
              <w:spacing w:after="0"/>
              <w:rPr>
                <w:sz w:val="16"/>
                <w:szCs w:val="16"/>
                <w:color w:val="auto"/>
              </w:rPr>
            </w:pPr>
          </w:p>
        </w:tc>
        <w:tc>
          <w:tcPr>
            <w:tcW w:w="940" w:type="dxa"/>
            <w:vAlign w:val="bottom"/>
            <w:gridSpan w:val="3"/>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Diluted</w:t>
            </w:r>
          </w:p>
        </w:tc>
      </w:tr>
      <w:tr>
        <w:trPr>
          <w:trHeight w:val="162"/>
        </w:trPr>
        <w:tc>
          <w:tcPr>
            <w:tcW w:w="494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880" w:type="dxa"/>
            <w:vAlign w:val="bottom"/>
            <w:shd w:val="clear" w:color="auto" w:fill="56C271"/>
          </w:tcPr>
          <w:p>
            <w:pPr>
              <w:spacing w:after="0"/>
              <w:rPr>
                <w:sz w:val="14"/>
                <w:szCs w:val="14"/>
                <w:color w:val="auto"/>
              </w:rPr>
            </w:pPr>
          </w:p>
        </w:tc>
        <w:tc>
          <w:tcPr>
            <w:tcW w:w="300" w:type="dxa"/>
            <w:vAlign w:val="bottom"/>
            <w:shd w:val="clear" w:color="auto" w:fill="56C271"/>
          </w:tcPr>
          <w:p>
            <w:pPr>
              <w:spacing w:after="0"/>
              <w:rPr>
                <w:sz w:val="14"/>
                <w:szCs w:val="14"/>
                <w:color w:val="auto"/>
              </w:rPr>
            </w:pPr>
          </w:p>
        </w:tc>
        <w:tc>
          <w:tcPr>
            <w:tcW w:w="900" w:type="dxa"/>
            <w:vAlign w:val="bottom"/>
            <w:shd w:val="clear" w:color="auto" w:fill="56C271"/>
          </w:tcPr>
          <w:p>
            <w:pPr>
              <w:jc w:val="right"/>
              <w:ind w:right="56"/>
              <w:spacing w:after="0"/>
              <w:rPr>
                <w:sz w:val="20"/>
                <w:szCs w:val="20"/>
                <w:color w:val="auto"/>
              </w:rPr>
            </w:pPr>
            <w:r>
              <w:rPr>
                <w:rFonts w:ascii="Arial" w:cs="Arial" w:eastAsia="Arial" w:hAnsi="Arial"/>
                <w:sz w:val="14"/>
                <w:szCs w:val="14"/>
                <w:b w:val="1"/>
                <w:bCs w:val="1"/>
                <w:color w:val="FEFEFE"/>
              </w:rPr>
              <w:t>Income</w:t>
            </w:r>
          </w:p>
        </w:tc>
        <w:tc>
          <w:tcPr>
            <w:tcW w:w="940" w:type="dxa"/>
            <w:vAlign w:val="bottom"/>
            <w:gridSpan w:val="3"/>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Earnings</w:t>
            </w:r>
          </w:p>
        </w:tc>
      </w:tr>
      <w:tr>
        <w:trPr>
          <w:trHeight w:val="162"/>
        </w:trPr>
        <w:tc>
          <w:tcPr>
            <w:tcW w:w="494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880" w:type="dxa"/>
            <w:vAlign w:val="bottom"/>
            <w:shd w:val="clear" w:color="auto" w:fill="56C271"/>
          </w:tcPr>
          <w:p>
            <w:pPr>
              <w:spacing w:after="0"/>
              <w:rPr>
                <w:sz w:val="14"/>
                <w:szCs w:val="14"/>
                <w:color w:val="auto"/>
              </w:rPr>
            </w:pPr>
          </w:p>
        </w:tc>
        <w:tc>
          <w:tcPr>
            <w:tcW w:w="300" w:type="dxa"/>
            <w:vAlign w:val="bottom"/>
            <w:shd w:val="clear" w:color="auto" w:fill="56C271"/>
          </w:tcPr>
          <w:p>
            <w:pPr>
              <w:spacing w:after="0"/>
              <w:rPr>
                <w:sz w:val="14"/>
                <w:szCs w:val="14"/>
                <w:color w:val="auto"/>
              </w:rPr>
            </w:pPr>
          </w:p>
        </w:tc>
        <w:tc>
          <w:tcPr>
            <w:tcW w:w="900" w:type="dxa"/>
            <w:vAlign w:val="bottom"/>
            <w:shd w:val="clear" w:color="auto" w:fill="56C271"/>
          </w:tcPr>
          <w:p>
            <w:pPr>
              <w:jc w:val="right"/>
              <w:ind w:right="56"/>
              <w:spacing w:after="0"/>
              <w:rPr>
                <w:sz w:val="20"/>
                <w:szCs w:val="20"/>
                <w:color w:val="auto"/>
              </w:rPr>
            </w:pPr>
            <w:r>
              <w:rPr>
                <w:rFonts w:ascii="Arial" w:cs="Arial" w:eastAsia="Arial" w:hAnsi="Arial"/>
                <w:sz w:val="14"/>
                <w:szCs w:val="14"/>
                <w:b w:val="1"/>
                <w:bCs w:val="1"/>
                <w:color w:val="FEFEFE"/>
              </w:rPr>
              <w:t>from</w:t>
            </w:r>
          </w:p>
        </w:tc>
        <w:tc>
          <w:tcPr>
            <w:tcW w:w="940" w:type="dxa"/>
            <w:vAlign w:val="bottom"/>
            <w:gridSpan w:val="3"/>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(Loss) Per</w:t>
            </w:r>
          </w:p>
        </w:tc>
      </w:tr>
      <w:tr>
        <w:trPr>
          <w:trHeight w:val="162"/>
        </w:trPr>
        <w:tc>
          <w:tcPr>
            <w:tcW w:w="494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880" w:type="dxa"/>
            <w:vAlign w:val="bottom"/>
            <w:shd w:val="clear" w:color="auto" w:fill="56C271"/>
          </w:tcPr>
          <w:p>
            <w:pPr>
              <w:spacing w:after="0"/>
              <w:rPr>
                <w:sz w:val="14"/>
                <w:szCs w:val="14"/>
                <w:color w:val="auto"/>
              </w:rPr>
            </w:pPr>
          </w:p>
        </w:tc>
        <w:tc>
          <w:tcPr>
            <w:tcW w:w="300" w:type="dxa"/>
            <w:vAlign w:val="bottom"/>
            <w:shd w:val="clear" w:color="auto" w:fill="56C271"/>
          </w:tcPr>
          <w:p>
            <w:pPr>
              <w:spacing w:after="0"/>
              <w:rPr>
                <w:sz w:val="14"/>
                <w:szCs w:val="14"/>
                <w:color w:val="auto"/>
              </w:rPr>
            </w:pPr>
          </w:p>
        </w:tc>
        <w:tc>
          <w:tcPr>
            <w:tcW w:w="900" w:type="dxa"/>
            <w:vAlign w:val="bottom"/>
            <w:shd w:val="clear" w:color="auto" w:fill="56C271"/>
          </w:tcPr>
          <w:p>
            <w:pPr>
              <w:jc w:val="right"/>
              <w:ind w:right="56"/>
              <w:spacing w:after="0"/>
              <w:rPr>
                <w:sz w:val="20"/>
                <w:szCs w:val="20"/>
                <w:color w:val="auto"/>
              </w:rPr>
            </w:pPr>
            <w:r>
              <w:rPr>
                <w:rFonts w:ascii="Arial" w:cs="Arial" w:eastAsia="Arial" w:hAnsi="Arial"/>
                <w:sz w:val="14"/>
                <w:szCs w:val="14"/>
                <w:b w:val="1"/>
                <w:bCs w:val="1"/>
                <w:color w:val="FEFEFE"/>
              </w:rPr>
              <w:t>Continuing</w:t>
            </w:r>
          </w:p>
        </w:tc>
        <w:tc>
          <w:tcPr>
            <w:tcW w:w="940" w:type="dxa"/>
            <w:vAlign w:val="bottom"/>
            <w:gridSpan w:val="3"/>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Share from</w:t>
            </w:r>
          </w:p>
        </w:tc>
      </w:tr>
      <w:tr>
        <w:trPr>
          <w:trHeight w:val="162"/>
        </w:trPr>
        <w:tc>
          <w:tcPr>
            <w:tcW w:w="494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360" w:type="dxa"/>
            <w:vAlign w:val="bottom"/>
            <w:gridSpan w:val="2"/>
            <w:shd w:val="clear" w:color="auto" w:fill="56C271"/>
          </w:tcPr>
          <w:p>
            <w:pPr>
              <w:jc w:val="right"/>
              <w:ind w:right="560"/>
              <w:spacing w:after="0"/>
              <w:rPr>
                <w:sz w:val="20"/>
                <w:szCs w:val="20"/>
                <w:color w:val="auto"/>
              </w:rPr>
            </w:pPr>
            <w:r>
              <w:rPr>
                <w:rFonts w:ascii="Arial" w:cs="Arial" w:eastAsia="Arial" w:hAnsi="Arial"/>
                <w:sz w:val="14"/>
                <w:szCs w:val="14"/>
                <w:b w:val="1"/>
                <w:bCs w:val="1"/>
                <w:color w:val="FEFEFE"/>
              </w:rPr>
              <w:t>Operating</w:t>
            </w:r>
          </w:p>
        </w:tc>
        <w:tc>
          <w:tcPr>
            <w:tcW w:w="300" w:type="dxa"/>
            <w:vAlign w:val="bottom"/>
            <w:shd w:val="clear" w:color="auto" w:fill="56C271"/>
          </w:tcPr>
          <w:p>
            <w:pPr>
              <w:spacing w:after="0"/>
              <w:rPr>
                <w:sz w:val="14"/>
                <w:szCs w:val="14"/>
                <w:color w:val="auto"/>
              </w:rPr>
            </w:pPr>
          </w:p>
        </w:tc>
        <w:tc>
          <w:tcPr>
            <w:tcW w:w="900" w:type="dxa"/>
            <w:vAlign w:val="bottom"/>
            <w:shd w:val="clear" w:color="auto" w:fill="56C271"/>
          </w:tcPr>
          <w:p>
            <w:pPr>
              <w:jc w:val="right"/>
              <w:ind w:right="56"/>
              <w:spacing w:after="0"/>
              <w:rPr>
                <w:sz w:val="20"/>
                <w:szCs w:val="20"/>
                <w:color w:val="auto"/>
              </w:rPr>
            </w:pPr>
            <w:r>
              <w:rPr>
                <w:rFonts w:ascii="Arial" w:cs="Arial" w:eastAsia="Arial" w:hAnsi="Arial"/>
                <w:sz w:val="14"/>
                <w:szCs w:val="14"/>
                <w:b w:val="1"/>
                <w:bCs w:val="1"/>
                <w:color w:val="FEFEFE"/>
              </w:rPr>
              <w:t>Operations</w:t>
            </w:r>
          </w:p>
        </w:tc>
        <w:tc>
          <w:tcPr>
            <w:tcW w:w="940" w:type="dxa"/>
            <w:vAlign w:val="bottom"/>
            <w:gridSpan w:val="3"/>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Continuing</w:t>
            </w:r>
          </w:p>
        </w:tc>
      </w:tr>
      <w:tr>
        <w:trPr>
          <w:trHeight w:val="189"/>
        </w:trPr>
        <w:tc>
          <w:tcPr>
            <w:tcW w:w="4940" w:type="dxa"/>
            <w:vAlign w:val="bottom"/>
            <w:shd w:val="clear" w:color="auto" w:fill="56C271"/>
          </w:tcPr>
          <w:p>
            <w:pPr>
              <w:spacing w:after="0"/>
              <w:rPr>
                <w:sz w:val="16"/>
                <w:szCs w:val="16"/>
                <w:color w:val="auto"/>
              </w:rPr>
            </w:pPr>
          </w:p>
        </w:tc>
        <w:tc>
          <w:tcPr>
            <w:tcW w:w="160" w:type="dxa"/>
            <w:vAlign w:val="bottom"/>
            <w:shd w:val="clear" w:color="auto" w:fill="56C271"/>
          </w:tcPr>
          <w:p>
            <w:pPr>
              <w:spacing w:after="0"/>
              <w:rPr>
                <w:sz w:val="16"/>
                <w:szCs w:val="16"/>
                <w:color w:val="auto"/>
              </w:rPr>
            </w:pPr>
          </w:p>
        </w:tc>
        <w:tc>
          <w:tcPr>
            <w:tcW w:w="160" w:type="dxa"/>
            <w:vAlign w:val="bottom"/>
            <w:shd w:val="clear" w:color="auto" w:fill="56C271"/>
          </w:tcPr>
          <w:p>
            <w:pPr>
              <w:spacing w:after="0"/>
              <w:rPr>
                <w:sz w:val="16"/>
                <w:szCs w:val="16"/>
                <w:color w:val="auto"/>
              </w:rPr>
            </w:pPr>
          </w:p>
        </w:tc>
        <w:tc>
          <w:tcPr>
            <w:tcW w:w="1360" w:type="dxa"/>
            <w:vAlign w:val="bottom"/>
            <w:gridSpan w:val="2"/>
            <w:shd w:val="clear" w:color="auto" w:fill="56C271"/>
          </w:tcPr>
          <w:p>
            <w:pPr>
              <w:jc w:val="right"/>
              <w:ind w:right="520"/>
              <w:spacing w:after="0"/>
              <w:rPr>
                <w:sz w:val="20"/>
                <w:szCs w:val="20"/>
                <w:color w:val="auto"/>
              </w:rPr>
            </w:pPr>
            <w:r>
              <w:rPr>
                <w:rFonts w:ascii="Arial" w:cs="Arial" w:eastAsia="Arial" w:hAnsi="Arial"/>
                <w:sz w:val="14"/>
                <w:szCs w:val="14"/>
                <w:b w:val="1"/>
                <w:bCs w:val="1"/>
                <w:color w:val="FEFEFE"/>
              </w:rPr>
              <w:t>Income</w:t>
            </w:r>
          </w:p>
        </w:tc>
        <w:tc>
          <w:tcPr>
            <w:tcW w:w="300" w:type="dxa"/>
            <w:vAlign w:val="bottom"/>
            <w:shd w:val="clear" w:color="auto" w:fill="56C271"/>
          </w:tcPr>
          <w:p>
            <w:pPr>
              <w:spacing w:after="0"/>
              <w:rPr>
                <w:sz w:val="16"/>
                <w:szCs w:val="16"/>
                <w:color w:val="auto"/>
              </w:rPr>
            </w:pPr>
          </w:p>
        </w:tc>
        <w:tc>
          <w:tcPr>
            <w:tcW w:w="900" w:type="dxa"/>
            <w:vAlign w:val="bottom"/>
            <w:shd w:val="clear" w:color="auto" w:fill="56C271"/>
          </w:tcPr>
          <w:p>
            <w:pPr>
              <w:jc w:val="right"/>
              <w:ind w:right="16"/>
              <w:spacing w:after="0"/>
              <w:rPr>
                <w:sz w:val="20"/>
                <w:szCs w:val="20"/>
                <w:color w:val="auto"/>
              </w:rPr>
            </w:pPr>
            <w:r>
              <w:rPr>
                <w:rFonts w:ascii="Arial" w:cs="Arial" w:eastAsia="Arial" w:hAnsi="Arial"/>
                <w:sz w:val="14"/>
                <w:szCs w:val="14"/>
                <w:b w:val="1"/>
                <w:bCs w:val="1"/>
                <w:color w:val="FEFEFE"/>
              </w:rPr>
              <w:t>(net of tax)</w:t>
            </w:r>
          </w:p>
        </w:tc>
        <w:tc>
          <w:tcPr>
            <w:tcW w:w="940" w:type="dxa"/>
            <w:vAlign w:val="bottom"/>
            <w:gridSpan w:val="3"/>
            <w:shd w:val="clear" w:color="auto" w:fill="56C271"/>
          </w:tcPr>
          <w:p>
            <w:pPr>
              <w:jc w:val="right"/>
              <w:ind w:right="80"/>
              <w:spacing w:after="0"/>
              <w:rPr>
                <w:sz w:val="20"/>
                <w:szCs w:val="20"/>
                <w:color w:val="auto"/>
              </w:rPr>
            </w:pPr>
            <w:r>
              <w:rPr>
                <w:rFonts w:ascii="Arial" w:cs="Arial" w:eastAsia="Arial" w:hAnsi="Arial"/>
                <w:sz w:val="14"/>
                <w:szCs w:val="14"/>
                <w:b w:val="1"/>
                <w:bCs w:val="1"/>
                <w:color w:val="FEFEFE"/>
              </w:rPr>
              <w:t>Operations</w:t>
            </w:r>
          </w:p>
        </w:tc>
      </w:tr>
      <w:tr>
        <w:trPr>
          <w:trHeight w:val="216"/>
        </w:trPr>
        <w:tc>
          <w:tcPr>
            <w:tcW w:w="4940" w:type="dxa"/>
            <w:vAlign w:val="bottom"/>
            <w:shd w:val="clear" w:color="auto" w:fill="56C271"/>
          </w:tcPr>
          <w:p>
            <w:pPr>
              <w:spacing w:after="0"/>
              <w:rPr>
                <w:sz w:val="18"/>
                <w:szCs w:val="18"/>
                <w:color w:val="auto"/>
              </w:rPr>
            </w:pPr>
          </w:p>
        </w:tc>
        <w:tc>
          <w:tcPr>
            <w:tcW w:w="160" w:type="dxa"/>
            <w:vAlign w:val="bottom"/>
            <w:shd w:val="clear" w:color="auto" w:fill="56C271"/>
          </w:tcPr>
          <w:p>
            <w:pPr>
              <w:spacing w:after="0"/>
              <w:rPr>
                <w:sz w:val="18"/>
                <w:szCs w:val="18"/>
                <w:color w:val="auto"/>
              </w:rPr>
            </w:pPr>
          </w:p>
        </w:tc>
        <w:tc>
          <w:tcPr>
            <w:tcW w:w="160" w:type="dxa"/>
            <w:vAlign w:val="bottom"/>
            <w:shd w:val="clear" w:color="auto" w:fill="56C271"/>
          </w:tcPr>
          <w:p>
            <w:pPr>
              <w:spacing w:after="0"/>
              <w:rPr>
                <w:sz w:val="18"/>
                <w:szCs w:val="18"/>
                <w:color w:val="auto"/>
              </w:rPr>
            </w:pPr>
          </w:p>
        </w:tc>
        <w:tc>
          <w:tcPr>
            <w:tcW w:w="480" w:type="dxa"/>
            <w:vAlign w:val="bottom"/>
            <w:shd w:val="clear" w:color="auto" w:fill="56C271"/>
          </w:tcPr>
          <w:p>
            <w:pPr>
              <w:spacing w:after="0"/>
              <w:rPr>
                <w:sz w:val="18"/>
                <w:szCs w:val="18"/>
                <w:color w:val="auto"/>
              </w:rPr>
            </w:pPr>
          </w:p>
        </w:tc>
        <w:tc>
          <w:tcPr>
            <w:tcW w:w="3020" w:type="dxa"/>
            <w:vAlign w:val="bottom"/>
            <w:gridSpan w:val="6"/>
            <w:shd w:val="clear" w:color="auto" w:fill="56C271"/>
          </w:tcPr>
          <w:p>
            <w:pPr>
              <w:jc w:val="right"/>
              <w:ind w:right="80"/>
              <w:spacing w:after="0"/>
              <w:rPr>
                <w:sz w:val="20"/>
                <w:szCs w:val="20"/>
                <w:color w:val="auto"/>
              </w:rPr>
            </w:pPr>
            <w:r>
              <w:rPr>
                <w:rFonts w:ascii="Arial" w:cs="Arial" w:eastAsia="Arial" w:hAnsi="Arial"/>
                <w:sz w:val="14"/>
                <w:szCs w:val="14"/>
                <w:b w:val="1"/>
                <w:bCs w:val="1"/>
                <w:color w:val="FEFEFE"/>
              </w:rPr>
              <w:t>(thousands except per share data)</w:t>
            </w:r>
          </w:p>
        </w:tc>
      </w:tr>
      <w:tr>
        <w:trPr>
          <w:trHeight w:val="257"/>
        </w:trPr>
        <w:tc>
          <w:tcPr>
            <w:tcW w:w="4940" w:type="dxa"/>
            <w:vAlign w:val="bottom"/>
          </w:tcPr>
          <w:p>
            <w:pPr>
              <w:ind w:left="80"/>
              <w:spacing w:after="0"/>
              <w:rPr>
                <w:sz w:val="20"/>
                <w:szCs w:val="20"/>
                <w:color w:val="auto"/>
              </w:rPr>
            </w:pPr>
            <w:r>
              <w:rPr>
                <w:rFonts w:ascii="Arial" w:cs="Arial" w:eastAsia="Arial" w:hAnsi="Arial"/>
                <w:sz w:val="18"/>
                <w:szCs w:val="18"/>
                <w:b w:val="1"/>
                <w:bCs w:val="1"/>
                <w:color w:val="auto"/>
              </w:rPr>
              <w:t>GAAP results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281,408</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193,114</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1.93</w:t>
            </w:r>
          </w:p>
        </w:tc>
        <w:tc>
          <w:tcPr>
            <w:tcW w:w="80" w:type="dxa"/>
            <w:vAlign w:val="bottom"/>
          </w:tcPr>
          <w:p>
            <w:pPr>
              <w:spacing w:after="0"/>
              <w:rPr>
                <w:sz w:val="22"/>
                <w:szCs w:val="22"/>
                <w:color w:val="auto"/>
              </w:rPr>
            </w:pPr>
          </w:p>
        </w:tc>
      </w:tr>
      <w:tr>
        <w:trPr>
          <w:trHeight w:val="256"/>
        </w:trPr>
        <w:tc>
          <w:tcPr>
            <w:tcW w:w="4940" w:type="dxa"/>
            <w:vAlign w:val="bottom"/>
            <w:shd w:val="clear" w:color="auto" w:fill="CCEDD4"/>
          </w:tcPr>
          <w:p>
            <w:pPr>
              <w:ind w:left="80"/>
              <w:spacing w:after="0"/>
              <w:rPr>
                <w:sz w:val="20"/>
                <w:szCs w:val="20"/>
                <w:color w:val="auto"/>
              </w:rPr>
            </w:pPr>
            <w:r>
              <w:rPr>
                <w:rFonts w:ascii="Arial" w:cs="Arial" w:eastAsia="Arial" w:hAnsi="Arial"/>
                <w:sz w:val="18"/>
                <w:szCs w:val="18"/>
                <w:color w:val="auto"/>
              </w:rPr>
              <w:t>Restructuring, integration and other expenses</w:t>
            </w:r>
          </w:p>
        </w:tc>
        <w:tc>
          <w:tcPr>
            <w:tcW w:w="160" w:type="dxa"/>
            <w:vAlign w:val="bottom"/>
            <w:shd w:val="clear" w:color="auto" w:fill="CCEDD4"/>
          </w:tcPr>
          <w:p>
            <w:pPr>
              <w:spacing w:after="0"/>
              <w:rPr>
                <w:sz w:val="22"/>
                <w:szCs w:val="22"/>
                <w:color w:val="auto"/>
              </w:rPr>
            </w:pPr>
          </w:p>
        </w:tc>
        <w:tc>
          <w:tcPr>
            <w:tcW w:w="160" w:type="dxa"/>
            <w:vAlign w:val="bottom"/>
            <w:shd w:val="clear" w:color="auto" w:fill="CCEDD4"/>
          </w:tcPr>
          <w:p>
            <w:pPr>
              <w:spacing w:after="0"/>
              <w:rPr>
                <w:sz w:val="22"/>
                <w:szCs w:val="22"/>
                <w:color w:val="auto"/>
              </w:rPr>
            </w:pPr>
          </w:p>
        </w:tc>
        <w:tc>
          <w:tcPr>
            <w:tcW w:w="1360" w:type="dxa"/>
            <w:vAlign w:val="bottom"/>
            <w:gridSpan w:val="2"/>
            <w:shd w:val="clear" w:color="auto" w:fill="CCEDD4"/>
          </w:tcPr>
          <w:p>
            <w:pPr>
              <w:jc w:val="right"/>
              <w:ind w:right="500"/>
              <w:spacing w:after="0"/>
              <w:rPr>
                <w:sz w:val="20"/>
                <w:szCs w:val="20"/>
                <w:color w:val="auto"/>
              </w:rPr>
            </w:pPr>
            <w:r>
              <w:rPr>
                <w:rFonts w:ascii="Arial" w:cs="Arial" w:eastAsia="Arial" w:hAnsi="Arial"/>
                <w:sz w:val="18"/>
                <w:szCs w:val="18"/>
                <w:color w:val="auto"/>
              </w:rPr>
              <w:t>84,391</w:t>
            </w:r>
          </w:p>
        </w:tc>
        <w:tc>
          <w:tcPr>
            <w:tcW w:w="300" w:type="dxa"/>
            <w:vAlign w:val="bottom"/>
            <w:shd w:val="clear" w:color="auto" w:fill="CCEDD4"/>
          </w:tcPr>
          <w:p>
            <w:pPr>
              <w:spacing w:after="0"/>
              <w:rPr>
                <w:sz w:val="22"/>
                <w:szCs w:val="22"/>
                <w:color w:val="auto"/>
              </w:rPr>
            </w:pPr>
          </w:p>
        </w:tc>
        <w:tc>
          <w:tcPr>
            <w:tcW w:w="900" w:type="dxa"/>
            <w:vAlign w:val="bottom"/>
            <w:shd w:val="clear" w:color="auto" w:fill="CCEDD4"/>
          </w:tcPr>
          <w:p>
            <w:pPr>
              <w:jc w:val="right"/>
              <w:ind w:right="16"/>
              <w:spacing w:after="0"/>
              <w:rPr>
                <w:sz w:val="20"/>
                <w:szCs w:val="20"/>
                <w:color w:val="auto"/>
              </w:rPr>
            </w:pPr>
            <w:r>
              <w:rPr>
                <w:rFonts w:ascii="Arial" w:cs="Arial" w:eastAsia="Arial" w:hAnsi="Arial"/>
                <w:sz w:val="18"/>
                <w:szCs w:val="18"/>
                <w:color w:val="auto"/>
              </w:rPr>
              <w:t>66,923</w:t>
            </w:r>
          </w:p>
        </w:tc>
        <w:tc>
          <w:tcPr>
            <w:tcW w:w="860" w:type="dxa"/>
            <w:vAlign w:val="bottom"/>
            <w:gridSpan w:val="2"/>
            <w:shd w:val="clear" w:color="auto" w:fill="CCEDD4"/>
          </w:tcPr>
          <w:p>
            <w:pPr>
              <w:jc w:val="right"/>
              <w:ind w:right="20"/>
              <w:spacing w:after="0"/>
              <w:rPr>
                <w:sz w:val="20"/>
                <w:szCs w:val="20"/>
                <w:color w:val="auto"/>
              </w:rPr>
            </w:pPr>
            <w:r>
              <w:rPr>
                <w:rFonts w:ascii="Arial" w:cs="Arial" w:eastAsia="Arial" w:hAnsi="Arial"/>
                <w:sz w:val="18"/>
                <w:szCs w:val="18"/>
                <w:color w:val="auto"/>
              </w:rPr>
              <w:t>0.67</w:t>
            </w:r>
          </w:p>
        </w:tc>
        <w:tc>
          <w:tcPr>
            <w:tcW w:w="80" w:type="dxa"/>
            <w:vAlign w:val="bottom"/>
            <w:shd w:val="clear" w:color="auto" w:fill="CCEDD4"/>
          </w:tcPr>
          <w:p>
            <w:pPr>
              <w:spacing w:after="0"/>
              <w:rPr>
                <w:sz w:val="22"/>
                <w:szCs w:val="22"/>
                <w:color w:val="auto"/>
              </w:rPr>
            </w:pPr>
          </w:p>
        </w:tc>
      </w:tr>
      <w:tr>
        <w:trPr>
          <w:trHeight w:val="257"/>
        </w:trPr>
        <w:tc>
          <w:tcPr>
            <w:tcW w:w="4940" w:type="dxa"/>
            <w:vAlign w:val="bottom"/>
          </w:tcPr>
          <w:p>
            <w:pPr>
              <w:ind w:left="80"/>
              <w:spacing w:after="0"/>
              <w:rPr>
                <w:sz w:val="20"/>
                <w:szCs w:val="20"/>
                <w:color w:val="auto"/>
              </w:rPr>
            </w:pPr>
            <w:r>
              <w:rPr>
                <w:rFonts w:ascii="Arial" w:cs="Arial" w:eastAsia="Arial" w:hAnsi="Arial"/>
                <w:sz w:val="18"/>
                <w:szCs w:val="18"/>
                <w:color w:val="auto"/>
              </w:rPr>
              <w:t>Amortization of intangible assets and other</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41,245</w:t>
            </w:r>
          </w:p>
        </w:tc>
        <w:tc>
          <w:tcPr>
            <w:tcW w:w="300" w:type="dxa"/>
            <w:vAlign w:val="bottom"/>
          </w:tcPr>
          <w:p>
            <w:pPr>
              <w:spacing w:after="0"/>
              <w:rPr>
                <w:sz w:val="22"/>
                <w:szCs w:val="22"/>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32,146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2"/>
                <w:szCs w:val="22"/>
                <w:color w:val="auto"/>
              </w:rPr>
            </w:pPr>
          </w:p>
        </w:tc>
      </w:tr>
      <w:tr>
        <w:trPr>
          <w:trHeight w:val="257"/>
        </w:trPr>
        <w:tc>
          <w:tcPr>
            <w:tcW w:w="4940" w:type="dxa"/>
            <w:vAlign w:val="bottom"/>
            <w:shd w:val="clear" w:color="auto" w:fill="CCEDD4"/>
          </w:tcPr>
          <w:p>
            <w:pPr>
              <w:ind w:left="80"/>
              <w:spacing w:after="0"/>
              <w:rPr>
                <w:sz w:val="20"/>
                <w:szCs w:val="20"/>
                <w:color w:val="auto"/>
              </w:rPr>
            </w:pPr>
            <w:r>
              <w:rPr>
                <w:rFonts w:ascii="Arial" w:cs="Arial" w:eastAsia="Arial" w:hAnsi="Arial"/>
                <w:sz w:val="18"/>
                <w:szCs w:val="18"/>
                <w:color w:val="auto"/>
              </w:rPr>
              <w:t>Other expenses</w:t>
            </w:r>
          </w:p>
        </w:tc>
        <w:tc>
          <w:tcPr>
            <w:tcW w:w="160" w:type="dxa"/>
            <w:vAlign w:val="bottom"/>
            <w:shd w:val="clear" w:color="auto" w:fill="CCEDD4"/>
          </w:tcPr>
          <w:p>
            <w:pPr>
              <w:spacing w:after="0"/>
              <w:rPr>
                <w:sz w:val="22"/>
                <w:szCs w:val="22"/>
                <w:color w:val="auto"/>
              </w:rPr>
            </w:pPr>
          </w:p>
        </w:tc>
        <w:tc>
          <w:tcPr>
            <w:tcW w:w="160" w:type="dxa"/>
            <w:vAlign w:val="bottom"/>
            <w:shd w:val="clear" w:color="auto" w:fill="CCEDD4"/>
          </w:tcPr>
          <w:p>
            <w:pPr>
              <w:spacing w:after="0"/>
              <w:rPr>
                <w:sz w:val="22"/>
                <w:szCs w:val="22"/>
                <w:color w:val="auto"/>
              </w:rPr>
            </w:pPr>
          </w:p>
        </w:tc>
        <w:tc>
          <w:tcPr>
            <w:tcW w:w="480" w:type="dxa"/>
            <w:vAlign w:val="bottom"/>
            <w:shd w:val="clear" w:color="auto" w:fill="CCEDD4"/>
          </w:tcPr>
          <w:p>
            <w:pPr>
              <w:spacing w:after="0"/>
              <w:rPr>
                <w:sz w:val="22"/>
                <w:szCs w:val="22"/>
                <w:color w:val="auto"/>
              </w:rPr>
            </w:pPr>
          </w:p>
        </w:tc>
        <w:tc>
          <w:tcPr>
            <w:tcW w:w="880" w:type="dxa"/>
            <w:vAlign w:val="bottom"/>
            <w:shd w:val="clear" w:color="auto" w:fill="CCEDD4"/>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DD4"/>
          </w:tcPr>
          <w:p>
            <w:pPr>
              <w:spacing w:after="0"/>
              <w:rPr>
                <w:sz w:val="22"/>
                <w:szCs w:val="22"/>
                <w:color w:val="auto"/>
              </w:rPr>
            </w:pPr>
          </w:p>
        </w:tc>
        <w:tc>
          <w:tcPr>
            <w:tcW w:w="900" w:type="dxa"/>
            <w:vAlign w:val="bottom"/>
            <w:shd w:val="clear" w:color="auto" w:fill="CCEDD4"/>
          </w:tcPr>
          <w:p>
            <w:pPr>
              <w:jc w:val="right"/>
              <w:ind w:right="16"/>
              <w:spacing w:after="0"/>
              <w:rPr>
                <w:sz w:val="20"/>
                <w:szCs w:val="20"/>
                <w:color w:val="auto"/>
              </w:rPr>
            </w:pPr>
            <w:r>
              <w:rPr>
                <w:rFonts w:ascii="Arial" w:cs="Arial" w:eastAsia="Arial" w:hAnsi="Arial"/>
                <w:sz w:val="18"/>
                <w:szCs w:val="18"/>
                <w:color w:val="auto"/>
              </w:rPr>
              <w:t>20,323</w:t>
            </w:r>
          </w:p>
        </w:tc>
        <w:tc>
          <w:tcPr>
            <w:tcW w:w="860" w:type="dxa"/>
            <w:vAlign w:val="bottom"/>
            <w:gridSpan w:val="2"/>
            <w:shd w:val="clear" w:color="auto" w:fill="CCEDD4"/>
          </w:tcPr>
          <w:p>
            <w:pPr>
              <w:jc w:val="right"/>
              <w:ind w:right="2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DD4"/>
          </w:tcPr>
          <w:p>
            <w:pPr>
              <w:spacing w:after="0"/>
              <w:rPr>
                <w:sz w:val="22"/>
                <w:szCs w:val="22"/>
                <w:color w:val="auto"/>
              </w:rPr>
            </w:pPr>
          </w:p>
        </w:tc>
      </w:tr>
      <w:tr>
        <w:trPr>
          <w:trHeight w:val="257"/>
        </w:trPr>
        <w:tc>
          <w:tcPr>
            <w:tcW w:w="4940" w:type="dxa"/>
            <w:vAlign w:val="bottom"/>
          </w:tcPr>
          <w:p>
            <w:pPr>
              <w:ind w:left="80"/>
              <w:spacing w:after="0"/>
              <w:rPr>
                <w:sz w:val="20"/>
                <w:szCs w:val="20"/>
                <w:color w:val="auto"/>
              </w:rPr>
            </w:pPr>
            <w:r>
              <w:rPr>
                <w:rFonts w:ascii="Arial" w:cs="Arial" w:eastAsia="Arial" w:hAnsi="Arial"/>
                <w:sz w:val="18"/>
                <w:szCs w:val="18"/>
                <w:color w:val="auto"/>
              </w:rPr>
              <w:t>Income tax adjustments</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(41,275)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22"/>
                <w:szCs w:val="22"/>
                <w:color w:val="auto"/>
              </w:rPr>
            </w:pPr>
          </w:p>
        </w:tc>
      </w:tr>
      <w:tr>
        <w:trPr>
          <w:trHeight w:val="257"/>
        </w:trPr>
        <w:tc>
          <w:tcPr>
            <w:tcW w:w="4940" w:type="dxa"/>
            <w:vAlign w:val="bottom"/>
            <w:shd w:val="clear" w:color="auto" w:fill="CCEDD4"/>
          </w:tcPr>
          <w:p>
            <w:pPr>
              <w:ind w:left="80"/>
              <w:spacing w:after="0"/>
              <w:rPr>
                <w:sz w:val="20"/>
                <w:szCs w:val="20"/>
                <w:color w:val="auto"/>
              </w:rPr>
            </w:pPr>
            <w:r>
              <w:rPr>
                <w:rFonts w:ascii="Arial" w:cs="Arial" w:eastAsia="Arial" w:hAnsi="Arial"/>
                <w:sz w:val="18"/>
                <w:szCs w:val="18"/>
                <w:color w:val="auto"/>
              </w:rPr>
              <w:t>Total adjustments</w:t>
            </w:r>
          </w:p>
        </w:tc>
        <w:tc>
          <w:tcPr>
            <w:tcW w:w="160" w:type="dxa"/>
            <w:vAlign w:val="bottom"/>
            <w:shd w:val="clear" w:color="auto" w:fill="CCEDD4"/>
          </w:tcPr>
          <w:p>
            <w:pPr>
              <w:spacing w:after="0"/>
              <w:rPr>
                <w:sz w:val="22"/>
                <w:szCs w:val="22"/>
                <w:color w:val="auto"/>
              </w:rPr>
            </w:pPr>
          </w:p>
        </w:tc>
        <w:tc>
          <w:tcPr>
            <w:tcW w:w="160" w:type="dxa"/>
            <w:vAlign w:val="bottom"/>
            <w:shd w:val="clear" w:color="auto" w:fill="CCEDD4"/>
          </w:tcPr>
          <w:p>
            <w:pPr>
              <w:spacing w:after="0"/>
              <w:rPr>
                <w:sz w:val="22"/>
                <w:szCs w:val="22"/>
                <w:color w:val="auto"/>
              </w:rPr>
            </w:pPr>
          </w:p>
        </w:tc>
        <w:tc>
          <w:tcPr>
            <w:tcW w:w="1360" w:type="dxa"/>
            <w:vAlign w:val="bottom"/>
            <w:gridSpan w:val="2"/>
            <w:shd w:val="clear" w:color="auto" w:fill="CCEDD4"/>
          </w:tcPr>
          <w:p>
            <w:pPr>
              <w:jc w:val="right"/>
              <w:ind w:right="500"/>
              <w:spacing w:after="0"/>
              <w:rPr>
                <w:sz w:val="20"/>
                <w:szCs w:val="20"/>
                <w:color w:val="auto"/>
              </w:rPr>
            </w:pPr>
            <w:r>
              <w:rPr>
                <w:rFonts w:ascii="Arial" w:cs="Arial" w:eastAsia="Arial" w:hAnsi="Arial"/>
                <w:sz w:val="18"/>
                <w:szCs w:val="18"/>
                <w:color w:val="auto"/>
              </w:rPr>
              <w:t>125,636</w:t>
            </w:r>
          </w:p>
        </w:tc>
        <w:tc>
          <w:tcPr>
            <w:tcW w:w="300" w:type="dxa"/>
            <w:vAlign w:val="bottom"/>
            <w:shd w:val="clear" w:color="auto" w:fill="CCEDD4"/>
          </w:tcPr>
          <w:p>
            <w:pPr>
              <w:spacing w:after="0"/>
              <w:rPr>
                <w:sz w:val="22"/>
                <w:szCs w:val="22"/>
                <w:color w:val="auto"/>
              </w:rPr>
            </w:pPr>
          </w:p>
        </w:tc>
        <w:tc>
          <w:tcPr>
            <w:tcW w:w="900" w:type="dxa"/>
            <w:vAlign w:val="bottom"/>
            <w:shd w:val="clear" w:color="auto" w:fill="CCEDD4"/>
          </w:tcPr>
          <w:p>
            <w:pPr>
              <w:jc w:val="right"/>
              <w:ind w:right="16"/>
              <w:spacing w:after="0"/>
              <w:rPr>
                <w:sz w:val="20"/>
                <w:szCs w:val="20"/>
                <w:color w:val="auto"/>
              </w:rPr>
            </w:pPr>
            <w:r>
              <w:rPr>
                <w:rFonts w:ascii="Arial" w:cs="Arial" w:eastAsia="Arial" w:hAnsi="Arial"/>
                <w:sz w:val="18"/>
                <w:szCs w:val="18"/>
                <w:color w:val="auto"/>
              </w:rPr>
              <w:t>78,117</w:t>
            </w:r>
          </w:p>
        </w:tc>
        <w:tc>
          <w:tcPr>
            <w:tcW w:w="860" w:type="dxa"/>
            <w:vAlign w:val="bottom"/>
            <w:gridSpan w:val="2"/>
            <w:shd w:val="clear" w:color="auto" w:fill="CCEDD4"/>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shd w:val="clear" w:color="auto" w:fill="CCEDD4"/>
          </w:tcPr>
          <w:p>
            <w:pPr>
              <w:spacing w:after="0"/>
              <w:rPr>
                <w:sz w:val="22"/>
                <w:szCs w:val="22"/>
                <w:color w:val="auto"/>
              </w:rPr>
            </w:pPr>
          </w:p>
        </w:tc>
      </w:tr>
      <w:tr>
        <w:trPr>
          <w:trHeight w:val="256"/>
        </w:trPr>
        <w:tc>
          <w:tcPr>
            <w:tcW w:w="4940" w:type="dxa"/>
            <w:vAlign w:val="bottom"/>
          </w:tcPr>
          <w:p>
            <w:pPr>
              <w:ind w:left="80"/>
              <w:spacing w:after="0"/>
              <w:rPr>
                <w:sz w:val="20"/>
                <w:szCs w:val="20"/>
                <w:color w:val="auto"/>
              </w:rPr>
            </w:pPr>
            <w:r>
              <w:rPr>
                <w:rFonts w:ascii="Arial" w:cs="Arial" w:eastAsia="Arial" w:hAnsi="Arial"/>
                <w:sz w:val="18"/>
                <w:szCs w:val="18"/>
                <w:b w:val="1"/>
                <w:bCs w:val="1"/>
                <w:color w:val="auto"/>
              </w:rPr>
              <w:t>Adjusted non-GAAP results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407,044</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271,231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$2.71</w:t>
            </w:r>
          </w:p>
        </w:tc>
        <w:tc>
          <w:tcPr>
            <w:tcW w:w="80" w:type="dxa"/>
            <w:vAlign w:val="bottom"/>
          </w:tcPr>
          <w:p>
            <w:pPr>
              <w:spacing w:after="0"/>
              <w:rPr>
                <w:sz w:val="22"/>
                <w:szCs w:val="22"/>
                <w:color w:val="auto"/>
              </w:rPr>
            </w:pPr>
          </w:p>
        </w:tc>
      </w:tr>
      <w:tr>
        <w:trPr>
          <w:trHeight w:val="48"/>
        </w:trPr>
        <w:tc>
          <w:tcPr>
            <w:tcW w:w="4940" w:type="dxa"/>
            <w:vAlign w:val="bottom"/>
            <w:tcBorders>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160" w:type="dxa"/>
            <w:vAlign w:val="bottom"/>
            <w:tcBorders>
              <w:bottom w:val="single" w:sz="8" w:color="56C271"/>
            </w:tcBorders>
          </w:tcPr>
          <w:p>
            <w:pPr>
              <w:spacing w:after="0"/>
              <w:rPr>
                <w:sz w:val="4"/>
                <w:szCs w:val="4"/>
                <w:color w:val="auto"/>
              </w:rPr>
            </w:pPr>
          </w:p>
        </w:tc>
        <w:tc>
          <w:tcPr>
            <w:tcW w:w="480" w:type="dxa"/>
            <w:vAlign w:val="bottom"/>
            <w:tcBorders>
              <w:bottom w:val="single" w:sz="8" w:color="56C271"/>
            </w:tcBorders>
          </w:tcPr>
          <w:p>
            <w:pPr>
              <w:spacing w:after="0"/>
              <w:rPr>
                <w:sz w:val="4"/>
                <w:szCs w:val="4"/>
                <w:color w:val="auto"/>
              </w:rPr>
            </w:pPr>
          </w:p>
        </w:tc>
        <w:tc>
          <w:tcPr>
            <w:tcW w:w="880" w:type="dxa"/>
            <w:vAlign w:val="bottom"/>
            <w:tcBorders>
              <w:bottom w:val="single" w:sz="8" w:color="56C271"/>
            </w:tcBorders>
          </w:tcPr>
          <w:p>
            <w:pPr>
              <w:spacing w:after="0"/>
              <w:rPr>
                <w:sz w:val="4"/>
                <w:szCs w:val="4"/>
                <w:color w:val="auto"/>
              </w:rPr>
            </w:pPr>
          </w:p>
        </w:tc>
        <w:tc>
          <w:tcPr>
            <w:tcW w:w="1200" w:type="dxa"/>
            <w:vAlign w:val="bottom"/>
            <w:tcBorders>
              <w:bottom w:val="single" w:sz="8" w:color="56C271"/>
            </w:tcBorders>
            <w:gridSpan w:val="2"/>
          </w:tcPr>
          <w:p>
            <w:pPr>
              <w:spacing w:after="0"/>
              <w:rPr>
                <w:sz w:val="4"/>
                <w:szCs w:val="4"/>
                <w:color w:val="auto"/>
              </w:rPr>
            </w:pPr>
          </w:p>
        </w:tc>
        <w:tc>
          <w:tcPr>
            <w:tcW w:w="820" w:type="dxa"/>
            <w:vAlign w:val="bottom"/>
            <w:tcBorders>
              <w:bottom w:val="single" w:sz="8" w:color="56C271"/>
            </w:tcBorders>
          </w:tcPr>
          <w:p>
            <w:pPr>
              <w:spacing w:after="0"/>
              <w:rPr>
                <w:sz w:val="4"/>
                <w:szCs w:val="4"/>
                <w:color w:val="auto"/>
              </w:rPr>
            </w:pPr>
          </w:p>
        </w:tc>
        <w:tc>
          <w:tcPr>
            <w:tcW w:w="40" w:type="dxa"/>
            <w:vAlign w:val="bottom"/>
            <w:tcBorders>
              <w:bottom w:val="single" w:sz="8" w:color="56C271"/>
            </w:tcBorders>
          </w:tcPr>
          <w:p>
            <w:pPr>
              <w:spacing w:after="0"/>
              <w:rPr>
                <w:sz w:val="4"/>
                <w:szCs w:val="4"/>
                <w:color w:val="auto"/>
              </w:rPr>
            </w:pPr>
          </w:p>
        </w:tc>
        <w:tc>
          <w:tcPr>
            <w:tcW w:w="80" w:type="dxa"/>
            <w:vAlign w:val="bottom"/>
            <w:tcBorders>
              <w:bottom w:val="single" w:sz="8" w:color="56C271"/>
            </w:tcBorders>
          </w:tcPr>
          <w:p>
            <w:pPr>
              <w:spacing w:after="0"/>
              <w:rPr>
                <w:sz w:val="4"/>
                <w:szCs w:val="4"/>
                <w:color w:val="auto"/>
              </w:rPr>
            </w:pPr>
          </w:p>
        </w:tc>
      </w:t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4940" w:type="dxa"/>
            <w:vAlign w:val="bottom"/>
            <w:tcBorders>
              <w:bottom w:val="single" w:sz="8" w:color="56C271"/>
            </w:tcBorders>
            <w:shd w:val="clear" w:color="auto" w:fill="56C271"/>
          </w:tcPr>
          <w:p>
            <w:pPr>
              <w:spacing w:after="0"/>
              <w:rPr>
                <w:sz w:val="19"/>
                <w:szCs w:val="19"/>
                <w:color w:val="auto"/>
              </w:rPr>
            </w:pPr>
          </w:p>
        </w:tc>
        <w:tc>
          <w:tcPr>
            <w:tcW w:w="160" w:type="dxa"/>
            <w:vAlign w:val="bottom"/>
            <w:tcBorders>
              <w:bottom w:val="single" w:sz="8" w:color="56C271"/>
            </w:tcBorders>
            <w:shd w:val="clear" w:color="auto" w:fill="56C271"/>
          </w:tcPr>
          <w:p>
            <w:pPr>
              <w:spacing w:after="0"/>
              <w:rPr>
                <w:sz w:val="19"/>
                <w:szCs w:val="19"/>
                <w:color w:val="auto"/>
              </w:rPr>
            </w:pPr>
          </w:p>
        </w:tc>
        <w:tc>
          <w:tcPr>
            <w:tcW w:w="160" w:type="dxa"/>
            <w:vAlign w:val="bottom"/>
            <w:tcBorders>
              <w:bottom w:val="single" w:sz="8" w:color="56C271"/>
            </w:tcBorders>
            <w:shd w:val="clear" w:color="auto" w:fill="56C271"/>
          </w:tcPr>
          <w:p>
            <w:pPr>
              <w:spacing w:after="0"/>
              <w:rPr>
                <w:sz w:val="19"/>
                <w:szCs w:val="19"/>
                <w:color w:val="auto"/>
              </w:rPr>
            </w:pPr>
          </w:p>
        </w:tc>
        <w:tc>
          <w:tcPr>
            <w:tcW w:w="480" w:type="dxa"/>
            <w:vAlign w:val="bottom"/>
            <w:tcBorders>
              <w:bottom w:val="single" w:sz="8" w:color="56C271"/>
            </w:tcBorders>
            <w:shd w:val="clear" w:color="auto" w:fill="56C271"/>
          </w:tcPr>
          <w:p>
            <w:pPr>
              <w:spacing w:after="0"/>
              <w:rPr>
                <w:sz w:val="19"/>
                <w:szCs w:val="19"/>
                <w:color w:val="auto"/>
              </w:rPr>
            </w:pPr>
          </w:p>
        </w:tc>
        <w:tc>
          <w:tcPr>
            <w:tcW w:w="880" w:type="dxa"/>
            <w:vAlign w:val="bottom"/>
            <w:tcBorders>
              <w:bottom w:val="single" w:sz="8" w:color="auto"/>
            </w:tcBorders>
            <w:shd w:val="clear" w:color="auto" w:fill="56C271"/>
          </w:tcPr>
          <w:p>
            <w:pPr>
              <w:spacing w:after="0"/>
              <w:rPr>
                <w:sz w:val="19"/>
                <w:szCs w:val="19"/>
                <w:color w:val="auto"/>
              </w:rPr>
            </w:pPr>
          </w:p>
        </w:tc>
        <w:tc>
          <w:tcPr>
            <w:tcW w:w="1200" w:type="dxa"/>
            <w:vAlign w:val="bottom"/>
            <w:tcBorders>
              <w:bottom w:val="single" w:sz="8" w:color="auto"/>
            </w:tcBorders>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Fiscal Year 2020</w:t>
            </w:r>
          </w:p>
        </w:tc>
        <w:tc>
          <w:tcPr>
            <w:tcW w:w="820" w:type="dxa"/>
            <w:vAlign w:val="bottom"/>
            <w:tcBorders>
              <w:bottom w:val="single" w:sz="8" w:color="auto"/>
            </w:tcBorders>
            <w:shd w:val="clear" w:color="auto" w:fill="56C271"/>
          </w:tcPr>
          <w:p>
            <w:pPr>
              <w:spacing w:after="0"/>
              <w:rPr>
                <w:sz w:val="19"/>
                <w:szCs w:val="19"/>
                <w:color w:val="auto"/>
              </w:rPr>
            </w:pPr>
          </w:p>
        </w:tc>
        <w:tc>
          <w:tcPr>
            <w:tcW w:w="40" w:type="dxa"/>
            <w:vAlign w:val="bottom"/>
            <w:tcBorders>
              <w:bottom w:val="single" w:sz="8" w:color="56C271"/>
            </w:tcBorders>
            <w:shd w:val="clear" w:color="auto" w:fill="56C271"/>
          </w:tcPr>
          <w:p>
            <w:pPr>
              <w:spacing w:after="0"/>
              <w:rPr>
                <w:sz w:val="19"/>
                <w:szCs w:val="19"/>
                <w:color w:val="auto"/>
              </w:rPr>
            </w:pPr>
          </w:p>
        </w:tc>
        <w:tc>
          <w:tcPr>
            <w:tcW w:w="80" w:type="dxa"/>
            <w:vAlign w:val="bottom"/>
            <w:tcBorders>
              <w:bottom w:val="single" w:sz="8" w:color="56C271"/>
            </w:tcBorders>
            <w:shd w:val="clear" w:color="auto" w:fill="56C271"/>
          </w:tcPr>
          <w:p>
            <w:pPr>
              <w:spacing w:after="0"/>
              <w:rPr>
                <w:sz w:val="19"/>
                <w:szCs w:val="19"/>
                <w:color w:val="auto"/>
              </w:rPr>
            </w:pPr>
          </w:p>
        </w:tc>
      </w:tr>
      <w:tr>
        <w:trPr>
          <w:trHeight w:val="189"/>
        </w:trPr>
        <w:tc>
          <w:tcPr>
            <w:tcW w:w="4940" w:type="dxa"/>
            <w:vAlign w:val="bottom"/>
            <w:shd w:val="clear" w:color="auto" w:fill="56C271"/>
          </w:tcPr>
          <w:p>
            <w:pPr>
              <w:spacing w:after="0"/>
              <w:rPr>
                <w:sz w:val="16"/>
                <w:szCs w:val="16"/>
                <w:color w:val="auto"/>
              </w:rPr>
            </w:pPr>
          </w:p>
        </w:tc>
        <w:tc>
          <w:tcPr>
            <w:tcW w:w="160" w:type="dxa"/>
            <w:vAlign w:val="bottom"/>
            <w:shd w:val="clear" w:color="auto" w:fill="56C271"/>
          </w:tcPr>
          <w:p>
            <w:pPr>
              <w:spacing w:after="0"/>
              <w:rPr>
                <w:sz w:val="16"/>
                <w:szCs w:val="16"/>
                <w:color w:val="auto"/>
              </w:rPr>
            </w:pPr>
          </w:p>
        </w:tc>
        <w:tc>
          <w:tcPr>
            <w:tcW w:w="160" w:type="dxa"/>
            <w:vAlign w:val="bottom"/>
            <w:shd w:val="clear" w:color="auto" w:fill="56C271"/>
          </w:tcPr>
          <w:p>
            <w:pPr>
              <w:spacing w:after="0"/>
              <w:rPr>
                <w:sz w:val="16"/>
                <w:szCs w:val="16"/>
                <w:color w:val="auto"/>
              </w:rPr>
            </w:pPr>
          </w:p>
        </w:tc>
        <w:tc>
          <w:tcPr>
            <w:tcW w:w="480" w:type="dxa"/>
            <w:vAlign w:val="bottom"/>
            <w:shd w:val="clear" w:color="auto" w:fill="56C271"/>
          </w:tcPr>
          <w:p>
            <w:pPr>
              <w:spacing w:after="0"/>
              <w:rPr>
                <w:sz w:val="16"/>
                <w:szCs w:val="16"/>
                <w:color w:val="auto"/>
              </w:rPr>
            </w:pPr>
          </w:p>
        </w:tc>
        <w:tc>
          <w:tcPr>
            <w:tcW w:w="880" w:type="dxa"/>
            <w:vAlign w:val="bottom"/>
            <w:shd w:val="clear" w:color="auto" w:fill="56C271"/>
          </w:tcPr>
          <w:p>
            <w:pPr>
              <w:spacing w:after="0"/>
              <w:rPr>
                <w:sz w:val="16"/>
                <w:szCs w:val="16"/>
                <w:color w:val="auto"/>
              </w:rPr>
            </w:pPr>
          </w:p>
        </w:tc>
        <w:tc>
          <w:tcPr>
            <w:tcW w:w="300" w:type="dxa"/>
            <w:vAlign w:val="bottom"/>
            <w:shd w:val="clear" w:color="auto" w:fill="56C271"/>
          </w:tcPr>
          <w:p>
            <w:pPr>
              <w:spacing w:after="0"/>
              <w:rPr>
                <w:sz w:val="16"/>
                <w:szCs w:val="16"/>
                <w:color w:val="auto"/>
              </w:rPr>
            </w:pPr>
          </w:p>
        </w:tc>
        <w:tc>
          <w:tcPr>
            <w:tcW w:w="900" w:type="dxa"/>
            <w:vAlign w:val="bottom"/>
            <w:shd w:val="clear" w:color="auto" w:fill="56C271"/>
          </w:tcPr>
          <w:p>
            <w:pPr>
              <w:spacing w:after="0"/>
              <w:rPr>
                <w:sz w:val="16"/>
                <w:szCs w:val="16"/>
                <w:color w:val="auto"/>
              </w:rPr>
            </w:pPr>
          </w:p>
        </w:tc>
        <w:tc>
          <w:tcPr>
            <w:tcW w:w="940" w:type="dxa"/>
            <w:vAlign w:val="bottom"/>
            <w:gridSpan w:val="3"/>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Diluted</w:t>
            </w:r>
          </w:p>
        </w:tc>
      </w:tr>
      <w:tr>
        <w:trPr>
          <w:trHeight w:val="162"/>
        </w:trPr>
        <w:tc>
          <w:tcPr>
            <w:tcW w:w="494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880" w:type="dxa"/>
            <w:vAlign w:val="bottom"/>
            <w:shd w:val="clear" w:color="auto" w:fill="56C271"/>
          </w:tcPr>
          <w:p>
            <w:pPr>
              <w:spacing w:after="0"/>
              <w:rPr>
                <w:sz w:val="14"/>
                <w:szCs w:val="14"/>
                <w:color w:val="auto"/>
              </w:rPr>
            </w:pPr>
          </w:p>
        </w:tc>
        <w:tc>
          <w:tcPr>
            <w:tcW w:w="300" w:type="dxa"/>
            <w:vAlign w:val="bottom"/>
            <w:shd w:val="clear" w:color="auto" w:fill="56C271"/>
          </w:tcPr>
          <w:p>
            <w:pPr>
              <w:spacing w:after="0"/>
              <w:rPr>
                <w:sz w:val="14"/>
                <w:szCs w:val="14"/>
                <w:color w:val="auto"/>
              </w:rPr>
            </w:pPr>
          </w:p>
        </w:tc>
        <w:tc>
          <w:tcPr>
            <w:tcW w:w="900" w:type="dxa"/>
            <w:vAlign w:val="bottom"/>
            <w:shd w:val="clear" w:color="auto" w:fill="56C271"/>
          </w:tcPr>
          <w:p>
            <w:pPr>
              <w:spacing w:after="0"/>
              <w:rPr>
                <w:sz w:val="14"/>
                <w:szCs w:val="14"/>
                <w:color w:val="auto"/>
              </w:rPr>
            </w:pPr>
          </w:p>
        </w:tc>
        <w:tc>
          <w:tcPr>
            <w:tcW w:w="940" w:type="dxa"/>
            <w:vAlign w:val="bottom"/>
            <w:gridSpan w:val="3"/>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(Loss)</w:t>
            </w:r>
          </w:p>
        </w:tc>
      </w:tr>
      <w:tr>
        <w:trPr>
          <w:trHeight w:val="162"/>
        </w:trPr>
        <w:tc>
          <w:tcPr>
            <w:tcW w:w="494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880" w:type="dxa"/>
            <w:vAlign w:val="bottom"/>
            <w:shd w:val="clear" w:color="auto" w:fill="56C271"/>
          </w:tcPr>
          <w:p>
            <w:pPr>
              <w:spacing w:after="0"/>
              <w:rPr>
                <w:sz w:val="14"/>
                <w:szCs w:val="14"/>
                <w:color w:val="auto"/>
              </w:rPr>
            </w:pPr>
          </w:p>
        </w:tc>
        <w:tc>
          <w:tcPr>
            <w:tcW w:w="300" w:type="dxa"/>
            <w:vAlign w:val="bottom"/>
            <w:shd w:val="clear" w:color="auto" w:fill="56C271"/>
          </w:tcPr>
          <w:p>
            <w:pPr>
              <w:spacing w:after="0"/>
              <w:rPr>
                <w:sz w:val="14"/>
                <w:szCs w:val="14"/>
                <w:color w:val="auto"/>
              </w:rPr>
            </w:pPr>
          </w:p>
        </w:tc>
        <w:tc>
          <w:tcPr>
            <w:tcW w:w="900" w:type="dxa"/>
            <w:vAlign w:val="bottom"/>
            <w:shd w:val="clear" w:color="auto" w:fill="56C271"/>
          </w:tcPr>
          <w:p>
            <w:pPr>
              <w:jc w:val="right"/>
              <w:ind w:right="136"/>
              <w:spacing w:after="0"/>
              <w:rPr>
                <w:sz w:val="20"/>
                <w:szCs w:val="20"/>
                <w:color w:val="auto"/>
              </w:rPr>
            </w:pPr>
            <w:r>
              <w:rPr>
                <w:rFonts w:ascii="Arial" w:cs="Arial" w:eastAsia="Arial" w:hAnsi="Arial"/>
                <w:sz w:val="14"/>
                <w:szCs w:val="14"/>
                <w:b w:val="1"/>
                <w:bCs w:val="1"/>
                <w:color w:val="FEFEFE"/>
              </w:rPr>
              <w:t>Loss</w:t>
            </w:r>
          </w:p>
        </w:tc>
        <w:tc>
          <w:tcPr>
            <w:tcW w:w="940" w:type="dxa"/>
            <w:vAlign w:val="bottom"/>
            <w:gridSpan w:val="3"/>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Earnings</w:t>
            </w:r>
          </w:p>
        </w:tc>
      </w:tr>
      <w:tr>
        <w:trPr>
          <w:trHeight w:val="162"/>
        </w:trPr>
        <w:tc>
          <w:tcPr>
            <w:tcW w:w="494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880" w:type="dxa"/>
            <w:vAlign w:val="bottom"/>
            <w:shd w:val="clear" w:color="auto" w:fill="56C271"/>
          </w:tcPr>
          <w:p>
            <w:pPr>
              <w:spacing w:after="0"/>
              <w:rPr>
                <w:sz w:val="14"/>
                <w:szCs w:val="14"/>
                <w:color w:val="auto"/>
              </w:rPr>
            </w:pPr>
          </w:p>
        </w:tc>
        <w:tc>
          <w:tcPr>
            <w:tcW w:w="300" w:type="dxa"/>
            <w:vAlign w:val="bottom"/>
            <w:shd w:val="clear" w:color="auto" w:fill="56C271"/>
          </w:tcPr>
          <w:p>
            <w:pPr>
              <w:spacing w:after="0"/>
              <w:rPr>
                <w:sz w:val="14"/>
                <w:szCs w:val="14"/>
                <w:color w:val="auto"/>
              </w:rPr>
            </w:pPr>
          </w:p>
        </w:tc>
        <w:tc>
          <w:tcPr>
            <w:tcW w:w="900" w:type="dxa"/>
            <w:vAlign w:val="bottom"/>
            <w:shd w:val="clear" w:color="auto" w:fill="56C271"/>
          </w:tcPr>
          <w:p>
            <w:pPr>
              <w:jc w:val="right"/>
              <w:ind w:right="136"/>
              <w:spacing w:after="0"/>
              <w:rPr>
                <w:sz w:val="20"/>
                <w:szCs w:val="20"/>
                <w:color w:val="auto"/>
              </w:rPr>
            </w:pPr>
            <w:r>
              <w:rPr>
                <w:rFonts w:ascii="Arial" w:cs="Arial" w:eastAsia="Arial" w:hAnsi="Arial"/>
                <w:sz w:val="14"/>
                <w:szCs w:val="14"/>
                <w:b w:val="1"/>
                <w:bCs w:val="1"/>
                <w:color w:val="FEFEFE"/>
              </w:rPr>
              <w:t>from</w:t>
            </w:r>
          </w:p>
        </w:tc>
        <w:tc>
          <w:tcPr>
            <w:tcW w:w="940" w:type="dxa"/>
            <w:vAlign w:val="bottom"/>
            <w:gridSpan w:val="3"/>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Per Share</w:t>
            </w:r>
          </w:p>
        </w:tc>
      </w:tr>
      <w:tr>
        <w:trPr>
          <w:trHeight w:val="162"/>
        </w:trPr>
        <w:tc>
          <w:tcPr>
            <w:tcW w:w="494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880" w:type="dxa"/>
            <w:vAlign w:val="bottom"/>
            <w:shd w:val="clear" w:color="auto" w:fill="56C271"/>
          </w:tcPr>
          <w:p>
            <w:pPr>
              <w:spacing w:after="0"/>
              <w:rPr>
                <w:sz w:val="14"/>
                <w:szCs w:val="14"/>
                <w:color w:val="auto"/>
              </w:rPr>
            </w:pPr>
          </w:p>
        </w:tc>
        <w:tc>
          <w:tcPr>
            <w:tcW w:w="1200" w:type="dxa"/>
            <w:vAlign w:val="bottom"/>
            <w:gridSpan w:val="2"/>
            <w:shd w:val="clear" w:color="auto" w:fill="56C271"/>
          </w:tcPr>
          <w:p>
            <w:pPr>
              <w:jc w:val="right"/>
              <w:ind w:right="136"/>
              <w:spacing w:after="0"/>
              <w:rPr>
                <w:sz w:val="20"/>
                <w:szCs w:val="20"/>
                <w:color w:val="auto"/>
              </w:rPr>
            </w:pPr>
            <w:r>
              <w:rPr>
                <w:rFonts w:ascii="Arial" w:cs="Arial" w:eastAsia="Arial" w:hAnsi="Arial"/>
                <w:sz w:val="14"/>
                <w:szCs w:val="14"/>
                <w:b w:val="1"/>
                <w:bCs w:val="1"/>
                <w:color w:val="FEFEFE"/>
              </w:rPr>
              <w:t>Continuing</w:t>
            </w:r>
          </w:p>
        </w:tc>
        <w:tc>
          <w:tcPr>
            <w:tcW w:w="940" w:type="dxa"/>
            <w:vAlign w:val="bottom"/>
            <w:gridSpan w:val="3"/>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from</w:t>
            </w:r>
          </w:p>
        </w:tc>
      </w:tr>
      <w:tr>
        <w:trPr>
          <w:trHeight w:val="162"/>
        </w:trPr>
        <w:tc>
          <w:tcPr>
            <w:tcW w:w="494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480" w:type="dxa"/>
            <w:vAlign w:val="bottom"/>
            <w:shd w:val="clear" w:color="auto" w:fill="56C271"/>
          </w:tcPr>
          <w:p>
            <w:pPr>
              <w:spacing w:after="0"/>
              <w:rPr>
                <w:sz w:val="14"/>
                <w:szCs w:val="14"/>
                <w:color w:val="auto"/>
              </w:rPr>
            </w:pPr>
          </w:p>
        </w:tc>
        <w:tc>
          <w:tcPr>
            <w:tcW w:w="880" w:type="dxa"/>
            <w:vAlign w:val="bottom"/>
            <w:shd w:val="clear" w:color="auto" w:fill="56C271"/>
          </w:tcPr>
          <w:p>
            <w:pPr>
              <w:jc w:val="right"/>
              <w:ind w:right="60"/>
              <w:spacing w:after="0"/>
              <w:rPr>
                <w:sz w:val="20"/>
                <w:szCs w:val="20"/>
                <w:color w:val="auto"/>
              </w:rPr>
            </w:pPr>
            <w:r>
              <w:rPr>
                <w:rFonts w:ascii="Arial" w:cs="Arial" w:eastAsia="Arial" w:hAnsi="Arial"/>
                <w:sz w:val="14"/>
                <w:szCs w:val="14"/>
                <w:b w:val="1"/>
                <w:bCs w:val="1"/>
                <w:color w:val="FEFEFE"/>
              </w:rPr>
              <w:t>Operating</w:t>
            </w:r>
          </w:p>
        </w:tc>
        <w:tc>
          <w:tcPr>
            <w:tcW w:w="1200" w:type="dxa"/>
            <w:vAlign w:val="bottom"/>
            <w:gridSpan w:val="2"/>
            <w:shd w:val="clear" w:color="auto" w:fill="56C271"/>
          </w:tcPr>
          <w:p>
            <w:pPr>
              <w:jc w:val="right"/>
              <w:ind w:right="136"/>
              <w:spacing w:after="0"/>
              <w:rPr>
                <w:sz w:val="20"/>
                <w:szCs w:val="20"/>
                <w:color w:val="auto"/>
              </w:rPr>
            </w:pPr>
            <w:r>
              <w:rPr>
                <w:rFonts w:ascii="Arial" w:cs="Arial" w:eastAsia="Arial" w:hAnsi="Arial"/>
                <w:sz w:val="14"/>
                <w:szCs w:val="14"/>
                <w:b w:val="1"/>
                <w:bCs w:val="1"/>
                <w:color w:val="FEFEFE"/>
              </w:rPr>
              <w:t>Operations</w:t>
            </w:r>
          </w:p>
        </w:tc>
        <w:tc>
          <w:tcPr>
            <w:tcW w:w="940" w:type="dxa"/>
            <w:vAlign w:val="bottom"/>
            <w:gridSpan w:val="3"/>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Continuing</w:t>
            </w:r>
          </w:p>
        </w:tc>
      </w:tr>
      <w:tr>
        <w:trPr>
          <w:trHeight w:val="189"/>
        </w:trPr>
        <w:tc>
          <w:tcPr>
            <w:tcW w:w="4940" w:type="dxa"/>
            <w:vAlign w:val="bottom"/>
            <w:shd w:val="clear" w:color="auto" w:fill="56C271"/>
          </w:tcPr>
          <w:p>
            <w:pPr>
              <w:spacing w:after="0"/>
              <w:rPr>
                <w:sz w:val="16"/>
                <w:szCs w:val="16"/>
                <w:color w:val="auto"/>
              </w:rPr>
            </w:pPr>
          </w:p>
        </w:tc>
        <w:tc>
          <w:tcPr>
            <w:tcW w:w="160" w:type="dxa"/>
            <w:vAlign w:val="bottom"/>
            <w:shd w:val="clear" w:color="auto" w:fill="56C271"/>
          </w:tcPr>
          <w:p>
            <w:pPr>
              <w:spacing w:after="0"/>
              <w:rPr>
                <w:sz w:val="16"/>
                <w:szCs w:val="16"/>
                <w:color w:val="auto"/>
              </w:rPr>
            </w:pPr>
          </w:p>
        </w:tc>
        <w:tc>
          <w:tcPr>
            <w:tcW w:w="160" w:type="dxa"/>
            <w:vAlign w:val="bottom"/>
            <w:shd w:val="clear" w:color="auto" w:fill="56C271"/>
          </w:tcPr>
          <w:p>
            <w:pPr>
              <w:spacing w:after="0"/>
              <w:rPr>
                <w:sz w:val="16"/>
                <w:szCs w:val="16"/>
                <w:color w:val="auto"/>
              </w:rPr>
            </w:pPr>
          </w:p>
        </w:tc>
        <w:tc>
          <w:tcPr>
            <w:tcW w:w="480" w:type="dxa"/>
            <w:vAlign w:val="bottom"/>
            <w:shd w:val="clear" w:color="auto" w:fill="56C271"/>
          </w:tcPr>
          <w:p>
            <w:pPr>
              <w:spacing w:after="0"/>
              <w:rPr>
                <w:sz w:val="16"/>
                <w:szCs w:val="16"/>
                <w:color w:val="auto"/>
              </w:rPr>
            </w:pPr>
          </w:p>
        </w:tc>
        <w:tc>
          <w:tcPr>
            <w:tcW w:w="880" w:type="dxa"/>
            <w:vAlign w:val="bottom"/>
            <w:shd w:val="clear" w:color="auto" w:fill="56C271"/>
          </w:tcPr>
          <w:p>
            <w:pPr>
              <w:jc w:val="right"/>
              <w:ind w:right="20"/>
              <w:spacing w:after="0"/>
              <w:rPr>
                <w:sz w:val="20"/>
                <w:szCs w:val="20"/>
                <w:color w:val="auto"/>
              </w:rPr>
            </w:pPr>
            <w:r>
              <w:rPr>
                <w:rFonts w:ascii="Arial" w:cs="Arial" w:eastAsia="Arial" w:hAnsi="Arial"/>
                <w:sz w:val="14"/>
                <w:szCs w:val="14"/>
                <w:b w:val="1"/>
                <w:bCs w:val="1"/>
                <w:color w:val="FEFEFE"/>
              </w:rPr>
              <w:t>Loss</w:t>
            </w:r>
          </w:p>
        </w:tc>
        <w:tc>
          <w:tcPr>
            <w:tcW w:w="300" w:type="dxa"/>
            <w:vAlign w:val="bottom"/>
            <w:shd w:val="clear" w:color="auto" w:fill="56C271"/>
          </w:tcPr>
          <w:p>
            <w:pPr>
              <w:spacing w:after="0"/>
              <w:rPr>
                <w:sz w:val="16"/>
                <w:szCs w:val="16"/>
                <w:color w:val="auto"/>
              </w:rPr>
            </w:pPr>
          </w:p>
        </w:tc>
        <w:tc>
          <w:tcPr>
            <w:tcW w:w="900" w:type="dxa"/>
            <w:vAlign w:val="bottom"/>
            <w:shd w:val="clear" w:color="auto" w:fill="56C271"/>
          </w:tcPr>
          <w:p>
            <w:pPr>
              <w:jc w:val="right"/>
              <w:ind w:right="96"/>
              <w:spacing w:after="0"/>
              <w:rPr>
                <w:sz w:val="20"/>
                <w:szCs w:val="20"/>
                <w:color w:val="auto"/>
              </w:rPr>
            </w:pPr>
            <w:r>
              <w:rPr>
                <w:rFonts w:ascii="Arial" w:cs="Arial" w:eastAsia="Arial" w:hAnsi="Arial"/>
                <w:sz w:val="14"/>
                <w:szCs w:val="14"/>
                <w:b w:val="1"/>
                <w:bCs w:val="1"/>
                <w:color w:val="FEFEFE"/>
                <w:w w:val="97"/>
              </w:rPr>
              <w:t>(net of tax)</w:t>
            </w:r>
          </w:p>
        </w:tc>
        <w:tc>
          <w:tcPr>
            <w:tcW w:w="940" w:type="dxa"/>
            <w:vAlign w:val="bottom"/>
            <w:gridSpan w:val="3"/>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Operations</w:t>
            </w:r>
          </w:p>
        </w:tc>
      </w:tr>
      <w:tr>
        <w:trPr>
          <w:trHeight w:val="216"/>
        </w:trPr>
        <w:tc>
          <w:tcPr>
            <w:tcW w:w="4940" w:type="dxa"/>
            <w:vAlign w:val="bottom"/>
            <w:shd w:val="clear" w:color="auto" w:fill="56C271"/>
          </w:tcPr>
          <w:p>
            <w:pPr>
              <w:spacing w:after="0"/>
              <w:rPr>
                <w:sz w:val="18"/>
                <w:szCs w:val="18"/>
                <w:color w:val="auto"/>
              </w:rPr>
            </w:pPr>
          </w:p>
        </w:tc>
        <w:tc>
          <w:tcPr>
            <w:tcW w:w="160" w:type="dxa"/>
            <w:vAlign w:val="bottom"/>
            <w:shd w:val="clear" w:color="auto" w:fill="56C271"/>
          </w:tcPr>
          <w:p>
            <w:pPr>
              <w:spacing w:after="0"/>
              <w:rPr>
                <w:sz w:val="18"/>
                <w:szCs w:val="18"/>
                <w:color w:val="auto"/>
              </w:rPr>
            </w:pPr>
          </w:p>
        </w:tc>
        <w:tc>
          <w:tcPr>
            <w:tcW w:w="160" w:type="dxa"/>
            <w:vAlign w:val="bottom"/>
            <w:shd w:val="clear" w:color="auto" w:fill="56C271"/>
          </w:tcPr>
          <w:p>
            <w:pPr>
              <w:spacing w:after="0"/>
              <w:rPr>
                <w:sz w:val="18"/>
                <w:szCs w:val="18"/>
                <w:color w:val="auto"/>
              </w:rPr>
            </w:pPr>
          </w:p>
        </w:tc>
        <w:tc>
          <w:tcPr>
            <w:tcW w:w="480" w:type="dxa"/>
            <w:vAlign w:val="bottom"/>
            <w:shd w:val="clear" w:color="auto" w:fill="56C271"/>
          </w:tcPr>
          <w:p>
            <w:pPr>
              <w:spacing w:after="0"/>
              <w:rPr>
                <w:sz w:val="18"/>
                <w:szCs w:val="18"/>
                <w:color w:val="auto"/>
              </w:rPr>
            </w:pPr>
          </w:p>
        </w:tc>
        <w:tc>
          <w:tcPr>
            <w:tcW w:w="3020" w:type="dxa"/>
            <w:vAlign w:val="bottom"/>
            <w:gridSpan w:val="6"/>
            <w:shd w:val="clear" w:color="auto" w:fill="56C271"/>
          </w:tcPr>
          <w:p>
            <w:pPr>
              <w:ind w:left="620"/>
              <w:spacing w:after="0"/>
              <w:rPr>
                <w:sz w:val="20"/>
                <w:szCs w:val="20"/>
                <w:color w:val="auto"/>
              </w:rPr>
            </w:pPr>
            <w:r>
              <w:rPr>
                <w:rFonts w:ascii="Arial" w:cs="Arial" w:eastAsia="Arial" w:hAnsi="Arial"/>
                <w:sz w:val="14"/>
                <w:szCs w:val="14"/>
                <w:b w:val="1"/>
                <w:bCs w:val="1"/>
                <w:color w:val="FEFEFE"/>
              </w:rPr>
              <w:t>(thousands except per share data)</w:t>
            </w:r>
          </w:p>
        </w:tc>
      </w:tr>
      <w:tr>
        <w:trPr>
          <w:trHeight w:val="270"/>
        </w:trPr>
        <w:tc>
          <w:tcPr>
            <w:tcW w:w="4940" w:type="dxa"/>
            <w:vAlign w:val="bottom"/>
          </w:tcPr>
          <w:p>
            <w:pPr>
              <w:ind w:left="100"/>
              <w:spacing w:after="0"/>
              <w:rPr>
                <w:sz w:val="20"/>
                <w:szCs w:val="20"/>
                <w:color w:val="auto"/>
              </w:rPr>
            </w:pPr>
            <w:r>
              <w:rPr>
                <w:rFonts w:ascii="Arial" w:cs="Arial" w:eastAsia="Arial" w:hAnsi="Arial"/>
                <w:sz w:val="18"/>
                <w:szCs w:val="18"/>
                <w:b w:val="1"/>
                <w:bCs w:val="1"/>
                <w:color w:val="auto"/>
              </w:rPr>
              <w:t>GAAP results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  (4,628)</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b w:val="1"/>
                <w:bCs w:val="1"/>
                <w:color w:val="auto"/>
              </w:rPr>
              <w:t>(29,533)</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(0.29)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9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160" w:type="dxa"/>
            <w:vAlign w:val="bottom"/>
            <w:shd w:val="clear" w:color="auto" w:fill="CCEDD4"/>
          </w:tcPr>
          <w:p>
            <w:pPr>
              <w:spacing w:after="0"/>
              <w:rPr>
                <w:sz w:val="23"/>
                <w:szCs w:val="23"/>
                <w:color w:val="auto"/>
              </w:rPr>
            </w:pPr>
          </w:p>
        </w:tc>
        <w:tc>
          <w:tcPr>
            <w:tcW w:w="160" w:type="dxa"/>
            <w:vAlign w:val="bottom"/>
            <w:shd w:val="clear" w:color="auto" w:fill="CCEDD4"/>
          </w:tcPr>
          <w:p>
            <w:pPr>
              <w:spacing w:after="0"/>
              <w:rPr>
                <w:sz w:val="23"/>
                <w:szCs w:val="23"/>
                <w:color w:val="auto"/>
              </w:rPr>
            </w:pPr>
          </w:p>
        </w:tc>
        <w:tc>
          <w:tcPr>
            <w:tcW w:w="136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81,870</w:t>
            </w:r>
          </w:p>
        </w:tc>
        <w:tc>
          <w:tcPr>
            <w:tcW w:w="300" w:type="dxa"/>
            <w:vAlign w:val="bottom"/>
            <w:shd w:val="clear" w:color="auto" w:fill="CCEDD4"/>
          </w:tcPr>
          <w:p>
            <w:pPr>
              <w:spacing w:after="0"/>
              <w:rPr>
                <w:sz w:val="23"/>
                <w:szCs w:val="23"/>
                <w:color w:val="auto"/>
              </w:rPr>
            </w:pPr>
          </w:p>
        </w:tc>
        <w:tc>
          <w:tcPr>
            <w:tcW w:w="900" w:type="dxa"/>
            <w:vAlign w:val="bottom"/>
            <w:shd w:val="clear" w:color="auto" w:fill="CCEDD4"/>
          </w:tcPr>
          <w:p>
            <w:pPr>
              <w:jc w:val="right"/>
              <w:ind w:right="96"/>
              <w:spacing w:after="0"/>
              <w:rPr>
                <w:sz w:val="20"/>
                <w:szCs w:val="20"/>
                <w:color w:val="auto"/>
              </w:rPr>
            </w:pPr>
            <w:r>
              <w:rPr>
                <w:rFonts w:ascii="Arial" w:cs="Arial" w:eastAsia="Arial" w:hAnsi="Arial"/>
                <w:sz w:val="18"/>
                <w:szCs w:val="18"/>
                <w:color w:val="auto"/>
              </w:rPr>
              <w:t>63,222</w:t>
            </w:r>
          </w:p>
        </w:tc>
        <w:tc>
          <w:tcPr>
            <w:tcW w:w="8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0.63</w:t>
            </w:r>
          </w:p>
        </w:tc>
        <w:tc>
          <w:tcPr>
            <w:tcW w:w="40" w:type="dxa"/>
            <w:vAlign w:val="bottom"/>
            <w:shd w:val="clear" w:color="auto" w:fill="CCEDD4"/>
          </w:tcPr>
          <w:p>
            <w:pPr>
              <w:spacing w:after="0"/>
              <w:rPr>
                <w:sz w:val="23"/>
                <w:szCs w:val="23"/>
                <w:color w:val="auto"/>
              </w:rPr>
            </w:pPr>
          </w:p>
        </w:tc>
        <w:tc>
          <w:tcPr>
            <w:tcW w:w="80" w:type="dxa"/>
            <w:vAlign w:val="bottom"/>
            <w:shd w:val="clear" w:color="auto" w:fill="CCEDD4"/>
          </w:tcPr>
          <w:p>
            <w:pPr>
              <w:spacing w:after="0"/>
              <w:rPr>
                <w:sz w:val="23"/>
                <w:szCs w:val="23"/>
                <w:color w:val="auto"/>
              </w:rPr>
            </w:pPr>
          </w:p>
        </w:tc>
      </w:tr>
      <w:tr>
        <w:trPr>
          <w:trHeight w:val="270"/>
        </w:trPr>
        <w:tc>
          <w:tcPr>
            <w:tcW w:w="4940" w:type="dxa"/>
            <w:vAlign w:val="bottom"/>
          </w:tcPr>
          <w:p>
            <w:pPr>
              <w:ind w:left="100"/>
              <w:spacing w:after="0"/>
              <w:rPr>
                <w:sz w:val="20"/>
                <w:szCs w:val="20"/>
                <w:color w:val="auto"/>
              </w:rPr>
            </w:pPr>
            <w:r>
              <w:rPr>
                <w:rFonts w:ascii="Arial" w:cs="Arial" w:eastAsia="Arial" w:hAnsi="Arial"/>
                <w:sz w:val="18"/>
                <w:szCs w:val="18"/>
                <w:color w:val="auto"/>
              </w:rPr>
              <w:t>Amortization of intangible assets and other</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81,555</w:t>
            </w:r>
          </w:p>
        </w:tc>
        <w:tc>
          <w:tcPr>
            <w:tcW w:w="300" w:type="dxa"/>
            <w:vAlign w:val="bottom"/>
          </w:tcPr>
          <w:p>
            <w:pPr>
              <w:spacing w:after="0"/>
              <w:rPr>
                <w:sz w:val="23"/>
                <w:szCs w:val="23"/>
                <w:color w:val="auto"/>
              </w:rPr>
            </w:pP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65,436</w:t>
            </w:r>
          </w:p>
        </w:tc>
        <w:tc>
          <w:tcPr>
            <w:tcW w:w="820" w:type="dxa"/>
            <w:vAlign w:val="bottom"/>
          </w:tcPr>
          <w:p>
            <w:pPr>
              <w:jc w:val="right"/>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9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Goodwill and intangible asset impairment expenses</w:t>
            </w:r>
          </w:p>
        </w:tc>
        <w:tc>
          <w:tcPr>
            <w:tcW w:w="160" w:type="dxa"/>
            <w:vAlign w:val="bottom"/>
            <w:shd w:val="clear" w:color="auto" w:fill="CCEDD4"/>
          </w:tcPr>
          <w:p>
            <w:pPr>
              <w:spacing w:after="0"/>
              <w:rPr>
                <w:sz w:val="23"/>
                <w:szCs w:val="23"/>
                <w:color w:val="auto"/>
              </w:rPr>
            </w:pPr>
          </w:p>
        </w:tc>
        <w:tc>
          <w:tcPr>
            <w:tcW w:w="160" w:type="dxa"/>
            <w:vAlign w:val="bottom"/>
            <w:shd w:val="clear" w:color="auto" w:fill="CCEDD4"/>
          </w:tcPr>
          <w:p>
            <w:pPr>
              <w:spacing w:after="0"/>
              <w:rPr>
                <w:sz w:val="23"/>
                <w:szCs w:val="23"/>
                <w:color w:val="auto"/>
              </w:rPr>
            </w:pPr>
          </w:p>
        </w:tc>
        <w:tc>
          <w:tcPr>
            <w:tcW w:w="136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144,092</w:t>
            </w:r>
          </w:p>
        </w:tc>
        <w:tc>
          <w:tcPr>
            <w:tcW w:w="300" w:type="dxa"/>
            <w:vAlign w:val="bottom"/>
            <w:shd w:val="clear" w:color="auto" w:fill="CCEDD4"/>
          </w:tcPr>
          <w:p>
            <w:pPr>
              <w:spacing w:after="0"/>
              <w:rPr>
                <w:sz w:val="23"/>
                <w:szCs w:val="23"/>
                <w:color w:val="auto"/>
              </w:rPr>
            </w:pPr>
          </w:p>
        </w:tc>
        <w:tc>
          <w:tcPr>
            <w:tcW w:w="900" w:type="dxa"/>
            <w:vAlign w:val="bottom"/>
            <w:shd w:val="clear" w:color="auto" w:fill="CCEDD4"/>
          </w:tcPr>
          <w:p>
            <w:pPr>
              <w:jc w:val="right"/>
              <w:ind w:right="96"/>
              <w:spacing w:after="0"/>
              <w:rPr>
                <w:sz w:val="20"/>
                <w:szCs w:val="20"/>
                <w:color w:val="auto"/>
              </w:rPr>
            </w:pPr>
            <w:r>
              <w:rPr>
                <w:rFonts w:ascii="Arial" w:cs="Arial" w:eastAsia="Arial" w:hAnsi="Arial"/>
                <w:sz w:val="18"/>
                <w:szCs w:val="18"/>
                <w:color w:val="auto"/>
              </w:rPr>
              <w:t>137,659</w:t>
            </w:r>
          </w:p>
        </w:tc>
        <w:tc>
          <w:tcPr>
            <w:tcW w:w="8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1.37</w:t>
            </w:r>
          </w:p>
        </w:tc>
        <w:tc>
          <w:tcPr>
            <w:tcW w:w="40" w:type="dxa"/>
            <w:vAlign w:val="bottom"/>
            <w:shd w:val="clear" w:color="auto" w:fill="CCEDD4"/>
          </w:tcPr>
          <w:p>
            <w:pPr>
              <w:spacing w:after="0"/>
              <w:rPr>
                <w:sz w:val="23"/>
                <w:szCs w:val="23"/>
                <w:color w:val="auto"/>
              </w:rPr>
            </w:pPr>
          </w:p>
        </w:tc>
        <w:tc>
          <w:tcPr>
            <w:tcW w:w="80" w:type="dxa"/>
            <w:vAlign w:val="bottom"/>
            <w:shd w:val="clear" w:color="auto" w:fill="CCEDD4"/>
          </w:tcPr>
          <w:p>
            <w:pPr>
              <w:spacing w:after="0"/>
              <w:rPr>
                <w:sz w:val="23"/>
                <w:szCs w:val="23"/>
                <w:color w:val="auto"/>
              </w:rPr>
            </w:pPr>
          </w:p>
        </w:tc>
      </w:tr>
      <w:tr>
        <w:trPr>
          <w:trHeight w:val="270"/>
        </w:trPr>
        <w:tc>
          <w:tcPr>
            <w:tcW w:w="4940" w:type="dxa"/>
            <w:vAlign w:val="bottom"/>
          </w:tcPr>
          <w:p>
            <w:pPr>
              <w:ind w:left="100"/>
              <w:spacing w:after="0"/>
              <w:rPr>
                <w:sz w:val="20"/>
                <w:szCs w:val="20"/>
                <w:color w:val="auto"/>
              </w:rPr>
            </w:pPr>
            <w:r>
              <w:rPr>
                <w:rFonts w:ascii="Arial" w:cs="Arial" w:eastAsia="Arial" w:hAnsi="Arial"/>
                <w:sz w:val="18"/>
                <w:szCs w:val="18"/>
                <w:color w:val="auto"/>
              </w:rPr>
              <w:t>Other special charge expenses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15,344</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9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Income tax adjustments</w:t>
            </w:r>
          </w:p>
        </w:tc>
        <w:tc>
          <w:tcPr>
            <w:tcW w:w="160" w:type="dxa"/>
            <w:vAlign w:val="bottom"/>
            <w:shd w:val="clear" w:color="auto" w:fill="CCEDD4"/>
          </w:tcPr>
          <w:p>
            <w:pPr>
              <w:spacing w:after="0"/>
              <w:rPr>
                <w:sz w:val="23"/>
                <w:szCs w:val="23"/>
                <w:color w:val="auto"/>
              </w:rPr>
            </w:pPr>
          </w:p>
        </w:tc>
        <w:tc>
          <w:tcPr>
            <w:tcW w:w="160" w:type="dxa"/>
            <w:vAlign w:val="bottom"/>
            <w:shd w:val="clear" w:color="auto" w:fill="CCEDD4"/>
          </w:tcPr>
          <w:p>
            <w:pPr>
              <w:spacing w:after="0"/>
              <w:rPr>
                <w:sz w:val="23"/>
                <w:szCs w:val="23"/>
                <w:color w:val="auto"/>
              </w:rPr>
            </w:pPr>
          </w:p>
        </w:tc>
        <w:tc>
          <w:tcPr>
            <w:tcW w:w="480" w:type="dxa"/>
            <w:vAlign w:val="bottom"/>
            <w:shd w:val="clear" w:color="auto" w:fill="CCEDD4"/>
          </w:tcPr>
          <w:p>
            <w:pPr>
              <w:spacing w:after="0"/>
              <w:rPr>
                <w:sz w:val="23"/>
                <w:szCs w:val="23"/>
                <w:color w:val="auto"/>
              </w:rPr>
            </w:pPr>
          </w:p>
        </w:tc>
        <w:tc>
          <w:tcPr>
            <w:tcW w:w="8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DD4"/>
          </w:tcPr>
          <w:p>
            <w:pPr>
              <w:spacing w:after="0"/>
              <w:rPr>
                <w:sz w:val="23"/>
                <w:szCs w:val="23"/>
                <w:color w:val="auto"/>
              </w:rPr>
            </w:pPr>
          </w:p>
        </w:tc>
        <w:tc>
          <w:tcPr>
            <w:tcW w:w="900" w:type="dxa"/>
            <w:vAlign w:val="bottom"/>
            <w:shd w:val="clear" w:color="auto" w:fill="CCEDD4"/>
          </w:tcPr>
          <w:p>
            <w:pPr>
              <w:jc w:val="right"/>
              <w:ind w:right="36"/>
              <w:spacing w:after="0"/>
              <w:rPr>
                <w:sz w:val="20"/>
                <w:szCs w:val="20"/>
                <w:color w:val="auto"/>
              </w:rPr>
            </w:pPr>
            <w:r>
              <w:rPr>
                <w:rFonts w:ascii="Arial" w:cs="Arial" w:eastAsia="Arial" w:hAnsi="Arial"/>
                <w:sz w:val="18"/>
                <w:szCs w:val="18"/>
                <w:color w:val="auto"/>
              </w:rPr>
              <w:t>(47,655)</w:t>
            </w:r>
          </w:p>
        </w:tc>
        <w:tc>
          <w:tcPr>
            <w:tcW w:w="8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(0.47)</w:t>
            </w:r>
          </w:p>
        </w:tc>
        <w:tc>
          <w:tcPr>
            <w:tcW w:w="40" w:type="dxa"/>
            <w:vAlign w:val="bottom"/>
            <w:shd w:val="clear" w:color="auto" w:fill="CCEDD4"/>
          </w:tcPr>
          <w:p>
            <w:pPr>
              <w:spacing w:after="0"/>
              <w:rPr>
                <w:sz w:val="23"/>
                <w:szCs w:val="23"/>
                <w:color w:val="auto"/>
              </w:rPr>
            </w:pPr>
          </w:p>
        </w:tc>
        <w:tc>
          <w:tcPr>
            <w:tcW w:w="80" w:type="dxa"/>
            <w:vAlign w:val="bottom"/>
            <w:shd w:val="clear" w:color="auto" w:fill="CCEDD4"/>
          </w:tcPr>
          <w:p>
            <w:pPr>
              <w:spacing w:after="0"/>
              <w:rPr>
                <w:sz w:val="23"/>
                <w:szCs w:val="23"/>
                <w:color w:val="auto"/>
              </w:rPr>
            </w:pPr>
          </w:p>
        </w:tc>
      </w:tr>
      <w:tr>
        <w:trPr>
          <w:trHeight w:val="270"/>
        </w:trPr>
        <w:tc>
          <w:tcPr>
            <w:tcW w:w="4940" w:type="dxa"/>
            <w:vAlign w:val="bottom"/>
          </w:tcPr>
          <w:p>
            <w:pPr>
              <w:ind w:left="100"/>
              <w:spacing w:after="0"/>
              <w:rPr>
                <w:sz w:val="20"/>
                <w:szCs w:val="20"/>
                <w:color w:val="auto"/>
              </w:rPr>
            </w:pPr>
            <w:r>
              <w:rPr>
                <w:rFonts w:ascii="Arial" w:cs="Arial" w:eastAsia="Arial" w:hAnsi="Arial"/>
                <w:sz w:val="18"/>
                <w:szCs w:val="18"/>
                <w:color w:val="auto"/>
              </w:rPr>
              <w:t>Total adjustments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307,517</w:t>
            </w:r>
          </w:p>
        </w:tc>
        <w:tc>
          <w:tcPr>
            <w:tcW w:w="300" w:type="dxa"/>
            <w:vAlign w:val="bottom"/>
          </w:tcPr>
          <w:p>
            <w:pPr>
              <w:spacing w:after="0"/>
              <w:rPr>
                <w:sz w:val="23"/>
                <w:szCs w:val="23"/>
                <w:color w:val="auto"/>
              </w:rPr>
            </w:pP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234,006</w:t>
            </w: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90"/>
        </w:trPr>
        <w:tc>
          <w:tcPr>
            <w:tcW w:w="4940" w:type="dxa"/>
            <w:vAlign w:val="bottom"/>
            <w:tcBorders>
              <w:bottom w:val="single" w:sz="8" w:color="CCEDD4"/>
            </w:tcBorders>
            <w:shd w:val="clear" w:color="auto" w:fill="CCEDD4"/>
          </w:tcPr>
          <w:p>
            <w:pPr>
              <w:ind w:left="100"/>
              <w:spacing w:after="0"/>
              <w:rPr>
                <w:sz w:val="20"/>
                <w:szCs w:val="20"/>
                <w:color w:val="auto"/>
              </w:rPr>
            </w:pPr>
            <w:r>
              <w:rPr>
                <w:rFonts w:ascii="Arial" w:cs="Arial" w:eastAsia="Arial" w:hAnsi="Arial"/>
                <w:sz w:val="18"/>
                <w:szCs w:val="18"/>
                <w:b w:val="1"/>
                <w:bCs w:val="1"/>
                <w:color w:val="auto"/>
              </w:rPr>
              <w:t>Adjusted non-GAAP results</w:t>
            </w:r>
          </w:p>
        </w:tc>
        <w:tc>
          <w:tcPr>
            <w:tcW w:w="160" w:type="dxa"/>
            <w:vAlign w:val="bottom"/>
            <w:tcBorders>
              <w:bottom w:val="single" w:sz="8" w:color="CCEDD4"/>
            </w:tcBorders>
            <w:shd w:val="clear" w:color="auto" w:fill="CCEDD4"/>
          </w:tcPr>
          <w:p>
            <w:pPr>
              <w:spacing w:after="0"/>
              <w:rPr>
                <w:sz w:val="24"/>
                <w:szCs w:val="24"/>
                <w:color w:val="auto"/>
              </w:rPr>
            </w:pPr>
          </w:p>
        </w:tc>
        <w:tc>
          <w:tcPr>
            <w:tcW w:w="160" w:type="dxa"/>
            <w:vAlign w:val="bottom"/>
            <w:tcBorders>
              <w:bottom w:val="single" w:sz="8" w:color="CCEDD4"/>
            </w:tcBorders>
            <w:shd w:val="clear" w:color="auto" w:fill="CCEDD4"/>
          </w:tcPr>
          <w:p>
            <w:pPr>
              <w:spacing w:after="0"/>
              <w:rPr>
                <w:sz w:val="24"/>
                <w:szCs w:val="24"/>
                <w:color w:val="auto"/>
              </w:rPr>
            </w:pPr>
          </w:p>
        </w:tc>
        <w:tc>
          <w:tcPr>
            <w:tcW w:w="1360" w:type="dxa"/>
            <w:vAlign w:val="bottom"/>
            <w:tcBorders>
              <w:bottom w:val="single" w:sz="8" w:color="CCEDD4"/>
            </w:tcBorders>
            <w:gridSpan w:val="2"/>
            <w:shd w:val="clear" w:color="auto" w:fill="CCEDD4"/>
          </w:tcPr>
          <w:p>
            <w:pPr>
              <w:jc w:val="right"/>
              <w:spacing w:after="0"/>
              <w:rPr>
                <w:sz w:val="20"/>
                <w:szCs w:val="20"/>
                <w:color w:val="auto"/>
              </w:rPr>
            </w:pPr>
            <w:r>
              <w:rPr>
                <w:rFonts w:ascii="Arial" w:cs="Arial" w:eastAsia="Arial" w:hAnsi="Arial"/>
                <w:sz w:val="18"/>
                <w:szCs w:val="18"/>
                <w:b w:val="1"/>
                <w:bCs w:val="1"/>
                <w:color w:val="auto"/>
              </w:rPr>
              <w:t>$302,889</w:t>
            </w:r>
          </w:p>
        </w:tc>
        <w:tc>
          <w:tcPr>
            <w:tcW w:w="30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DD4"/>
            </w:tcBorders>
            <w:shd w:val="clear" w:color="auto" w:fill="CCEDD4"/>
          </w:tcPr>
          <w:p>
            <w:pPr>
              <w:jc w:val="right"/>
              <w:ind w:right="96"/>
              <w:spacing w:after="0"/>
              <w:rPr>
                <w:sz w:val="20"/>
                <w:szCs w:val="20"/>
                <w:color w:val="auto"/>
              </w:rPr>
            </w:pPr>
            <w:r>
              <w:rPr>
                <w:rFonts w:ascii="Arial" w:cs="Arial" w:eastAsia="Arial" w:hAnsi="Arial"/>
                <w:sz w:val="18"/>
                <w:szCs w:val="18"/>
                <w:b w:val="1"/>
                <w:bCs w:val="1"/>
                <w:color w:val="auto"/>
              </w:rPr>
              <w:t>204,473</w:t>
            </w:r>
          </w:p>
        </w:tc>
        <w:tc>
          <w:tcPr>
            <w:tcW w:w="8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8"/>
                <w:szCs w:val="18"/>
                <w:b w:val="1"/>
                <w:bCs w:val="1"/>
                <w:color w:val="auto"/>
              </w:rPr>
              <w:t>$2.04</w:t>
            </w:r>
          </w:p>
        </w:tc>
        <w:tc>
          <w:tcPr>
            <w:tcW w:w="40" w:type="dxa"/>
            <w:vAlign w:val="bottom"/>
            <w:tcBorders>
              <w:bottom w:val="single" w:sz="8" w:color="CCEDD4"/>
            </w:tcBorders>
            <w:shd w:val="clear" w:color="auto" w:fill="CCEDD4"/>
          </w:tcPr>
          <w:p>
            <w:pPr>
              <w:spacing w:after="0"/>
              <w:rPr>
                <w:sz w:val="24"/>
                <w:szCs w:val="24"/>
                <w:color w:val="auto"/>
              </w:rPr>
            </w:pPr>
          </w:p>
        </w:tc>
        <w:tc>
          <w:tcPr>
            <w:tcW w:w="80" w:type="dxa"/>
            <w:vAlign w:val="bottom"/>
            <w:tcBorders>
              <w:bottom w:val="single" w:sz="8" w:color="CCEDD4"/>
            </w:tcBorders>
            <w:shd w:val="clear" w:color="auto" w:fill="CCEDD4"/>
          </w:tcPr>
          <w:p>
            <w:pPr>
              <w:spacing w:after="0"/>
              <w:rPr>
                <w:sz w:val="24"/>
                <w:szCs w:val="24"/>
                <w:color w:val="auto"/>
              </w:rPr>
            </w:pPr>
          </w:p>
        </w:tc>
      </w:tr>
      <w:tr>
        <w:trPr>
          <w:trHeight w:val="27"/>
        </w:trPr>
        <w:tc>
          <w:tcPr>
            <w:tcW w:w="4940" w:type="dxa"/>
            <w:vAlign w:val="bottom"/>
            <w:shd w:val="clear" w:color="auto" w:fill="56C271"/>
          </w:tcPr>
          <w:p>
            <w:pPr>
              <w:spacing w:after="0"/>
              <w:rPr>
                <w:sz w:val="2"/>
                <w:szCs w:val="2"/>
                <w:color w:val="auto"/>
              </w:rPr>
            </w:pPr>
          </w:p>
        </w:tc>
        <w:tc>
          <w:tcPr>
            <w:tcW w:w="160" w:type="dxa"/>
            <w:vAlign w:val="bottom"/>
            <w:shd w:val="clear" w:color="auto" w:fill="56C271"/>
          </w:tcPr>
          <w:p>
            <w:pPr>
              <w:spacing w:after="0"/>
              <w:rPr>
                <w:sz w:val="2"/>
                <w:szCs w:val="2"/>
                <w:color w:val="auto"/>
              </w:rPr>
            </w:pPr>
          </w:p>
        </w:tc>
        <w:tc>
          <w:tcPr>
            <w:tcW w:w="160" w:type="dxa"/>
            <w:vAlign w:val="bottom"/>
            <w:shd w:val="clear" w:color="auto" w:fill="56C271"/>
          </w:tcPr>
          <w:p>
            <w:pPr>
              <w:spacing w:after="0"/>
              <w:rPr>
                <w:sz w:val="2"/>
                <w:szCs w:val="2"/>
                <w:color w:val="auto"/>
              </w:rPr>
            </w:pPr>
          </w:p>
        </w:tc>
        <w:tc>
          <w:tcPr>
            <w:tcW w:w="480" w:type="dxa"/>
            <w:vAlign w:val="bottom"/>
            <w:shd w:val="clear" w:color="auto" w:fill="56C271"/>
          </w:tcPr>
          <w:p>
            <w:pPr>
              <w:spacing w:after="0"/>
              <w:rPr>
                <w:sz w:val="2"/>
                <w:szCs w:val="2"/>
                <w:color w:val="auto"/>
              </w:rPr>
            </w:pPr>
          </w:p>
        </w:tc>
        <w:tc>
          <w:tcPr>
            <w:tcW w:w="880" w:type="dxa"/>
            <w:vAlign w:val="bottom"/>
            <w:shd w:val="clear" w:color="auto" w:fill="56C271"/>
          </w:tcPr>
          <w:p>
            <w:pPr>
              <w:spacing w:after="0"/>
              <w:rPr>
                <w:sz w:val="2"/>
                <w:szCs w:val="2"/>
                <w:color w:val="auto"/>
              </w:rPr>
            </w:pPr>
          </w:p>
        </w:tc>
        <w:tc>
          <w:tcPr>
            <w:tcW w:w="300" w:type="dxa"/>
            <w:vAlign w:val="bottom"/>
            <w:shd w:val="clear" w:color="auto" w:fill="56C271"/>
          </w:tcPr>
          <w:p>
            <w:pPr>
              <w:spacing w:after="0"/>
              <w:rPr>
                <w:sz w:val="2"/>
                <w:szCs w:val="2"/>
                <w:color w:val="auto"/>
              </w:rPr>
            </w:pPr>
          </w:p>
        </w:tc>
        <w:tc>
          <w:tcPr>
            <w:tcW w:w="900" w:type="dxa"/>
            <w:vAlign w:val="bottom"/>
            <w:shd w:val="clear" w:color="auto" w:fill="56C271"/>
          </w:tcPr>
          <w:p>
            <w:pPr>
              <w:spacing w:after="0"/>
              <w:rPr>
                <w:sz w:val="2"/>
                <w:szCs w:val="2"/>
                <w:color w:val="auto"/>
              </w:rPr>
            </w:pPr>
          </w:p>
        </w:tc>
        <w:tc>
          <w:tcPr>
            <w:tcW w:w="820" w:type="dxa"/>
            <w:vAlign w:val="bottom"/>
            <w:shd w:val="clear" w:color="auto" w:fill="56C271"/>
          </w:tcPr>
          <w:p>
            <w:pPr>
              <w:spacing w:after="0"/>
              <w:rPr>
                <w:sz w:val="2"/>
                <w:szCs w:val="2"/>
                <w:color w:val="auto"/>
              </w:rPr>
            </w:pPr>
          </w:p>
        </w:tc>
        <w:tc>
          <w:tcPr>
            <w:tcW w:w="40" w:type="dxa"/>
            <w:vAlign w:val="bottom"/>
            <w:shd w:val="clear" w:color="auto" w:fill="56C271"/>
          </w:tcPr>
          <w:p>
            <w:pPr>
              <w:spacing w:after="0"/>
              <w:rPr>
                <w:sz w:val="2"/>
                <w:szCs w:val="2"/>
                <w:color w:val="auto"/>
              </w:rPr>
            </w:pPr>
          </w:p>
        </w:tc>
        <w:tc>
          <w:tcPr>
            <w:tcW w:w="80" w:type="dxa"/>
            <w:vAlign w:val="bottom"/>
            <w:shd w:val="clear" w:color="auto" w:fill="56C271"/>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5340" w:type="dxa"/>
            <w:vAlign w:val="bottom"/>
          </w:tcPr>
          <w:p>
            <w:pPr>
              <w:ind w:left="20"/>
              <w:spacing w:after="0"/>
              <w:rPr>
                <w:sz w:val="20"/>
                <w:szCs w:val="20"/>
                <w:color w:val="auto"/>
              </w:rPr>
            </w:pPr>
            <w:r>
              <w:rPr>
                <w:rFonts w:ascii="Arial" w:cs="Arial" w:eastAsia="Arial" w:hAnsi="Arial"/>
                <w:sz w:val="14"/>
                <w:szCs w:val="14"/>
                <w:b w:val="1"/>
                <w:bCs w:val="1"/>
                <w:color w:val="56C271"/>
              </w:rPr>
              <w:t>2021 ANNUAL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Appendix A</w:t>
            </w:r>
          </w:p>
        </w:tc>
        <w:tc>
          <w:tcPr>
            <w:tcW w:w="0" w:type="dxa"/>
            <w:vAlign w:val="bottom"/>
          </w:tcPr>
          <w:p>
            <w:pPr>
              <w:spacing w:after="0"/>
              <w:rPr>
                <w:sz w:val="1"/>
                <w:szCs w:val="1"/>
                <w:color w:val="auto"/>
              </w:rPr>
            </w:pPr>
          </w:p>
        </w:tc>
      </w:tr>
      <w:tr>
        <w:trPr>
          <w:trHeight w:val="108"/>
        </w:trPr>
        <w:tc>
          <w:tcPr>
            <w:tcW w:w="5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1"/>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56C271"/>
            </w:tcBorders>
            <w:shd w:val="clear" w:color="auto" w:fill="56C271"/>
          </w:tcPr>
          <w:p>
            <w:pPr>
              <w:spacing w:after="0"/>
              <w:rPr>
                <w:sz w:val="19"/>
                <w:szCs w:val="19"/>
                <w:color w:val="auto"/>
              </w:rPr>
            </w:pPr>
          </w:p>
        </w:tc>
        <w:tc>
          <w:tcPr>
            <w:tcW w:w="220" w:type="dxa"/>
            <w:vAlign w:val="bottom"/>
            <w:tcBorders>
              <w:bottom w:val="single" w:sz="8" w:color="56C271"/>
            </w:tcBorders>
            <w:shd w:val="clear" w:color="auto" w:fill="56C271"/>
          </w:tcPr>
          <w:p>
            <w:pPr>
              <w:spacing w:after="0"/>
              <w:rPr>
                <w:sz w:val="19"/>
                <w:szCs w:val="19"/>
                <w:color w:val="auto"/>
              </w:rPr>
            </w:pPr>
          </w:p>
        </w:tc>
        <w:tc>
          <w:tcPr>
            <w:tcW w:w="160" w:type="dxa"/>
            <w:vAlign w:val="bottom"/>
            <w:tcBorders>
              <w:bottom w:val="single" w:sz="8" w:color="auto"/>
            </w:tcBorders>
            <w:shd w:val="clear" w:color="auto" w:fill="56C271"/>
          </w:tcPr>
          <w:p>
            <w:pPr>
              <w:spacing w:after="0"/>
              <w:rPr>
                <w:sz w:val="19"/>
                <w:szCs w:val="19"/>
                <w:color w:val="auto"/>
              </w:rPr>
            </w:pPr>
          </w:p>
        </w:tc>
        <w:tc>
          <w:tcPr>
            <w:tcW w:w="800" w:type="dxa"/>
            <w:vAlign w:val="bottom"/>
            <w:tcBorders>
              <w:bottom w:val="single" w:sz="8" w:color="auto"/>
            </w:tcBorders>
            <w:shd w:val="clear" w:color="auto" w:fill="56C271"/>
          </w:tcPr>
          <w:p>
            <w:pPr>
              <w:spacing w:after="0"/>
              <w:rPr>
                <w:sz w:val="19"/>
                <w:szCs w:val="19"/>
                <w:color w:val="auto"/>
              </w:rPr>
            </w:pPr>
          </w:p>
        </w:tc>
        <w:tc>
          <w:tcPr>
            <w:tcW w:w="1240" w:type="dxa"/>
            <w:vAlign w:val="bottom"/>
            <w:tcBorders>
              <w:bottom w:val="single" w:sz="8" w:color="auto"/>
            </w:tcBorders>
            <w:gridSpan w:val="2"/>
            <w:shd w:val="clear" w:color="auto" w:fill="56C271"/>
          </w:tcPr>
          <w:p>
            <w:pPr>
              <w:jc w:val="right"/>
              <w:ind w:right="37"/>
              <w:spacing w:after="0"/>
              <w:rPr>
                <w:sz w:val="20"/>
                <w:szCs w:val="20"/>
                <w:color w:val="auto"/>
              </w:rPr>
            </w:pPr>
            <w:r>
              <w:rPr>
                <w:rFonts w:ascii="Arial" w:cs="Arial" w:eastAsia="Arial" w:hAnsi="Arial"/>
                <w:sz w:val="14"/>
                <w:szCs w:val="14"/>
                <w:b w:val="1"/>
                <w:bCs w:val="1"/>
                <w:color w:val="FEFEFE"/>
              </w:rPr>
              <w:t>Fiscal Year 2019</w:t>
            </w:r>
          </w:p>
        </w:tc>
        <w:tc>
          <w:tcPr>
            <w:tcW w:w="880" w:type="dxa"/>
            <w:vAlign w:val="bottom"/>
            <w:tcBorders>
              <w:bottom w:val="single" w:sz="8" w:color="auto"/>
            </w:tcBorders>
            <w:shd w:val="clear" w:color="auto" w:fill="56C271"/>
          </w:tcPr>
          <w:p>
            <w:pPr>
              <w:spacing w:after="0"/>
              <w:rPr>
                <w:sz w:val="19"/>
                <w:szCs w:val="19"/>
                <w:color w:val="auto"/>
              </w:rPr>
            </w:pPr>
          </w:p>
        </w:tc>
        <w:tc>
          <w:tcPr>
            <w:tcW w:w="120" w:type="dxa"/>
            <w:vAlign w:val="bottom"/>
            <w:tcBorders>
              <w:bottom w:val="single" w:sz="8" w:color="56C271"/>
            </w:tcBorders>
            <w:shd w:val="clear" w:color="auto" w:fill="56C271"/>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56C271"/>
          </w:tcPr>
          <w:p>
            <w:pPr>
              <w:spacing w:after="0"/>
              <w:rPr>
                <w:sz w:val="16"/>
                <w:szCs w:val="16"/>
                <w:color w:val="auto"/>
              </w:rPr>
            </w:pPr>
          </w:p>
        </w:tc>
        <w:tc>
          <w:tcPr>
            <w:tcW w:w="220" w:type="dxa"/>
            <w:vAlign w:val="bottom"/>
            <w:shd w:val="clear" w:color="auto" w:fill="56C271"/>
          </w:tcPr>
          <w:p>
            <w:pPr>
              <w:spacing w:after="0"/>
              <w:rPr>
                <w:sz w:val="16"/>
                <w:szCs w:val="16"/>
                <w:color w:val="auto"/>
              </w:rPr>
            </w:pPr>
          </w:p>
        </w:tc>
        <w:tc>
          <w:tcPr>
            <w:tcW w:w="160" w:type="dxa"/>
            <w:vAlign w:val="bottom"/>
            <w:shd w:val="clear" w:color="auto" w:fill="56C271"/>
          </w:tcPr>
          <w:p>
            <w:pPr>
              <w:spacing w:after="0"/>
              <w:rPr>
                <w:sz w:val="16"/>
                <w:szCs w:val="16"/>
                <w:color w:val="auto"/>
              </w:rPr>
            </w:pPr>
          </w:p>
        </w:tc>
        <w:tc>
          <w:tcPr>
            <w:tcW w:w="800" w:type="dxa"/>
            <w:vAlign w:val="bottom"/>
            <w:shd w:val="clear" w:color="auto" w:fill="56C271"/>
          </w:tcPr>
          <w:p>
            <w:pPr>
              <w:spacing w:after="0"/>
              <w:rPr>
                <w:sz w:val="16"/>
                <w:szCs w:val="16"/>
                <w:color w:val="auto"/>
              </w:rPr>
            </w:pPr>
          </w:p>
        </w:tc>
        <w:tc>
          <w:tcPr>
            <w:tcW w:w="320" w:type="dxa"/>
            <w:vAlign w:val="bottom"/>
            <w:shd w:val="clear" w:color="auto" w:fill="56C271"/>
          </w:tcPr>
          <w:p>
            <w:pPr>
              <w:spacing w:after="0"/>
              <w:rPr>
                <w:sz w:val="16"/>
                <w:szCs w:val="16"/>
                <w:color w:val="auto"/>
              </w:rPr>
            </w:pPr>
          </w:p>
        </w:tc>
        <w:tc>
          <w:tcPr>
            <w:tcW w:w="920" w:type="dxa"/>
            <w:vAlign w:val="bottom"/>
            <w:shd w:val="clear" w:color="auto" w:fill="56C271"/>
          </w:tcPr>
          <w:p>
            <w:pPr>
              <w:spacing w:after="0"/>
              <w:rPr>
                <w:sz w:val="16"/>
                <w:szCs w:val="16"/>
                <w:color w:val="auto"/>
              </w:rPr>
            </w:pPr>
          </w:p>
        </w:tc>
        <w:tc>
          <w:tcPr>
            <w:tcW w:w="1000" w:type="dxa"/>
            <w:vAlign w:val="bottom"/>
            <w:gridSpan w:val="2"/>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Diluted</w:t>
            </w:r>
          </w:p>
        </w:tc>
        <w:tc>
          <w:tcPr>
            <w:tcW w:w="0" w:type="dxa"/>
            <w:vAlign w:val="bottom"/>
          </w:tcPr>
          <w:p>
            <w:pPr>
              <w:spacing w:after="0"/>
              <w:rPr>
                <w:sz w:val="1"/>
                <w:szCs w:val="1"/>
                <w:color w:val="auto"/>
              </w:rPr>
            </w:pPr>
          </w:p>
        </w:tc>
      </w:tr>
      <w:tr>
        <w:trPr>
          <w:trHeight w:val="162"/>
        </w:trPr>
        <w:tc>
          <w:tcPr>
            <w:tcW w:w="5340" w:type="dxa"/>
            <w:vAlign w:val="bottom"/>
            <w:shd w:val="clear" w:color="auto" w:fill="56C271"/>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c>
          <w:tcPr>
            <w:tcW w:w="32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77"/>
              <w:spacing w:after="0"/>
              <w:rPr>
                <w:sz w:val="20"/>
                <w:szCs w:val="20"/>
                <w:color w:val="auto"/>
              </w:rPr>
            </w:pPr>
            <w:r>
              <w:rPr>
                <w:rFonts w:ascii="Arial" w:cs="Arial" w:eastAsia="Arial" w:hAnsi="Arial"/>
                <w:sz w:val="14"/>
                <w:szCs w:val="14"/>
                <w:b w:val="1"/>
                <w:bCs w:val="1"/>
                <w:color w:val="FEFEFE"/>
              </w:rPr>
              <w:t>Income</w:t>
            </w:r>
          </w:p>
        </w:tc>
        <w:tc>
          <w:tcPr>
            <w:tcW w:w="1000" w:type="dxa"/>
            <w:vAlign w:val="bottom"/>
            <w:gridSpan w:val="2"/>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Earnings</w:t>
            </w:r>
          </w:p>
        </w:tc>
        <w:tc>
          <w:tcPr>
            <w:tcW w:w="0" w:type="dxa"/>
            <w:vAlign w:val="bottom"/>
          </w:tcPr>
          <w:p>
            <w:pPr>
              <w:spacing w:after="0"/>
              <w:rPr>
                <w:sz w:val="1"/>
                <w:szCs w:val="1"/>
                <w:color w:val="auto"/>
              </w:rPr>
            </w:pPr>
          </w:p>
        </w:tc>
      </w:tr>
      <w:tr>
        <w:trPr>
          <w:trHeight w:val="162"/>
        </w:trPr>
        <w:tc>
          <w:tcPr>
            <w:tcW w:w="5340" w:type="dxa"/>
            <w:vAlign w:val="bottom"/>
            <w:shd w:val="clear" w:color="auto" w:fill="56C271"/>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c>
          <w:tcPr>
            <w:tcW w:w="32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77"/>
              <w:spacing w:after="0"/>
              <w:rPr>
                <w:sz w:val="20"/>
                <w:szCs w:val="20"/>
                <w:color w:val="auto"/>
              </w:rPr>
            </w:pPr>
            <w:r>
              <w:rPr>
                <w:rFonts w:ascii="Arial" w:cs="Arial" w:eastAsia="Arial" w:hAnsi="Arial"/>
                <w:sz w:val="14"/>
                <w:szCs w:val="14"/>
                <w:b w:val="1"/>
                <w:bCs w:val="1"/>
                <w:color w:val="FEFEFE"/>
              </w:rPr>
              <w:t>from</w:t>
            </w:r>
          </w:p>
        </w:tc>
        <w:tc>
          <w:tcPr>
            <w:tcW w:w="1000" w:type="dxa"/>
            <w:vAlign w:val="bottom"/>
            <w:gridSpan w:val="2"/>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Per Share</w:t>
            </w:r>
          </w:p>
        </w:tc>
        <w:tc>
          <w:tcPr>
            <w:tcW w:w="0" w:type="dxa"/>
            <w:vAlign w:val="bottom"/>
          </w:tcPr>
          <w:p>
            <w:pPr>
              <w:spacing w:after="0"/>
              <w:rPr>
                <w:sz w:val="1"/>
                <w:szCs w:val="1"/>
                <w:color w:val="auto"/>
              </w:rPr>
            </w:pPr>
          </w:p>
        </w:tc>
      </w:tr>
      <w:tr>
        <w:trPr>
          <w:trHeight w:val="162"/>
        </w:trPr>
        <w:tc>
          <w:tcPr>
            <w:tcW w:w="5340" w:type="dxa"/>
            <w:vAlign w:val="bottom"/>
            <w:shd w:val="clear" w:color="auto" w:fill="56C271"/>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800" w:type="dxa"/>
            <w:vAlign w:val="bottom"/>
            <w:shd w:val="clear" w:color="auto" w:fill="56C271"/>
          </w:tcPr>
          <w:p>
            <w:pPr>
              <w:spacing w:after="0"/>
              <w:rPr>
                <w:sz w:val="14"/>
                <w:szCs w:val="14"/>
                <w:color w:val="auto"/>
              </w:rPr>
            </w:pPr>
          </w:p>
        </w:tc>
        <w:tc>
          <w:tcPr>
            <w:tcW w:w="32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77"/>
              <w:spacing w:after="0"/>
              <w:rPr>
                <w:sz w:val="20"/>
                <w:szCs w:val="20"/>
                <w:color w:val="auto"/>
              </w:rPr>
            </w:pPr>
            <w:r>
              <w:rPr>
                <w:rFonts w:ascii="Arial" w:cs="Arial" w:eastAsia="Arial" w:hAnsi="Arial"/>
                <w:sz w:val="14"/>
                <w:szCs w:val="14"/>
                <w:b w:val="1"/>
                <w:bCs w:val="1"/>
                <w:color w:val="FEFEFE"/>
              </w:rPr>
              <w:t>Continuing</w:t>
            </w:r>
          </w:p>
        </w:tc>
        <w:tc>
          <w:tcPr>
            <w:tcW w:w="1000" w:type="dxa"/>
            <w:vAlign w:val="bottom"/>
            <w:gridSpan w:val="2"/>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from</w:t>
            </w:r>
          </w:p>
        </w:tc>
        <w:tc>
          <w:tcPr>
            <w:tcW w:w="0" w:type="dxa"/>
            <w:vAlign w:val="bottom"/>
          </w:tcPr>
          <w:p>
            <w:pPr>
              <w:spacing w:after="0"/>
              <w:rPr>
                <w:sz w:val="1"/>
                <w:szCs w:val="1"/>
                <w:color w:val="auto"/>
              </w:rPr>
            </w:pPr>
          </w:p>
        </w:tc>
      </w:tr>
      <w:tr>
        <w:trPr>
          <w:trHeight w:val="162"/>
        </w:trPr>
        <w:tc>
          <w:tcPr>
            <w:tcW w:w="5340" w:type="dxa"/>
            <w:vAlign w:val="bottom"/>
            <w:shd w:val="clear" w:color="auto" w:fill="56C271"/>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8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Operating</w:t>
            </w:r>
          </w:p>
        </w:tc>
        <w:tc>
          <w:tcPr>
            <w:tcW w:w="32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77"/>
              <w:spacing w:after="0"/>
              <w:rPr>
                <w:sz w:val="20"/>
                <w:szCs w:val="20"/>
                <w:color w:val="auto"/>
              </w:rPr>
            </w:pPr>
            <w:r>
              <w:rPr>
                <w:rFonts w:ascii="Arial" w:cs="Arial" w:eastAsia="Arial" w:hAnsi="Arial"/>
                <w:sz w:val="14"/>
                <w:szCs w:val="14"/>
                <w:b w:val="1"/>
                <w:bCs w:val="1"/>
                <w:color w:val="FEFEFE"/>
              </w:rPr>
              <w:t>Operations</w:t>
            </w:r>
          </w:p>
        </w:tc>
        <w:tc>
          <w:tcPr>
            <w:tcW w:w="1000" w:type="dxa"/>
            <w:vAlign w:val="bottom"/>
            <w:gridSpan w:val="2"/>
            <w:shd w:val="clear" w:color="auto" w:fill="56C271"/>
          </w:tcPr>
          <w:p>
            <w:pPr>
              <w:jc w:val="right"/>
              <w:ind w:right="160"/>
              <w:spacing w:after="0"/>
              <w:rPr>
                <w:sz w:val="20"/>
                <w:szCs w:val="20"/>
                <w:color w:val="auto"/>
              </w:rPr>
            </w:pPr>
            <w:r>
              <w:rPr>
                <w:rFonts w:ascii="Arial" w:cs="Arial" w:eastAsia="Arial" w:hAnsi="Arial"/>
                <w:sz w:val="14"/>
                <w:szCs w:val="14"/>
                <w:b w:val="1"/>
                <w:bCs w:val="1"/>
                <w:color w:val="FEFEFE"/>
              </w:rPr>
              <w:t>Continuing</w:t>
            </w:r>
          </w:p>
        </w:tc>
        <w:tc>
          <w:tcPr>
            <w:tcW w:w="0" w:type="dxa"/>
            <w:vAlign w:val="bottom"/>
          </w:tcPr>
          <w:p>
            <w:pPr>
              <w:spacing w:after="0"/>
              <w:rPr>
                <w:sz w:val="1"/>
                <w:szCs w:val="1"/>
                <w:color w:val="auto"/>
              </w:rPr>
            </w:pPr>
          </w:p>
        </w:tc>
      </w:tr>
      <w:tr>
        <w:trPr>
          <w:trHeight w:val="189"/>
        </w:trPr>
        <w:tc>
          <w:tcPr>
            <w:tcW w:w="5340" w:type="dxa"/>
            <w:vAlign w:val="bottom"/>
            <w:shd w:val="clear" w:color="auto" w:fill="56C271"/>
          </w:tcPr>
          <w:p>
            <w:pPr>
              <w:spacing w:after="0"/>
              <w:rPr>
                <w:sz w:val="16"/>
                <w:szCs w:val="16"/>
                <w:color w:val="auto"/>
              </w:rPr>
            </w:pPr>
          </w:p>
        </w:tc>
        <w:tc>
          <w:tcPr>
            <w:tcW w:w="220" w:type="dxa"/>
            <w:vAlign w:val="bottom"/>
            <w:shd w:val="clear" w:color="auto" w:fill="56C271"/>
          </w:tcPr>
          <w:p>
            <w:pPr>
              <w:spacing w:after="0"/>
              <w:rPr>
                <w:sz w:val="16"/>
                <w:szCs w:val="16"/>
                <w:color w:val="auto"/>
              </w:rPr>
            </w:pPr>
          </w:p>
        </w:tc>
        <w:tc>
          <w:tcPr>
            <w:tcW w:w="160" w:type="dxa"/>
            <w:vAlign w:val="bottom"/>
            <w:shd w:val="clear" w:color="auto" w:fill="56C271"/>
          </w:tcPr>
          <w:p>
            <w:pPr>
              <w:spacing w:after="0"/>
              <w:rPr>
                <w:sz w:val="16"/>
                <w:szCs w:val="16"/>
                <w:color w:val="auto"/>
              </w:rPr>
            </w:pPr>
          </w:p>
        </w:tc>
        <w:tc>
          <w:tcPr>
            <w:tcW w:w="8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Income</w:t>
            </w:r>
          </w:p>
        </w:tc>
        <w:tc>
          <w:tcPr>
            <w:tcW w:w="320" w:type="dxa"/>
            <w:vAlign w:val="bottom"/>
            <w:shd w:val="clear" w:color="auto" w:fill="56C271"/>
          </w:tcPr>
          <w:p>
            <w:pPr>
              <w:spacing w:after="0"/>
              <w:rPr>
                <w:sz w:val="16"/>
                <w:szCs w:val="16"/>
                <w:color w:val="auto"/>
              </w:rPr>
            </w:pPr>
          </w:p>
        </w:tc>
        <w:tc>
          <w:tcPr>
            <w:tcW w:w="920" w:type="dxa"/>
            <w:vAlign w:val="bottom"/>
            <w:shd w:val="clear" w:color="auto" w:fill="56C271"/>
          </w:tcPr>
          <w:p>
            <w:pPr>
              <w:jc w:val="right"/>
              <w:ind w:right="37"/>
              <w:spacing w:after="0"/>
              <w:rPr>
                <w:sz w:val="20"/>
                <w:szCs w:val="20"/>
                <w:color w:val="auto"/>
              </w:rPr>
            </w:pPr>
            <w:r>
              <w:rPr>
                <w:rFonts w:ascii="Arial" w:cs="Arial" w:eastAsia="Arial" w:hAnsi="Arial"/>
                <w:sz w:val="14"/>
                <w:szCs w:val="14"/>
                <w:b w:val="1"/>
                <w:bCs w:val="1"/>
                <w:color w:val="FEFEFE"/>
              </w:rPr>
              <w:t>(net of tax)</w:t>
            </w:r>
          </w:p>
        </w:tc>
        <w:tc>
          <w:tcPr>
            <w:tcW w:w="1000" w:type="dxa"/>
            <w:vAlign w:val="bottom"/>
            <w:gridSpan w:val="2"/>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Operations</w:t>
            </w:r>
          </w:p>
        </w:tc>
        <w:tc>
          <w:tcPr>
            <w:tcW w:w="0" w:type="dxa"/>
            <w:vAlign w:val="bottom"/>
          </w:tcPr>
          <w:p>
            <w:pPr>
              <w:spacing w:after="0"/>
              <w:rPr>
                <w:sz w:val="1"/>
                <w:szCs w:val="1"/>
                <w:color w:val="auto"/>
              </w:rPr>
            </w:pPr>
          </w:p>
        </w:tc>
      </w:tr>
      <w:tr>
        <w:trPr>
          <w:trHeight w:val="216"/>
        </w:trPr>
        <w:tc>
          <w:tcPr>
            <w:tcW w:w="5340" w:type="dxa"/>
            <w:vAlign w:val="bottom"/>
            <w:shd w:val="clear" w:color="auto" w:fill="56C271"/>
          </w:tcPr>
          <w:p>
            <w:pPr>
              <w:spacing w:after="0"/>
              <w:rPr>
                <w:sz w:val="18"/>
                <w:szCs w:val="18"/>
                <w:color w:val="auto"/>
              </w:rPr>
            </w:pPr>
          </w:p>
        </w:tc>
        <w:tc>
          <w:tcPr>
            <w:tcW w:w="220" w:type="dxa"/>
            <w:vAlign w:val="bottom"/>
            <w:shd w:val="clear" w:color="auto" w:fill="56C271"/>
          </w:tcPr>
          <w:p>
            <w:pPr>
              <w:spacing w:after="0"/>
              <w:rPr>
                <w:sz w:val="18"/>
                <w:szCs w:val="18"/>
                <w:color w:val="auto"/>
              </w:rPr>
            </w:pPr>
          </w:p>
        </w:tc>
        <w:tc>
          <w:tcPr>
            <w:tcW w:w="160" w:type="dxa"/>
            <w:vAlign w:val="bottom"/>
            <w:shd w:val="clear" w:color="auto" w:fill="56C271"/>
          </w:tcPr>
          <w:p>
            <w:pPr>
              <w:spacing w:after="0"/>
              <w:rPr>
                <w:sz w:val="18"/>
                <w:szCs w:val="18"/>
                <w:color w:val="auto"/>
              </w:rPr>
            </w:pPr>
          </w:p>
        </w:tc>
        <w:tc>
          <w:tcPr>
            <w:tcW w:w="3040" w:type="dxa"/>
            <w:vAlign w:val="bottom"/>
            <w:gridSpan w:val="5"/>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(thousands except per share data)</w:t>
            </w:r>
          </w:p>
        </w:tc>
        <w:tc>
          <w:tcPr>
            <w:tcW w:w="0" w:type="dxa"/>
            <w:vAlign w:val="bottom"/>
          </w:tcPr>
          <w:p>
            <w:pPr>
              <w:spacing w:after="0"/>
              <w:rPr>
                <w:sz w:val="1"/>
                <w:szCs w:val="1"/>
                <w:color w:val="auto"/>
              </w:rPr>
            </w:pPr>
          </w:p>
        </w:tc>
      </w:tr>
      <w:tr>
        <w:trPr>
          <w:trHeight w:val="270"/>
        </w:trPr>
        <w:tc>
          <w:tcPr>
            <w:tcW w:w="5340" w:type="dxa"/>
            <w:vAlign w:val="bottom"/>
          </w:tcPr>
          <w:p>
            <w:pPr>
              <w:ind w:left="100"/>
              <w:spacing w:after="0"/>
              <w:rPr>
                <w:sz w:val="20"/>
                <w:szCs w:val="20"/>
                <w:color w:val="auto"/>
              </w:rPr>
            </w:pPr>
            <w:r>
              <w:rPr>
                <w:rFonts w:ascii="Arial" w:cs="Arial" w:eastAsia="Arial" w:hAnsi="Arial"/>
                <w:sz w:val="18"/>
                <w:szCs w:val="18"/>
                <w:b w:val="1"/>
                <w:bCs w:val="1"/>
                <w:color w:val="auto"/>
              </w:rPr>
              <w:t>GAAP results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365,911</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b w:val="1"/>
                <w:bCs w:val="1"/>
                <w:color w:val="auto"/>
              </w:rPr>
              <w:t>180,111</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  1.63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220" w:type="dxa"/>
            <w:vAlign w:val="bottom"/>
            <w:shd w:val="clear" w:color="auto" w:fill="CCEDD4"/>
          </w:tcPr>
          <w:p>
            <w:pPr>
              <w:spacing w:after="0"/>
              <w:rPr>
                <w:sz w:val="23"/>
                <w:szCs w:val="23"/>
                <w:color w:val="auto"/>
              </w:rPr>
            </w:pPr>
          </w:p>
        </w:tc>
        <w:tc>
          <w:tcPr>
            <w:tcW w:w="160" w:type="dxa"/>
            <w:vAlign w:val="bottom"/>
            <w:shd w:val="clear" w:color="auto" w:fill="CCEDD4"/>
          </w:tcPr>
          <w:p>
            <w:pPr>
              <w:spacing w:after="0"/>
              <w:rPr>
                <w:sz w:val="23"/>
                <w:szCs w:val="23"/>
                <w:color w:val="auto"/>
              </w:rPr>
            </w:pPr>
          </w:p>
        </w:tc>
        <w:tc>
          <w:tcPr>
            <w:tcW w:w="8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108,144</w:t>
            </w:r>
          </w:p>
        </w:tc>
        <w:tc>
          <w:tcPr>
            <w:tcW w:w="320" w:type="dxa"/>
            <w:vAlign w:val="bottom"/>
            <w:shd w:val="clear" w:color="auto" w:fill="CCEDD4"/>
          </w:tcPr>
          <w:p>
            <w:pPr>
              <w:spacing w:after="0"/>
              <w:rPr>
                <w:sz w:val="23"/>
                <w:szCs w:val="23"/>
                <w:color w:val="auto"/>
              </w:rPr>
            </w:pPr>
          </w:p>
        </w:tc>
        <w:tc>
          <w:tcPr>
            <w:tcW w:w="920" w:type="dxa"/>
            <w:vAlign w:val="bottom"/>
            <w:shd w:val="clear" w:color="auto" w:fill="CCEDD4"/>
          </w:tcPr>
          <w:p>
            <w:pPr>
              <w:jc w:val="right"/>
              <w:ind w:right="37"/>
              <w:spacing w:after="0"/>
              <w:rPr>
                <w:sz w:val="20"/>
                <w:szCs w:val="20"/>
                <w:color w:val="auto"/>
              </w:rPr>
            </w:pPr>
            <w:r>
              <w:rPr>
                <w:rFonts w:ascii="Arial" w:cs="Arial" w:eastAsia="Arial" w:hAnsi="Arial"/>
                <w:sz w:val="18"/>
                <w:szCs w:val="18"/>
                <w:color w:val="auto"/>
              </w:rPr>
              <w:t>81,398</w:t>
            </w:r>
          </w:p>
        </w:tc>
        <w:tc>
          <w:tcPr>
            <w:tcW w:w="8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DD4"/>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00"/>
              <w:spacing w:after="0"/>
              <w:rPr>
                <w:sz w:val="20"/>
                <w:szCs w:val="20"/>
                <w:color w:val="auto"/>
              </w:rPr>
            </w:pPr>
            <w:r>
              <w:rPr>
                <w:rFonts w:ascii="Arial" w:cs="Arial" w:eastAsia="Arial" w:hAnsi="Arial"/>
                <w:sz w:val="18"/>
                <w:szCs w:val="18"/>
                <w:color w:val="auto"/>
              </w:rPr>
              <w:t>Amortization of intangible assets and other</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84,257</w:t>
            </w:r>
          </w:p>
        </w:tc>
        <w:tc>
          <w:tcPr>
            <w:tcW w:w="3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66,271</w:t>
            </w:r>
          </w:p>
        </w:tc>
        <w:tc>
          <w:tcPr>
            <w:tcW w:w="88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Goodwill impairment expense</w:t>
            </w:r>
          </w:p>
        </w:tc>
        <w:tc>
          <w:tcPr>
            <w:tcW w:w="220" w:type="dxa"/>
            <w:vAlign w:val="bottom"/>
            <w:shd w:val="clear" w:color="auto" w:fill="CCEDD4"/>
          </w:tcPr>
          <w:p>
            <w:pPr>
              <w:spacing w:after="0"/>
              <w:rPr>
                <w:sz w:val="23"/>
                <w:szCs w:val="23"/>
                <w:color w:val="auto"/>
              </w:rPr>
            </w:pPr>
          </w:p>
        </w:tc>
        <w:tc>
          <w:tcPr>
            <w:tcW w:w="160" w:type="dxa"/>
            <w:vAlign w:val="bottom"/>
            <w:shd w:val="clear" w:color="auto" w:fill="CCEDD4"/>
          </w:tcPr>
          <w:p>
            <w:pPr>
              <w:spacing w:after="0"/>
              <w:rPr>
                <w:sz w:val="23"/>
                <w:szCs w:val="23"/>
                <w:color w:val="auto"/>
              </w:rPr>
            </w:pPr>
          </w:p>
        </w:tc>
        <w:tc>
          <w:tcPr>
            <w:tcW w:w="8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137,396</w:t>
            </w:r>
          </w:p>
        </w:tc>
        <w:tc>
          <w:tcPr>
            <w:tcW w:w="320" w:type="dxa"/>
            <w:vAlign w:val="bottom"/>
            <w:shd w:val="clear" w:color="auto" w:fill="CCEDD4"/>
          </w:tcPr>
          <w:p>
            <w:pPr>
              <w:spacing w:after="0"/>
              <w:rPr>
                <w:sz w:val="23"/>
                <w:szCs w:val="23"/>
                <w:color w:val="auto"/>
              </w:rPr>
            </w:pPr>
          </w:p>
        </w:tc>
        <w:tc>
          <w:tcPr>
            <w:tcW w:w="920" w:type="dxa"/>
            <w:vAlign w:val="bottom"/>
            <w:shd w:val="clear" w:color="auto" w:fill="CCEDD4"/>
          </w:tcPr>
          <w:p>
            <w:pPr>
              <w:jc w:val="right"/>
              <w:ind w:right="37"/>
              <w:spacing w:after="0"/>
              <w:rPr>
                <w:sz w:val="20"/>
                <w:szCs w:val="20"/>
                <w:color w:val="auto"/>
              </w:rPr>
            </w:pPr>
            <w:r>
              <w:rPr>
                <w:rFonts w:ascii="Arial" w:cs="Arial" w:eastAsia="Arial" w:hAnsi="Arial"/>
                <w:sz w:val="18"/>
                <w:szCs w:val="18"/>
                <w:color w:val="auto"/>
              </w:rPr>
              <w:t>118,830</w:t>
            </w:r>
          </w:p>
        </w:tc>
        <w:tc>
          <w:tcPr>
            <w:tcW w:w="8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DD4"/>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00"/>
              <w:spacing w:after="0"/>
              <w:rPr>
                <w:sz w:val="20"/>
                <w:szCs w:val="20"/>
                <w:color w:val="auto"/>
              </w:rPr>
            </w:pPr>
            <w:r>
              <w:rPr>
                <w:rFonts w:ascii="Arial" w:cs="Arial" w:eastAsia="Arial" w:hAnsi="Arial"/>
                <w:sz w:val="18"/>
                <w:szCs w:val="18"/>
                <w:color w:val="auto"/>
              </w:rPr>
              <w:t>Other special charge expenses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452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Income tax adjustments</w:t>
            </w:r>
          </w:p>
        </w:tc>
        <w:tc>
          <w:tcPr>
            <w:tcW w:w="220" w:type="dxa"/>
            <w:vAlign w:val="bottom"/>
            <w:shd w:val="clear" w:color="auto" w:fill="CCEDD4"/>
          </w:tcPr>
          <w:p>
            <w:pPr>
              <w:spacing w:after="0"/>
              <w:rPr>
                <w:sz w:val="23"/>
                <w:szCs w:val="23"/>
                <w:color w:val="auto"/>
              </w:rPr>
            </w:pPr>
          </w:p>
        </w:tc>
        <w:tc>
          <w:tcPr>
            <w:tcW w:w="160" w:type="dxa"/>
            <w:vAlign w:val="bottom"/>
            <w:shd w:val="clear" w:color="auto" w:fill="CCEDD4"/>
          </w:tcPr>
          <w:p>
            <w:pPr>
              <w:spacing w:after="0"/>
              <w:rPr>
                <w:sz w:val="23"/>
                <w:szCs w:val="23"/>
                <w:color w:val="auto"/>
              </w:rPr>
            </w:pPr>
          </w:p>
        </w:tc>
        <w:tc>
          <w:tcPr>
            <w:tcW w:w="8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DD4"/>
          </w:tcPr>
          <w:p>
            <w:pPr>
              <w:spacing w:after="0"/>
              <w:rPr>
                <w:sz w:val="23"/>
                <w:szCs w:val="23"/>
                <w:color w:val="auto"/>
              </w:rPr>
            </w:pPr>
          </w:p>
        </w:tc>
        <w:tc>
          <w:tcPr>
            <w:tcW w:w="920" w:type="dxa"/>
            <w:vAlign w:val="bottom"/>
            <w:shd w:val="clear" w:color="auto" w:fill="CCEDD4"/>
          </w:tcPr>
          <w:p>
            <w:pPr>
              <w:jc w:val="right"/>
              <w:ind w:right="37"/>
              <w:spacing w:after="0"/>
              <w:rPr>
                <w:sz w:val="20"/>
                <w:szCs w:val="20"/>
                <w:color w:val="auto"/>
              </w:rPr>
            </w:pPr>
            <w:r>
              <w:rPr>
                <w:rFonts w:ascii="Arial" w:cs="Arial" w:eastAsia="Arial" w:hAnsi="Arial"/>
                <w:sz w:val="18"/>
                <w:szCs w:val="18"/>
                <w:color w:val="auto"/>
              </w:rPr>
              <w:t>8,143</w:t>
            </w:r>
          </w:p>
        </w:tc>
        <w:tc>
          <w:tcPr>
            <w:tcW w:w="8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DD4"/>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00"/>
              <w:spacing w:after="0"/>
              <w:rPr>
                <w:sz w:val="20"/>
                <w:szCs w:val="20"/>
                <w:color w:val="auto"/>
              </w:rPr>
            </w:pPr>
            <w:r>
              <w:rPr>
                <w:rFonts w:ascii="Arial" w:cs="Arial" w:eastAsia="Arial" w:hAnsi="Arial"/>
                <w:sz w:val="18"/>
                <w:szCs w:val="18"/>
                <w:color w:val="auto"/>
              </w:rPr>
              <w:t>Total adjustments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329,797</w:t>
            </w:r>
          </w:p>
        </w:tc>
        <w:tc>
          <w:tcPr>
            <w:tcW w:w="3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275,094</w:t>
            </w: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340" w:type="dxa"/>
            <w:vAlign w:val="bottom"/>
            <w:tcBorders>
              <w:bottom w:val="single" w:sz="8" w:color="CCEDD4"/>
            </w:tcBorders>
            <w:shd w:val="clear" w:color="auto" w:fill="CCEDD4"/>
          </w:tcPr>
          <w:p>
            <w:pPr>
              <w:ind w:left="100"/>
              <w:spacing w:after="0"/>
              <w:rPr>
                <w:sz w:val="20"/>
                <w:szCs w:val="20"/>
                <w:color w:val="auto"/>
              </w:rPr>
            </w:pPr>
            <w:r>
              <w:rPr>
                <w:rFonts w:ascii="Arial" w:cs="Arial" w:eastAsia="Arial" w:hAnsi="Arial"/>
                <w:sz w:val="18"/>
                <w:szCs w:val="18"/>
                <w:b w:val="1"/>
                <w:bCs w:val="1"/>
                <w:color w:val="auto"/>
              </w:rPr>
              <w:t>Adjusted non-GAAP results</w:t>
            </w:r>
          </w:p>
        </w:tc>
        <w:tc>
          <w:tcPr>
            <w:tcW w:w="380" w:type="dxa"/>
            <w:vAlign w:val="bottom"/>
            <w:tcBorders>
              <w:bottom w:val="single" w:sz="8" w:color="CCEDD4"/>
            </w:tcBorders>
            <w:gridSpan w:val="2"/>
            <w:shd w:val="clear" w:color="auto" w:fill="CCEDD4"/>
          </w:tcPr>
          <w:p>
            <w:pPr>
              <w:jc w:val="right"/>
              <w:ind w:right="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8"/>
                <w:szCs w:val="18"/>
                <w:b w:val="1"/>
                <w:bCs w:val="1"/>
                <w:color w:val="auto"/>
              </w:rPr>
              <w:t>695,708</w:t>
            </w:r>
          </w:p>
        </w:tc>
        <w:tc>
          <w:tcPr>
            <w:tcW w:w="3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DD4"/>
            </w:tcBorders>
            <w:shd w:val="clear" w:color="auto" w:fill="CCEDD4"/>
          </w:tcPr>
          <w:p>
            <w:pPr>
              <w:jc w:val="right"/>
              <w:ind w:right="37"/>
              <w:spacing w:after="0"/>
              <w:rPr>
                <w:sz w:val="20"/>
                <w:szCs w:val="20"/>
                <w:color w:val="auto"/>
              </w:rPr>
            </w:pPr>
            <w:r>
              <w:rPr>
                <w:rFonts w:ascii="Arial" w:cs="Arial" w:eastAsia="Arial" w:hAnsi="Arial"/>
                <w:sz w:val="18"/>
                <w:szCs w:val="18"/>
                <w:b w:val="1"/>
                <w:bCs w:val="1"/>
                <w:color w:val="auto"/>
              </w:rPr>
              <w:t>455,205</w:t>
            </w:r>
          </w:p>
        </w:tc>
        <w:tc>
          <w:tcPr>
            <w:tcW w:w="88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Borders>
              <w:bottom w:val="single" w:sz="8" w:color="CCEDD4"/>
            </w:tcBorders>
            <w:shd w:val="clear" w:color="auto" w:fill="CCEDD4"/>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40" w:type="dxa"/>
            <w:vAlign w:val="bottom"/>
            <w:shd w:val="clear" w:color="auto" w:fill="56C271"/>
          </w:tcPr>
          <w:p>
            <w:pPr>
              <w:spacing w:after="0"/>
              <w:rPr>
                <w:sz w:val="2"/>
                <w:szCs w:val="2"/>
                <w:color w:val="auto"/>
              </w:rPr>
            </w:pPr>
          </w:p>
        </w:tc>
        <w:tc>
          <w:tcPr>
            <w:tcW w:w="220" w:type="dxa"/>
            <w:vAlign w:val="bottom"/>
            <w:shd w:val="clear" w:color="auto" w:fill="56C271"/>
          </w:tcPr>
          <w:p>
            <w:pPr>
              <w:spacing w:after="0"/>
              <w:rPr>
                <w:sz w:val="2"/>
                <w:szCs w:val="2"/>
                <w:color w:val="auto"/>
              </w:rPr>
            </w:pPr>
          </w:p>
        </w:tc>
        <w:tc>
          <w:tcPr>
            <w:tcW w:w="160" w:type="dxa"/>
            <w:vAlign w:val="bottom"/>
            <w:shd w:val="clear" w:color="auto" w:fill="56C271"/>
          </w:tcPr>
          <w:p>
            <w:pPr>
              <w:spacing w:after="0"/>
              <w:rPr>
                <w:sz w:val="2"/>
                <w:szCs w:val="2"/>
                <w:color w:val="auto"/>
              </w:rPr>
            </w:pPr>
          </w:p>
        </w:tc>
        <w:tc>
          <w:tcPr>
            <w:tcW w:w="800" w:type="dxa"/>
            <w:vAlign w:val="bottom"/>
            <w:shd w:val="clear" w:color="auto" w:fill="56C271"/>
          </w:tcPr>
          <w:p>
            <w:pPr>
              <w:spacing w:after="0"/>
              <w:rPr>
                <w:sz w:val="2"/>
                <w:szCs w:val="2"/>
                <w:color w:val="auto"/>
              </w:rPr>
            </w:pPr>
          </w:p>
        </w:tc>
        <w:tc>
          <w:tcPr>
            <w:tcW w:w="320" w:type="dxa"/>
            <w:vAlign w:val="bottom"/>
            <w:shd w:val="clear" w:color="auto" w:fill="56C271"/>
          </w:tcPr>
          <w:p>
            <w:pPr>
              <w:spacing w:after="0"/>
              <w:rPr>
                <w:sz w:val="2"/>
                <w:szCs w:val="2"/>
                <w:color w:val="auto"/>
              </w:rPr>
            </w:pPr>
          </w:p>
        </w:tc>
        <w:tc>
          <w:tcPr>
            <w:tcW w:w="920" w:type="dxa"/>
            <w:vAlign w:val="bottom"/>
            <w:shd w:val="clear" w:color="auto" w:fill="56C271"/>
          </w:tcPr>
          <w:p>
            <w:pPr>
              <w:spacing w:after="0"/>
              <w:rPr>
                <w:sz w:val="2"/>
                <w:szCs w:val="2"/>
                <w:color w:val="auto"/>
              </w:rPr>
            </w:pPr>
          </w:p>
        </w:tc>
        <w:tc>
          <w:tcPr>
            <w:tcW w:w="880" w:type="dxa"/>
            <w:vAlign w:val="bottom"/>
            <w:shd w:val="clear" w:color="auto" w:fill="56C271"/>
          </w:tcPr>
          <w:p>
            <w:pPr>
              <w:spacing w:after="0"/>
              <w:rPr>
                <w:sz w:val="2"/>
                <w:szCs w:val="2"/>
                <w:color w:val="auto"/>
              </w:rPr>
            </w:pPr>
          </w:p>
        </w:tc>
        <w:tc>
          <w:tcPr>
            <w:tcW w:w="120" w:type="dxa"/>
            <w:vAlign w:val="bottom"/>
            <w:shd w:val="clear" w:color="auto" w:fill="56C27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000" w:right="259"/>
        <w:spacing w:after="0" w:line="252" w:lineRule="auto"/>
        <w:rPr>
          <w:sz w:val="20"/>
          <w:szCs w:val="20"/>
          <w:color w:val="auto"/>
        </w:rPr>
      </w:pPr>
      <w:r>
        <w:rPr>
          <w:rFonts w:ascii="Arial" w:cs="Arial" w:eastAsia="Arial" w:hAnsi="Arial"/>
          <w:sz w:val="18"/>
          <w:szCs w:val="18"/>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the Company’s normal operating results or non-cash in nature. The Company analyzes operating income without the impact of these items as an indicator of ongoing margin performance and underlying trends in the business.</w:t>
      </w:r>
    </w:p>
    <w:p>
      <w:pPr>
        <w:spacing w:after="0" w:line="140" w:lineRule="exact"/>
        <w:rPr>
          <w:sz w:val="20"/>
          <w:szCs w:val="20"/>
          <w:color w:val="auto"/>
        </w:rPr>
      </w:pPr>
    </w:p>
    <w:p>
      <w:pPr>
        <w:ind w:left="1000" w:right="279"/>
        <w:spacing w:after="0" w:line="252" w:lineRule="auto"/>
        <w:rPr>
          <w:sz w:val="20"/>
          <w:szCs w:val="20"/>
          <w:color w:val="auto"/>
        </w:rPr>
      </w:pPr>
      <w:r>
        <w:rPr>
          <w:rFonts w:ascii="Arial" w:cs="Arial" w:eastAsia="Arial" w:hAnsi="Arial"/>
          <w:sz w:val="18"/>
          <w:szCs w:val="18"/>
          <w:color w:val="auto"/>
        </w:rPr>
        <w:t>The Company believes income from continuing operations and diluted earnings per share from continuing operations,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income from continuing operations and diluted earnings per share from continuing operations, excluding the impact of these items, provides an important measure of the Company’s net results of operations.</w:t>
      </w:r>
    </w:p>
    <w:p>
      <w:pPr>
        <w:spacing w:after="0" w:line="126" w:lineRule="exact"/>
        <w:rPr>
          <w:sz w:val="20"/>
          <w:szCs w:val="20"/>
          <w:color w:val="auto"/>
        </w:rPr>
      </w:pPr>
    </w:p>
    <w:p>
      <w:pPr>
        <w:ind w:left="1000" w:right="199"/>
        <w:spacing w:after="0" w:line="254"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Annual Report on Form 10-K filed with the Securities and Exchange Commission. Any analysis of results on a non-GAAP basis should be used as a complement to, and in conjunction with, data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2136140</wp:posOffset>
            </wp:positionV>
            <wp:extent cx="1482725" cy="2997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8272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7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506095</wp:posOffset>
            </wp:positionV>
            <wp:extent cx="5554980" cy="3257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80"/>
        <w:spacing w:after="0"/>
        <w:rPr>
          <w:sz w:val="20"/>
          <w:szCs w:val="20"/>
          <w:color w:val="auto"/>
        </w:rPr>
      </w:pPr>
      <w:r>
        <w:rPr>
          <w:rFonts w:ascii="Arial" w:cs="Arial" w:eastAsia="Arial" w:hAnsi="Arial"/>
          <w:sz w:val="40"/>
          <w:szCs w:val="40"/>
          <w:b w:val="1"/>
          <w:bCs w:val="1"/>
          <w:color w:val="FEFEFE"/>
        </w:rPr>
        <w:t>APPENDIX B</w:t>
      </w:r>
    </w:p>
    <w:p>
      <w:pPr>
        <w:spacing w:after="0" w:line="226"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AVNET, INC.</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2021 STOCK COMPENSATION AND INCENTIVE PLAN</w:t>
      </w:r>
    </w:p>
    <w:p>
      <w:pPr>
        <w:spacing w:after="0" w:line="180"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1</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PURPOSE OF THE PLAN</w:t>
      </w:r>
    </w:p>
    <w:p>
      <w:pPr>
        <w:spacing w:after="0" w:line="144" w:lineRule="exact"/>
        <w:rPr>
          <w:sz w:val="20"/>
          <w:szCs w:val="20"/>
          <w:color w:val="auto"/>
        </w:rPr>
      </w:pPr>
    </w:p>
    <w:p>
      <w:pPr>
        <w:ind w:left="1000" w:right="279"/>
        <w:spacing w:after="0" w:line="238" w:lineRule="auto"/>
        <w:rPr>
          <w:sz w:val="20"/>
          <w:szCs w:val="20"/>
          <w:color w:val="auto"/>
        </w:rPr>
      </w:pPr>
      <w:r>
        <w:rPr>
          <w:rFonts w:ascii="Arial" w:cs="Arial" w:eastAsia="Arial" w:hAnsi="Arial"/>
          <w:sz w:val="18"/>
          <w:szCs w:val="18"/>
          <w:color w:val="auto"/>
        </w:rPr>
        <w:t>The Avnet, Inc. 2021 Stock Compensation and Incentive Plan is intended to advance the interests of the Company by helping Avnet and its Subsidiaries to attract, retain, and appropriately motivate high caliber persons to serve as Eligible Employees and Non-Employee Directors, and by providing incentives to Eligible Employees and Non-Employee Directors that are consistent with the shareholders’ interest in maximizing the value of Avnet’s Stock.</w:t>
      </w:r>
    </w:p>
    <w:p>
      <w:pPr>
        <w:spacing w:after="0" w:line="171"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ARTICLE 2</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DEFINITIONS</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terms, when used in capitalized form, shall have the meanings set forth below:</w:t>
      </w:r>
    </w:p>
    <w:p>
      <w:pPr>
        <w:spacing w:after="0" w:line="14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Administrator</w:t>
      </w:r>
      <w:r>
        <w:rPr>
          <w:rFonts w:ascii="Arial" w:cs="Arial" w:eastAsia="Arial" w:hAnsi="Arial"/>
          <w:sz w:val="18"/>
          <w:szCs w:val="18"/>
          <w:color w:val="auto"/>
        </w:rPr>
        <w:t>” means —</w:t>
      </w:r>
    </w:p>
    <w:p>
      <w:pPr>
        <w:spacing w:after="0" w:line="176" w:lineRule="exact"/>
        <w:rPr>
          <w:sz w:val="20"/>
          <w:szCs w:val="20"/>
          <w:color w:val="auto"/>
        </w:rPr>
      </w:pPr>
    </w:p>
    <w:p>
      <w:pPr>
        <w:ind w:left="1980" w:hanging="270"/>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 respect to each Award granted to an Eligible Employee, the Committee; and</w:t>
      </w:r>
    </w:p>
    <w:p>
      <w:pPr>
        <w:spacing w:after="0" w:line="144" w:lineRule="exact"/>
        <w:rPr>
          <w:rFonts w:ascii="Arial" w:cs="Arial" w:eastAsia="Arial" w:hAnsi="Arial"/>
          <w:sz w:val="18"/>
          <w:szCs w:val="18"/>
          <w:color w:val="auto"/>
        </w:rPr>
      </w:pPr>
    </w:p>
    <w:p>
      <w:pPr>
        <w:ind w:left="1980" w:hanging="270"/>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 respect to each Award granted to a Non-Employee Director, the Independent Directors.</w:t>
      </w:r>
    </w:p>
    <w:p>
      <w:pPr>
        <w:spacing w:after="0" w:line="140" w:lineRule="exact"/>
        <w:rPr>
          <w:sz w:val="20"/>
          <w:szCs w:val="20"/>
          <w:color w:val="auto"/>
        </w:rPr>
      </w:pPr>
    </w:p>
    <w:p>
      <w:pPr>
        <w:ind w:left="1000" w:right="219" w:firstLine="360"/>
        <w:spacing w:after="0" w:line="250" w:lineRule="auto"/>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Agreement</w:t>
      </w:r>
      <w:r>
        <w:rPr>
          <w:rFonts w:ascii="Arial" w:cs="Arial" w:eastAsia="Arial" w:hAnsi="Arial"/>
          <w:sz w:val="18"/>
          <w:szCs w:val="18"/>
          <w:color w:val="auto"/>
        </w:rPr>
        <w:t>” means the document (written or electronic) that evidences an Award granted hereunder and sets forth the material terms thereof, including any addendum thereto. Each Agreement shall be in such form as prescribed or approved by the Administrator.</w:t>
      </w:r>
    </w:p>
    <w:p>
      <w:pPr>
        <w:spacing w:after="0" w:line="10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Avnet</w:t>
      </w:r>
      <w:r>
        <w:rPr>
          <w:rFonts w:ascii="Arial" w:cs="Arial" w:eastAsia="Arial" w:hAnsi="Arial"/>
          <w:sz w:val="18"/>
          <w:szCs w:val="18"/>
          <w:color w:val="auto"/>
        </w:rPr>
        <w:t>” means Avnet, Inc.</w:t>
      </w:r>
    </w:p>
    <w:p>
      <w:pPr>
        <w:spacing w:after="0" w:line="144" w:lineRule="exact"/>
        <w:rPr>
          <w:sz w:val="20"/>
          <w:szCs w:val="20"/>
          <w:color w:val="auto"/>
        </w:rPr>
      </w:pPr>
    </w:p>
    <w:p>
      <w:pPr>
        <w:ind w:left="1000" w:right="299" w:firstLine="360"/>
        <w:spacing w:after="0" w:line="26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Award</w:t>
      </w:r>
      <w:r>
        <w:rPr>
          <w:rFonts w:ascii="Arial" w:cs="Arial" w:eastAsia="Arial" w:hAnsi="Arial"/>
          <w:sz w:val="18"/>
          <w:szCs w:val="18"/>
          <w:color w:val="auto"/>
        </w:rPr>
        <w:t>” means a grant under the Plan of an Option, Stock Appreciation Right, Restricted Stock, Restricted Stock Unit, Performance Share Unit, Other Stock Unit Award, or Executive Incentive Performance Award, as evidenced by an Agreement.</w:t>
      </w:r>
    </w:p>
    <w:p>
      <w:pPr>
        <w:spacing w:after="0" w:line="108" w:lineRule="exact"/>
        <w:rPr>
          <w:sz w:val="20"/>
          <w:szCs w:val="20"/>
          <w:color w:val="auto"/>
        </w:rPr>
      </w:pPr>
    </w:p>
    <w:p>
      <w:pPr>
        <w:ind w:left="1000" w:right="299" w:firstLine="360"/>
        <w:spacing w:after="0" w:line="282" w:lineRule="auto"/>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Board of Directors</w:t>
      </w:r>
      <w:r>
        <w:rPr>
          <w:rFonts w:ascii="Arial" w:cs="Arial" w:eastAsia="Arial" w:hAnsi="Arial"/>
          <w:sz w:val="18"/>
          <w:szCs w:val="18"/>
          <w:color w:val="auto"/>
        </w:rPr>
        <w:t>” and “</w:t>
      </w:r>
      <w:r>
        <w:rPr>
          <w:rFonts w:ascii="Arial" w:cs="Arial" w:eastAsia="Arial" w:hAnsi="Arial"/>
          <w:sz w:val="18"/>
          <w:szCs w:val="18"/>
          <w:i w:val="1"/>
          <w:iCs w:val="1"/>
          <w:color w:val="auto"/>
        </w:rPr>
        <w:t>Director</w:t>
      </w:r>
      <w:r>
        <w:rPr>
          <w:rFonts w:ascii="Arial" w:cs="Arial" w:eastAsia="Arial" w:hAnsi="Arial"/>
          <w:sz w:val="18"/>
          <w:szCs w:val="18"/>
          <w:color w:val="auto"/>
        </w:rPr>
        <w:t>” shall mean, respectively, the Board of Directors of Avnet and any member thereof.</w:t>
      </w:r>
    </w:p>
    <w:p>
      <w:pPr>
        <w:spacing w:after="0" w:line="9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happening of any of the following:</w:t>
      </w:r>
    </w:p>
    <w:p>
      <w:pPr>
        <w:spacing w:after="0" w:line="162" w:lineRule="exact"/>
        <w:rPr>
          <w:sz w:val="20"/>
          <w:szCs w:val="20"/>
          <w:color w:val="auto"/>
        </w:rPr>
      </w:pPr>
    </w:p>
    <w:p>
      <w:pPr>
        <w:ind w:left="1360" w:right="139" w:firstLine="638"/>
        <w:spacing w:after="0" w:line="251" w:lineRule="auto"/>
        <w:tabs>
          <w:tab w:leader="none" w:pos="22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Exchange Act (a “Person”)) of beneficial ownership (within the meaning of Rule 13d-3 promulgated under the Exchange Act) of more than 50% of either: (A) the then outstanding shares of Stock or (B) the combined voting power of the then outstanding voting securities of Avnet entitled to vote generally in the election of Directors; provided, however, that the following transactions shall not constitute a Change in Control under this subsection (a): (i) any acquisition directly from Avnet (excluding an acquisition by virtue of the exercise of a conversion privilege), (ii) any acquisition by Avnet or an entity controlled by Avnet, or (iii) an acquisition by any employee benefit plan (or related trust) sponsored or maintained by Avnet or any entity controlled by Avnet; or</w:t>
      </w:r>
    </w:p>
    <w:p>
      <w:pPr>
        <w:spacing w:after="0" w:line="144" w:lineRule="exact"/>
        <w:rPr>
          <w:rFonts w:ascii="Arial" w:cs="Arial" w:eastAsia="Arial" w:hAnsi="Arial"/>
          <w:sz w:val="18"/>
          <w:szCs w:val="18"/>
          <w:color w:val="auto"/>
        </w:rPr>
      </w:pPr>
    </w:p>
    <w:p>
      <w:pPr>
        <w:ind w:left="1360" w:right="179" w:firstLine="638"/>
        <w:spacing w:after="0" w:line="273" w:lineRule="auto"/>
        <w:tabs>
          <w:tab w:leader="none" w:pos="227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individuals who, as of the date of the 2021 annual meeting of Avnet’s stockholders (the “Determination Date”) constitute the Board of Directors (the “Incumbent Board”) cease for any reason to constitute at least a majority of the Board of Directors; provided, however, that an individual who becomes a Director subsequent to the Determination Date shall be treated as a member of the Incumbent Board</w:t>
      </w:r>
    </w:p>
    <w:p>
      <w:pPr>
        <w:sectPr>
          <w:pgSz w:w="11900" w:h="16838" w:orient="portrait"/>
          <w:cols w:equalWidth="0" w:num="1">
            <w:col w:w="9879"/>
          </w:cols>
          <w:pgMar w:left="580" w:top="131" w:right="1440" w:bottom="1440" w:gutter="0" w:footer="0" w:header="0"/>
        </w:sectPr>
      </w:pPr>
    </w:p>
    <w:p>
      <w:pPr>
        <w:spacing w:after="0" w:line="125"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30035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360" w:right="159"/>
        <w:spacing w:after="0" w:line="254" w:lineRule="auto"/>
        <w:rPr>
          <w:sz w:val="20"/>
          <w:szCs w:val="20"/>
          <w:color w:val="auto"/>
        </w:rPr>
      </w:pPr>
      <w:r>
        <w:rPr>
          <w:rFonts w:ascii="Arial" w:cs="Arial" w:eastAsia="Arial" w:hAnsi="Arial"/>
          <w:sz w:val="18"/>
          <w:szCs w:val="18"/>
          <w:color w:val="auto"/>
        </w:rPr>
        <w:t>if (i) his election, or nomination for election by Avnet’s stockholders, was approved by a vote of at least a majority of the Directors then comprising the Incumbent Board, and (ii) his initial assumption of office does not occur as a result of an actual or threatened solicitation of proxies or consents by or on behalf of a Person other than a majority of the then Incumbent Board; or</w:t>
      </w:r>
    </w:p>
    <w:p>
      <w:pPr>
        <w:spacing w:after="0" w:line="123" w:lineRule="exact"/>
        <w:rPr>
          <w:sz w:val="20"/>
          <w:szCs w:val="20"/>
          <w:color w:val="auto"/>
        </w:rPr>
      </w:pPr>
    </w:p>
    <w:p>
      <w:pPr>
        <w:ind w:left="1360" w:right="959" w:firstLine="638"/>
        <w:spacing w:after="0" w:line="261" w:lineRule="auto"/>
        <w:tabs>
          <w:tab w:leader="none" w:pos="22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complete liquidation or dissolution of Avnet, or the sale or other disposition of all or substantially all of the assets of Avnet (in one or more transactions).</w:t>
      </w:r>
    </w:p>
    <w:p>
      <w:pPr>
        <w:spacing w:after="0" w:line="130" w:lineRule="exact"/>
        <w:rPr>
          <w:sz w:val="20"/>
          <w:szCs w:val="20"/>
          <w:color w:val="auto"/>
        </w:rPr>
      </w:pPr>
    </w:p>
    <w:p>
      <w:pPr>
        <w:ind w:left="1000" w:right="159" w:firstLine="360"/>
        <w:spacing w:after="0" w:line="250" w:lineRule="auto"/>
        <w:rPr>
          <w:sz w:val="20"/>
          <w:szCs w:val="20"/>
          <w:color w:val="auto"/>
        </w:rPr>
      </w:pPr>
      <w:r>
        <w:rPr>
          <w:rFonts w:ascii="Arial" w:cs="Arial" w:eastAsia="Arial" w:hAnsi="Arial"/>
          <w:sz w:val="18"/>
          <w:szCs w:val="18"/>
          <w:color w:val="auto"/>
        </w:rPr>
        <w:t>Solely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w:t>
      </w:r>
    </w:p>
    <w:p>
      <w:pPr>
        <w:spacing w:after="0" w:line="2" w:lineRule="exact"/>
        <w:rPr>
          <w:sz w:val="20"/>
          <w:szCs w:val="20"/>
          <w:color w:val="auto"/>
        </w:rPr>
      </w:pPr>
    </w:p>
    <w:p>
      <w:pPr>
        <w:ind w:left="1000" w:right="219"/>
        <w:spacing w:after="0" w:line="254" w:lineRule="auto"/>
        <w:rPr>
          <w:sz w:val="20"/>
          <w:szCs w:val="20"/>
          <w:color w:val="auto"/>
        </w:rPr>
      </w:pPr>
      <w:r>
        <w:rPr>
          <w:rFonts w:ascii="Arial" w:cs="Arial" w:eastAsia="Arial" w:hAnsi="Arial"/>
          <w:sz w:val="18"/>
          <w:szCs w:val="18"/>
          <w:color w:val="auto"/>
        </w:rPr>
        <w:t>Regulation Section 1.409A-3(i)(5), but only to the extent necessary to establish a time or form of payment that complies with Section 409A of the Code, without altering the definition of Change in Control for purposes of determining whether a Participant’s rights to such Award become vested or otherwise unconditional upon the Change in Control.</w:t>
      </w:r>
    </w:p>
    <w:p>
      <w:pPr>
        <w:spacing w:after="0" w:line="11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i w:val="1"/>
          <w:iCs w:val="1"/>
          <w:color w:val="auto"/>
        </w:rPr>
        <w:t>CEO</w:t>
      </w:r>
      <w:r>
        <w:rPr>
          <w:rFonts w:ascii="Arial" w:cs="Arial" w:eastAsia="Arial" w:hAnsi="Arial"/>
          <w:sz w:val="18"/>
          <w:szCs w:val="18"/>
          <w:color w:val="auto"/>
        </w:rPr>
        <w:t>” means the Chief Executive Officer of Avnet.</w:t>
      </w:r>
    </w:p>
    <w:p>
      <w:pPr>
        <w:spacing w:after="0" w:line="14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jc w:val="both"/>
        <w:ind w:left="1000" w:right="359" w:firstLine="360"/>
        <w:spacing w:after="0" w:line="266" w:lineRule="auto"/>
        <w:rPr>
          <w:sz w:val="20"/>
          <w:szCs w:val="20"/>
          <w:color w:val="auto"/>
        </w:rPr>
      </w:pPr>
      <w:r>
        <w:rPr>
          <w:rFonts w:ascii="Arial" w:cs="Arial" w:eastAsia="Arial" w:hAnsi="Arial"/>
          <w:sz w:val="18"/>
          <w:szCs w:val="18"/>
          <w:color w:val="auto"/>
        </w:rPr>
        <w:t>2.9. “</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of Directors, which shall consist of three or more Non-Employee Directors appointed by the Board of Directors. No individual who is not a “non-employee director” within the meaning of Rule 16b-3 shall serve as a member of the Committee.</w:t>
      </w:r>
    </w:p>
    <w:p>
      <w:pPr>
        <w:spacing w:after="0" w:line="10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i w:val="1"/>
          <w:iCs w:val="1"/>
          <w:color w:val="auto"/>
        </w:rPr>
        <w:t>Company</w:t>
      </w:r>
      <w:r>
        <w:rPr>
          <w:rFonts w:ascii="Arial" w:cs="Arial" w:eastAsia="Arial" w:hAnsi="Arial"/>
          <w:sz w:val="18"/>
          <w:szCs w:val="18"/>
          <w:color w:val="auto"/>
        </w:rPr>
        <w:t>” means Avnet and all its Subsidiaries.</w:t>
      </w:r>
    </w:p>
    <w:p>
      <w:pPr>
        <w:spacing w:after="0" w:line="144" w:lineRule="exact"/>
        <w:rPr>
          <w:sz w:val="20"/>
          <w:szCs w:val="20"/>
          <w:color w:val="auto"/>
        </w:rPr>
      </w:pPr>
    </w:p>
    <w:p>
      <w:pPr>
        <w:ind w:left="1000" w:right="439" w:firstLine="360"/>
        <w:spacing w:after="0" w:line="282"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i w:val="1"/>
          <w:iCs w:val="1"/>
          <w:color w:val="auto"/>
        </w:rPr>
        <w:t>Disability</w:t>
      </w:r>
      <w:r>
        <w:rPr>
          <w:rFonts w:ascii="Arial" w:cs="Arial" w:eastAsia="Arial" w:hAnsi="Arial"/>
          <w:sz w:val="18"/>
          <w:szCs w:val="18"/>
          <w:color w:val="auto"/>
        </w:rPr>
        <w:t>” means a “permanent and total disability” within the meaning of Section 22(e)(3) of the Code.</w:t>
      </w:r>
    </w:p>
    <w:p>
      <w:pPr>
        <w:spacing w:after="0" w:line="94" w:lineRule="exact"/>
        <w:rPr>
          <w:sz w:val="20"/>
          <w:szCs w:val="20"/>
          <w:color w:val="auto"/>
        </w:rPr>
      </w:pPr>
    </w:p>
    <w:p>
      <w:pPr>
        <w:ind w:left="1000" w:right="279" w:firstLine="360"/>
        <w:spacing w:after="0" w:line="261"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i w:val="1"/>
          <w:iCs w:val="1"/>
          <w:color w:val="auto"/>
        </w:rPr>
        <w:t>Eligible Employee</w:t>
      </w:r>
      <w:r>
        <w:rPr>
          <w:rFonts w:ascii="Arial" w:cs="Arial" w:eastAsia="Arial" w:hAnsi="Arial"/>
          <w:sz w:val="18"/>
          <w:szCs w:val="18"/>
          <w:color w:val="auto"/>
        </w:rPr>
        <w:t>” means an employee of Avnet or of any of its Subsidiaries. The term “Eligible Employee” shall also include an individual retained by Avnet or any of its Subsidiaries to render services as a consultant or advisor other than services in connection with the offer or sale of securities in a capital-raising transaction or services that directly or indirectly promote or maintain a market for Avnet’s securities.</w:t>
      </w:r>
    </w:p>
    <w:p>
      <w:pPr>
        <w:spacing w:after="0" w:line="11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44" w:lineRule="exact"/>
        <w:rPr>
          <w:sz w:val="20"/>
          <w:szCs w:val="20"/>
          <w:color w:val="auto"/>
        </w:rPr>
      </w:pPr>
    </w:p>
    <w:p>
      <w:pPr>
        <w:ind w:left="1000" w:right="239" w:firstLine="360"/>
        <w:spacing w:after="0" w:line="282"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i w:val="1"/>
          <w:iCs w:val="1"/>
          <w:color w:val="auto"/>
        </w:rPr>
        <w:t>Executive Incentive Performance Award</w:t>
      </w:r>
      <w:r>
        <w:rPr>
          <w:rFonts w:ascii="Arial" w:cs="Arial" w:eastAsia="Arial" w:hAnsi="Arial"/>
          <w:sz w:val="18"/>
          <w:szCs w:val="18"/>
          <w:color w:val="auto"/>
        </w:rPr>
        <w:t>” or “</w:t>
      </w:r>
      <w:r>
        <w:rPr>
          <w:rFonts w:ascii="Arial" w:cs="Arial" w:eastAsia="Arial" w:hAnsi="Arial"/>
          <w:sz w:val="18"/>
          <w:szCs w:val="18"/>
          <w:i w:val="1"/>
          <w:iCs w:val="1"/>
          <w:color w:val="auto"/>
        </w:rPr>
        <w:t>EIP Award</w:t>
      </w:r>
      <w:r>
        <w:rPr>
          <w:rFonts w:ascii="Arial" w:cs="Arial" w:eastAsia="Arial" w:hAnsi="Arial"/>
          <w:sz w:val="18"/>
          <w:szCs w:val="18"/>
          <w:color w:val="auto"/>
        </w:rPr>
        <w:t>” means a performance-based cash award granted pursuant to Article 11.</w:t>
      </w:r>
    </w:p>
    <w:p>
      <w:pPr>
        <w:spacing w:after="0" w:line="94" w:lineRule="exact"/>
        <w:rPr>
          <w:sz w:val="20"/>
          <w:szCs w:val="20"/>
          <w:color w:val="auto"/>
        </w:rPr>
      </w:pPr>
    </w:p>
    <w:p>
      <w:pPr>
        <w:ind w:left="1000" w:right="939" w:firstLine="360"/>
        <w:spacing w:after="0" w:line="282"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employee designated by Avnet as an executive officer under Rule 16b-3.</w:t>
      </w:r>
    </w:p>
    <w:p>
      <w:pPr>
        <w:spacing w:after="0" w:line="94" w:lineRule="exact"/>
        <w:rPr>
          <w:sz w:val="20"/>
          <w:szCs w:val="20"/>
          <w:color w:val="auto"/>
        </w:rPr>
      </w:pPr>
    </w:p>
    <w:p>
      <w:pPr>
        <w:ind w:left="1000" w:right="139" w:firstLine="360"/>
        <w:spacing w:after="0" w:line="261"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date, the closing price (as reported for the Nasdaq Composite Index) at which shares of Stock have been sold on such date (or, if such date is a date for which no trading is so reported, on the next preceding date for which trading is so reported), or such other price as determined by the Committee in accordance with applicable law.</w:t>
      </w:r>
    </w:p>
    <w:p>
      <w:pPr>
        <w:spacing w:after="0" w:line="99" w:lineRule="exact"/>
        <w:rPr>
          <w:sz w:val="20"/>
          <w:szCs w:val="20"/>
          <w:color w:val="auto"/>
        </w:rPr>
      </w:pPr>
    </w:p>
    <w:p>
      <w:pPr>
        <w:ind w:left="1000" w:right="199" w:firstLine="360"/>
        <w:spacing w:after="0" w:line="255"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i w:val="1"/>
          <w:iCs w:val="1"/>
          <w:color w:val="auto"/>
        </w:rPr>
        <w:t>Grant Date</w:t>
      </w:r>
      <w:r>
        <w:rPr>
          <w:rFonts w:ascii="Arial" w:cs="Arial" w:eastAsia="Arial" w:hAnsi="Arial"/>
          <w:sz w:val="18"/>
          <w:szCs w:val="18"/>
          <w:color w:val="auto"/>
        </w:rPr>
        <w:t>” means, with respect to granting an Award or modification of an outstanding Award, the date on which the material terms of the Award (including the number of shares covered by the Award, the conditions for vesting, lapse of the Period of Restriction, and exercise, and the purchase price, if any) are established and all action constituting the making or modification of such Award is completed, without regard to (a) the date on which the applicable Agreement is executed or (b) whether such Award or modification is subject to future shareholder approval or other conditions. The Grant Date for any Award shall not occur before the recipient of the Award becomes an Eligible Employee or Non-Employee Director, as applicable.</w:t>
      </w:r>
    </w:p>
    <w:p>
      <w:pPr>
        <w:spacing w:after="0" w:line="121" w:lineRule="exact"/>
        <w:rPr>
          <w:sz w:val="20"/>
          <w:szCs w:val="20"/>
          <w:color w:val="auto"/>
        </w:rPr>
      </w:pPr>
    </w:p>
    <w:p>
      <w:pPr>
        <w:ind w:left="1000" w:right="199" w:firstLine="360"/>
        <w:spacing w:after="0" w:line="282"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i w:val="1"/>
          <w:iCs w:val="1"/>
          <w:color w:val="auto"/>
        </w:rPr>
        <w:t>Incentive Stock Option</w:t>
      </w:r>
      <w:r>
        <w:rPr>
          <w:rFonts w:ascii="Arial" w:cs="Arial" w:eastAsia="Arial" w:hAnsi="Arial"/>
          <w:sz w:val="18"/>
          <w:szCs w:val="18"/>
          <w:color w:val="auto"/>
        </w:rPr>
        <w:t>” or “</w:t>
      </w:r>
      <w:r>
        <w:rPr>
          <w:rFonts w:ascii="Arial" w:cs="Arial" w:eastAsia="Arial" w:hAnsi="Arial"/>
          <w:sz w:val="18"/>
          <w:szCs w:val="18"/>
          <w:i w:val="1"/>
          <w:iCs w:val="1"/>
          <w:color w:val="auto"/>
        </w:rPr>
        <w:t>ISO</w:t>
      </w:r>
      <w:r>
        <w:rPr>
          <w:rFonts w:ascii="Arial" w:cs="Arial" w:eastAsia="Arial" w:hAnsi="Arial"/>
          <w:sz w:val="18"/>
          <w:szCs w:val="18"/>
          <w:color w:val="auto"/>
        </w:rPr>
        <w:t>” means an Option intended to qualify as an “incentive stock option” under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88900</wp:posOffset>
            </wp:positionV>
            <wp:extent cx="1482725" cy="3003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3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3" w:lineRule="exact"/>
        <w:rPr>
          <w:sz w:val="20"/>
          <w:szCs w:val="20"/>
          <w:color w:val="auto"/>
        </w:rPr>
      </w:pPr>
    </w:p>
    <w:p>
      <w:pPr>
        <w:ind w:left="1000" w:right="179" w:firstLine="360"/>
        <w:spacing w:after="0" w:line="282"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i w:val="1"/>
          <w:iCs w:val="1"/>
          <w:color w:val="auto"/>
        </w:rPr>
        <w:t>Independent Directors</w:t>
      </w:r>
      <w:r>
        <w:rPr>
          <w:rFonts w:ascii="Arial" w:cs="Arial" w:eastAsia="Arial" w:hAnsi="Arial"/>
          <w:sz w:val="18"/>
          <w:szCs w:val="18"/>
          <w:color w:val="auto"/>
        </w:rPr>
        <w:t>” means members of the Board of Directors acting as a group, each of whom satisfies Avnet’s “Director Independence Standards.”</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Director who is not an Eligible Employee.</w:t>
      </w:r>
    </w:p>
    <w:p>
      <w:pPr>
        <w:spacing w:after="0" w:line="158" w:lineRule="exact"/>
        <w:rPr>
          <w:sz w:val="20"/>
          <w:szCs w:val="20"/>
          <w:color w:val="auto"/>
        </w:rPr>
      </w:pPr>
    </w:p>
    <w:p>
      <w:pPr>
        <w:ind w:left="1000" w:right="179" w:firstLine="360"/>
        <w:spacing w:after="0" w:line="266"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i w:val="1"/>
          <w:iCs w:val="1"/>
          <w:color w:val="auto"/>
        </w:rPr>
        <w:t>Option</w:t>
      </w:r>
      <w:r>
        <w:rPr>
          <w:rFonts w:ascii="Arial" w:cs="Arial" w:eastAsia="Arial" w:hAnsi="Arial"/>
          <w:sz w:val="18"/>
          <w:szCs w:val="18"/>
          <w:color w:val="auto"/>
        </w:rPr>
        <w:t>” means an Award granted pursuant to Article 5. In general, an Option gives the recipient the right to purchase a specified number of shares, which may be vested shares or Restricted Stock, at a specified price during a specified term, subject to the terms and conditions of the applicable Agreement.</w:t>
      </w:r>
    </w:p>
    <w:p>
      <w:pPr>
        <w:spacing w:after="0" w:line="108" w:lineRule="exact"/>
        <w:rPr>
          <w:sz w:val="20"/>
          <w:szCs w:val="20"/>
          <w:color w:val="auto"/>
        </w:rPr>
      </w:pPr>
    </w:p>
    <w:p>
      <w:pPr>
        <w:ind w:left="1000" w:right="719" w:firstLine="360"/>
        <w:spacing w:after="0" w:line="266"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i w:val="1"/>
          <w:iCs w:val="1"/>
          <w:color w:val="auto"/>
        </w:rPr>
        <w:t>Optionee</w:t>
      </w:r>
      <w:r>
        <w:rPr>
          <w:rFonts w:ascii="Arial" w:cs="Arial" w:eastAsia="Arial" w:hAnsi="Arial"/>
          <w:sz w:val="18"/>
          <w:szCs w:val="18"/>
          <w:color w:val="auto"/>
        </w:rPr>
        <w:t>” means a person who, at the time in question, holds an Option that then remains unexercised in whole or in part, has not been surrendered, and has not expired or terminated. The term “Optionee” also includes any Successor Optionee.</w:t>
      </w:r>
    </w:p>
    <w:p>
      <w:pPr>
        <w:spacing w:after="0" w:line="95" w:lineRule="exact"/>
        <w:rPr>
          <w:sz w:val="20"/>
          <w:szCs w:val="20"/>
          <w:color w:val="auto"/>
        </w:rPr>
      </w:pPr>
    </w:p>
    <w:p>
      <w:pPr>
        <w:ind w:left="1000" w:right="319" w:firstLine="360"/>
        <w:spacing w:after="0" w:line="282"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i w:val="1"/>
          <w:iCs w:val="1"/>
          <w:color w:val="auto"/>
        </w:rPr>
        <w:t>Other Stock Unit Award</w:t>
      </w:r>
      <w:r>
        <w:rPr>
          <w:rFonts w:ascii="Arial" w:cs="Arial" w:eastAsia="Arial" w:hAnsi="Arial"/>
          <w:sz w:val="18"/>
          <w:szCs w:val="18"/>
          <w:color w:val="auto"/>
        </w:rPr>
        <w:t>” means a full value Award (</w:t>
      </w:r>
      <w:r>
        <w:rPr>
          <w:rFonts w:ascii="Arial" w:cs="Arial" w:eastAsia="Arial" w:hAnsi="Arial"/>
          <w:sz w:val="18"/>
          <w:szCs w:val="18"/>
          <w:i w:val="1"/>
          <w:iCs w:val="1"/>
          <w:color w:val="auto"/>
        </w:rPr>
        <w:t>i.e.</w:t>
      </w:r>
      <w:r>
        <w:rPr>
          <w:rFonts w:ascii="Arial" w:cs="Arial" w:eastAsia="Arial" w:hAnsi="Arial"/>
          <w:sz w:val="18"/>
          <w:szCs w:val="18"/>
          <w:color w:val="auto"/>
        </w:rPr>
        <w:t>, not an Option, SAR, or other appreciation award) granted pursuant to Article 10.</w:t>
      </w:r>
    </w:p>
    <w:p>
      <w:pPr>
        <w:spacing w:after="0" w:line="94" w:lineRule="exact"/>
        <w:rPr>
          <w:sz w:val="20"/>
          <w:szCs w:val="20"/>
          <w:color w:val="auto"/>
        </w:rPr>
      </w:pPr>
    </w:p>
    <w:p>
      <w:pPr>
        <w:ind w:left="1000" w:right="619" w:firstLine="360"/>
        <w:spacing w:after="0" w:line="282"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Employee or Non-Employee Director who has been granted an Award hereunder.</w:t>
      </w:r>
    </w:p>
    <w:p>
      <w:pPr>
        <w:spacing w:after="0" w:line="94" w:lineRule="exact"/>
        <w:rPr>
          <w:sz w:val="20"/>
          <w:szCs w:val="20"/>
          <w:color w:val="auto"/>
        </w:rPr>
      </w:pPr>
    </w:p>
    <w:p>
      <w:pPr>
        <w:ind w:left="1000" w:right="159" w:firstLine="360"/>
        <w:spacing w:after="0" w:line="282"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i w:val="1"/>
          <w:iCs w:val="1"/>
          <w:color w:val="auto"/>
        </w:rPr>
        <w:t>Performance Criteria</w:t>
      </w:r>
      <w:r>
        <w:rPr>
          <w:rFonts w:ascii="Arial" w:cs="Arial" w:eastAsia="Arial" w:hAnsi="Arial"/>
          <w:sz w:val="18"/>
          <w:szCs w:val="18"/>
          <w:color w:val="auto"/>
        </w:rPr>
        <w:t>” means any of the following criteria as related to Avnet, any Subsidiary, or any division or other area of Avnet or a Subsidiary:</w:t>
      </w:r>
    </w:p>
    <w:p>
      <w:pPr>
        <w:spacing w:after="0" w:line="99" w:lineRule="exact"/>
        <w:rPr>
          <w:sz w:val="20"/>
          <w:szCs w:val="20"/>
          <w:color w:val="auto"/>
        </w:rPr>
      </w:pPr>
    </w:p>
    <w:p>
      <w:pPr>
        <w:ind w:left="1360" w:right="139" w:firstLine="638"/>
        <w:spacing w:after="0" w:line="271" w:lineRule="auto"/>
        <w:tabs>
          <w:tab w:leader="none" w:pos="2276" w:val="left"/>
        </w:tabs>
        <w:numPr>
          <w:ilvl w:val="0"/>
          <w:numId w:val="94"/>
        </w:numPr>
        <w:rPr>
          <w:rFonts w:ascii="Arial" w:cs="Arial" w:eastAsia="Arial" w:hAnsi="Arial"/>
          <w:sz w:val="17"/>
          <w:szCs w:val="17"/>
          <w:color w:val="auto"/>
        </w:rPr>
      </w:pPr>
      <w:r>
        <w:rPr>
          <w:rFonts w:ascii="Arial" w:cs="Arial" w:eastAsia="Arial" w:hAnsi="Arial"/>
          <w:sz w:val="17"/>
          <w:szCs w:val="17"/>
          <w:color w:val="auto"/>
        </w:rPr>
        <w:t>Economic profit; economic value added; price of Stock; total stockholder return; revenues; sales; sales productivity; sales growth; net income; operating income; gross profit; earnings per share; return on equity; return on investment; return on capital employed; cash flow; operating margin; gross margin; operating unit contribution; achievement of annual operating profit plans; debt level; market share; net worth; or other similar financial performance measures as may be determined by the Committee; or</w:t>
      </w:r>
    </w:p>
    <w:p>
      <w:pPr>
        <w:spacing w:after="0" w:line="124" w:lineRule="exact"/>
        <w:rPr>
          <w:rFonts w:ascii="Arial" w:cs="Arial" w:eastAsia="Arial" w:hAnsi="Arial"/>
          <w:sz w:val="17"/>
          <w:szCs w:val="17"/>
          <w:color w:val="auto"/>
        </w:rPr>
      </w:pPr>
    </w:p>
    <w:p>
      <w:pPr>
        <w:ind w:left="1360" w:right="239" w:firstLine="638"/>
        <w:spacing w:after="0" w:line="251" w:lineRule="auto"/>
        <w:tabs>
          <w:tab w:leader="none" w:pos="22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or market share; geographic business expansion; objective customer satisfaction goals; objective goals relating to divestitures, joint ventures, mergers, acquisitions, and similar transactions; implementation or completion of specified projects or processes strategic or critical to the Company’s business operations; individual business objectives; objective measures of brand recognition/acceptance; performance achievements on designated projects or objectives; objective measures of regulatory compliance; objective measures of environmental, social and corporate governance; successful completion of internal or external audits; successful integration of business units; successful hiring, diversity, equity and inclusion initiatives, retention of talent, or other succession planning; or objective measures of employee engagement and satisfaction.</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addition, Performance Criteria may include any other criteria selected by the Committee.</w:t>
      </w:r>
    </w:p>
    <w:p>
      <w:pPr>
        <w:spacing w:after="0" w:line="126" w:lineRule="exact"/>
        <w:rPr>
          <w:sz w:val="20"/>
          <w:szCs w:val="20"/>
          <w:color w:val="auto"/>
        </w:rPr>
      </w:pPr>
    </w:p>
    <w:p>
      <w:pPr>
        <w:ind w:left="1000" w:right="159" w:firstLine="360"/>
        <w:spacing w:after="0" w:line="261"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i w:val="1"/>
          <w:iCs w:val="1"/>
          <w:color w:val="auto"/>
        </w:rPr>
        <w:t>Performance Objectives</w:t>
      </w:r>
      <w:r>
        <w:rPr>
          <w:rFonts w:ascii="Arial" w:cs="Arial" w:eastAsia="Arial" w:hAnsi="Arial"/>
          <w:sz w:val="18"/>
          <w:szCs w:val="18"/>
          <w:color w:val="auto"/>
        </w:rPr>
        <w:t>” means, for any Award that is contingent in whole or in part on achievement of performance objectives, the objectives or other performance levels with respect to specified Performance Criteria that are measured over a Performance Period for the purpose of determining the amount of such Award and/or whether such Award is granted or vested.</w:t>
      </w:r>
    </w:p>
    <w:p>
      <w:pPr>
        <w:spacing w:after="0" w:line="112" w:lineRule="exact"/>
        <w:rPr>
          <w:sz w:val="20"/>
          <w:szCs w:val="20"/>
          <w:color w:val="auto"/>
        </w:rPr>
      </w:pPr>
    </w:p>
    <w:p>
      <w:pPr>
        <w:ind w:left="1000" w:right="779" w:firstLine="360"/>
        <w:spacing w:after="0" w:line="282"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i w:val="1"/>
          <w:iCs w:val="1"/>
          <w:color w:val="auto"/>
        </w:rPr>
        <w:t>Performance Period</w:t>
      </w:r>
      <w:r>
        <w:rPr>
          <w:rFonts w:ascii="Arial" w:cs="Arial" w:eastAsia="Arial" w:hAnsi="Arial"/>
          <w:sz w:val="18"/>
          <w:szCs w:val="18"/>
          <w:color w:val="auto"/>
        </w:rPr>
        <w:t>” means a period over which achievement of Performance Objectives is measured, as set forth in the applicable Agreement.</w:t>
      </w:r>
    </w:p>
    <w:p>
      <w:pPr>
        <w:spacing w:after="0" w:line="94" w:lineRule="exact"/>
        <w:rPr>
          <w:sz w:val="20"/>
          <w:szCs w:val="20"/>
          <w:color w:val="auto"/>
        </w:rPr>
      </w:pPr>
    </w:p>
    <w:p>
      <w:pPr>
        <w:ind w:left="1000" w:right="179" w:firstLine="360"/>
        <w:spacing w:after="0" w:line="266"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i w:val="1"/>
          <w:iCs w:val="1"/>
          <w:color w:val="auto"/>
        </w:rPr>
        <w:t>Performance Share Unit</w:t>
      </w:r>
      <w:r>
        <w:rPr>
          <w:rFonts w:ascii="Arial" w:cs="Arial" w:eastAsia="Arial" w:hAnsi="Arial"/>
          <w:sz w:val="18"/>
          <w:szCs w:val="18"/>
          <w:color w:val="auto"/>
        </w:rPr>
        <w:t>” means an Award granted pursuant to Article 9. In general, a Performance Share Unit gives the recipient a contractual right to receive a target number of shares of Stock or cash upon the attainment of specified Performance Objectives.</w:t>
      </w:r>
    </w:p>
    <w:p>
      <w:pPr>
        <w:spacing w:after="0" w:line="95" w:lineRule="exact"/>
        <w:rPr>
          <w:sz w:val="20"/>
          <w:szCs w:val="20"/>
          <w:color w:val="auto"/>
        </w:rPr>
      </w:pPr>
    </w:p>
    <w:p>
      <w:pPr>
        <w:ind w:left="1000" w:right="379" w:firstLine="360"/>
        <w:spacing w:after="0" w:line="282"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i w:val="1"/>
          <w:iCs w:val="1"/>
          <w:color w:val="auto"/>
        </w:rPr>
        <w:t>Period of Restriction</w:t>
      </w:r>
      <w:r>
        <w:rPr>
          <w:rFonts w:ascii="Arial" w:cs="Arial" w:eastAsia="Arial" w:hAnsi="Arial"/>
          <w:sz w:val="18"/>
          <w:szCs w:val="18"/>
          <w:color w:val="auto"/>
        </w:rPr>
        <w:t>” means the period during which the transfer of shares of Restricted Stock is restricted, pursuant to Article 7.</w:t>
      </w:r>
    </w:p>
    <w:p>
      <w:pPr>
        <w:spacing w:after="0" w:line="94" w:lineRule="exact"/>
        <w:rPr>
          <w:sz w:val="20"/>
          <w:szCs w:val="20"/>
          <w:color w:val="auto"/>
        </w:rPr>
      </w:pPr>
    </w:p>
    <w:p>
      <w:pPr>
        <w:ind w:left="1000" w:right="279" w:firstLine="360"/>
        <w:spacing w:after="0" w:line="282"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i w:val="1"/>
          <w:iCs w:val="1"/>
          <w:color w:val="auto"/>
        </w:rPr>
        <w:t>Plan</w:t>
      </w:r>
      <w:r>
        <w:rPr>
          <w:rFonts w:ascii="Arial" w:cs="Arial" w:eastAsia="Arial" w:hAnsi="Arial"/>
          <w:sz w:val="18"/>
          <w:szCs w:val="18"/>
          <w:color w:val="auto"/>
        </w:rPr>
        <w:t>” means the Avnet, Inc. 2021 Stock Compensation and Incentive Plan, as set forth herein and as amended from time to time.</w:t>
      </w:r>
    </w:p>
    <w:p>
      <w:pPr>
        <w:sectPr>
          <w:pgSz w:w="11900" w:h="16838" w:orient="portrait"/>
          <w:cols w:equalWidth="0" w:num="1">
            <w:col w:w="9879"/>
          </w:cols>
          <w:pgMar w:left="580" w:top="131" w:right="1440" w:bottom="1440" w:gutter="0" w:footer="0" w:header="0"/>
        </w:sectPr>
      </w:pPr>
    </w:p>
    <w:p>
      <w:pPr>
        <w:spacing w:after="0" w:line="114"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30035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3" w:lineRule="exact"/>
        <w:rPr>
          <w:sz w:val="20"/>
          <w:szCs w:val="20"/>
          <w:color w:val="auto"/>
        </w:rPr>
      </w:pPr>
    </w:p>
    <w:p>
      <w:pPr>
        <w:ind w:left="1000" w:right="379" w:firstLine="360"/>
        <w:spacing w:after="0" w:line="250"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of Stock granted pursuant to Article 7. In general, Restricted Stock is Stock that, during a Period of Restriction, is subject to a substantial risk of forfeiture and restrictions against sale or other transfer.</w:t>
      </w:r>
    </w:p>
    <w:p>
      <w:pPr>
        <w:spacing w:after="0" w:line="96" w:lineRule="exact"/>
        <w:rPr>
          <w:sz w:val="20"/>
          <w:szCs w:val="20"/>
          <w:color w:val="auto"/>
        </w:rPr>
      </w:pPr>
    </w:p>
    <w:p>
      <w:pPr>
        <w:ind w:left="1000" w:right="159" w:firstLine="360"/>
        <w:spacing w:after="0" w:line="250"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an Award granted pursuant to Article 8. In general, a Restricted Stock Unit gives the recipient a contractual right to receive cash or shares of Stock upon the attainment of specified vesting conditions.</w:t>
      </w:r>
    </w:p>
    <w:p>
      <w:pPr>
        <w:spacing w:after="0" w:line="10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i w:val="1"/>
          <w:iCs w:val="1"/>
          <w:color w:val="auto"/>
        </w:rPr>
        <w:t>Rule 16b-3</w:t>
      </w:r>
      <w:r>
        <w:rPr>
          <w:rFonts w:ascii="Arial" w:cs="Arial" w:eastAsia="Arial" w:hAnsi="Arial"/>
          <w:sz w:val="18"/>
          <w:szCs w:val="18"/>
          <w:color w:val="auto"/>
        </w:rPr>
        <w:t>” means SEC Rule 16b-3 promulgated under the Exchange Act.</w:t>
      </w:r>
    </w:p>
    <w:p>
      <w:pPr>
        <w:spacing w:after="0" w:line="15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44" w:lineRule="exact"/>
        <w:rPr>
          <w:sz w:val="20"/>
          <w:szCs w:val="20"/>
          <w:color w:val="auto"/>
        </w:rPr>
      </w:pPr>
    </w:p>
    <w:p>
      <w:pPr>
        <w:ind w:left="1000" w:right="339" w:firstLine="360"/>
        <w:spacing w:after="0" w:line="267"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i w:val="1"/>
          <w:iCs w:val="1"/>
          <w:color w:val="auto"/>
        </w:rPr>
        <w:t>Stock</w:t>
      </w:r>
      <w:r>
        <w:rPr>
          <w:rFonts w:ascii="Arial" w:cs="Arial" w:eastAsia="Arial" w:hAnsi="Arial"/>
          <w:sz w:val="18"/>
          <w:szCs w:val="18"/>
          <w:color w:val="auto"/>
        </w:rPr>
        <w:t>” means, subject to the adjustment provisions set forth in Article 13, Avnet’s $1.00 par value common stock.</w:t>
      </w:r>
    </w:p>
    <w:p>
      <w:pPr>
        <w:spacing w:after="0" w:line="93" w:lineRule="exact"/>
        <w:rPr>
          <w:sz w:val="20"/>
          <w:szCs w:val="20"/>
          <w:color w:val="auto"/>
        </w:rPr>
      </w:pPr>
    </w:p>
    <w:p>
      <w:pPr>
        <w:ind w:left="1000" w:right="199" w:firstLine="360"/>
        <w:spacing w:after="0" w:line="245"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i w:val="1"/>
          <w:iCs w:val="1"/>
          <w:color w:val="auto"/>
        </w:rPr>
        <w:t>SAR</w:t>
      </w:r>
      <w:r>
        <w:rPr>
          <w:rFonts w:ascii="Arial" w:cs="Arial" w:eastAsia="Arial" w:hAnsi="Arial"/>
          <w:sz w:val="18"/>
          <w:szCs w:val="18"/>
          <w:color w:val="auto"/>
        </w:rPr>
        <w:t>” means an Award granted pursuant to Article 6. In general, a Stock Appreciation Right gives the recipient the right to receive, upon exercise of the Award, an amount equal to the excess of the Fair Market Value of the shares of Stock with respect to which the SAR is being exercised (determined as of the exercise date) over the exercise price set forth in the Agreement.</w:t>
      </w:r>
    </w:p>
    <w:p>
      <w:pPr>
        <w:spacing w:after="0" w:line="113" w:lineRule="exact"/>
        <w:rPr>
          <w:sz w:val="20"/>
          <w:szCs w:val="20"/>
          <w:color w:val="auto"/>
        </w:rPr>
      </w:pPr>
    </w:p>
    <w:p>
      <w:pPr>
        <w:ind w:left="1000" w:right="439" w:firstLine="360"/>
        <w:spacing w:after="0" w:line="267"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i w:val="1"/>
          <w:iCs w:val="1"/>
          <w:color w:val="auto"/>
        </w:rPr>
        <w:t>Subsidiary</w:t>
      </w:r>
      <w:r>
        <w:rPr>
          <w:rFonts w:ascii="Arial" w:cs="Arial" w:eastAsia="Arial" w:hAnsi="Arial"/>
          <w:sz w:val="18"/>
          <w:szCs w:val="18"/>
          <w:color w:val="auto"/>
        </w:rPr>
        <w:t>” means a corporation in which Avnet directly or indirectly owns more than 50% of the total combined voting power of all classes of capital stock.</w:t>
      </w:r>
    </w:p>
    <w:p>
      <w:pPr>
        <w:spacing w:after="0" w:line="79" w:lineRule="exact"/>
        <w:rPr>
          <w:sz w:val="20"/>
          <w:szCs w:val="20"/>
          <w:color w:val="auto"/>
        </w:rPr>
      </w:pPr>
    </w:p>
    <w:p>
      <w:pPr>
        <w:ind w:left="1000" w:right="299" w:firstLine="360"/>
        <w:spacing w:after="0" w:line="250"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i w:val="1"/>
          <w:iCs w:val="1"/>
          <w:color w:val="auto"/>
        </w:rPr>
        <w:t>Successor Optionee</w:t>
      </w:r>
      <w:r>
        <w:rPr>
          <w:rFonts w:ascii="Arial" w:cs="Arial" w:eastAsia="Arial" w:hAnsi="Arial"/>
          <w:sz w:val="18"/>
          <w:szCs w:val="18"/>
          <w:color w:val="auto"/>
        </w:rPr>
        <w:t>” means any person who, under the provisions of Article 5, has acquired from an Optionee the right to exercise an Option, for so long as such Option remains unexercised in whole or in part, and has not been surrendered, exercised, or terminated.</w:t>
      </w:r>
    </w:p>
    <w:p>
      <w:pPr>
        <w:spacing w:after="0" w:line="163"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3</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SHARES RESERVED FOR THE PLAN</w:t>
      </w:r>
    </w:p>
    <w:p>
      <w:pPr>
        <w:spacing w:after="0" w:line="126" w:lineRule="exact"/>
        <w:rPr>
          <w:sz w:val="20"/>
          <w:szCs w:val="20"/>
          <w:color w:val="auto"/>
        </w:rPr>
      </w:pPr>
    </w:p>
    <w:p>
      <w:pPr>
        <w:ind w:left="1000" w:right="179" w:firstLine="360"/>
        <w:spacing w:after="0" w:line="25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General Limitations</w:t>
      </w:r>
      <w:r>
        <w:rPr>
          <w:rFonts w:ascii="Arial" w:cs="Arial" w:eastAsia="Arial" w:hAnsi="Arial"/>
          <w:sz w:val="17"/>
          <w:szCs w:val="17"/>
          <w:color w:val="auto"/>
        </w:rPr>
        <w:t>. Subject to the adjustment provisions set forth in Article 13, the maximum number of shares of Stock that may be delivered pursuant to the exercise of Awards granted under the Plan shall be 2,5000,000 shares. All such shares shall be available for any type of Award, including Incentive Stock Options. At no time shall there be outstanding Awards under the Plan covering more than such maximum number of shares less the aggregate of the shares of Stock previously delivered pursuant to the exercise of Options (including the shares of Stock previously covered by Options surrendered in connection with the exercise of SARs), the shares of Stock with respect to which stock-settled SARs have been exercised (without regard to the number of shares of Stock issued upon settlement of such SARs), and the shares of Stock previously delivered pursuant to the vesting of Restricted Stock, Restricted Stock Units, Performance Share Units, and Other Stock Unit Awards. The shares of Stock authorized hereunder shall be in addition to the shares of Stock authorized for grant under the Avnet, Inc. 2016 Stock Compensation Plan (the “2016 Plan”), which shall continue to be available for grant under the 2016 Plan. Shares of Stock subject to Awards may consist of authorized but unissued shares of Stock and/or shares of Stock held in Avnet’s treasury.</w:t>
      </w:r>
    </w:p>
    <w:p>
      <w:pPr>
        <w:spacing w:after="0" w:line="113" w:lineRule="exact"/>
        <w:rPr>
          <w:sz w:val="20"/>
          <w:szCs w:val="20"/>
          <w:color w:val="auto"/>
        </w:rPr>
      </w:pPr>
    </w:p>
    <w:p>
      <w:pPr>
        <w:ind w:left="1000" w:right="179" w:firstLine="360"/>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Individual Limitations</w:t>
      </w:r>
      <w:r>
        <w:rPr>
          <w:rFonts w:ascii="Arial" w:cs="Arial" w:eastAsia="Arial" w:hAnsi="Arial"/>
          <w:sz w:val="18"/>
          <w:szCs w:val="18"/>
          <w:color w:val="auto"/>
        </w:rPr>
        <w:t>. No individual may be granted Awards in any calendar year for more than 1,000,000 shares in the aggregate (including Options, SARs, Restricted Stock, Restricted Stock Units, Performance Share Units, and other equity-based awards). Awards granted to an individual in a calendar year may consist of a single type (</w:t>
      </w:r>
      <w:r>
        <w:rPr>
          <w:rFonts w:ascii="Arial" w:cs="Arial" w:eastAsia="Arial" w:hAnsi="Arial"/>
          <w:sz w:val="18"/>
          <w:szCs w:val="18"/>
          <w:i w:val="1"/>
          <w:iCs w:val="1"/>
          <w:color w:val="auto"/>
        </w:rPr>
        <w:t>e.g.</w:t>
      </w:r>
      <w:r>
        <w:rPr>
          <w:rFonts w:ascii="Arial" w:cs="Arial" w:eastAsia="Arial" w:hAnsi="Arial"/>
          <w:sz w:val="18"/>
          <w:szCs w:val="18"/>
          <w:color w:val="auto"/>
        </w:rPr>
        <w:t>, Options) or a mix of types, as long as the aggregate share limit for the year is not exceeded. In addition, no Non-Employee Director may be granted Awards covering shares with a value at the time of grant of more than $1 million in any calendar year; provided, however, that Awards covering shares with a value of up to $2 million may be granted to a Non-Employee Director during the calendar year in which the Non-Employee Director first joins the Board of Directors or is first designated as Chairman of the Board of Directors or Lead Director.</w:t>
      </w:r>
    </w:p>
    <w:p>
      <w:pPr>
        <w:spacing w:after="0" w:line="107" w:lineRule="exact"/>
        <w:rPr>
          <w:sz w:val="20"/>
          <w:szCs w:val="20"/>
          <w:color w:val="auto"/>
        </w:rPr>
      </w:pPr>
    </w:p>
    <w:p>
      <w:pPr>
        <w:ind w:left="1000" w:right="339" w:firstLine="360"/>
        <w:spacing w:after="0" w:line="28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Termination and Expiration of Awards</w:t>
      </w:r>
      <w:r>
        <w:rPr>
          <w:rFonts w:ascii="Arial" w:cs="Arial" w:eastAsia="Arial" w:hAnsi="Arial"/>
          <w:sz w:val="17"/>
          <w:szCs w:val="17"/>
          <w:color w:val="auto"/>
        </w:rPr>
        <w:t>. If an Award is canceled, forfeited, expired or otherwise terminates or is settled without delivery of shares of Stock, whether in whole or in part, the number of shares of Stock covered by such Award immediately before such cancellation, forfeiture, expiration,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95250</wp:posOffset>
            </wp:positionV>
            <wp:extent cx="1482725" cy="291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159"/>
        <w:spacing w:after="0" w:line="253" w:lineRule="auto"/>
        <w:rPr>
          <w:sz w:val="20"/>
          <w:szCs w:val="20"/>
          <w:color w:val="auto"/>
        </w:rPr>
      </w:pPr>
      <w:r>
        <w:rPr>
          <w:rFonts w:ascii="Arial" w:cs="Arial" w:eastAsia="Arial" w:hAnsi="Arial"/>
          <w:sz w:val="17"/>
          <w:szCs w:val="17"/>
          <w:color w:val="auto"/>
        </w:rPr>
        <w:t>settlement shall thereupon be added back to the number of shares of Stock otherwise available for further grants of Awards hereunder; provided, however, that the following transactions involving shares of Stock shall not result in shares of Stock becoming available for subsequent Awards: (a) Stock tendered or withheld in payment of the exercise price of an Option; (b) Stock tendered or withheld for taxes; (c) Stock that was subject to a stock-settled SAR or an Option that was related to a SAR and was not issued upon the settlement or exercise of such SAR; and (d) Stock repurchased by the Company with the proceeds of an Option exercise.</w:t>
      </w:r>
    </w:p>
    <w:p>
      <w:pPr>
        <w:spacing w:after="0" w:line="163"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4</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ADMINISTRATION OF THE PLAN</w:t>
      </w:r>
    </w:p>
    <w:p>
      <w:pPr>
        <w:spacing w:after="0" w:line="113" w:lineRule="exact"/>
        <w:rPr>
          <w:sz w:val="20"/>
          <w:szCs w:val="20"/>
          <w:color w:val="auto"/>
        </w:rPr>
      </w:pPr>
    </w:p>
    <w:p>
      <w:pPr>
        <w:ind w:left="1000" w:right="239" w:firstLine="360"/>
        <w:spacing w:after="0" w:line="23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Plan Administration</w:t>
      </w:r>
      <w:r>
        <w:rPr>
          <w:rFonts w:ascii="Arial" w:cs="Arial" w:eastAsia="Arial" w:hAnsi="Arial"/>
          <w:sz w:val="18"/>
          <w:szCs w:val="18"/>
          <w:color w:val="auto"/>
        </w:rPr>
        <w:t>. This Plan shall be administered by the Administrator. The Administrator shall have full and exclusive power to: (a) construe and interpret the Plan; (b) establish and amend rules and regulations for the administration of the Plan; (c) correct any defect, remedy any omission, and reconcile any ambiguity or inconsistency in the Plan or any Award in the manner and to the extent it deems necessary or desirable to carry out the intent of the Plan and such Award; and (d) certify the level as to which each Performance Objective was attained. Subject to Section 4.6, the Administrator may delegate some or all of its authority under the Plan (including powers not referenced in this Section 4.1) to one or more Company officers, to the extent permitted by and not inconsistent with any requirements of applicable law.</w:t>
      </w:r>
    </w:p>
    <w:p>
      <w:pPr>
        <w:spacing w:after="0" w:line="120" w:lineRule="exact"/>
        <w:rPr>
          <w:sz w:val="20"/>
          <w:szCs w:val="20"/>
          <w:color w:val="auto"/>
        </w:rPr>
      </w:pPr>
    </w:p>
    <w:p>
      <w:pPr>
        <w:ind w:left="1000" w:right="219" w:firstLine="360"/>
        <w:spacing w:after="0" w:line="25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Committee’s Authority to Grant Awards</w:t>
      </w:r>
      <w:r>
        <w:rPr>
          <w:rFonts w:ascii="Arial" w:cs="Arial" w:eastAsia="Arial" w:hAnsi="Arial"/>
          <w:sz w:val="17"/>
          <w:szCs w:val="17"/>
          <w:color w:val="auto"/>
        </w:rPr>
        <w:t>. In addition to the powers enumerated in Section 4.1 (and without limiting the generality thereof), the Committee shall have plenary authority and discretion to determine the time or times at which Awards shall be granted to Eligible Employees, the Eligible Employees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Subject to the requirements of the Plan, the terms and conditions prescribed or approved for any Award granted by the Committee (as reflected in the applicable Agreement) shall be entirely within the discretion of the Committee.</w:t>
      </w:r>
    </w:p>
    <w:p>
      <w:pPr>
        <w:spacing w:after="0" w:line="107" w:lineRule="exact"/>
        <w:rPr>
          <w:sz w:val="20"/>
          <w:szCs w:val="20"/>
          <w:color w:val="auto"/>
        </w:rPr>
      </w:pPr>
    </w:p>
    <w:p>
      <w:pPr>
        <w:ind w:left="1360"/>
        <w:spacing w:after="0"/>
        <w:tabs>
          <w:tab w:leader="none" w:pos="5800" w:val="left"/>
        </w:tabs>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Independent Directors’ Authority to Grant Awards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 addition to the powers enumerated in</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Section 4.1 (and without limiting the generality thereof), the Independent Directors shall have plenary authority</w:t>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and discretion to determine the time or times at which Awards shall be granted to Non-Employee Directors,</w:t>
      </w:r>
    </w:p>
    <w:p>
      <w:pPr>
        <w:ind w:left="1000"/>
        <w:spacing w:after="0" w:line="234" w:lineRule="auto"/>
        <w:rPr>
          <w:sz w:val="20"/>
          <w:szCs w:val="20"/>
          <w:color w:val="auto"/>
        </w:rPr>
      </w:pPr>
      <w:r>
        <w:rPr>
          <w:rFonts w:ascii="Arial" w:cs="Arial" w:eastAsia="Arial" w:hAnsi="Arial"/>
          <w:sz w:val="18"/>
          <w:szCs w:val="18"/>
          <w:color w:val="auto"/>
        </w:rPr>
        <w:t>the Non-Employee Directors to whom Awards shall be granted, the number of shares of Stock (or for Awards</w:t>
      </w:r>
    </w:p>
    <w:p>
      <w:pPr>
        <w:ind w:left="1000"/>
        <w:spacing w:after="0" w:line="235" w:lineRule="auto"/>
        <w:rPr>
          <w:sz w:val="20"/>
          <w:szCs w:val="20"/>
          <w:color w:val="auto"/>
        </w:rPr>
      </w:pPr>
      <w:r>
        <w:rPr>
          <w:rFonts w:ascii="Arial" w:cs="Arial" w:eastAsia="Arial" w:hAnsi="Arial"/>
          <w:sz w:val="18"/>
          <w:szCs w:val="18"/>
          <w:color w:val="auto"/>
        </w:rPr>
        <w:t>denominated in cash, the dollar amount) to be covered by each such Award, and the terms and conditions</w:t>
      </w:r>
    </w:p>
    <w:p>
      <w:pPr>
        <w:ind w:left="1000"/>
        <w:spacing w:after="0" w:line="235" w:lineRule="auto"/>
        <w:rPr>
          <w:sz w:val="20"/>
          <w:szCs w:val="20"/>
          <w:color w:val="auto"/>
        </w:rPr>
      </w:pPr>
      <w:r>
        <w:rPr>
          <w:rFonts w:ascii="Arial" w:cs="Arial" w:eastAsia="Arial" w:hAnsi="Arial"/>
          <w:sz w:val="18"/>
          <w:szCs w:val="18"/>
          <w:color w:val="auto"/>
        </w:rPr>
        <w:t>upon which each such Award may be exercised (in each case, to the extent not inconsistent with the</w:t>
      </w:r>
    </w:p>
    <w:p>
      <w:pPr>
        <w:ind w:left="1000"/>
        <w:spacing w:after="0" w:line="235" w:lineRule="auto"/>
        <w:rPr>
          <w:sz w:val="20"/>
          <w:szCs w:val="20"/>
          <w:color w:val="auto"/>
        </w:rPr>
      </w:pPr>
      <w:r>
        <w:rPr>
          <w:rFonts w:ascii="Arial" w:cs="Arial" w:eastAsia="Arial" w:hAnsi="Arial"/>
          <w:sz w:val="18"/>
          <w:szCs w:val="18"/>
          <w:color w:val="auto"/>
        </w:rPr>
        <w:t>provisions of this Plan); provided that (a) no Director shall participate in any action taken with respect to an</w:t>
      </w:r>
    </w:p>
    <w:p>
      <w:pPr>
        <w:ind w:left="1000"/>
        <w:spacing w:after="0" w:line="235" w:lineRule="auto"/>
        <w:rPr>
          <w:sz w:val="20"/>
          <w:szCs w:val="20"/>
          <w:color w:val="auto"/>
        </w:rPr>
      </w:pPr>
      <w:r>
        <w:rPr>
          <w:rFonts w:ascii="Arial" w:cs="Arial" w:eastAsia="Arial" w:hAnsi="Arial"/>
          <w:sz w:val="18"/>
          <w:szCs w:val="18"/>
          <w:color w:val="auto"/>
        </w:rPr>
        <w:t>Award granted or to be granted to such Director, unless the same action is contemplated for all similarly</w:t>
      </w:r>
    </w:p>
    <w:p>
      <w:pPr>
        <w:ind w:left="1000"/>
        <w:spacing w:after="0" w:line="234" w:lineRule="auto"/>
        <w:rPr>
          <w:sz w:val="20"/>
          <w:szCs w:val="20"/>
          <w:color w:val="auto"/>
        </w:rPr>
      </w:pPr>
      <w:r>
        <w:rPr>
          <w:rFonts w:ascii="Arial" w:cs="Arial" w:eastAsia="Arial" w:hAnsi="Arial"/>
          <w:sz w:val="18"/>
          <w:szCs w:val="18"/>
          <w:color w:val="auto"/>
        </w:rPr>
        <w:t>situated Directors, and (b) no Award shall be granted to a Non-Employee Director unless such grant is</w:t>
      </w:r>
    </w:p>
    <w:p>
      <w:pPr>
        <w:ind w:left="1000"/>
        <w:spacing w:after="0" w:line="235" w:lineRule="auto"/>
        <w:rPr>
          <w:sz w:val="20"/>
          <w:szCs w:val="20"/>
          <w:color w:val="auto"/>
        </w:rPr>
      </w:pPr>
      <w:r>
        <w:rPr>
          <w:rFonts w:ascii="Arial" w:cs="Arial" w:eastAsia="Arial" w:hAnsi="Arial"/>
          <w:sz w:val="18"/>
          <w:szCs w:val="18"/>
          <w:color w:val="auto"/>
        </w:rPr>
        <w:t>approved by a majority of the Independent Directors. Subject to the requirements of the Plan, the terms and</w:t>
      </w:r>
    </w:p>
    <w:p>
      <w:pPr>
        <w:ind w:left="1000"/>
        <w:spacing w:after="0" w:line="235" w:lineRule="auto"/>
        <w:rPr>
          <w:sz w:val="20"/>
          <w:szCs w:val="20"/>
          <w:color w:val="auto"/>
        </w:rPr>
      </w:pPr>
      <w:r>
        <w:rPr>
          <w:rFonts w:ascii="Arial" w:cs="Arial" w:eastAsia="Arial" w:hAnsi="Arial"/>
          <w:sz w:val="18"/>
          <w:szCs w:val="18"/>
          <w:color w:val="auto"/>
        </w:rPr>
        <w:t>conditions prescribed or approved for any Award granted by the Independent Directors (as reflected in the</w:t>
      </w:r>
    </w:p>
    <w:p>
      <w:pPr>
        <w:ind w:left="1000"/>
        <w:spacing w:after="0"/>
        <w:rPr>
          <w:sz w:val="20"/>
          <w:szCs w:val="20"/>
          <w:color w:val="auto"/>
        </w:rPr>
      </w:pPr>
      <w:r>
        <w:rPr>
          <w:rFonts w:ascii="Arial" w:cs="Arial" w:eastAsia="Arial" w:hAnsi="Arial"/>
          <w:sz w:val="18"/>
          <w:szCs w:val="18"/>
          <w:color w:val="auto"/>
        </w:rPr>
        <w:t>applicable Agreement) shall be entirely within the discretion of the Independent Directors.</w:t>
      </w:r>
    </w:p>
    <w:p>
      <w:pPr>
        <w:spacing w:after="0" w:line="113" w:lineRule="exact"/>
        <w:rPr>
          <w:sz w:val="20"/>
          <w:szCs w:val="20"/>
          <w:color w:val="auto"/>
        </w:rPr>
      </w:pPr>
    </w:p>
    <w:p>
      <w:pPr>
        <w:ind w:left="1000" w:right="259" w:firstLine="360"/>
        <w:spacing w:after="0" w:line="241"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Actions of the Committee</w:t>
      </w:r>
      <w:r>
        <w:rPr>
          <w:rFonts w:ascii="Arial" w:cs="Arial" w:eastAsia="Arial" w:hAnsi="Arial"/>
          <w:sz w:val="18"/>
          <w:szCs w:val="18"/>
          <w:color w:val="auto"/>
        </w:rPr>
        <w:t>. A majority of the members of the Committee (but not less than two) shall constitute a quorum, and all acts, decisions or determinations of the Committee shall be by majority vote of such of its members as shall be present at a meeting duly held at which a quorum is so present. Any act, decision, or determination of the Committee reduced to writing and signed by a majority of its members (but not less than two) shall be fully effective as if it had been made, taken or done by vote of such majority at a meeting duly called and held.</w:t>
      </w:r>
    </w:p>
    <w:p>
      <w:pPr>
        <w:spacing w:after="0" w:line="116" w:lineRule="exact"/>
        <w:rPr>
          <w:sz w:val="20"/>
          <w:szCs w:val="20"/>
          <w:color w:val="auto"/>
        </w:rPr>
      </w:pPr>
    </w:p>
    <w:p>
      <w:pPr>
        <w:ind w:left="1000" w:right="639" w:firstLine="360"/>
        <w:spacing w:after="0" w:line="26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Reporting</w:t>
      </w:r>
      <w:r>
        <w:rPr>
          <w:rFonts w:ascii="Arial" w:cs="Arial" w:eastAsia="Arial" w:hAnsi="Arial"/>
          <w:sz w:val="18"/>
          <w:szCs w:val="18"/>
          <w:color w:val="auto"/>
        </w:rPr>
        <w:t>. The Committee shall provide reports as may from time to time be prescribed by the Board of Directors.</w:t>
      </w:r>
    </w:p>
    <w:p>
      <w:pPr>
        <w:spacing w:after="0" w:line="93" w:lineRule="exact"/>
        <w:rPr>
          <w:sz w:val="20"/>
          <w:szCs w:val="20"/>
          <w:color w:val="auto"/>
        </w:rPr>
      </w:pPr>
    </w:p>
    <w:p>
      <w:pPr>
        <w:ind w:left="1000" w:right="459" w:firstLine="360"/>
        <w:spacing w:after="0" w:line="241"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CEO Authority to Grant Awards</w:t>
      </w:r>
      <w:r>
        <w:rPr>
          <w:rFonts w:ascii="Arial" w:cs="Arial" w:eastAsia="Arial" w:hAnsi="Arial"/>
          <w:sz w:val="18"/>
          <w:szCs w:val="18"/>
          <w:color w:val="auto"/>
        </w:rPr>
        <w:t>. The CEO shall have authority to make Awards to Eligible Employees who are not Executive Officers, including Eligible Employees who are promoted to Executive Officer positions, subject to such limits, if any, as the Committee may impose. The CEO shall have plenary authority and discretion to determine the time or times at which Awards that the CEO is authorized to grant shall be granted, the Eligible Employees to whom such Awards shall be granted, the number of shares of Stock (or for Awards</w:t>
      </w:r>
    </w:p>
    <w:p>
      <w:pPr>
        <w:spacing w:after="0" w:line="124"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499"/>
        <w:spacing w:after="0"/>
        <w:rPr>
          <w:sz w:val="20"/>
          <w:szCs w:val="20"/>
          <w:color w:val="auto"/>
        </w:rPr>
      </w:pPr>
      <w:r>
        <w:rPr>
          <w:rFonts w:ascii="Arial" w:cs="Arial" w:eastAsia="Arial" w:hAnsi="Arial"/>
          <w:sz w:val="18"/>
          <w:szCs w:val="18"/>
          <w:color w:val="auto"/>
        </w:rPr>
        <w:t>denominated in cash, the dollar amount) to be covered by each such Award, and the terms and conditions upon which each such Award may be exercised (in each case, to the extent not inconsistent with the provisions of this Plan).</w:t>
      </w:r>
    </w:p>
    <w:p>
      <w:pPr>
        <w:spacing w:after="0" w:line="104" w:lineRule="exact"/>
        <w:rPr>
          <w:sz w:val="20"/>
          <w:szCs w:val="20"/>
          <w:color w:val="auto"/>
        </w:rPr>
      </w:pPr>
    </w:p>
    <w:p>
      <w:pPr>
        <w:ind w:left="1000" w:right="299" w:firstLine="360"/>
        <w:spacing w:after="0" w:line="24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Determining Amount Payable.</w:t>
      </w:r>
      <w:r>
        <w:rPr>
          <w:rFonts w:ascii="Arial" w:cs="Arial" w:eastAsia="Arial" w:hAnsi="Arial"/>
          <w:sz w:val="18"/>
          <w:szCs w:val="18"/>
          <w:color w:val="auto"/>
        </w:rPr>
        <w:t xml:space="preserve"> With respect to any Award that is conditioned in whole or in part on the achievement of Performance Objectives, the Administrator shall determine the extent to which the applicable Performance Objectives were achieved and shall have discretion to reduce the amount that becomes vested or payable upon achievement of such Performance Objectives.</w:t>
      </w:r>
    </w:p>
    <w:p>
      <w:pPr>
        <w:spacing w:after="0" w:line="113" w:lineRule="exact"/>
        <w:rPr>
          <w:sz w:val="20"/>
          <w:szCs w:val="20"/>
          <w:color w:val="auto"/>
        </w:rPr>
      </w:pPr>
    </w:p>
    <w:p>
      <w:pPr>
        <w:jc w:val="both"/>
        <w:ind w:left="1000" w:right="139" w:firstLine="360"/>
        <w:spacing w:after="0" w:line="242"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Decisions of the Administrator</w:t>
      </w:r>
      <w:r>
        <w:rPr>
          <w:rFonts w:ascii="Arial" w:cs="Arial" w:eastAsia="Arial" w:hAnsi="Arial"/>
          <w:sz w:val="18"/>
          <w:szCs w:val="18"/>
          <w:color w:val="auto"/>
        </w:rPr>
        <w:t>. All determinations and decisions made by the Administrator pursuant to the provisions of the Plan shall be final, conclusive, and binding upon all persons and the Company, except to the extent that the terms of any sale or award of shares of Stock, or any grant of rights or Options under the Plan, are required by law or by the Articles of Incorporation or By-laws of Avnet to be approved by the Board of Directors or shareholders.</w:t>
      </w:r>
    </w:p>
    <w:p>
      <w:pPr>
        <w:spacing w:after="0" w:line="117" w:lineRule="exact"/>
        <w:rPr>
          <w:sz w:val="20"/>
          <w:szCs w:val="20"/>
          <w:color w:val="auto"/>
        </w:rPr>
      </w:pPr>
    </w:p>
    <w:p>
      <w:pPr>
        <w:ind w:left="1000" w:right="299" w:firstLine="360"/>
        <w:spacing w:after="0" w:line="241"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Law Compliance</w:t>
      </w:r>
      <w:r>
        <w:rPr>
          <w:rFonts w:ascii="Arial" w:cs="Arial" w:eastAsia="Arial" w:hAnsi="Arial"/>
          <w:sz w:val="18"/>
          <w:szCs w:val="18"/>
          <w:color w:val="auto"/>
        </w:rPr>
        <w:t>. Notwithstanding any other provision of the Plan, the Administrator may impose such conditions on any Award, and the Board of Directors may amend the Plan in any such respects, as the Administrator or the Board of Directors determines is necessary or desirable to avoid adverse consequences under Rule 16b-3, Section 162(m) of the Code, Section 409A of the Code, Section 280G of the Code, or any other applicable law; and the Plan shall be construed consistently with the intent to avoid adverse consequences under applicable law.</w:t>
      </w:r>
    </w:p>
    <w:p>
      <w:pPr>
        <w:spacing w:after="0" w:line="170" w:lineRule="exact"/>
        <w:rPr>
          <w:sz w:val="20"/>
          <w:szCs w:val="20"/>
          <w:color w:val="auto"/>
        </w:rPr>
      </w:pPr>
    </w:p>
    <w:p>
      <w:pPr>
        <w:jc w:val="right"/>
        <w:ind w:right="3999"/>
        <w:spacing w:after="0"/>
        <w:rPr>
          <w:sz w:val="20"/>
          <w:szCs w:val="20"/>
          <w:color w:val="auto"/>
        </w:rPr>
      </w:pPr>
      <w:r>
        <w:rPr>
          <w:rFonts w:ascii="Arial" w:cs="Arial" w:eastAsia="Arial" w:hAnsi="Arial"/>
          <w:sz w:val="22"/>
          <w:szCs w:val="22"/>
          <w:b w:val="1"/>
          <w:bCs w:val="1"/>
          <w:color w:val="auto"/>
        </w:rPr>
        <w:t>ARTICLE 5</w:t>
      </w:r>
    </w:p>
    <w:p>
      <w:pPr>
        <w:spacing w:after="0" w:line="16" w:lineRule="exact"/>
        <w:rPr>
          <w:sz w:val="20"/>
          <w:szCs w:val="20"/>
          <w:color w:val="auto"/>
        </w:rPr>
      </w:pPr>
    </w:p>
    <w:p>
      <w:pPr>
        <w:jc w:val="right"/>
        <w:ind w:right="4039"/>
        <w:spacing w:after="0"/>
        <w:rPr>
          <w:sz w:val="20"/>
          <w:szCs w:val="20"/>
          <w:color w:val="auto"/>
        </w:rPr>
      </w:pPr>
      <w:r>
        <w:rPr>
          <w:rFonts w:ascii="Arial" w:cs="Arial" w:eastAsia="Arial" w:hAnsi="Arial"/>
          <w:sz w:val="22"/>
          <w:szCs w:val="22"/>
          <w:b w:val="1"/>
          <w:bCs w:val="1"/>
          <w:color w:val="auto"/>
        </w:rPr>
        <w:t>OPTIONS</w:t>
      </w:r>
    </w:p>
    <w:p>
      <w:pPr>
        <w:spacing w:after="0" w:line="113" w:lineRule="exact"/>
        <w:rPr>
          <w:sz w:val="20"/>
          <w:szCs w:val="20"/>
          <w:color w:val="auto"/>
        </w:rPr>
      </w:pPr>
    </w:p>
    <w:p>
      <w:pPr>
        <w:ind w:left="1000" w:right="379" w:firstLine="360"/>
        <w:spacing w:after="0" w:line="26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Options to Eligible Employees, and the Independent Directors may grant Options to Non-Employee Directors.</w:t>
      </w:r>
    </w:p>
    <w:p>
      <w:pPr>
        <w:spacing w:after="0" w:line="93" w:lineRule="exact"/>
        <w:rPr>
          <w:sz w:val="20"/>
          <w:szCs w:val="20"/>
          <w:color w:val="auto"/>
        </w:rPr>
      </w:pPr>
    </w:p>
    <w:p>
      <w:pPr>
        <w:jc w:val="both"/>
        <w:ind w:left="1000" w:right="179" w:firstLine="360"/>
        <w:spacing w:after="0" w:line="25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Exercise Price</w:t>
      </w:r>
      <w:r>
        <w:rPr>
          <w:rFonts w:ascii="Arial" w:cs="Arial" w:eastAsia="Arial" w:hAnsi="Arial"/>
          <w:sz w:val="18"/>
          <w:szCs w:val="18"/>
          <w:color w:val="auto"/>
        </w:rPr>
        <w:t>. The price per share at which Stock subject to an Option may be purchased shall be set forth in the Agreement. In no event shall such exercise price be less than 100% of the Fair Market Value of the Stock on the Grant Date.</w:t>
      </w:r>
    </w:p>
    <w:p>
      <w:pPr>
        <w:spacing w:after="0" w:line="109" w:lineRule="exact"/>
        <w:rPr>
          <w:sz w:val="20"/>
          <w:szCs w:val="20"/>
          <w:color w:val="auto"/>
        </w:rPr>
      </w:pPr>
    </w:p>
    <w:p>
      <w:pPr>
        <w:ind w:left="1000" w:right="159" w:firstLine="360"/>
        <w:spacing w:after="0" w:line="22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Term</w:t>
      </w:r>
      <w:r>
        <w:rPr>
          <w:rFonts w:ascii="Arial" w:cs="Arial" w:eastAsia="Arial" w:hAnsi="Arial"/>
          <w:sz w:val="18"/>
          <w:szCs w:val="18"/>
          <w:color w:val="auto"/>
        </w:rPr>
        <w:t>. The term of each Option granted under the Plan shall be set forth in the Agreement; provided, however, that in no event shall an Option be exercisable after the day before the tenth (10</w:t>
      </w:r>
      <w:r>
        <w:rPr>
          <w:rFonts w:ascii="Arial" w:cs="Arial" w:eastAsia="Arial" w:hAnsi="Arial"/>
          <w:sz w:val="26"/>
          <w:szCs w:val="26"/>
          <w:color w:val="auto"/>
          <w:vertAlign w:val="superscript"/>
        </w:rPr>
        <w:t>th</w:t>
      </w:r>
      <w:r>
        <w:rPr>
          <w:rFonts w:ascii="Arial" w:cs="Arial" w:eastAsia="Arial" w:hAnsi="Arial"/>
          <w:sz w:val="18"/>
          <w:szCs w:val="18"/>
          <w:color w:val="auto"/>
        </w:rPr>
        <w:t>) anniversary of the Grant Date. Unless sooner forfeited or otherwise terminated pursuant to the terms hereof or of the Agreement, each Option granted under the Plan shall expire at the end of its term, and the term may not be extended. No Option may be exercised after the expiration of its term.</w:t>
      </w:r>
    </w:p>
    <w:p>
      <w:pPr>
        <w:spacing w:after="0" w:line="105" w:lineRule="exact"/>
        <w:rPr>
          <w:sz w:val="20"/>
          <w:szCs w:val="20"/>
          <w:color w:val="auto"/>
        </w:rPr>
      </w:pPr>
    </w:p>
    <w:p>
      <w:pPr>
        <w:ind w:left="1000" w:right="139" w:firstLine="3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Exercisability (Vesting)</w:t>
      </w:r>
      <w:r>
        <w:rPr>
          <w:rFonts w:ascii="Arial" w:cs="Arial" w:eastAsia="Arial" w:hAnsi="Arial"/>
          <w:sz w:val="18"/>
          <w:szCs w:val="18"/>
          <w:color w:val="auto"/>
        </w:rPr>
        <w:t>. Each Option granted under the Plan shall be subject to the vesting conditions set forth in the Agreement; provided, however, that the exercisability of any Option may be accelerated to the extent permitted by Section 12.2 (Acceleration of Vesting). Subject to Section 12.2, an Option shall become vested no faster than pro rata over the three (3) year period that starts on the Grant Date. Subject to the provisions of the Agreement, each Option granted under the Plan that has become exercisable pursuant to this Section 5.4 shall remain exercisable thereafter until the expiration of its term as described in Section 5.3.</w:t>
      </w:r>
    </w:p>
    <w:p>
      <w:pPr>
        <w:spacing w:after="0" w:line="117" w:lineRule="exact"/>
        <w:rPr>
          <w:sz w:val="20"/>
          <w:szCs w:val="20"/>
          <w:color w:val="auto"/>
        </w:rPr>
      </w:pPr>
    </w:p>
    <w:p>
      <w:pPr>
        <w:ind w:left="1000" w:right="159" w:firstLine="360"/>
        <w:spacing w:after="0" w:line="23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Exercise</w:t>
      </w:r>
      <w:r>
        <w:rPr>
          <w:rFonts w:ascii="Arial" w:cs="Arial" w:eastAsia="Arial" w:hAnsi="Arial"/>
          <w:sz w:val="18"/>
          <w:szCs w:val="18"/>
          <w:color w:val="auto"/>
        </w:rPr>
        <w:t>. To the extent that an Option has become exercisable in accordance with Section 5.4, such Option may be exercised by notice to Avnet, in a form approved by Avnet, stating the number of shares of Stock with respect to which such Award is being exercised, accompanied by payment in full therefor as described below. After receipt of such notice and payment, subject to Section 12.6 (Registration of Shares), Avnet shall record the stock transfer on its books and records without the need to issue a physical certificate. The payment due upon exercise of an Option may be made in any form permitted by the Administrator. The permitted forms of payment may (but are not required to) include (a) check (certified, if so required by Avnet);</w:t>
      </w:r>
    </w:p>
    <w:p>
      <w:pPr>
        <w:spacing w:after="0" w:line="5" w:lineRule="exact"/>
        <w:rPr>
          <w:sz w:val="20"/>
          <w:szCs w:val="20"/>
          <w:color w:val="auto"/>
        </w:rPr>
      </w:pPr>
    </w:p>
    <w:p>
      <w:pPr>
        <w:ind w:left="1000" w:right="419" w:hanging="10"/>
        <w:spacing w:after="0" w:line="248" w:lineRule="auto"/>
        <w:tabs>
          <w:tab w:leader="none" w:pos="1268" w:val="left"/>
        </w:tabs>
        <w:numPr>
          <w:ilvl w:val="0"/>
          <w:numId w:val="95"/>
        </w:numPr>
        <w:rPr>
          <w:rFonts w:ascii="Arial" w:cs="Arial" w:eastAsia="Arial" w:hAnsi="Arial"/>
          <w:sz w:val="17"/>
          <w:szCs w:val="17"/>
          <w:color w:val="auto"/>
        </w:rPr>
      </w:pPr>
      <w:r>
        <w:rPr>
          <w:rFonts w:ascii="Arial" w:cs="Arial" w:eastAsia="Arial" w:hAnsi="Arial"/>
          <w:sz w:val="17"/>
          <w:szCs w:val="17"/>
          <w:color w:val="auto"/>
        </w:rPr>
        <w:t>shares of Stock with a fair market value, at the date of receipt by Avnet, equal to the aggregate exercise price (plus withholding, if applicable); (c) a combination of subsections (a) and (b) of this Section 5.5;</w:t>
      </w:r>
    </w:p>
    <w:p>
      <w:pPr>
        <w:spacing w:after="0" w:line="1" w:lineRule="exact"/>
        <w:rPr>
          <w:rFonts w:ascii="Arial" w:cs="Arial" w:eastAsia="Arial" w:hAnsi="Arial"/>
          <w:sz w:val="17"/>
          <w:szCs w:val="17"/>
          <w:color w:val="auto"/>
        </w:rPr>
      </w:pPr>
    </w:p>
    <w:p>
      <w:pPr>
        <w:ind w:left="1000" w:right="339" w:hanging="10"/>
        <w:spacing w:after="0" w:line="248" w:lineRule="auto"/>
        <w:tabs>
          <w:tab w:leader="none" w:pos="1268" w:val="left"/>
        </w:tabs>
        <w:numPr>
          <w:ilvl w:val="0"/>
          <w:numId w:val="96"/>
        </w:numPr>
        <w:rPr>
          <w:rFonts w:ascii="Arial" w:cs="Arial" w:eastAsia="Arial" w:hAnsi="Arial"/>
          <w:sz w:val="17"/>
          <w:szCs w:val="17"/>
          <w:color w:val="auto"/>
        </w:rPr>
      </w:pPr>
      <w:r>
        <w:rPr>
          <w:rFonts w:ascii="Arial" w:cs="Arial" w:eastAsia="Arial" w:hAnsi="Arial"/>
          <w:sz w:val="17"/>
          <w:szCs w:val="17"/>
          <w:color w:val="auto"/>
        </w:rPr>
        <w:t>having Avnet retain from the Stock otherwise issuable upon exercise of the Option a number of shares of Stock having a fair market value equal to the exercise price of the Option (plus withholding, if applicable);</w:t>
      </w:r>
    </w:p>
    <w:p>
      <w:pPr>
        <w:spacing w:after="0" w:line="1" w:lineRule="exact"/>
        <w:rPr>
          <w:rFonts w:ascii="Arial" w:cs="Arial" w:eastAsia="Arial" w:hAnsi="Arial"/>
          <w:sz w:val="17"/>
          <w:szCs w:val="17"/>
          <w:color w:val="auto"/>
        </w:rPr>
      </w:pPr>
    </w:p>
    <w:p>
      <w:pPr>
        <w:ind w:left="1260" w:hanging="270"/>
        <w:spacing w:after="0"/>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the extent permitted by applicable law, by delivering a properly executed exercise notice, together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109220</wp:posOffset>
            </wp:positionV>
            <wp:extent cx="1482725" cy="3003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36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239"/>
        <w:spacing w:after="0"/>
        <w:rPr>
          <w:sz w:val="20"/>
          <w:szCs w:val="20"/>
          <w:color w:val="auto"/>
        </w:rPr>
      </w:pPr>
      <w:r>
        <w:rPr>
          <w:rFonts w:ascii="Arial" w:cs="Arial" w:eastAsia="Arial" w:hAnsi="Arial"/>
          <w:sz w:val="18"/>
          <w:szCs w:val="18"/>
          <w:color w:val="auto"/>
        </w:rPr>
        <w:t>irrevocable instructions to a broker to promptly deliver to Avnet the exercise price and to deliver to the Participant the net amount of shares received upon exercise (after subtracting the exercise price, withholding, and any broker fee); or (f) any other manner acceptable to the Administrator.</w:t>
      </w:r>
    </w:p>
    <w:p>
      <w:pPr>
        <w:spacing w:after="0" w:line="104" w:lineRule="exact"/>
        <w:rPr>
          <w:sz w:val="20"/>
          <w:szCs w:val="20"/>
          <w:color w:val="auto"/>
        </w:rPr>
      </w:pPr>
    </w:p>
    <w:p>
      <w:pPr>
        <w:ind w:left="1000" w:right="179" w:firstLine="360"/>
        <w:spacing w:after="0" w:line="241"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General Modification Rules; Limits on Repricing</w:t>
      </w:r>
      <w:r>
        <w:rPr>
          <w:rFonts w:ascii="Arial" w:cs="Arial" w:eastAsia="Arial" w:hAnsi="Arial"/>
          <w:sz w:val="18"/>
          <w:szCs w:val="18"/>
          <w:color w:val="auto"/>
        </w:rPr>
        <w:t>. The Administrator may, for such consideration (if any) as it may deem adequate and with the prior consent of the Optionee, modify the terms of any outstanding Option; provided, however, that except to the extent permitted by Section 5.8, no Option may be repriced, replaced, or regranted through cancellation, or by lowering the exercise price of such Option, and no Option with an exercise price that exceeds the Fair Market Value of a share of Stock shall be exchanged for a cash payment, without shareholder approval.</w:t>
      </w:r>
    </w:p>
    <w:p>
      <w:pPr>
        <w:spacing w:after="0" w:line="116" w:lineRule="exact"/>
        <w:rPr>
          <w:sz w:val="20"/>
          <w:szCs w:val="20"/>
          <w:color w:val="auto"/>
        </w:rPr>
      </w:pPr>
    </w:p>
    <w:p>
      <w:pPr>
        <w:ind w:left="1000" w:right="179" w:firstLine="360"/>
        <w:spacing w:after="0" w:line="250"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Dividend Rights</w:t>
      </w:r>
      <w:r>
        <w:rPr>
          <w:rFonts w:ascii="Arial" w:cs="Arial" w:eastAsia="Arial" w:hAnsi="Arial"/>
          <w:sz w:val="18"/>
          <w:szCs w:val="18"/>
          <w:color w:val="auto"/>
        </w:rPr>
        <w:t>. Participants in whose name Options are granted shall not be entitled to receive dividends or other distributions with respect to shares of Stock underlying such Options prior to the exercise of such Options.</w:t>
      </w:r>
    </w:p>
    <w:p>
      <w:pPr>
        <w:spacing w:after="0" w:line="109" w:lineRule="exact"/>
        <w:rPr>
          <w:sz w:val="20"/>
          <w:szCs w:val="20"/>
          <w:color w:val="auto"/>
        </w:rPr>
      </w:pPr>
    </w:p>
    <w:p>
      <w:pPr>
        <w:ind w:left="1000" w:right="139" w:firstLine="360"/>
        <w:spacing w:after="0" w:line="242"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color w:val="auto"/>
        </w:rPr>
        <w:t>Special Modification in the Event of a Corporate Transaction</w:t>
      </w:r>
      <w:r>
        <w:rPr>
          <w:rFonts w:ascii="Arial" w:cs="Arial" w:eastAsia="Arial" w:hAnsi="Arial"/>
          <w:sz w:val="18"/>
          <w:szCs w:val="18"/>
          <w:color w:val="auto"/>
        </w:rPr>
        <w:t>. In the event of a corporate transaction (within the meaning of Treas. Reg. § 1.424-1(a)(3)), the Administrator may provide for the assumption or substitution of outstanding Options, provided that the requirements of Treas. Reg. § 1.424-1(a) are satisfied with respect to Incentive Stock Options, and the requirements of Treas. Reg. § 1.409A-1(b)(v)(D) are satisfied with respect to all other Options.</w:t>
      </w:r>
    </w:p>
    <w:p>
      <w:pPr>
        <w:spacing w:after="0" w:line="104" w:lineRule="exact"/>
        <w:rPr>
          <w:sz w:val="20"/>
          <w:szCs w:val="20"/>
          <w:color w:val="auto"/>
        </w:rPr>
      </w:pPr>
    </w:p>
    <w:p>
      <w:pPr>
        <w:ind w:left="1000" w:right="339" w:firstLine="360"/>
        <w:spacing w:after="0" w:line="24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color w:val="auto"/>
        </w:rPr>
        <w:t>Special Rules for Incentive Stock Options (“ISOs”)</w:t>
      </w:r>
      <w:r>
        <w:rPr>
          <w:rFonts w:ascii="Arial" w:cs="Arial" w:eastAsia="Arial" w:hAnsi="Arial"/>
          <w:sz w:val="18"/>
          <w:szCs w:val="18"/>
          <w:color w:val="auto"/>
        </w:rPr>
        <w:t>. ISOs shall be subject to the requirements of Section 422 of the Code, including the following (all of which shall be interpreted consistent with the intent to comply with the requirements of Section 422 of the Code and not to impose any restrictions that are not required by Section 422):</w:t>
      </w:r>
    </w:p>
    <w:p>
      <w:pPr>
        <w:spacing w:after="0" w:line="113" w:lineRule="exact"/>
        <w:rPr>
          <w:sz w:val="20"/>
          <w:szCs w:val="20"/>
          <w:color w:val="auto"/>
        </w:rPr>
      </w:pPr>
    </w:p>
    <w:p>
      <w:pPr>
        <w:ind w:left="1360" w:right="179" w:firstLine="638"/>
        <w:spacing w:after="0" w:line="250" w:lineRule="auto"/>
        <w:tabs>
          <w:tab w:leader="none" w:pos="2276"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Shares Available for ISO Grants</w:t>
      </w:r>
      <w:r>
        <w:rPr>
          <w:rFonts w:ascii="Arial" w:cs="Arial" w:eastAsia="Arial" w:hAnsi="Arial"/>
          <w:sz w:val="18"/>
          <w:szCs w:val="18"/>
          <w:color w:val="auto"/>
        </w:rPr>
        <w:t>. All shares of Stock authorized for Awards under Article 3 are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be issued through ISOs; provided, however, that to the extent required by Section 422 of the Code, canceled Awards shall continue to be counted against the number of shares available.</w:t>
      </w:r>
    </w:p>
    <w:p>
      <w:pPr>
        <w:spacing w:after="0" w:line="109" w:lineRule="exact"/>
        <w:rPr>
          <w:rFonts w:ascii="Arial" w:cs="Arial" w:eastAsia="Arial" w:hAnsi="Arial"/>
          <w:sz w:val="18"/>
          <w:szCs w:val="18"/>
          <w:color w:val="auto"/>
        </w:rPr>
      </w:pPr>
    </w:p>
    <w:p>
      <w:pPr>
        <w:ind w:left="1360" w:right="619" w:firstLine="638"/>
        <w:spacing w:after="0" w:line="267" w:lineRule="auto"/>
        <w:tabs>
          <w:tab w:leader="none" w:pos="2276"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Optionee Must Be an Employee</w:t>
      </w:r>
      <w:r>
        <w:rPr>
          <w:rFonts w:ascii="Arial" w:cs="Arial" w:eastAsia="Arial" w:hAnsi="Arial"/>
          <w:sz w:val="18"/>
          <w:szCs w:val="18"/>
          <w:color w:val="auto"/>
        </w:rPr>
        <w:t>. No ISO shall be granted to any individual who is not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of Avnet or a Subsidiary.</w:t>
      </w:r>
    </w:p>
    <w:p>
      <w:pPr>
        <w:spacing w:after="0" w:line="79" w:lineRule="exact"/>
        <w:rPr>
          <w:rFonts w:ascii="Arial" w:cs="Arial" w:eastAsia="Arial" w:hAnsi="Arial"/>
          <w:sz w:val="18"/>
          <w:szCs w:val="18"/>
          <w:color w:val="auto"/>
        </w:rPr>
      </w:pPr>
    </w:p>
    <w:p>
      <w:pPr>
        <w:ind w:left="1360" w:right="139" w:firstLine="638"/>
        <w:spacing w:after="0" w:line="253" w:lineRule="auto"/>
        <w:tabs>
          <w:tab w:leader="none" w:pos="2266"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Special Rules for 10% Owners</w:t>
      </w:r>
      <w:r>
        <w:rPr>
          <w:rFonts w:ascii="Arial" w:cs="Arial" w:eastAsia="Arial" w:hAnsi="Arial"/>
          <w:sz w:val="18"/>
          <w:szCs w:val="18"/>
          <w:color w:val="auto"/>
        </w:rPr>
        <w:t>. An Incentive Stock Option shall not be granted to an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who, immediately before the time the Option is granted, owns shares of Stock possessing more than ten percent (10%) of the total combined voting power of all classes of stock of Avnet, unless the Agreement for such Incentive Stock Option provides that (i) the exercise price is no less than one hundred and ten percent (110%) of the Fair Market Value of the Stock on the Grant Date (determined in accordance with Treas.</w:t>
      </w:r>
    </w:p>
    <w:p>
      <w:pPr>
        <w:spacing w:after="0" w:line="4"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Reg. § 1.422-2(f)(1)), and (ii) the Option expires no later than the fifth (5) anniversary of the Grant Date.</w:t>
      </w:r>
    </w:p>
    <w:p>
      <w:pPr>
        <w:spacing w:after="0" w:line="193"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6</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STOCK APPRECIATION RIGHTS (“SARs”)</w:t>
      </w:r>
    </w:p>
    <w:p>
      <w:pPr>
        <w:spacing w:after="0" w:line="126" w:lineRule="exact"/>
        <w:rPr>
          <w:sz w:val="20"/>
          <w:szCs w:val="20"/>
          <w:color w:val="auto"/>
        </w:rPr>
      </w:pPr>
    </w:p>
    <w:p>
      <w:pPr>
        <w:ind w:left="1000" w:right="219" w:firstLine="360"/>
        <w:spacing w:after="0" w:line="25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SARs to Eligible Employees, and the Independent Directors may grant SARs to Non-Employee Directors. Each SAR may be free-standing or related to all or part of an Option. In the discretion of the Administrator, a SAR related to an Option may be granted at any time before the related Option is exercised, expires, is terminated, or is surrendered, and may be modified when the related Option is modified.</w:t>
      </w:r>
    </w:p>
    <w:p>
      <w:pPr>
        <w:spacing w:after="0" w:line="116" w:lineRule="exact"/>
        <w:rPr>
          <w:sz w:val="20"/>
          <w:szCs w:val="20"/>
          <w:color w:val="auto"/>
        </w:rPr>
      </w:pPr>
    </w:p>
    <w:p>
      <w:pPr>
        <w:ind w:left="1000" w:right="339" w:firstLine="360"/>
        <w:spacing w:after="0" w:line="26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each free-standing SAR granted under the Plan shall be set forth in the Agreement. In no event shall the exercise price be less than 100% of the Fair Market Value of the Stock on the Grant Date.</w:t>
      </w:r>
    </w:p>
    <w:p>
      <w:pPr>
        <w:spacing w:after="0" w:line="95" w:lineRule="exact"/>
        <w:rPr>
          <w:sz w:val="20"/>
          <w:szCs w:val="20"/>
          <w:color w:val="auto"/>
        </w:rPr>
      </w:pPr>
    </w:p>
    <w:p>
      <w:pPr>
        <w:ind w:left="1000" w:right="179" w:firstLine="360"/>
        <w:spacing w:after="0" w:line="241"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Term</w:t>
      </w:r>
      <w:r>
        <w:rPr>
          <w:rFonts w:ascii="Arial" w:cs="Arial" w:eastAsia="Arial" w:hAnsi="Arial"/>
          <w:sz w:val="17"/>
          <w:szCs w:val="17"/>
          <w:color w:val="auto"/>
        </w:rPr>
        <w:t>. The term of each SAR granted under the Plan shall be set forth in the Agreement; provided, however that in no event shall a SAR be exercisable after the day before the tenth (10</w:t>
      </w:r>
      <w:r>
        <w:rPr>
          <w:rFonts w:ascii="Arial" w:cs="Arial" w:eastAsia="Arial" w:hAnsi="Arial"/>
          <w:sz w:val="25"/>
          <w:szCs w:val="25"/>
          <w:color w:val="auto"/>
          <w:vertAlign w:val="superscript"/>
        </w:rPr>
        <w:t>th</w:t>
      </w:r>
      <w:r>
        <w:rPr>
          <w:rFonts w:ascii="Arial" w:cs="Arial" w:eastAsia="Arial" w:hAnsi="Arial"/>
          <w:sz w:val="17"/>
          <w:szCs w:val="17"/>
          <w:color w:val="auto"/>
        </w:rPr>
        <w:t>) anniversary of the Grant Date. Unless sooner forfeited or otherwise terminated pursuant to the terms hereof or of the Agreement,</w:t>
      </w:r>
    </w:p>
    <w:p>
      <w:pPr>
        <w:spacing w:after="0" w:line="150"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419"/>
        <w:spacing w:after="0" w:line="261" w:lineRule="auto"/>
        <w:rPr>
          <w:sz w:val="20"/>
          <w:szCs w:val="20"/>
          <w:color w:val="auto"/>
        </w:rPr>
      </w:pPr>
      <w:r>
        <w:rPr>
          <w:rFonts w:ascii="Arial" w:cs="Arial" w:eastAsia="Arial" w:hAnsi="Arial"/>
          <w:sz w:val="18"/>
          <w:szCs w:val="18"/>
          <w:color w:val="auto"/>
        </w:rPr>
        <w:t>each SAR granted under the Plan shall expire at the end of its term, and the term may not be extended. No SAR may be exercised after the expiration of its term.</w:t>
      </w:r>
    </w:p>
    <w:p>
      <w:pPr>
        <w:spacing w:after="0" w:line="99" w:lineRule="exact"/>
        <w:rPr>
          <w:sz w:val="20"/>
          <w:szCs w:val="20"/>
          <w:color w:val="auto"/>
        </w:rPr>
      </w:pPr>
    </w:p>
    <w:p>
      <w:pPr>
        <w:ind w:left="1000" w:right="179" w:firstLine="360"/>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Exercisability (Vesting)</w:t>
      </w:r>
      <w:r>
        <w:rPr>
          <w:rFonts w:ascii="Arial" w:cs="Arial" w:eastAsia="Arial" w:hAnsi="Arial"/>
          <w:sz w:val="18"/>
          <w:szCs w:val="18"/>
          <w:color w:val="auto"/>
        </w:rPr>
        <w:t>. Each SAR granted under the Plan shall be subject to the vesting conditions set forth in the Agreement; provided, however, that (a) the exercisability of any SAR may be accelerated to the extent permitted by Section 12.2 (Acceleration of Vesting), and (b) if a SAR relates to all or part of an Option, such SAR shall be exercisable only to the extent that the related Option is exercisable. Subject to</w:t>
      </w:r>
    </w:p>
    <w:p>
      <w:pPr>
        <w:spacing w:after="0" w:line="2" w:lineRule="exact"/>
        <w:rPr>
          <w:sz w:val="20"/>
          <w:szCs w:val="20"/>
          <w:color w:val="auto"/>
        </w:rPr>
      </w:pPr>
    </w:p>
    <w:p>
      <w:pPr>
        <w:ind w:left="1000" w:right="339"/>
        <w:spacing w:after="0" w:line="278" w:lineRule="auto"/>
        <w:rPr>
          <w:sz w:val="20"/>
          <w:szCs w:val="20"/>
          <w:color w:val="auto"/>
        </w:rPr>
      </w:pPr>
      <w:r>
        <w:rPr>
          <w:rFonts w:ascii="Arial" w:cs="Arial" w:eastAsia="Arial" w:hAnsi="Arial"/>
          <w:sz w:val="17"/>
          <w:szCs w:val="17"/>
          <w:color w:val="auto"/>
        </w:rPr>
        <w:t>Section 12.2, a SAR shall become vested no faster than pro rata over the three (3) year period that starts on the Grant Date. Subject to the provisions of the Agreement, each SAR that is exercisable pursuant to this Section 6.4 shall remain exercisable thereafter until the expiration of its term as described in Section 6.3.</w:t>
      </w:r>
    </w:p>
    <w:p>
      <w:pPr>
        <w:spacing w:after="0" w:line="99" w:lineRule="exact"/>
        <w:rPr>
          <w:sz w:val="20"/>
          <w:szCs w:val="20"/>
          <w:color w:val="auto"/>
        </w:rPr>
      </w:pPr>
    </w:p>
    <w:p>
      <w:pPr>
        <w:ind w:left="1000" w:right="159" w:firstLine="360"/>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Exercise</w:t>
      </w:r>
      <w:r>
        <w:rPr>
          <w:rFonts w:ascii="Arial" w:cs="Arial" w:eastAsia="Arial" w:hAnsi="Arial"/>
          <w:sz w:val="18"/>
          <w:szCs w:val="18"/>
          <w:color w:val="auto"/>
        </w:rPr>
        <w:t>. To the extent that a SAR has become exercisable in accordance with Section 6.4, such SAR may be exercised in accordance with the procedures set forth in Section 5.5 (Exercise), but without the requirement to make a payment therefor. If the SAR is related to all or part of an Option, the Optionee must provide with the exercise notice an instrument effecting the surrender of the related portion of the Option. Each SAR may be settled in shares of Stock, cash, or a combination of cash and shares (provided that shares of Stock underlying any SAR that is settled in cash shall not be available to be issued in a future Award). No fractional shares shall be issued; any amount that would have been payable in fractional shares shall be paid in cash.</w:t>
      </w:r>
    </w:p>
    <w:p>
      <w:pPr>
        <w:spacing w:after="0" w:line="117" w:lineRule="exact"/>
        <w:rPr>
          <w:sz w:val="20"/>
          <w:szCs w:val="20"/>
          <w:color w:val="auto"/>
        </w:rPr>
      </w:pPr>
    </w:p>
    <w:p>
      <w:pPr>
        <w:ind w:left="1000" w:right="479" w:firstLine="360"/>
        <w:spacing w:after="0" w:line="266"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Other Conditions</w:t>
      </w:r>
      <w:r>
        <w:rPr>
          <w:rFonts w:ascii="Arial" w:cs="Arial" w:eastAsia="Arial" w:hAnsi="Arial"/>
          <w:sz w:val="18"/>
          <w:szCs w:val="18"/>
          <w:color w:val="auto"/>
        </w:rPr>
        <w:t>. The Administrator (or its designee) may impose any other conditions upon the exercise of SARs. Such conditions may govern the right to exercise SARs granted before the adoption or amendment of such conditions as well as SARs granted thereafter.</w:t>
      </w:r>
    </w:p>
    <w:p>
      <w:pPr>
        <w:spacing w:after="0" w:line="95" w:lineRule="exact"/>
        <w:rPr>
          <w:sz w:val="20"/>
          <w:szCs w:val="20"/>
          <w:color w:val="auto"/>
        </w:rPr>
      </w:pPr>
    </w:p>
    <w:p>
      <w:pPr>
        <w:ind w:left="1000" w:right="639" w:firstLine="360"/>
        <w:spacing w:after="0" w:line="28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Dividend Rights</w:t>
      </w:r>
      <w:r>
        <w:rPr>
          <w:rFonts w:ascii="Arial" w:cs="Arial" w:eastAsia="Arial" w:hAnsi="Arial"/>
          <w:sz w:val="18"/>
          <w:szCs w:val="18"/>
          <w:color w:val="auto"/>
        </w:rPr>
        <w:t>. Participants in whose name SARs are granted shall not be entitled to receive dividends or other distributions with respect to shares of Stock underlying such SARs.</w:t>
      </w:r>
    </w:p>
    <w:p>
      <w:pPr>
        <w:spacing w:after="0" w:line="94" w:lineRule="exact"/>
        <w:rPr>
          <w:sz w:val="20"/>
          <w:szCs w:val="20"/>
          <w:color w:val="auto"/>
        </w:rPr>
      </w:pPr>
    </w:p>
    <w:p>
      <w:pPr>
        <w:jc w:val="both"/>
        <w:ind w:left="1000" w:right="459" w:firstLine="360"/>
        <w:spacing w:after="0" w:line="266"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Modification and Cancellation Rules</w:t>
      </w:r>
      <w:r>
        <w:rPr>
          <w:rFonts w:ascii="Arial" w:cs="Arial" w:eastAsia="Arial" w:hAnsi="Arial"/>
          <w:sz w:val="18"/>
          <w:szCs w:val="18"/>
          <w:color w:val="auto"/>
        </w:rPr>
        <w:t>. The modification and cancellation rules and restrictions set forth in Sections 5.6 (General Modification Rules) and 5.8 (Special Modification in the Event of a Corporate Transaction) shall also apply with respect to SARs.</w:t>
      </w:r>
    </w:p>
    <w:p>
      <w:pPr>
        <w:spacing w:after="0" w:line="162"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ARTICLE 7</w:t>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RESTRICTED STOCK</w:t>
      </w:r>
    </w:p>
    <w:p>
      <w:pPr>
        <w:spacing w:after="0" w:line="126" w:lineRule="exact"/>
        <w:rPr>
          <w:sz w:val="20"/>
          <w:szCs w:val="20"/>
          <w:color w:val="auto"/>
        </w:rPr>
      </w:pPr>
    </w:p>
    <w:p>
      <w:pPr>
        <w:ind w:left="1000" w:right="359" w:firstLine="360"/>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Restricted Stock to Eligible Employees, and the Independent Directors may grant Restricted Stock to Non-Employee Directors. The number of shares granted pursuant to any Restricted Stock Award, and the purchase price (if any), shall be set forth in the Agreement.</w:t>
      </w:r>
    </w:p>
    <w:p>
      <w:pPr>
        <w:spacing w:after="0" w:line="99" w:lineRule="exact"/>
        <w:rPr>
          <w:sz w:val="20"/>
          <w:szCs w:val="20"/>
          <w:color w:val="auto"/>
        </w:rPr>
      </w:pPr>
    </w:p>
    <w:p>
      <w:pPr>
        <w:ind w:left="1000" w:right="219" w:firstLine="360"/>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Restrictions</w:t>
      </w:r>
      <w:r>
        <w:rPr>
          <w:rFonts w:ascii="Arial" w:cs="Arial" w:eastAsia="Arial" w:hAnsi="Arial"/>
          <w:sz w:val="18"/>
          <w:szCs w:val="18"/>
          <w:color w:val="auto"/>
        </w:rPr>
        <w:t>. During the Period of Restriction set forth in the applicable Agreement, shares of Restricted Stock shall not be sold, transferred, pledged, assigned, exchanged, encumbered, alienated, hypothecated, or otherwise disposed of. Except as otherwise provided in the Agreement, if a Participant’s employment or other service with the Company terminates before the end of the Period of Restriction for any shares of Restricted Stock, all such restricted shares shall be forfeited, and all rights of the Participant with respect to such shares of Stock shall immediately terminate without any payment or other consideration therefor; provided that if the Participant paid for any of the forfeited shares, the Company shall refund the purchase price (without interest or any other earnings). Any forfeited shares of Restricted Stock that had been delivered to, or held in custody for, a Participant shall be returned to Avnet, accompanied by any instrument of transfer requested by Avnet.</w:t>
      </w:r>
    </w:p>
    <w:p>
      <w:pPr>
        <w:spacing w:after="0" w:line="118" w:lineRule="exact"/>
        <w:rPr>
          <w:sz w:val="20"/>
          <w:szCs w:val="20"/>
          <w:color w:val="auto"/>
        </w:rPr>
      </w:pPr>
    </w:p>
    <w:p>
      <w:pPr>
        <w:ind w:left="1000" w:right="259" w:firstLine="360"/>
        <w:spacing w:after="0" w:line="25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Lapse of Period of Restriction (Vesting).</w:t>
      </w:r>
      <w:r>
        <w:rPr>
          <w:rFonts w:ascii="Arial" w:cs="Arial" w:eastAsia="Arial" w:hAnsi="Arial"/>
          <w:sz w:val="18"/>
          <w:szCs w:val="18"/>
          <w:color w:val="auto"/>
        </w:rPr>
        <w:t xml:space="preserve"> The Period of Restriction for each Award of Restricted Stock shall lapse only upon satisfaction of conditions set forth in the Agreement. Such conditions may be based on (a) continued service to Avnet or a Subsidiary for a specified period, (b) achievement of Performance Objectives, or (c) a combination of (a) and (b). Subject to Section 12.2, the Period of Restriction for any Award of Restricted Stock shall lapse no faster than pro rata over the three (3) year period that starts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1482725" cy="2997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482725" cy="299720"/>
                    </a:xfrm>
                    <a:prstGeom prst="rect">
                      <a:avLst/>
                    </a:prstGeom>
                    <a:noFill/>
                  </pic:spPr>
                </pic:pic>
              </a:graphicData>
            </a:graphic>
          </wp:anchor>
        </w:drawing>
      </w:r>
    </w:p>
    <w:p>
      <w:pPr>
        <w:spacing w:after="0" w:line="3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3" w:lineRule="exact"/>
        <w:rPr>
          <w:sz w:val="20"/>
          <w:szCs w:val="20"/>
          <w:color w:val="auto"/>
        </w:rPr>
      </w:pPr>
    </w:p>
    <w:p>
      <w:pPr>
        <w:ind w:left="1000" w:right="359" w:firstLine="360"/>
        <w:spacing w:after="0" w:line="24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Settlement of Restricted Stock.</w:t>
      </w:r>
      <w:r>
        <w:rPr>
          <w:rFonts w:ascii="Arial" w:cs="Arial" w:eastAsia="Arial" w:hAnsi="Arial"/>
          <w:sz w:val="18"/>
          <w:szCs w:val="18"/>
          <w:color w:val="auto"/>
        </w:rPr>
        <w:t xml:space="preserve"> Shares of Restricted Stock shall become freely transferable immediately following the last day of the Period of Restriction. As soon as practicable after the Period of Restriction lapses, Avnet shall record the stock transfer on its books and records without the need to issue a physical certificate.</w:t>
      </w:r>
    </w:p>
    <w:p>
      <w:pPr>
        <w:spacing w:after="0" w:line="100" w:lineRule="exact"/>
        <w:rPr>
          <w:sz w:val="20"/>
          <w:szCs w:val="20"/>
          <w:color w:val="auto"/>
        </w:rPr>
      </w:pPr>
    </w:p>
    <w:p>
      <w:pPr>
        <w:ind w:left="1000" w:right="619" w:firstLine="360"/>
        <w:spacing w:after="0" w:line="26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Voting Rights</w:t>
      </w:r>
      <w:r>
        <w:rPr>
          <w:rFonts w:ascii="Arial" w:cs="Arial" w:eastAsia="Arial" w:hAnsi="Arial"/>
          <w:sz w:val="18"/>
          <w:szCs w:val="18"/>
          <w:color w:val="auto"/>
        </w:rPr>
        <w:t>. During the Period of Restriction, Participants in whose name Restricted Stock is granted under the Plan may exercise full voting rights with respect to those shares.</w:t>
      </w:r>
    </w:p>
    <w:p>
      <w:pPr>
        <w:spacing w:after="0" w:line="79" w:lineRule="exact"/>
        <w:rPr>
          <w:sz w:val="20"/>
          <w:szCs w:val="20"/>
          <w:color w:val="auto"/>
        </w:rPr>
      </w:pPr>
    </w:p>
    <w:p>
      <w:pPr>
        <w:ind w:left="1000" w:right="179" w:firstLine="360"/>
        <w:spacing w:after="0" w:line="23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Dividend Rights</w:t>
      </w:r>
      <w:r>
        <w:rPr>
          <w:rFonts w:ascii="Arial" w:cs="Arial" w:eastAsia="Arial" w:hAnsi="Arial"/>
          <w:sz w:val="18"/>
          <w:szCs w:val="18"/>
          <w:color w:val="auto"/>
        </w:rPr>
        <w:t>. During the Period of Restriction, Participants in whose name Restricted Stock is granted shall be entitled to receive all dividends and other distributions paid with respect to such Restricted Stock Awards, as set forth in this Section 7.6. Dividends paid in cash shall be automatically reinvested in additional shares of Restricted Stock at a purchase price per share equal to the Fair Market Value of a share of Stock on the date such dividend is paid; provided, however, that fractional shares shall not be issued. Any amount that would have been invested in a fractional share shall be payable to the Participant in cash when the Period of Restriction for the underlying shares lapses. All additional shares of Stock received by a Participant in respect of a dividend or other distribution on Restricted Stock, whether through reinvestment or through a dividend or other distribution paid in shares of Stock, shall be subject to the same restrictions (for the same Period of Restriction) as the Restricted Stock with respect to which they were received; and the right to receive cash with respect to any fractional share shall be subject to forfeiture until the Period of Restriction for the underlying shares lapses.</w:t>
      </w:r>
    </w:p>
    <w:p>
      <w:pPr>
        <w:spacing w:after="0" w:line="126" w:lineRule="exact"/>
        <w:rPr>
          <w:sz w:val="20"/>
          <w:szCs w:val="20"/>
          <w:color w:val="auto"/>
        </w:rPr>
      </w:pPr>
    </w:p>
    <w:p>
      <w:pPr>
        <w:ind w:left="1000" w:right="159" w:firstLine="360"/>
        <w:spacing w:after="0" w:line="245"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Foreign Laws</w:t>
      </w:r>
      <w:r>
        <w:rPr>
          <w:rFonts w:ascii="Arial" w:cs="Arial" w:eastAsia="Arial" w:hAnsi="Arial"/>
          <w:sz w:val="18"/>
          <w:szCs w:val="18"/>
          <w:color w:val="auto"/>
        </w:rPr>
        <w:t>. Notwithstanding any other provision of the Plan, if Restricted Stock is to be awarded to a Participant who is subject to the laws, including the tax laws, of any country other than the United States, the Committee may, in its discretion, direct Avnet to sell, assign, or otherwise transfer the Restricted Stock to a trust or other entity or arrangement, rather than grant the Restricted Stock directly to the Participant.</w:t>
      </w:r>
    </w:p>
    <w:p>
      <w:pPr>
        <w:spacing w:after="0" w:line="140"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8</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RESTRICTED STOCK UNITS</w:t>
      </w:r>
    </w:p>
    <w:p>
      <w:pPr>
        <w:spacing w:after="0" w:line="126" w:lineRule="exact"/>
        <w:rPr>
          <w:sz w:val="20"/>
          <w:szCs w:val="20"/>
          <w:color w:val="auto"/>
        </w:rPr>
      </w:pPr>
    </w:p>
    <w:p>
      <w:pPr>
        <w:jc w:val="both"/>
        <w:ind w:left="1000" w:right="339" w:firstLine="360"/>
        <w:spacing w:after="0" w:line="24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Restricted Stock Units to Eligible Employees, and the Independent Directors may grant Restricted Stock Units to Non-Employee Directors. The number of shares of Stock underlying any Restricted Stock Unit Award shall be set forth in the Agreement.</w:t>
      </w:r>
    </w:p>
    <w:p>
      <w:pPr>
        <w:spacing w:after="0" w:line="100" w:lineRule="exact"/>
        <w:rPr>
          <w:sz w:val="20"/>
          <w:szCs w:val="20"/>
          <w:color w:val="auto"/>
        </w:rPr>
      </w:pPr>
    </w:p>
    <w:p>
      <w:pPr>
        <w:ind w:left="1000" w:right="299" w:firstLine="360"/>
        <w:spacing w:after="0" w:line="255"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i w:val="1"/>
          <w:iCs w:val="1"/>
          <w:color w:val="auto"/>
        </w:rPr>
        <w:t>Vesting</w:t>
      </w:r>
      <w:r>
        <w:rPr>
          <w:rFonts w:ascii="Arial" w:cs="Arial" w:eastAsia="Arial" w:hAnsi="Arial"/>
          <w:sz w:val="17"/>
          <w:szCs w:val="17"/>
          <w:color w:val="auto"/>
        </w:rPr>
        <w:t>. An Award of Restricted Stock Units shall be subject to vesting conditions set forth in the applicable Agreement. Such vesting conditions may be based on (a) continued service to Avnet or a Subsidiary for a specified period, (b) achievement of Performance Objectives, or (c) a combination of (a) and</w:t>
      </w:r>
    </w:p>
    <w:p>
      <w:pPr>
        <w:spacing w:after="0" w:line="2" w:lineRule="exact"/>
        <w:rPr>
          <w:sz w:val="20"/>
          <w:szCs w:val="20"/>
          <w:color w:val="auto"/>
        </w:rPr>
      </w:pPr>
    </w:p>
    <w:p>
      <w:pPr>
        <w:ind w:left="1000" w:right="379"/>
        <w:spacing w:after="0" w:line="246" w:lineRule="auto"/>
        <w:rPr>
          <w:sz w:val="20"/>
          <w:szCs w:val="20"/>
          <w:color w:val="auto"/>
        </w:rPr>
      </w:pPr>
      <w:r>
        <w:rPr>
          <w:rFonts w:ascii="Arial" w:cs="Arial" w:eastAsia="Arial" w:hAnsi="Arial"/>
          <w:sz w:val="18"/>
          <w:szCs w:val="18"/>
          <w:color w:val="auto"/>
        </w:rPr>
        <w:t>(b). Subject to Section 12.2, a Restricted Stock Unit Award shall become vested no faster than pro rata over the three (3) year period that starts on the Grant Date.</w:t>
      </w:r>
    </w:p>
    <w:p>
      <w:pPr>
        <w:spacing w:after="0" w:line="98" w:lineRule="exact"/>
        <w:rPr>
          <w:sz w:val="20"/>
          <w:szCs w:val="20"/>
          <w:color w:val="auto"/>
        </w:rPr>
      </w:pPr>
    </w:p>
    <w:p>
      <w:pPr>
        <w:ind w:left="1000" w:right="139" w:firstLine="360"/>
        <w:spacing w:after="0" w:line="24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Settlement of Restricted Stock Units</w:t>
      </w:r>
      <w:r>
        <w:rPr>
          <w:rFonts w:ascii="Arial" w:cs="Arial" w:eastAsia="Arial" w:hAnsi="Arial"/>
          <w:sz w:val="18"/>
          <w:szCs w:val="18"/>
          <w:color w:val="auto"/>
        </w:rPr>
        <w:t>. Subject to Section 12.6 (Registration of Shares), as soon as practicable after any Restricted Stock Unit becomes vested, Avnet shall transfer to the Participant one share of Stock for each such vested Restricted Stock Unit, cash in lieu of shares of Stock, or a combination of cash and shares of Stock. No fractional shares shall be issued with respect to vesting of Restricted Stock Units.</w:t>
      </w:r>
    </w:p>
    <w:p>
      <w:pPr>
        <w:spacing w:after="0" w:line="100" w:lineRule="exact"/>
        <w:rPr>
          <w:sz w:val="20"/>
          <w:szCs w:val="20"/>
          <w:color w:val="auto"/>
        </w:rPr>
      </w:pPr>
    </w:p>
    <w:p>
      <w:pPr>
        <w:ind w:left="1000" w:right="159" w:firstLine="360"/>
        <w:spacing w:after="0" w:line="241"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Dividend Rights.</w:t>
      </w:r>
      <w:r>
        <w:rPr>
          <w:rFonts w:ascii="Arial" w:cs="Arial" w:eastAsia="Arial" w:hAnsi="Arial"/>
          <w:sz w:val="18"/>
          <w:szCs w:val="18"/>
          <w:color w:val="auto"/>
        </w:rPr>
        <w:t xml:space="preserve"> Participants in whose name Restricted Stock Units are granted shall not be entitled to receive dividends or other distributions with respect to shares of Stock underlying such Restricted Stock Unit, unless the Agreement provides otherwise. Any right to receive dividends or other distributions shall be subject to the same vesting conditions and risk of forfeiture as the Restricted Stock Units with respect to which such right is granted, and all dividends and distributions shall be paid when the applicable Restricted Stock Units are settled.</w:t>
      </w:r>
    </w:p>
    <w:p>
      <w:pPr>
        <w:spacing w:after="0" w:line="157"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9</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PERFORMANCE SHARE UNITS</w:t>
      </w:r>
    </w:p>
    <w:p>
      <w:pPr>
        <w:spacing w:after="0" w:line="126" w:lineRule="exact"/>
        <w:rPr>
          <w:sz w:val="20"/>
          <w:szCs w:val="20"/>
          <w:color w:val="auto"/>
        </w:rPr>
      </w:pPr>
    </w:p>
    <w:p>
      <w:pPr>
        <w:ind w:left="1000" w:right="139" w:firstLine="360"/>
        <w:spacing w:after="0" w:line="24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w:t>
      </w:r>
      <w:r>
        <w:rPr>
          <w:rFonts w:ascii="Arial" w:cs="Arial" w:eastAsia="Arial" w:hAnsi="Arial"/>
          <w:sz w:val="18"/>
          <w:szCs w:val="18"/>
          <w:color w:val="auto"/>
        </w:rPr>
        <w:t xml:space="preserve"> The Committee (and the CEO to the extent permitted by Section 4.6) may grant Performance Share Units to Eligible Employees, and the Independent Directors may grant Performance Share Units to Non-Employee Directors. The target and maximum number of Shares deliverable upon achievement of the applicable Performance Objectives shall be set forth in the Agreement.</w:t>
      </w:r>
    </w:p>
    <w:p>
      <w:pPr>
        <w:sectPr>
          <w:pgSz w:w="11900" w:h="16838" w:orient="portrait"/>
          <w:cols w:equalWidth="0" w:num="1">
            <w:col w:w="9879"/>
          </w:cols>
          <w:pgMar w:left="580" w:top="131" w:right="1440" w:bottom="1440" w:gutter="0" w:footer="0" w:header="0"/>
        </w:sectPr>
      </w:pPr>
    </w:p>
    <w:p>
      <w:pPr>
        <w:spacing w:after="0" w:line="134" w:lineRule="exact"/>
        <w:rPr>
          <w:sz w:val="20"/>
          <w:szCs w:val="20"/>
          <w:color w:val="auto"/>
        </w:rPr>
      </w:pPr>
    </w:p>
    <w:p>
      <w:pPr>
        <w:ind w:left="7160"/>
        <w:spacing w:after="0"/>
        <w:rPr>
          <w:sz w:val="20"/>
          <w:szCs w:val="20"/>
          <w:color w:val="auto"/>
        </w:rPr>
      </w:pPr>
      <w:r>
        <w:rPr>
          <w:sz w:val="1"/>
          <w:szCs w:val="1"/>
          <w:color w:val="auto"/>
        </w:rPr>
        <w:drawing>
          <wp:inline distT="0" distB="0" distL="0" distR="0">
            <wp:extent cx="1482725" cy="29146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3" w:lineRule="exact"/>
        <w:rPr>
          <w:sz w:val="20"/>
          <w:szCs w:val="20"/>
          <w:color w:val="auto"/>
        </w:rPr>
      </w:pPr>
    </w:p>
    <w:p>
      <w:pPr>
        <w:ind w:left="1000" w:right="139" w:firstLine="360"/>
        <w:spacing w:after="0" w:line="261"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Vesting.</w:t>
      </w:r>
      <w:r>
        <w:rPr>
          <w:rFonts w:ascii="Arial" w:cs="Arial" w:eastAsia="Arial" w:hAnsi="Arial"/>
          <w:sz w:val="18"/>
          <w:szCs w:val="18"/>
          <w:color w:val="auto"/>
        </w:rPr>
        <w:t xml:space="preserve"> Vesting of Performance Share Units shall be conditioned upon the achievement of specified Performance Objectives over a specified Performance Period, and such other conditions as are set forth in the Agreement. Subject to Section 12.2, Awards of Performance Share Units shall become vested no faster than pro rata over the three (3) year period that starts on the Grant Date.</w:t>
      </w:r>
    </w:p>
    <w:p>
      <w:pPr>
        <w:spacing w:after="0" w:line="99" w:lineRule="exact"/>
        <w:rPr>
          <w:sz w:val="20"/>
          <w:szCs w:val="20"/>
          <w:color w:val="auto"/>
        </w:rPr>
      </w:pPr>
    </w:p>
    <w:p>
      <w:pPr>
        <w:ind w:left="1000" w:right="539" w:firstLine="360"/>
        <w:spacing w:after="0" w:line="25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Settlement of Performance Shares.</w:t>
      </w:r>
      <w:r>
        <w:rPr>
          <w:rFonts w:ascii="Arial" w:cs="Arial" w:eastAsia="Arial" w:hAnsi="Arial"/>
          <w:sz w:val="18"/>
          <w:szCs w:val="18"/>
          <w:color w:val="auto"/>
        </w:rPr>
        <w:t xml:space="preserve"> After Performance Share Units become vested, Avnet shall transfer to the Participant shares of Stock or cash, or a combination of cash and shares of Stock, corresponding to the vested amount (determined after taking into account the Administrator’s discretion to reduce the amount payable upon achievement of Performance Objectives). No fractional shares shall be issued with respect to vesting of Performance Share Units.</w:t>
      </w:r>
    </w:p>
    <w:p>
      <w:pPr>
        <w:spacing w:after="0" w:line="116" w:lineRule="exact"/>
        <w:rPr>
          <w:sz w:val="20"/>
          <w:szCs w:val="20"/>
          <w:color w:val="auto"/>
        </w:rPr>
      </w:pPr>
    </w:p>
    <w:p>
      <w:pPr>
        <w:ind w:left="1000" w:right="139" w:firstLine="360"/>
        <w:spacing w:after="0" w:line="25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Dividend Rights.</w:t>
      </w:r>
      <w:r>
        <w:rPr>
          <w:rFonts w:ascii="Arial" w:cs="Arial" w:eastAsia="Arial" w:hAnsi="Arial"/>
          <w:sz w:val="18"/>
          <w:szCs w:val="18"/>
          <w:color w:val="auto"/>
        </w:rPr>
        <w:t xml:space="preserve"> Participants in whose name Performance Share Units are granted shall not be entitled to receive dividends or other distributions with respect to shares of Stock underlying such Performance Share Units, unless the Agreement provides otherwise. Any right to receive dividends or other distributions shall be subject to the same vesting conditions and risk of forfeiture as the Performance Share Units with respect to which such right is granted, and all dividends and distributions shall be paid when the applicable Performance Share Units are settled.</w:t>
      </w:r>
    </w:p>
    <w:p>
      <w:pPr>
        <w:spacing w:after="0" w:line="174"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10</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OTHER STOCK UNIT AWARDS</w:t>
      </w:r>
    </w:p>
    <w:p>
      <w:pPr>
        <w:spacing w:after="0" w:line="126" w:lineRule="exact"/>
        <w:rPr>
          <w:sz w:val="20"/>
          <w:szCs w:val="20"/>
          <w:color w:val="auto"/>
        </w:rPr>
      </w:pPr>
    </w:p>
    <w:p>
      <w:pPr>
        <w:ind w:left="1000" w:right="159" w:firstLine="360"/>
        <w:spacing w:after="0" w:line="27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Grant.</w:t>
      </w:r>
      <w:r>
        <w:rPr>
          <w:rFonts w:ascii="Arial" w:cs="Arial" w:eastAsia="Arial" w:hAnsi="Arial"/>
          <w:sz w:val="17"/>
          <w:szCs w:val="17"/>
          <w:color w:val="auto"/>
        </w:rPr>
        <w:t xml:space="preserve"> The Committee (and the CEO to the extent permitted by Section 4.6) may grant Other Stock Unit Awards to Eligible Employees, and the Independent Directors may grant Other Stock Unit Awards to Non-Employee Directors. Each Other Stock Unit Award may be granted as a stand-alone Award or in connection with another Award made under the Plan, and may be in the form of Stock or other securities. The number of shares of Stock or other securities underlying any Other Stock Unit Award shall be set forth in the Agreement.</w:t>
      </w:r>
    </w:p>
    <w:p>
      <w:pPr>
        <w:spacing w:after="0" w:line="87" w:lineRule="exact"/>
        <w:rPr>
          <w:sz w:val="20"/>
          <w:szCs w:val="20"/>
          <w:color w:val="auto"/>
        </w:rPr>
      </w:pPr>
    </w:p>
    <w:p>
      <w:pPr>
        <w:ind w:left="1000" w:right="159" w:firstLine="360"/>
        <w:spacing w:after="0" w:line="26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Amount of Award.</w:t>
      </w:r>
      <w:r>
        <w:rPr>
          <w:rFonts w:ascii="Arial" w:cs="Arial" w:eastAsia="Arial" w:hAnsi="Arial"/>
          <w:sz w:val="18"/>
          <w:szCs w:val="18"/>
          <w:color w:val="auto"/>
        </w:rPr>
        <w:t xml:space="preserve"> The value of each Other Stock Unit Award shall be based, in whole or in part, on the value of the underlying Stock or other securities. The Agreement may provide that an Other Stock Unit Award may provide to the Participant (a) dividends or dividend equivalents and (b) cash payments in lieu of or in addition to an Award.</w:t>
      </w:r>
    </w:p>
    <w:p>
      <w:pPr>
        <w:spacing w:after="0" w:line="112" w:lineRule="exact"/>
        <w:rPr>
          <w:sz w:val="20"/>
          <w:szCs w:val="20"/>
          <w:color w:val="auto"/>
        </w:rPr>
      </w:pPr>
    </w:p>
    <w:p>
      <w:pPr>
        <w:ind w:left="1000" w:right="239" w:firstLine="360"/>
        <w:spacing w:after="0" w:line="261"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General Rules for Other Stock Unit Awards.</w:t>
      </w:r>
      <w:r>
        <w:rPr>
          <w:rFonts w:ascii="Arial" w:cs="Arial" w:eastAsia="Arial" w:hAnsi="Arial"/>
          <w:sz w:val="18"/>
          <w:szCs w:val="18"/>
          <w:color w:val="auto"/>
        </w:rPr>
        <w:t xml:space="preserve"> Subject to the requirements of the Plan, including this Section 10.3, the terms, restrictions, conditions, vesting requirements, and payment rules of an Other Stock Unit Award (collectively, the “Rules”) shall be set forth in the Agreement. The Rules for each Other Stock Unit Award need not be consistent from one Other Stock Unit Award to another.</w:t>
      </w:r>
    </w:p>
    <w:p>
      <w:pPr>
        <w:spacing w:after="0" w:line="130" w:lineRule="exact"/>
        <w:rPr>
          <w:sz w:val="20"/>
          <w:szCs w:val="20"/>
          <w:color w:val="auto"/>
        </w:rPr>
      </w:pPr>
    </w:p>
    <w:p>
      <w:pPr>
        <w:ind w:left="1360" w:right="439" w:firstLine="638"/>
        <w:spacing w:after="0" w:line="253" w:lineRule="auto"/>
        <w:tabs>
          <w:tab w:leader="none" w:pos="22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Other Stock Unit Award shall be subject to vesting conditions set forth in the applicable Agreement, which may be based on any criterion permitted by Section 8.2 (Vesting). Subject to Section 12.2, the minimum vesting period required by Section 8.2 shall also apply for Other Stock Unit Awards; provided that the minimum vesting period shall not apply for full value awards granted to Non-Employee Directors.</w:t>
      </w:r>
    </w:p>
    <w:p>
      <w:pPr>
        <w:spacing w:after="0" w:line="124" w:lineRule="exact"/>
        <w:rPr>
          <w:rFonts w:ascii="Arial" w:cs="Arial" w:eastAsia="Arial" w:hAnsi="Arial"/>
          <w:sz w:val="18"/>
          <w:szCs w:val="18"/>
          <w:color w:val="auto"/>
        </w:rPr>
      </w:pPr>
    </w:p>
    <w:p>
      <w:pPr>
        <w:ind w:left="1360" w:right="399" w:firstLine="638"/>
        <w:spacing w:after="0" w:line="256" w:lineRule="auto"/>
        <w:tabs>
          <w:tab w:leader="none" w:pos="22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Other Stock Unit Award may be contingent on the payment of cash consideration by the Participant or may provide for delivery of the Award, and any Stock or other securities issued in conjunction with the Award, without any payment of cash consideration.</w:t>
      </w:r>
    </w:p>
    <w:p>
      <w:pPr>
        <w:spacing w:after="0" w:line="134" w:lineRule="exact"/>
        <w:rPr>
          <w:rFonts w:ascii="Arial" w:cs="Arial" w:eastAsia="Arial" w:hAnsi="Arial"/>
          <w:sz w:val="18"/>
          <w:szCs w:val="18"/>
          <w:color w:val="auto"/>
        </w:rPr>
      </w:pPr>
    </w:p>
    <w:p>
      <w:pPr>
        <w:ind w:left="1360" w:right="359" w:firstLine="638"/>
        <w:spacing w:after="0" w:line="261" w:lineRule="auto"/>
        <w:tabs>
          <w:tab w:leader="none" w:pos="22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Other Stock Unit Award may be subject to a deferred payment schedule, if so set forth in the Agreement.</w:t>
      </w:r>
    </w:p>
    <w:p>
      <w:pPr>
        <w:spacing w:after="0" w:line="130" w:lineRule="exact"/>
        <w:rPr>
          <w:rFonts w:ascii="Arial" w:cs="Arial" w:eastAsia="Arial" w:hAnsi="Arial"/>
          <w:sz w:val="18"/>
          <w:szCs w:val="18"/>
          <w:color w:val="auto"/>
        </w:rPr>
      </w:pPr>
    </w:p>
    <w:p>
      <w:pPr>
        <w:ind w:left="1360" w:right="279" w:firstLine="638"/>
        <w:spacing w:after="0" w:line="253" w:lineRule="auto"/>
        <w:tabs>
          <w:tab w:leader="none" w:pos="22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Administrator, in its sole and complete discretion, as a result of certain circumstances, including the assumption of, or substitution of stock unit awards of a company with which Avnet or a Subsidiary participates in an acquisition, separation, or similar corporate transaction, may waive or otherwise remove, in whole or in part, any restriction or condition imposed on an Other Stock Unit Award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104775</wp:posOffset>
            </wp:positionV>
            <wp:extent cx="1482725" cy="291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82725" cy="291465"/>
                    </a:xfrm>
                    <a:prstGeom prst="rect">
                      <a:avLst/>
                    </a:prstGeom>
                    <a:noFill/>
                  </pic:spPr>
                </pic:pic>
              </a:graphicData>
            </a:graphic>
          </wp:anchor>
        </w:drawing>
      </w:r>
    </w:p>
    <w:p>
      <w:pPr>
        <w:spacing w:after="0" w:line="3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50"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11</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EXECUTIVE INCENTIVE PERFORMANCE AWARDS</w:t>
      </w:r>
    </w:p>
    <w:p>
      <w:pPr>
        <w:spacing w:after="0" w:line="113" w:lineRule="exact"/>
        <w:rPr>
          <w:sz w:val="20"/>
          <w:szCs w:val="20"/>
          <w:color w:val="auto"/>
        </w:rPr>
      </w:pPr>
    </w:p>
    <w:p>
      <w:pPr>
        <w:ind w:left="1000" w:right="319" w:firstLine="360"/>
        <w:spacing w:after="0" w:line="242"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EIP Awards.</w:t>
      </w:r>
      <w:r>
        <w:rPr>
          <w:rFonts w:ascii="Arial" w:cs="Arial" w:eastAsia="Arial" w:hAnsi="Arial"/>
          <w:sz w:val="18"/>
          <w:szCs w:val="18"/>
          <w:color w:val="auto"/>
        </w:rPr>
        <w:t xml:space="preserve"> The Committee (and the CEO to the extent permitted by Section 4.6) may issue EIP Awards to Eligible Employees who are Executive Officers or members of senior management of Avnet or of any of its Subsidiaries. Neither this Article 11 nor any other provision of the Plan shall limit in any way the authority of the CEO and other Company officers to issue incentive pay and cash bonuses to Eligible Employees who are not Executive Officers.</w:t>
      </w:r>
    </w:p>
    <w:p>
      <w:pPr>
        <w:spacing w:after="0" w:line="117" w:lineRule="exact"/>
        <w:rPr>
          <w:sz w:val="20"/>
          <w:szCs w:val="20"/>
          <w:color w:val="auto"/>
        </w:rPr>
      </w:pPr>
    </w:p>
    <w:p>
      <w:pPr>
        <w:ind w:left="1000" w:right="199" w:firstLine="360"/>
        <w:spacing w:after="0" w:line="250"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Determination of EIP Amount.</w:t>
      </w:r>
      <w:r>
        <w:rPr>
          <w:rFonts w:ascii="Arial" w:cs="Arial" w:eastAsia="Arial" w:hAnsi="Arial"/>
          <w:sz w:val="18"/>
          <w:szCs w:val="18"/>
          <w:color w:val="auto"/>
        </w:rPr>
        <w:t xml:space="preserve"> The amount of an EIP Award shall be determined by the Committee (or the CEO to the extent permitted by Section 4.6) and shall be contingent upon the achievement of Performance Objectives specified by the Committee, as set forth in the Agreement.</w:t>
      </w:r>
    </w:p>
    <w:p>
      <w:pPr>
        <w:spacing w:after="0" w:line="109" w:lineRule="exact"/>
        <w:rPr>
          <w:sz w:val="20"/>
          <w:szCs w:val="20"/>
          <w:color w:val="auto"/>
        </w:rPr>
      </w:pPr>
    </w:p>
    <w:p>
      <w:pPr>
        <w:ind w:left="1000" w:right="139" w:firstLine="360"/>
        <w:spacing w:after="0" w:line="22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Payment of Awards.</w:t>
      </w:r>
      <w:r>
        <w:rPr>
          <w:rFonts w:ascii="Arial" w:cs="Arial" w:eastAsia="Arial" w:hAnsi="Arial"/>
          <w:sz w:val="18"/>
          <w:szCs w:val="18"/>
          <w:color w:val="auto"/>
        </w:rPr>
        <w:t xml:space="preserve"> EIP Awards shall be paid in cash after the Performance Period has ended and the Committee has certified that the specified Performance Objectives were achieved. Except as otherwise expressly provided in an Agreement, payment shall be made no later than the end of the “applicable 2-</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month period” described in Treas. Reg. § 1.409A-1(b)(4)(i)(A).</w:t>
      </w:r>
    </w:p>
    <w:p>
      <w:pPr>
        <w:spacing w:after="0" w:line="113" w:lineRule="exact"/>
        <w:rPr>
          <w:sz w:val="20"/>
          <w:szCs w:val="20"/>
          <w:color w:val="auto"/>
        </w:rPr>
      </w:pPr>
    </w:p>
    <w:p>
      <w:pPr>
        <w:ind w:left="1000" w:right="299" w:firstLine="360"/>
        <w:spacing w:after="0" w:line="24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Individual Limitation.</w:t>
      </w:r>
      <w:r>
        <w:rPr>
          <w:rFonts w:ascii="Arial" w:cs="Arial" w:eastAsia="Arial" w:hAnsi="Arial"/>
          <w:sz w:val="18"/>
          <w:szCs w:val="18"/>
          <w:color w:val="auto"/>
        </w:rPr>
        <w:t xml:space="preserve"> The maximum individual EIP Award permitted for a 12-month Performance Period, is $5,000,000. If the Performance Period is not twelve (12) months, the $5,000,000 limitation shall be adjusted on a pro-rata basis (downward if the Performance Period is less than 12 months and upward if the Performance Period is more than 12 months) to reflect the length of the Performance Period.</w:t>
      </w:r>
    </w:p>
    <w:p>
      <w:pPr>
        <w:spacing w:after="0" w:line="167"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12</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ADDITIONAL TERMS AND PROVISIONS</w:t>
      </w:r>
    </w:p>
    <w:p>
      <w:pPr>
        <w:spacing w:after="0" w:line="126" w:lineRule="exact"/>
        <w:rPr>
          <w:sz w:val="20"/>
          <w:szCs w:val="20"/>
          <w:color w:val="auto"/>
        </w:rPr>
      </w:pPr>
    </w:p>
    <w:p>
      <w:pPr>
        <w:ind w:left="1000" w:right="219" w:firstLine="360"/>
        <w:spacing w:after="0" w:line="241"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Agreements.</w:t>
      </w:r>
      <w:r>
        <w:rPr>
          <w:rFonts w:ascii="Arial" w:cs="Arial" w:eastAsia="Arial" w:hAnsi="Arial"/>
          <w:sz w:val="18"/>
          <w:szCs w:val="18"/>
          <w:color w:val="auto"/>
        </w:rPr>
        <w:t xml:space="preserve"> Promptly after the granting of any Award or the modification of any outstanding Award, the Administrator shall cause such Participant to be notified of such action and shall cause Avnet to deliver to such Participant an Agreement (which Agreement shall be signed on behalf of Avnet by an officer of Avnet with appropriate authorization therefor) evidencing the Award so granted or modified and the terms and conditions thereof and including (when appropriate) an addendum evidencing the Award so granted or modified and the terms and conditions thereof.</w:t>
      </w:r>
    </w:p>
    <w:p>
      <w:pPr>
        <w:spacing w:after="0" w:line="116" w:lineRule="exact"/>
        <w:rPr>
          <w:sz w:val="20"/>
          <w:szCs w:val="20"/>
          <w:color w:val="auto"/>
        </w:rPr>
      </w:pPr>
    </w:p>
    <w:p>
      <w:pPr>
        <w:ind w:left="1000" w:right="139" w:firstLine="360"/>
        <w:spacing w:after="0" w:line="23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Acceleration of Vesting and Cancellation of Options and SARs.</w:t>
      </w:r>
      <w:r>
        <w:rPr>
          <w:rFonts w:ascii="Arial" w:cs="Arial" w:eastAsia="Arial" w:hAnsi="Arial"/>
          <w:sz w:val="18"/>
          <w:szCs w:val="18"/>
          <w:color w:val="auto"/>
        </w:rPr>
        <w:t xml:space="preserve"> The Administrator, in its sole discretion, may accelerate the vesting of any Award (including the lapsing of the Period of Restriction for Restricted Stock), or remove conditions for vesting (or lapsing of the Period of Restriction) upon a Change in Control or the Participant’s death, retirement, layoff, separation from service in connection with a Change in Control, or other separation from service where the Administrator determines that such treatment is appropriate and in the Company’s best interests, as well as upon assumption of, or in substitution for equity awards of a company with which Avnet or a Subsidiary participates in an acquisition, separation, merger, or similar corporate transaction. In addition, the Administrator may grant awards of Options, SARs, Restricted Stock, Restricted Stock Units, Performance Share Units and Other Stock Unit Awards that do not satisfy the minimum vesting periods and Periods of Restriction prescribed by Sections 5.4, 6.4, 7.3, 8.2, 9.2, and 10.3(a), provided that the total number of shares of Stock underlying Awards that do not satisfy such minimum vesting periods and Periods of Restriction shall not exceed five percent (5%) of the total number of shares available for grant under the Plan. In connection with a Change in Control, any Options or SARs may be canceled in exchange for the right (to the extent vested) to receive, at a time determined by the Administrator, a cash payment equal to the excess, if any, of the fair market value of the Stock subject to the Option or SAR over the exercise price. For the avoidance of doubt, no payment shall be required with respect to any Option or SAR for which the exercise price exceeds the fair market value of the Stock at the time of the cancellation (</w:t>
      </w:r>
      <w:r>
        <w:rPr>
          <w:rFonts w:ascii="Arial" w:cs="Arial" w:eastAsia="Arial" w:hAnsi="Arial"/>
          <w:sz w:val="18"/>
          <w:szCs w:val="18"/>
          <w:i w:val="1"/>
          <w:iCs w:val="1"/>
          <w:color w:val="auto"/>
        </w:rPr>
        <w:t>i.e.</w:t>
      </w:r>
      <w:r>
        <w:rPr>
          <w:rFonts w:ascii="Arial" w:cs="Arial" w:eastAsia="Arial" w:hAnsi="Arial"/>
          <w:sz w:val="18"/>
          <w:szCs w:val="18"/>
          <w:color w:val="auto"/>
        </w:rPr>
        <w:t>, an “under water” option or SAR).</w:t>
      </w:r>
    </w:p>
    <w:p>
      <w:pPr>
        <w:spacing w:after="0" w:line="116" w:lineRule="exact"/>
        <w:rPr>
          <w:sz w:val="20"/>
          <w:szCs w:val="20"/>
          <w:color w:val="auto"/>
        </w:rPr>
      </w:pPr>
    </w:p>
    <w:p>
      <w:pPr>
        <w:ind w:left="1000" w:right="159" w:firstLine="360"/>
        <w:spacing w:after="0" w:line="24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Tax Withholding.</w:t>
      </w:r>
      <w:r>
        <w:rPr>
          <w:rFonts w:ascii="Arial" w:cs="Arial" w:eastAsia="Arial" w:hAnsi="Arial"/>
          <w:sz w:val="18"/>
          <w:szCs w:val="18"/>
          <w:color w:val="auto"/>
        </w:rPr>
        <w:t xml:space="preserve"> The Company shall have the right to deduct from all amounts paid to a Participant or beneficiary any taxes that it determines are required by law to be withheld in respect of Awards under the Plan. In the case of an Award settled in shares of Stock, no shares of Stock shall be issued, and no election under Section 83(b) of the Code shall be accepted, unless and until arrangements satisfactory to the</w:t>
      </w:r>
    </w:p>
    <w:p>
      <w:pPr>
        <w:spacing w:after="0" w:line="134" w:lineRule="exact"/>
        <w:rPr>
          <w:sz w:val="20"/>
          <w:szCs w:val="20"/>
          <w:color w:val="auto"/>
        </w:rPr>
      </w:pPr>
    </w:p>
    <w:p>
      <w:pPr>
        <w:ind w:left="7060"/>
        <w:spacing w:after="0"/>
        <w:rPr>
          <w:sz w:val="20"/>
          <w:szCs w:val="20"/>
          <w:color w:val="auto"/>
        </w:rPr>
      </w:pPr>
      <w:r>
        <w:rPr>
          <w:sz w:val="1"/>
          <w:szCs w:val="1"/>
          <w:color w:val="auto"/>
        </w:rPr>
        <w:drawing>
          <wp:inline distT="0" distB="0" distL="0" distR="0">
            <wp:extent cx="1482725" cy="29146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jc w:val="both"/>
        <w:ind w:left="1000" w:right="199"/>
        <w:spacing w:after="0" w:line="265" w:lineRule="auto"/>
        <w:rPr>
          <w:sz w:val="20"/>
          <w:szCs w:val="20"/>
          <w:color w:val="auto"/>
        </w:rPr>
      </w:pPr>
      <w:r>
        <w:rPr>
          <w:rFonts w:ascii="Arial" w:cs="Arial" w:eastAsia="Arial" w:hAnsi="Arial"/>
          <w:sz w:val="17"/>
          <w:szCs w:val="17"/>
          <w:color w:val="auto"/>
        </w:rPr>
        <w:t>Company have been made to satisfy any applicable withholding tax obligations. Without limiting the generality of the foregoing and subject to such terms and conditions as the Committee may impose, the Company shall have the right to (a) retain shares of Stock or (b) subject to such terms and conditions as the Committee may establish from time to time, allow Participants or beneficiaries to (i) tender shares of Stock (including shares of Stock issuable in respect of an Award) to satisfy, in whole or in part, the amount required to be withheld, or</w:t>
      </w:r>
    </w:p>
    <w:p>
      <w:pPr>
        <w:spacing w:after="0" w:line="1" w:lineRule="exact"/>
        <w:rPr>
          <w:sz w:val="20"/>
          <w:szCs w:val="20"/>
          <w:color w:val="auto"/>
        </w:rPr>
      </w:pPr>
    </w:p>
    <w:p>
      <w:pPr>
        <w:ind w:left="1000" w:right="179" w:hanging="10"/>
        <w:spacing w:after="0" w:line="251" w:lineRule="auto"/>
        <w:tabs>
          <w:tab w:leader="none" w:pos="12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 the required tax withholding amount to Avnet in cash; and the fair market value of shares of Stock withheld may exceed the minimum statutory withholding requirements. For purposes of determining the number of shares of Stock required to satisfy a tax withholding obligation, the fair market value shall be calculated as of the date that the amount to be withheld is determined. Unless a Participant or beneficiary, as applicable, requests to pay Avnet cash for any fractional share that would otherwise be required to be withheld to satisfy a tax withholding obligation, the number of shares of Stock withheld by Avnet shall be rounded up to the nearest whole number. Regardless of the amount withheld, each Participant and beneficiary shall be responsible at all times for paying all federal, state, and local income and employment taxes allocable to such Participant or beneficiary with respect to any Award (including taxes due with respect to imputed income), and the Company shall not be responsible for any interest or penalty that a Participant incurs by failing to make timely payments of tax.</w:t>
      </w:r>
    </w:p>
    <w:p>
      <w:pPr>
        <w:spacing w:after="0" w:line="112" w:lineRule="exact"/>
        <w:rPr>
          <w:sz w:val="20"/>
          <w:szCs w:val="20"/>
          <w:color w:val="auto"/>
        </w:rPr>
      </w:pPr>
    </w:p>
    <w:p>
      <w:pPr>
        <w:ind w:left="1000" w:right="159" w:firstLine="360"/>
        <w:spacing w:after="0" w:line="25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No Right to Employment; No Right to Award.</w:t>
      </w:r>
      <w:r>
        <w:rPr>
          <w:rFonts w:ascii="Arial" w:cs="Arial" w:eastAsia="Arial" w:hAnsi="Arial"/>
          <w:sz w:val="18"/>
          <w:szCs w:val="18"/>
          <w:color w:val="auto"/>
        </w:rPr>
        <w:t xml:space="preserve"> The Plan shall not confer upon any Participant or other individual any right with respect to continuance of employment by the Company, or continuance of membership on the Board of Directors, nor shall it interfere in any way with his right, or the Company’s right, to terminate his employment or Board membership at any time.No provision of the Plan shall be construed to give any Eligible Employee or Non-Employee Director a right to receive an Award.</w:t>
      </w:r>
    </w:p>
    <w:p>
      <w:pPr>
        <w:spacing w:after="0" w:line="116" w:lineRule="exact"/>
        <w:rPr>
          <w:sz w:val="20"/>
          <w:szCs w:val="20"/>
          <w:color w:val="auto"/>
        </w:rPr>
      </w:pPr>
    </w:p>
    <w:p>
      <w:pPr>
        <w:ind w:left="1000" w:right="179" w:firstLine="360"/>
        <w:spacing w:after="0" w:line="25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Shareholder Rights.</w:t>
      </w:r>
      <w:r>
        <w:rPr>
          <w:rFonts w:ascii="Arial" w:cs="Arial" w:eastAsia="Arial" w:hAnsi="Arial"/>
          <w:sz w:val="18"/>
          <w:szCs w:val="18"/>
          <w:color w:val="auto"/>
        </w:rPr>
        <w:t xml:space="preserve"> Except as provided in Article 7 with respect to Restricted Stock, no Participant shall acquire or have any rights as a shareholder of Avnet by virtue of any Award until the shares of Stock issued pursuant to the Award or the exercise thereof are recorded in the books and records of Avnet in accordance with the terms of the Plan. Subsequent to such recordation in the books and records of Avnet, the recipient of shares of Stock shall have the full rights of a holder of such Stock.</w:t>
      </w:r>
    </w:p>
    <w:p>
      <w:pPr>
        <w:spacing w:after="0" w:line="116" w:lineRule="exact"/>
        <w:rPr>
          <w:sz w:val="20"/>
          <w:szCs w:val="20"/>
          <w:color w:val="auto"/>
        </w:rPr>
      </w:pPr>
    </w:p>
    <w:p>
      <w:pPr>
        <w:ind w:left="1000" w:right="319" w:firstLine="360"/>
        <w:spacing w:after="0" w:line="266"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Registration of Shares.</w:t>
      </w:r>
      <w:r>
        <w:rPr>
          <w:rFonts w:ascii="Arial" w:cs="Arial" w:eastAsia="Arial" w:hAnsi="Arial"/>
          <w:sz w:val="18"/>
          <w:szCs w:val="18"/>
          <w:color w:val="auto"/>
        </w:rPr>
        <w:t xml:space="preserve"> It is Avnet’s present intention to register the shares of Stock issued pursuant to the Plan under the Securities Act as necessary. Avnet shall not be obligated to sell or deliver any shares of Stock pursuant to the granting, vesting, or exercise of any Award unless and until —</w:t>
      </w:r>
    </w:p>
    <w:p>
      <w:pPr>
        <w:spacing w:after="0" w:line="113" w:lineRule="exact"/>
        <w:rPr>
          <w:sz w:val="20"/>
          <w:szCs w:val="20"/>
          <w:color w:val="auto"/>
        </w:rPr>
      </w:pPr>
    </w:p>
    <w:p>
      <w:pPr>
        <w:ind w:left="1360" w:right="199" w:firstLine="638"/>
        <w:spacing w:after="0" w:line="252" w:lineRule="auto"/>
        <w:tabs>
          <w:tab w:leader="none" w:pos="22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either (i) Avnet has received from its counsel an opinion concluding that such shares need not be registered under the Securities Act, or (ii) (A) such shares have been registered under the Securities Act, (B) no stop order suspending the effectiveness of such registration statement has been issued and no proceedings therefor have been instituted or threatened under the Securities Act, and (C) there is available at the time of such grant, vesting event, or exercise (as applicable) a prospectus containing certified financial statements and other information meeting the requirements of Section 10(a)(3) of the Securities Act;</w:t>
      </w:r>
    </w:p>
    <w:p>
      <w:pPr>
        <w:spacing w:after="0" w:line="139" w:lineRule="exact"/>
        <w:rPr>
          <w:rFonts w:ascii="Arial" w:cs="Arial" w:eastAsia="Arial" w:hAnsi="Arial"/>
          <w:sz w:val="18"/>
          <w:szCs w:val="18"/>
          <w:color w:val="auto"/>
        </w:rPr>
      </w:pPr>
    </w:p>
    <w:p>
      <w:pPr>
        <w:ind w:left="1360" w:right="339" w:firstLine="638"/>
        <w:spacing w:after="0" w:line="261" w:lineRule="auto"/>
        <w:tabs>
          <w:tab w:leader="none" w:pos="22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shares are (or upon official notice of issuance will be) listed on each national securities exchange on which the class of Stock is then listed;</w:t>
      </w:r>
    </w:p>
    <w:p>
      <w:pPr>
        <w:spacing w:after="0" w:line="130" w:lineRule="exact"/>
        <w:rPr>
          <w:rFonts w:ascii="Arial" w:cs="Arial" w:eastAsia="Arial" w:hAnsi="Arial"/>
          <w:sz w:val="18"/>
          <w:szCs w:val="18"/>
          <w:color w:val="auto"/>
        </w:rPr>
      </w:pPr>
    </w:p>
    <w:p>
      <w:pPr>
        <w:ind w:left="1360" w:right="179" w:firstLine="638"/>
        <w:spacing w:after="0" w:line="254" w:lineRule="auto"/>
        <w:tabs>
          <w:tab w:leader="none" w:pos="226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necessary, the prior approval of such delivery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to service of process in any State); and</w:t>
      </w:r>
    </w:p>
    <w:p>
      <w:pPr>
        <w:spacing w:after="0" w:line="122" w:lineRule="exact"/>
        <w:rPr>
          <w:rFonts w:ascii="Arial" w:cs="Arial" w:eastAsia="Arial" w:hAnsi="Arial"/>
          <w:sz w:val="18"/>
          <w:szCs w:val="18"/>
          <w:color w:val="auto"/>
        </w:rPr>
      </w:pPr>
    </w:p>
    <w:p>
      <w:pPr>
        <w:ind w:left="1360" w:right="379" w:firstLine="638"/>
        <w:spacing w:after="0" w:line="261" w:lineRule="auto"/>
        <w:tabs>
          <w:tab w:leader="none" w:pos="22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Committee so requires, Avnet has received an opinion from its counsel with respect to compliance with the matters set forth in subsections (a), (b), and/or (c) of this Section 12.6.</w:t>
      </w:r>
    </w:p>
    <w:p>
      <w:pPr>
        <w:spacing w:after="0" w:line="130" w:lineRule="exact"/>
        <w:rPr>
          <w:sz w:val="20"/>
          <w:szCs w:val="20"/>
          <w:color w:val="auto"/>
        </w:rPr>
      </w:pPr>
    </w:p>
    <w:p>
      <w:pPr>
        <w:ind w:left="1000" w:right="399"/>
        <w:spacing w:after="0" w:line="256" w:lineRule="auto"/>
        <w:rPr>
          <w:sz w:val="20"/>
          <w:szCs w:val="20"/>
          <w:color w:val="auto"/>
        </w:rPr>
      </w:pPr>
      <w:r>
        <w:rPr>
          <w:rFonts w:ascii="Arial" w:cs="Arial" w:eastAsia="Arial" w:hAnsi="Arial"/>
          <w:sz w:val="18"/>
          <w:szCs w:val="18"/>
          <w:color w:val="auto"/>
        </w:rPr>
        <w:t>In addition, the making of any Award or determination, the delivery or recording of a stock transfer, and payment of any amount due to a Participant may be postponed for such period as Avnet may require, in the exercise of reasonable diligence, to comply with the requirements of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120015</wp:posOffset>
            </wp:positionV>
            <wp:extent cx="1482725" cy="3003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3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3" w:lineRule="exact"/>
        <w:rPr>
          <w:sz w:val="20"/>
          <w:szCs w:val="20"/>
          <w:color w:val="auto"/>
        </w:rPr>
      </w:pPr>
    </w:p>
    <w:p>
      <w:pPr>
        <w:ind w:left="1000" w:right="179" w:firstLine="360"/>
        <w:spacing w:after="0" w:line="245"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Document Requirements.</w:t>
      </w:r>
      <w:r>
        <w:rPr>
          <w:rFonts w:ascii="Arial" w:cs="Arial" w:eastAsia="Arial" w:hAnsi="Arial"/>
          <w:sz w:val="18"/>
          <w:szCs w:val="18"/>
          <w:color w:val="auto"/>
        </w:rPr>
        <w:t xml:space="preserve"> The Committee may require, as a condition of any payment or share issuance, that certain agreements, undertakings, representations, certificates, and/or information, as the Committee may deem necessary or advisable, be executed or provided to the Company to assure compliance with all applicable laws.</w:t>
      </w:r>
    </w:p>
    <w:p>
      <w:pPr>
        <w:spacing w:after="0" w:line="100" w:lineRule="exact"/>
        <w:rPr>
          <w:sz w:val="20"/>
          <w:szCs w:val="20"/>
          <w:color w:val="auto"/>
        </w:rPr>
      </w:pPr>
    </w:p>
    <w:p>
      <w:pPr>
        <w:ind w:left="1000" w:right="199" w:firstLine="360"/>
        <w:spacing w:after="0" w:line="256"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i w:val="1"/>
          <w:iCs w:val="1"/>
          <w:color w:val="auto"/>
        </w:rPr>
        <w:t>Deferrals.</w:t>
      </w:r>
      <w:r>
        <w:rPr>
          <w:rFonts w:ascii="Arial" w:cs="Arial" w:eastAsia="Arial" w:hAnsi="Arial"/>
          <w:sz w:val="17"/>
          <w:szCs w:val="17"/>
          <w:color w:val="auto"/>
        </w:rPr>
        <w:t xml:space="preserve"> The Administrator may allow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provisions that the Committee or the Participant determines are necessary or advisable to comply with, or avoid being subject to, the requirements of Section 409A of the Code, and provisions for the payment or crediting of dividend equivalents in respect of deferrals credited in units of Stock.</w:t>
      </w:r>
    </w:p>
    <w:p>
      <w:pPr>
        <w:spacing w:after="0" w:line="106" w:lineRule="exact"/>
        <w:rPr>
          <w:sz w:val="20"/>
          <w:szCs w:val="20"/>
          <w:color w:val="auto"/>
        </w:rPr>
      </w:pPr>
    </w:p>
    <w:p>
      <w:pPr>
        <w:ind w:left="1000" w:right="319" w:firstLine="360"/>
        <w:spacing w:after="0" w:line="245"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i w:val="1"/>
          <w:iCs w:val="1"/>
          <w:color w:val="auto"/>
        </w:rPr>
        <w:t>Recoupment/Clawback.</w:t>
      </w:r>
      <w:r>
        <w:rPr>
          <w:rFonts w:ascii="Arial" w:cs="Arial" w:eastAsia="Arial" w:hAnsi="Arial"/>
          <w:sz w:val="18"/>
          <w:szCs w:val="18"/>
          <w:color w:val="auto"/>
        </w:rPr>
        <w:t xml:space="preserve"> Each Award shall be subject to the terms and conditions of Avnet’s compensation recoupment or clawback policy, as in effect and amended from time to time, including disgorgement or repayment to the extent required by such policy (taking into account changes to such policy that are made after the date hereof and after the date of the applicable Agreement).</w:t>
      </w:r>
    </w:p>
    <w:p>
      <w:pPr>
        <w:spacing w:after="0" w:line="113" w:lineRule="exact"/>
        <w:rPr>
          <w:sz w:val="20"/>
          <w:szCs w:val="20"/>
          <w:color w:val="auto"/>
        </w:rPr>
      </w:pPr>
    </w:p>
    <w:p>
      <w:pPr>
        <w:jc w:val="center"/>
        <w:ind w:right="-60"/>
        <w:spacing w:after="0"/>
        <w:tabs>
          <w:tab w:leader="none" w:pos="120" w:val="left"/>
        </w:tabs>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i w:val="1"/>
          <w:iCs w:val="1"/>
          <w:color w:val="auto"/>
        </w:rPr>
        <w:t>Nontransferability.</w:t>
      </w:r>
      <w:r>
        <w:rPr>
          <w:sz w:val="20"/>
          <w:szCs w:val="20"/>
          <w:color w:val="auto"/>
        </w:rPr>
        <w:tab/>
      </w:r>
      <w:r>
        <w:rPr>
          <w:rFonts w:ascii="Arial" w:cs="Arial" w:eastAsia="Arial" w:hAnsi="Arial"/>
          <w:sz w:val="17"/>
          <w:szCs w:val="17"/>
          <w:color w:val="auto"/>
        </w:rPr>
        <w:t>Except as otherwise provided in Section 7.7 (Foreign Laws), this</w:t>
      </w:r>
    </w:p>
    <w:p>
      <w:pPr>
        <w:spacing w:after="0" w:line="14" w:lineRule="exact"/>
        <w:rPr>
          <w:sz w:val="20"/>
          <w:szCs w:val="20"/>
          <w:color w:val="auto"/>
        </w:rPr>
      </w:pPr>
    </w:p>
    <w:p>
      <w:pPr>
        <w:ind w:left="1000" w:right="159"/>
        <w:spacing w:after="0" w:line="238" w:lineRule="auto"/>
        <w:rPr>
          <w:sz w:val="20"/>
          <w:szCs w:val="20"/>
          <w:color w:val="auto"/>
        </w:rPr>
      </w:pPr>
      <w:r>
        <w:rPr>
          <w:rFonts w:ascii="Arial" w:cs="Arial" w:eastAsia="Arial" w:hAnsi="Arial"/>
          <w:sz w:val="18"/>
          <w:szCs w:val="18"/>
          <w:color w:val="auto"/>
        </w:rPr>
        <w:t>Section 12.10, or the applicable Agreement, no Award granted under the Plan, and no interests therein, may be sold, transferred, pledged, assigned, exchanged, encumbered or otherwise alienated or hypothecated; and each Award shall be exercisable during the Participant’s lifetime only by the Participant or his legal guardian or representative.</w:t>
      </w:r>
    </w:p>
    <w:p>
      <w:pPr>
        <w:spacing w:after="0" w:line="119" w:lineRule="exact"/>
        <w:rPr>
          <w:sz w:val="20"/>
          <w:szCs w:val="20"/>
          <w:color w:val="auto"/>
        </w:rPr>
      </w:pPr>
    </w:p>
    <w:p>
      <w:pPr>
        <w:ind w:left="2260" w:hanging="262"/>
        <w:spacing w:after="0"/>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Award may be transferred by testamentary disposition or the laws of descent and</w:t>
      </w:r>
    </w:p>
    <w:p>
      <w:pPr>
        <w:ind w:left="1360"/>
        <w:spacing w:after="0"/>
        <w:rPr>
          <w:rFonts w:ascii="Arial" w:cs="Arial" w:eastAsia="Arial" w:hAnsi="Arial"/>
          <w:sz w:val="18"/>
          <w:szCs w:val="18"/>
          <w:color w:val="auto"/>
        </w:rPr>
      </w:pPr>
      <w:r>
        <w:rPr>
          <w:rFonts w:ascii="Arial" w:cs="Arial" w:eastAsia="Arial" w:hAnsi="Arial"/>
          <w:sz w:val="18"/>
          <w:szCs w:val="18"/>
          <w:color w:val="auto"/>
        </w:rPr>
        <w:t>distribution.</w:t>
      </w:r>
    </w:p>
    <w:p>
      <w:pPr>
        <w:spacing w:after="0" w:line="144" w:lineRule="exact"/>
        <w:rPr>
          <w:rFonts w:ascii="Arial" w:cs="Arial" w:eastAsia="Arial" w:hAnsi="Arial"/>
          <w:sz w:val="18"/>
          <w:szCs w:val="18"/>
          <w:color w:val="auto"/>
        </w:rPr>
      </w:pPr>
    </w:p>
    <w:p>
      <w:pPr>
        <w:ind w:left="1360" w:right="199" w:firstLine="638"/>
        <w:spacing w:after="0" w:line="235" w:lineRule="auto"/>
        <w:tabs>
          <w:tab w:leader="none" w:pos="22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Committee shall have sole discretion to approve, and to establish terms and conditions for, a transfer of an Option other than an Incentive Stock Option to (i) the child, step-child, grandchild, parent, stepparent, grandparent, spouse, former spouse, sibling, niece, nephew, mother-in-law, father-in-law, son-in-law, daughter-in-law, brother-in-law, sister-in-law, including adoptive relationships, and any person sharing the Participant’s household (other than a tenant or employee) of the Participant (an “Immediate Family Member”); (ii) a trust in which Immediate Family Members have more than 50% of the beneficial interest; (iii) a foundation in which Immediate Family Members or the Participant control the management of the assets; or (iv) any other entity in which Immediate Family Members or the Participant own more than 50% of the voting interests (each (i) — (iv), a “Permitted Transferee”); provided, however, that, without the prior approval of the Committee, no Permitted Transferee shall further transfer an Award, either directly or indirectly, other than by testamentary disposition or the laws of descent and distribution. For example, without prior approval of the Committee, a Permitted Transferee may not transfer an Award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w:t>
      </w:r>
    </w:p>
    <w:p>
      <w:pPr>
        <w:spacing w:after="0" w:line="145" w:lineRule="exact"/>
        <w:rPr>
          <w:rFonts w:ascii="Arial" w:cs="Arial" w:eastAsia="Arial" w:hAnsi="Arial"/>
          <w:sz w:val="18"/>
          <w:szCs w:val="18"/>
          <w:color w:val="auto"/>
        </w:rPr>
      </w:pPr>
    </w:p>
    <w:p>
      <w:pPr>
        <w:jc w:val="both"/>
        <w:ind w:left="1360" w:right="339" w:firstLine="638"/>
        <w:spacing w:after="0"/>
        <w:tabs>
          <w:tab w:leader="none" w:pos="226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Committee shall have discretion to authorize a transfer pursuant to a domestic relations order; provided, however, that the Committee shall not be required under any circumstance to accept or approve a transfer pursuant to a domestic relations order.</w:t>
      </w:r>
    </w:p>
    <w:p>
      <w:pPr>
        <w:spacing w:after="0" w:line="121" w:lineRule="exact"/>
        <w:rPr>
          <w:rFonts w:ascii="Arial" w:cs="Arial" w:eastAsia="Arial" w:hAnsi="Arial"/>
          <w:sz w:val="18"/>
          <w:szCs w:val="18"/>
          <w:color w:val="auto"/>
        </w:rPr>
      </w:pPr>
    </w:p>
    <w:p>
      <w:pPr>
        <w:ind w:left="1360" w:right="879" w:firstLine="638"/>
        <w:spacing w:after="0" w:line="246" w:lineRule="auto"/>
        <w:tabs>
          <w:tab w:leader="none" w:pos="22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Award may be forfeited or transferred to the extent required to satisfy a tax levy or judgment under the Mandatory Victims Restitution Act or similar federal or state law.</w:t>
      </w:r>
    </w:p>
    <w:p>
      <w:pPr>
        <w:spacing w:after="0" w:line="111" w:lineRule="exact"/>
        <w:rPr>
          <w:sz w:val="20"/>
          <w:szCs w:val="20"/>
          <w:color w:val="auto"/>
        </w:rPr>
      </w:pPr>
    </w:p>
    <w:p>
      <w:pPr>
        <w:ind w:left="1000" w:right="159" w:firstLine="360"/>
        <w:spacing w:after="0" w:line="242"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i w:val="1"/>
          <w:iCs w:val="1"/>
          <w:color w:val="auto"/>
        </w:rPr>
        <w:t>Applicable Law and Severability.</w:t>
      </w:r>
      <w:r>
        <w:rPr>
          <w:rFonts w:ascii="Arial" w:cs="Arial" w:eastAsia="Arial" w:hAnsi="Arial"/>
          <w:sz w:val="18"/>
          <w:szCs w:val="18"/>
          <w:color w:val="auto"/>
        </w:rPr>
        <w:t xml:space="preserve"> The Plan, and its rules, rights, agreements and regulations, shall be governed, construed, interpreted and administered solely in accordance with the laws of the state of New York, without regard to any conflicts or choice of law rule or principle that might otherwise refer construction or interpretation of the Plan to the substantive law of another jurisdiction. If any provision of the Plan is held invalid, illegal, or unenforceable, in whole or in part, for any reason, such determination shall not affect the</w:t>
      </w:r>
    </w:p>
    <w:p>
      <w:pPr>
        <w:spacing w:after="0" w:line="125" w:lineRule="exact"/>
        <w:rPr>
          <w:sz w:val="20"/>
          <w:szCs w:val="20"/>
          <w:color w:val="auto"/>
        </w:rPr>
      </w:pPr>
    </w:p>
    <w:p>
      <w:pPr>
        <w:ind w:left="7060"/>
        <w:spacing w:after="0"/>
        <w:rPr>
          <w:sz w:val="20"/>
          <w:szCs w:val="20"/>
          <w:color w:val="auto"/>
        </w:rPr>
      </w:pPr>
      <w:r>
        <w:rPr>
          <w:sz w:val="1"/>
          <w:szCs w:val="1"/>
          <w:color w:val="auto"/>
        </w:rPr>
        <w:drawing>
          <wp:inline distT="0" distB="0" distL="0" distR="0">
            <wp:extent cx="1482725" cy="30035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82725" cy="300355"/>
                    </a:xfrm>
                    <a:prstGeom prst="rect">
                      <a:avLst/>
                    </a:prstGeom>
                    <a:noFill/>
                    <a:ln>
                      <a:noFill/>
                    </a:ln>
                  </pic:spPr>
                </pic:pic>
              </a:graphicData>
            </a:graphic>
          </wp:inline>
        </w:drawing>
      </w: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jc w:val="both"/>
        <w:ind w:left="1000" w:right="139"/>
        <w:spacing w:after="0"/>
        <w:rPr>
          <w:sz w:val="20"/>
          <w:szCs w:val="20"/>
          <w:color w:val="auto"/>
        </w:rPr>
      </w:pPr>
      <w:r>
        <w:rPr>
          <w:rFonts w:ascii="Arial" w:cs="Arial" w:eastAsia="Arial" w:hAnsi="Arial"/>
          <w:sz w:val="18"/>
          <w:szCs w:val="18"/>
          <w:color w:val="auto"/>
        </w:rPr>
        <w:t>validity, legality or enforceability of any remaining provision, portion of provision or the Plan overall, which shall remain in full force and effect as if such invalid, illegal or unenforceable provision (or portion thereof) had never been included in the Plan.</w:t>
      </w:r>
    </w:p>
    <w:p>
      <w:pPr>
        <w:spacing w:after="0" w:line="104" w:lineRule="exact"/>
        <w:rPr>
          <w:sz w:val="20"/>
          <w:szCs w:val="20"/>
          <w:color w:val="auto"/>
        </w:rPr>
      </w:pPr>
    </w:p>
    <w:p>
      <w:pPr>
        <w:ind w:left="1000" w:right="219" w:firstLine="360"/>
        <w:spacing w:after="0" w:line="241"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i w:val="1"/>
          <w:iCs w:val="1"/>
          <w:color w:val="auto"/>
        </w:rPr>
        <w:t>Special Incentive Compensation.</w:t>
      </w:r>
      <w:r>
        <w:rPr>
          <w:rFonts w:ascii="Arial" w:cs="Arial" w:eastAsia="Arial" w:hAnsi="Arial"/>
          <w:sz w:val="18"/>
          <w:szCs w:val="18"/>
          <w:color w:val="auto"/>
        </w:rPr>
        <w:t xml:space="preserve"> No shares of Stock or other remuneration provided pursuant to an Award, other than an EIP Award, shall be included in compensation for purposes of determining the amount payable to any individual under any pension, savings, retirement, life insurance, or other employee benefits arrangement of the Company, unless otherwise determined by the Company. Remuneration provided pursuant to an EIP Award shall be included in compensation to the extent (and only to the extent) required by the applicable employee benefits arrangement.</w:t>
      </w:r>
    </w:p>
    <w:p>
      <w:pPr>
        <w:spacing w:after="0" w:line="116" w:lineRule="exact"/>
        <w:rPr>
          <w:sz w:val="20"/>
          <w:szCs w:val="20"/>
          <w:color w:val="auto"/>
        </w:rPr>
      </w:pPr>
    </w:p>
    <w:p>
      <w:pPr>
        <w:ind w:left="1000" w:right="179" w:firstLine="360"/>
        <w:spacing w:after="0"/>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i w:val="1"/>
          <w:iCs w:val="1"/>
          <w:color w:val="auto"/>
        </w:rPr>
        <w:t>Section 16(b) of the Exchange Act.</w:t>
      </w:r>
      <w:r>
        <w:rPr>
          <w:rFonts w:ascii="Arial" w:cs="Arial" w:eastAsia="Arial" w:hAnsi="Arial"/>
          <w:sz w:val="18"/>
          <w:szCs w:val="18"/>
          <w:color w:val="auto"/>
        </w:rPr>
        <w:t xml:space="preserve"> 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In addition, with respect to persons subject to Section 16(b) of the Exchange Act, transactions under the Plan are intended to comply with all applicable conditions of Rule 16b-3. To the extent that any provision of the Plan or any action by the Administrator fails to comply with Rule 16b-3, it shall be deemed null and void, to the extent permitted by law and deemed advisable by the Committee.</w:t>
      </w:r>
    </w:p>
    <w:p>
      <w:pPr>
        <w:spacing w:after="0" w:line="117" w:lineRule="exact"/>
        <w:rPr>
          <w:sz w:val="20"/>
          <w:szCs w:val="20"/>
          <w:color w:val="auto"/>
        </w:rPr>
      </w:pPr>
    </w:p>
    <w:p>
      <w:pPr>
        <w:ind w:left="1000" w:right="559" w:firstLine="360"/>
        <w:spacing w:after="0" w:line="245"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i w:val="1"/>
          <w:iCs w:val="1"/>
          <w:color w:val="auto"/>
        </w:rPr>
        <w:t>Section 409A of the Code.</w:t>
      </w:r>
      <w:r>
        <w:rPr>
          <w:rFonts w:ascii="Arial" w:cs="Arial" w:eastAsia="Arial" w:hAnsi="Arial"/>
          <w:sz w:val="18"/>
          <w:szCs w:val="18"/>
          <w:color w:val="auto"/>
        </w:rPr>
        <w:t xml:space="preserve"> The Plan, any Award granted under the Plan, and all Agreements evidencing such Awards, shall be interpreted, administered, and construed consistent with the intent that</w:t>
      </w:r>
    </w:p>
    <w:p>
      <w:pPr>
        <w:ind w:left="1000" w:right="159" w:hanging="10"/>
        <w:spacing w:after="0" w:line="234" w:lineRule="auto"/>
        <w:tabs>
          <w:tab w:leader="none" w:pos="126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Options, SARs, and comparable awards shall be exempt from Section 409A of the Code by reason of the exemption for certain stock rights set forth in Treas. Reg. § 1.409A-1(b)(5); (b) all Awards of Restricted Stock shall be exempt from Section 409A of the Code by reason of the exemption for restricted property governed by Section 83 of the Code set forth in Treas. Reg. § 1.409A-1(b)(6); and (c) except to the extent that the applicable Agreement reflects an intent to provide for nonqualified deferred compensation that is subject to and complies with the requirements of Section 409A of the Code, all Restricted Stock Unit Awards, Performance Share Unit Awards, Other Stock Unit Awards, and EIP Awards shall be exempt from</w:t>
      </w:r>
    </w:p>
    <w:p>
      <w:pPr>
        <w:spacing w:after="0" w:line="4"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Section 409A of the Code by reason of the “short-term deferral rule” set forth in Treas. Reg. § 1.409A-1(b)(4).</w:t>
      </w:r>
    </w:p>
    <w:p>
      <w:pPr>
        <w:spacing w:after="0" w:line="113" w:lineRule="exact"/>
        <w:rPr>
          <w:sz w:val="20"/>
          <w:szCs w:val="20"/>
          <w:color w:val="auto"/>
        </w:rPr>
      </w:pPr>
    </w:p>
    <w:p>
      <w:pPr>
        <w:ind w:left="1000" w:right="439" w:firstLine="360"/>
        <w:spacing w:after="0" w:line="267"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The proceeds received by the Company from the sale of Stock under the Plan shall be used for general corporate purposes.</w:t>
      </w:r>
    </w:p>
    <w:p>
      <w:pPr>
        <w:spacing w:after="0" w:line="93" w:lineRule="exact"/>
        <w:rPr>
          <w:sz w:val="20"/>
          <w:szCs w:val="20"/>
          <w:color w:val="auto"/>
        </w:rPr>
      </w:pPr>
    </w:p>
    <w:p>
      <w:pPr>
        <w:ind w:left="1000" w:right="179" w:firstLine="360"/>
        <w:spacing w:after="0" w:line="255" w:lineRule="auto"/>
        <w:rPr>
          <w:sz w:val="20"/>
          <w:szCs w:val="20"/>
          <w:color w:val="auto"/>
        </w:rPr>
      </w:pPr>
      <w:r>
        <w:rPr>
          <w:rFonts w:ascii="Arial" w:cs="Arial" w:eastAsia="Arial" w:hAnsi="Arial"/>
          <w:sz w:val="17"/>
          <w:szCs w:val="17"/>
          <w:color w:val="auto"/>
        </w:rPr>
        <w:t xml:space="preserve">12.16. </w:t>
      </w:r>
      <w:r>
        <w:rPr>
          <w:rFonts w:ascii="Arial" w:cs="Arial" w:eastAsia="Arial" w:hAnsi="Arial"/>
          <w:sz w:val="17"/>
          <w:szCs w:val="17"/>
          <w:i w:val="1"/>
          <w:iCs w:val="1"/>
          <w:color w:val="auto"/>
        </w:rPr>
        <w:t>Rules of Construction.</w:t>
      </w:r>
      <w:r>
        <w:rPr>
          <w:rFonts w:ascii="Arial" w:cs="Arial" w:eastAsia="Arial" w:hAnsi="Arial"/>
          <w:sz w:val="17"/>
          <w:szCs w:val="17"/>
          <w:color w:val="auto"/>
        </w:rPr>
        <w:t xml:space="preserve"> Whenever used in the Plan, (a) words in the masculine gender shall be deemed to refer to females as well as to males; (b) words in the singular shall be deemed to refer also to the plural; (c) the word “include” shall mean “including but not limited to”; (d) 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and (e) references to a law shall include any statute, regulation, rule, court case, or other requirement established by an exchange or a governmental authority or agency, and applicable law shall include any tax law that imposes requirements in order to avoid adverse tax consequences.</w:t>
      </w:r>
    </w:p>
    <w:p>
      <w:pPr>
        <w:spacing w:after="0" w:line="107" w:lineRule="exact"/>
        <w:rPr>
          <w:sz w:val="20"/>
          <w:szCs w:val="20"/>
          <w:color w:val="auto"/>
        </w:rPr>
      </w:pPr>
    </w:p>
    <w:p>
      <w:pPr>
        <w:ind w:left="1000" w:right="479" w:firstLine="360"/>
        <w:spacing w:after="0" w:line="250"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i w:val="1"/>
          <w:iCs w:val="1"/>
          <w:color w:val="auto"/>
        </w:rPr>
        <w:t>Headings and Captions.</w:t>
      </w:r>
      <w:r>
        <w:rPr>
          <w:rFonts w:ascii="Arial" w:cs="Arial" w:eastAsia="Arial" w:hAnsi="Arial"/>
          <w:sz w:val="18"/>
          <w:szCs w:val="18"/>
          <w:color w:val="auto"/>
        </w:rPr>
        <w:t xml:space="preserve"> The headings and captions in this Plan document are provided for reference and convenience only, shall not be considered part of the Plan, and shall not be employed in the construction of the Plan.</w:t>
      </w:r>
    </w:p>
    <w:p>
      <w:pPr>
        <w:spacing w:after="0" w:line="96" w:lineRule="exact"/>
        <w:rPr>
          <w:sz w:val="20"/>
          <w:szCs w:val="20"/>
          <w:color w:val="auto"/>
        </w:rPr>
      </w:pPr>
    </w:p>
    <w:p>
      <w:pPr>
        <w:ind w:left="1000" w:right="639" w:firstLine="360"/>
        <w:spacing w:after="0" w:line="267"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become effective on the date the Plan is approved by Avnet’s shareholders.</w:t>
      </w:r>
    </w:p>
    <w:p>
      <w:pPr>
        <w:spacing w:after="0" w:line="147"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13</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ADJUSTMENTS UPON CHANGES IN CAPITALIZATION</w:t>
      </w:r>
    </w:p>
    <w:p>
      <w:pPr>
        <w:spacing w:after="0" w:line="126" w:lineRule="exact"/>
        <w:rPr>
          <w:sz w:val="20"/>
          <w:szCs w:val="20"/>
          <w:color w:val="auto"/>
        </w:rPr>
      </w:pPr>
    </w:p>
    <w:p>
      <w:pPr>
        <w:ind w:left="1000" w:right="299" w:firstLine="360"/>
        <w:spacing w:after="0" w:line="260"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color w:val="auto"/>
        </w:rPr>
        <w:t>Share Adjustments.</w:t>
      </w:r>
      <w:r>
        <w:rPr>
          <w:rFonts w:ascii="Arial" w:cs="Arial" w:eastAsia="Arial" w:hAnsi="Arial"/>
          <w:sz w:val="17"/>
          <w:szCs w:val="17"/>
          <w:color w:val="auto"/>
        </w:rPr>
        <w:t xml:space="preserve"> If the Stock is split,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divided or otherwise reclassified or for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93980</wp:posOffset>
            </wp:positionV>
            <wp:extent cx="1482725" cy="3003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482725" cy="300355"/>
                    </a:xfrm>
                    <a:prstGeom prst="rect">
                      <a:avLst/>
                    </a:prstGeom>
                    <a:noFill/>
                  </pic:spPr>
                </pic:pic>
              </a:graphicData>
            </a:graphic>
          </wp:anchor>
        </w:drawing>
      </w:r>
    </w:p>
    <w:p>
      <w:pPr>
        <w:spacing w:after="0" w:line="34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2021 ANNUAL</w:t>
      </w:r>
    </w:p>
    <w:p>
      <w:pPr>
        <w:jc w:val="right"/>
        <w:ind w:right="139"/>
        <w:spacing w:after="0" w:line="187" w:lineRule="auto"/>
        <w:rPr>
          <w:sz w:val="20"/>
          <w:szCs w:val="20"/>
          <w:color w:val="auto"/>
        </w:rPr>
      </w:pPr>
      <w:r>
        <w:rPr>
          <w:rFonts w:ascii="Arial" w:cs="Arial" w:eastAsia="Arial" w:hAnsi="Arial"/>
          <w:sz w:val="12"/>
          <w:szCs w:val="12"/>
          <w:color w:val="auto"/>
        </w:rPr>
        <w:t>Appendix B</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81" w:lineRule="exact"/>
        <w:rPr>
          <w:sz w:val="20"/>
          <w:szCs w:val="20"/>
          <w:color w:val="auto"/>
        </w:rPr>
      </w:pPr>
    </w:p>
    <w:p>
      <w:pPr>
        <w:ind w:left="1000" w:right="219"/>
        <w:spacing w:after="0" w:line="251" w:lineRule="auto"/>
        <w:rPr>
          <w:sz w:val="20"/>
          <w:szCs w:val="20"/>
          <w:color w:val="auto"/>
        </w:rPr>
      </w:pPr>
      <w:r>
        <w:rPr>
          <w:rFonts w:ascii="Arial" w:cs="Arial" w:eastAsia="Arial" w:hAnsi="Arial"/>
          <w:sz w:val="18"/>
          <w:szCs w:val="18"/>
          <w:color w:val="auto"/>
        </w:rPr>
        <w:t>Stock shall have been so exchanged; and the remaining number of shares of Stock which may, in the aggregate, thereafter be delivered pursuant to the grant or exercise of an Award and the remaining number of shares of Stock which may thereafter be delivered pursuant to the exercise of any Options and/or SARs then outstanding, shall be correspondingly adjusted. If a dividend payable in shares of Stock is paid to the holders of outstanding shares of Stock, the remaining number of shares of Stock which may, in the aggregate, thereafter be delivered pursuant to the exercise or grant of Awards, and the remaining number of shares of Stock that may thereafter be delivered pursuant to the exercise of any Awards then outstanding shall be increased by the percentage that the number of shares of Stock so paid as a dividend bears to the total number of shares of Stock outstanding immediately before the payment of such dividend. If an extraordinary cash dividend is paid to the holders of outstanding shares of Stock, the remaining number of shares of Stock that may, in the aggregate, thereafter be delivered pursuant to the exercise or grant of Awards and the remaining number of shares of Stock that may thereafter be delivered pursuant to the exercise of any Awards then outstanding, shall be equitably adjusted by the Committee.</w:t>
      </w:r>
    </w:p>
    <w:p>
      <w:pPr>
        <w:spacing w:after="0" w:line="111" w:lineRule="exact"/>
        <w:rPr>
          <w:sz w:val="20"/>
          <w:szCs w:val="20"/>
          <w:color w:val="auto"/>
        </w:rPr>
      </w:pPr>
    </w:p>
    <w:p>
      <w:pPr>
        <w:ind w:left="1000" w:right="219" w:firstLine="360"/>
        <w:spacing w:after="0" w:line="277"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i w:val="1"/>
          <w:iCs w:val="1"/>
          <w:color w:val="auto"/>
        </w:rPr>
        <w:t>Exercise Price Adjustments.</w:t>
      </w:r>
      <w:r>
        <w:rPr>
          <w:rFonts w:ascii="Arial" w:cs="Arial" w:eastAsia="Arial" w:hAnsi="Arial"/>
          <w:sz w:val="17"/>
          <w:szCs w:val="17"/>
          <w:color w:val="auto"/>
        </w:rPr>
        <w:t xml:space="preserve"> If the Stock is split, divided or otherwise reclassified or exchanged, or if any dividend payable in shares of Stock or extraordinary cash dividend is paid to the holders of outstanding 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100" w:lineRule="exact"/>
        <w:rPr>
          <w:sz w:val="20"/>
          <w:szCs w:val="20"/>
          <w:color w:val="auto"/>
        </w:rPr>
      </w:pPr>
    </w:p>
    <w:p>
      <w:pPr>
        <w:ind w:left="1000" w:right="219" w:firstLine="360"/>
        <w:spacing w:after="0" w:line="25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Notwithstanding any other provision of this Article 13, if upon any adjustment made in accordance with Section 13.1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other property in payment therefor or in lieu thereof.</w:t>
      </w:r>
    </w:p>
    <w:p>
      <w:pPr>
        <w:spacing w:after="0" w:line="174"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ARTICLE 14</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AMENDMENT OR TERMINATION OF THE PLAN</w:t>
      </w:r>
    </w:p>
    <w:p>
      <w:pPr>
        <w:spacing w:after="0" w:line="144" w:lineRule="exact"/>
        <w:rPr>
          <w:sz w:val="20"/>
          <w:szCs w:val="20"/>
          <w:color w:val="auto"/>
        </w:rPr>
      </w:pPr>
    </w:p>
    <w:p>
      <w:pPr>
        <w:ind w:left="1000" w:right="479" w:firstLine="360"/>
        <w:spacing w:after="0" w:line="254" w:lineRule="auto"/>
        <w:rPr>
          <w:sz w:val="20"/>
          <w:szCs w:val="20"/>
          <w:color w:val="auto"/>
        </w:rPr>
      </w:pPr>
      <w:r>
        <w:rPr>
          <w:rFonts w:ascii="Arial" w:cs="Arial" w:eastAsia="Arial" w:hAnsi="Arial"/>
          <w:sz w:val="18"/>
          <w:szCs w:val="18"/>
          <w:color w:val="auto"/>
        </w:rPr>
        <w:t>14.1. The Plan shall automatically terminate on November 17, 2031, unless it is sooner terminated pursuant to Section 14.2, below. No Award shall be granted after the Plan terminates. All Awards granted before the Plan terminates shall continue in effect thereafter in accordance with the terms of the applicable Agreements and the Plan.</w:t>
      </w:r>
    </w:p>
    <w:p>
      <w:pPr>
        <w:spacing w:after="0" w:line="105" w:lineRule="exact"/>
        <w:rPr>
          <w:sz w:val="20"/>
          <w:szCs w:val="20"/>
          <w:color w:val="auto"/>
        </w:rPr>
      </w:pPr>
    </w:p>
    <w:p>
      <w:pPr>
        <w:ind w:left="1000" w:right="219" w:firstLine="360"/>
        <w:spacing w:after="0" w:line="266"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Reservation of Rights.</w:t>
      </w:r>
      <w:r>
        <w:rPr>
          <w:rFonts w:ascii="Arial" w:cs="Arial" w:eastAsia="Arial" w:hAnsi="Arial"/>
          <w:sz w:val="18"/>
          <w:szCs w:val="18"/>
          <w:color w:val="auto"/>
        </w:rPr>
        <w:t xml:space="preserve"> The Board of Directors may amend or terminate the Plan and/or any Award thereunder at any time as the Board of Directors may deem advisable and in the best interests of Avnet; provided, however, that —</w:t>
      </w:r>
    </w:p>
    <w:p>
      <w:pPr>
        <w:spacing w:after="0" w:line="126" w:lineRule="exact"/>
        <w:rPr>
          <w:sz w:val="20"/>
          <w:szCs w:val="20"/>
          <w:color w:val="auto"/>
        </w:rPr>
      </w:pPr>
    </w:p>
    <w:p>
      <w:pPr>
        <w:ind w:left="1360" w:right="239" w:firstLine="638"/>
        <w:spacing w:after="0" w:line="252" w:lineRule="auto"/>
        <w:tabs>
          <w:tab w:leader="none" w:pos="227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Participant’s written consent shall be required for any amendment to an outstanding Award that would adversely affect in a material manner the rights of such Participant under such Award, unless the Committee determines in its discretion that there have occurred or are about to occur significant changes in the Participant’s position, duties or responsibilities, or significant changes in economic, legislative, regulatory, tax, accounting or cost/benefit conditions that the Committee determines in its sole discretion make Participant consent inappropriate under the circumstances; and</w:t>
      </w:r>
    </w:p>
    <w:p>
      <w:pPr>
        <w:spacing w:after="0" w:line="140" w:lineRule="exact"/>
        <w:rPr>
          <w:rFonts w:ascii="Arial" w:cs="Arial" w:eastAsia="Arial" w:hAnsi="Arial"/>
          <w:sz w:val="18"/>
          <w:szCs w:val="18"/>
          <w:color w:val="auto"/>
        </w:rPr>
      </w:pPr>
    </w:p>
    <w:p>
      <w:pPr>
        <w:ind w:left="1360" w:right="179" w:firstLine="638"/>
        <w:spacing w:after="0" w:line="265" w:lineRule="auto"/>
        <w:tabs>
          <w:tab w:leader="none" w:pos="2276"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affirmative vote of a majority of the votes cast at a meeting of the shareholders of Avnet duly called and held for that purpose, shall be required for any change that (i) affects the composition or functioning of the Committee; (ii) materially increases the aggregate number of shares of Stock that may be delivered pursuant to the exercise of Awards; (iii) materially increases the aggregate number of shares of Stock with respect to which Options or other Awards may be granted to any Participant during any calendar year; (iv) materially decreases the minimum purchase price per share of Stock (in relation to the Fair Market Value thereof at the respective dates of grant) upon the exercise of Options; (v) extends the ten-year maximum period within which an Award is exercisable or the termination date of the Plan; or</w:t>
      </w:r>
    </w:p>
    <w:p>
      <w:pPr>
        <w:spacing w:after="0" w:line="1" w:lineRule="exact"/>
        <w:rPr>
          <w:rFonts w:ascii="Arial" w:cs="Arial" w:eastAsia="Arial" w:hAnsi="Arial"/>
          <w:sz w:val="17"/>
          <w:szCs w:val="17"/>
          <w:color w:val="auto"/>
        </w:rPr>
      </w:pPr>
    </w:p>
    <w:p>
      <w:pPr>
        <w:ind w:left="1640" w:hanging="290"/>
        <w:spacing w:after="0"/>
        <w:tabs>
          <w:tab w:leader="none" w:pos="1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otherwise triggers a shareholder approval requirement under an applicable law or listing standard.</w:t>
      </w:r>
    </w:p>
    <w:p>
      <w:pPr>
        <w:sectPr>
          <w:pgSz w:w="11900" w:h="16838" w:orient="portrait"/>
          <w:cols w:equalWidth="0" w:num="1">
            <w:col w:w="9879"/>
          </w:cols>
          <w:pgMar w:left="580" w:top="131" w:right="1440" w:bottom="1440" w:gutter="0" w:footer="0" w:header="0"/>
        </w:sectPr>
      </w:pPr>
    </w:p>
    <w:p>
      <w:pPr>
        <w:spacing w:after="0" w:line="252" w:lineRule="exact"/>
        <w:rPr>
          <w:sz w:val="20"/>
          <w:szCs w:val="20"/>
          <w:color w:val="auto"/>
        </w:rPr>
      </w:pPr>
    </w:p>
    <w:p>
      <w:pPr>
        <w:ind w:left="7060"/>
        <w:spacing w:after="0"/>
        <w:rPr>
          <w:sz w:val="20"/>
          <w:szCs w:val="20"/>
          <w:color w:val="auto"/>
        </w:rPr>
      </w:pPr>
      <w:r>
        <w:rPr>
          <w:sz w:val="1"/>
          <w:szCs w:val="1"/>
          <w:color w:val="auto"/>
        </w:rPr>
        <w:drawing>
          <wp:inline distT="0" distB="0" distL="0" distR="0">
            <wp:extent cx="1482725" cy="29146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482725" cy="291465"/>
                    </a:xfrm>
                    <a:prstGeom prst="rect">
                      <a:avLst/>
                    </a:prstGeom>
                    <a:noFill/>
                    <a:ln>
                      <a:noFill/>
                    </a:ln>
                  </pic:spPr>
                </pic:pic>
              </a:graphicData>
            </a:graphic>
          </wp:inline>
        </w:drawing>
      </w: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2677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826770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2683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826833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lvl w:ilvl="1">
      <w:lvlJc w:val="left"/>
      <w:lvlText w:val="(%2)"/>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bullet"/>
      <w:start w:val="1"/>
    </w:lvl>
  </w:abstractNum>
  <w:abstractNum w:abstractNumId="5">
    <w:nsid w:val="23F9C13C"/>
    <w:multiLevelType w:val="hybridMultilevel"/>
    <w:lvl w:ilvl="0">
      <w:lvlJc w:val="left"/>
      <w:lvlText w:val="2"/>
      <w:numFmt w:val="bullet"/>
      <w:start w:val="1"/>
    </w:lvl>
  </w:abstractNum>
  <w:abstractNum w:abstractNumId="6">
    <w:nsid w:val="649BB77C"/>
    <w:multiLevelType w:val="hybridMultilevel"/>
    <w:lvl w:ilvl="0">
      <w:lvlJc w:val="left"/>
      <w:lvlText w:val="3"/>
      <w:numFmt w:val="bullet"/>
      <w:start w:val="1"/>
    </w:lvl>
  </w:abstractNum>
  <w:abstractNum w:abstractNumId="7">
    <w:nsid w:val="275AC794"/>
    <w:multiLevelType w:val="hybridMultilevel"/>
    <w:lvl w:ilvl="0">
      <w:lvlJc w:val="left"/>
      <w:lvlText w:val="4"/>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1)"/>
      <w:numFmt w:val="decimal"/>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decimal"/>
      <w:start w:val="3"/>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lvl w:ilvl="1">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1)"/>
      <w:numFmt w:val="lowerLetter"/>
      <w:start w:val="1"/>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1)"/>
      <w:numFmt w:val="decimal"/>
      <w:start w:val="1"/>
    </w:lvl>
  </w:abstractNum>
  <w:abstractNum w:abstractNumId="40">
    <w:nsid w:val="168E121F"/>
    <w:multiLevelType w:val="hybridMultilevel"/>
    <w:lvl w:ilvl="0">
      <w:lvlJc w:val="left"/>
      <w:lvlText w:val="(%1)"/>
      <w:numFmt w:val="decimal"/>
      <w:start w:val="2"/>
    </w:lvl>
  </w:abstractNum>
  <w:abstractNum w:abstractNumId="41">
    <w:nsid w:val="1EBA5D23"/>
    <w:multiLevelType w:val="hybridMultilevel"/>
    <w:lvl w:ilvl="0">
      <w:lvlJc w:val="left"/>
      <w:lvlText w:val="*"/>
      <w:numFmt w:val="bullet"/>
      <w:start w:val="1"/>
    </w:lvl>
    <w:lvl w:ilvl="1">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lvl w:ilvl="1">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W.%1."/>
      <w:numFmt w:val="upperLetter"/>
      <w:start w:val="23"/>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1)"/>
      <w:numFmt w:val="decimal"/>
      <w:start w:val="2"/>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1)"/>
      <w:numFmt w:val="decimal"/>
      <w:start w:val="4"/>
    </w:lvl>
  </w:abstractNum>
  <w:abstractNum w:abstractNumId="55">
    <w:nsid w:val="68EB2F63"/>
    <w:multiLevelType w:val="hybridMultilevel"/>
    <w:lvl w:ilvl="0">
      <w:lvlJc w:val="left"/>
      <w:lvlText w:val="(%1)"/>
      <w:numFmt w:val="decimal"/>
      <w:start w:val="1"/>
    </w:lvl>
    <w:lvl w:ilvl="1">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1)"/>
      <w:numFmt w:val="decimal"/>
      <w:start w:val="1"/>
    </w:lvl>
  </w:abstractNum>
  <w:abstractNum w:abstractNumId="62">
    <w:nsid w:val="71EA1109"/>
    <w:multiLevelType w:val="hybridMultilevel"/>
    <w:lvl w:ilvl="0">
      <w:lvlJc w:val="left"/>
      <w:lvlText w:val="(%1)"/>
      <w:numFmt w:val="decimal"/>
      <w:start w:val="4"/>
    </w:lvl>
  </w:abstractNum>
  <w:abstractNum w:abstractNumId="63">
    <w:nsid w:val="100F59DC"/>
    <w:multiLevelType w:val="hybridMultilevel"/>
    <w:lvl w:ilvl="0">
      <w:lvlJc w:val="left"/>
      <w:lvlText w:val="(%1)"/>
      <w:numFmt w:val="decimal"/>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1)"/>
      <w:numFmt w:val="decimal"/>
      <w:start w:val="2"/>
    </w:lvl>
  </w:abstractNum>
  <w:abstractNum w:abstractNumId="67">
    <w:nsid w:val="94211F2"/>
    <w:multiLevelType w:val="hybridMultilevel"/>
    <w:lvl w:ilvl="0">
      <w:lvlJc w:val="left"/>
      <w:lvlText w:val="(%1)"/>
      <w:numFmt w:val="decimal"/>
      <w:start w:val="1"/>
    </w:lvl>
  </w:abstractNum>
  <w:abstractNum w:abstractNumId="68">
    <w:nsid w:val="885E1B"/>
    <w:multiLevelType w:val="hybridMultilevel"/>
    <w:lvl w:ilvl="0">
      <w:lvlJc w:val="left"/>
      <w:lvlText w:val="(%1)"/>
      <w:numFmt w:val="decimal"/>
      <w:start w:val="3"/>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1)"/>
      <w:numFmt w:val="decimal"/>
      <w:start w:val="1"/>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1)"/>
      <w:numFmt w:val="decimal"/>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1)"/>
      <w:numFmt w:val="decimal"/>
      <w:start w:val="3"/>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1)"/>
      <w:numFmt w:val="lowerLetter"/>
      <w:start w:val="2"/>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lowerLetter"/>
      <w:start w:val="1"/>
    </w:lvl>
  </w:abstractNum>
  <w:abstractNum w:abstractNumId="92">
    <w:nsid w:val="6AA78F7F"/>
    <w:multiLevelType w:val="hybridMultilevel"/>
    <w:lvl w:ilvl="0">
      <w:lvlJc w:val="left"/>
      <w:lvlText w:val="(%1)"/>
      <w:numFmt w:val="lowerLetter"/>
      <w:start w:val="3"/>
    </w:lvl>
  </w:abstractNum>
  <w:abstractNum w:abstractNumId="93">
    <w:nsid w:val="7672BD23"/>
    <w:multiLevelType w:val="hybridMultilevel"/>
    <w:lvl w:ilvl="0">
      <w:lvlJc w:val="left"/>
      <w:lvlText w:val="(%1)"/>
      <w:numFmt w:val="lowerLetter"/>
      <w:start w:val="1"/>
    </w:lvl>
  </w:abstractNum>
  <w:abstractNum w:abstractNumId="94">
    <w:nsid w:val="6FC75AF8"/>
    <w:multiLevelType w:val="hybridMultilevel"/>
    <w:lvl w:ilvl="0">
      <w:lvlJc w:val="left"/>
      <w:lvlText w:val="(%1)"/>
      <w:numFmt w:val="lowerLetter"/>
      <w:start w:val="2"/>
    </w:lvl>
  </w:abstractNum>
  <w:abstractNum w:abstractNumId="95">
    <w:nsid w:val="6A5F7029"/>
    <w:multiLevelType w:val="hybridMultilevel"/>
    <w:lvl w:ilvl="0">
      <w:lvlJc w:val="left"/>
      <w:lvlText w:val="(%1)"/>
      <w:numFmt w:val="lowerLetter"/>
      <w:start w:val="4"/>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Roman"/>
      <w:start w:val="2"/>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lowerLetter"/>
      <w:start w:val="1"/>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lowerRoman"/>
      <w:start w:val="1"/>
    </w:lvl>
    <w:lvl w:ilvl="1">
      <w:lvlJc w:val="left"/>
      <w:lvlText w:val="(%2)"/>
      <w:numFmt w:val="lowerLetter"/>
      <w:start w:val="1"/>
    </w:lvl>
  </w:abstractNum>
  <w:abstractNum w:abstractNumId="103">
    <w:nsid w:val="6A3DD3E8"/>
    <w:multiLevelType w:val="hybridMultilevel"/>
    <w:lvl w:ilvl="0">
      <w:lvlJc w:val="left"/>
      <w:lvlText w:val="(%1)"/>
      <w:numFmt w:val="lowerRoman"/>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2021-10-07T07:06:10Z</dcterms:created>
  <dcterms:modified xsi:type="dcterms:W3CDTF">2021-10-07T07:06:10Z</dcterms:modified>
</cp:coreProperties>
</file>