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Henkels Virginia</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AVNET, INC.</w:t>
            </w:r>
          </w:p>
        </w:tc>
        <w:tc>
          <w:tcPr>
            <w:tcW w:w="16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2211 S. 47TH STREET</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2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85034</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29</w:t>
            </w:r>
            <w:r>
              <w:rPr>
                <w:rFonts w:ascii="Times New Roman" w:cs="Times New Roman" w:eastAsia="Times New Roman" w:hAnsi="Times New Roman"/>
                <w:sz w:val="11"/>
                <w:szCs w:val="11"/>
                <w:color w:val="008000"/>
              </w:rPr>
              <w:t>(2)</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90.91</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7,688</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("PSU") equals one share of the Issuer's common stock, and will be settled in the Issuer's common stock after the reporting person leaves the Issuer's Board or upon change of control of the Issuer.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PSUs acquired as a result of the quarterly dividend.</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Darrel S. Jackson, Attorney- </w:t>
      </w:r>
      <w:r>
        <w:rPr>
          <w:rFonts w:ascii="Times New Roman" w:cs="Times New Roman" w:eastAsia="Times New Roman" w:hAnsi="Times New Roman"/>
          <w:sz w:val="33"/>
          <w:szCs w:val="33"/>
          <w:color w:val="0000FF"/>
          <w:vertAlign w:val="subscript"/>
        </w:rPr>
        <w:t>06/19/2026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6839" TargetMode="External"/><Relationship Id="rId14" Type="http://schemas.openxmlformats.org/officeDocument/2006/relationships/hyperlink" Target="http://www.sec.gov/cgi-bin/browse-edgar?action=getcompany&amp;CIK=0000008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2026-06-22T16:45:40Z</dcterms:created>
  <dcterms:modified xsi:type="dcterms:W3CDTF">2026-06-22T16:45:40Z</dcterms:modified>
</cp:coreProperties>
</file>