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GALLAGHER PHILIP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AVNET,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2211 SOUTH 47TH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AVNET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2"/>
        <w:gridCol w:w="903"/>
        <w:gridCol w:w="773"/>
        <w:gridCol w:w="599"/>
        <w:gridCol w:w="344"/>
        <w:gridCol w:w="1051"/>
        <w:gridCol w:w="441"/>
        <w:gridCol w:w="604"/>
        <w:gridCol w:w="1174"/>
        <w:gridCol w:w="981"/>
        <w:gridCol w:w="109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120,991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289,914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209,531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Gallagher Family Trust</w:t>
            </w:r>
          </w:p>
        </w:tc>
      </w:tr>
    </w:tbl>
    <w:tbl>
      <w:tblPr>
        <w:tblW w:w="1212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2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11/16/2030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150,048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39.62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08/22/2031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194,252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194,252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restricted stock units and performance stock units earned under long-term incentive plans.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170,884 unvested restricted stock units and 73,189 unvested performance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vested in four equal annual installments beginning on the first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Darrel S. Jackson,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6412" TargetMode="External"/><Relationship Id="rId5" Type="http://schemas.openxmlformats.org/officeDocument/2006/relationships/hyperlink" Target="http://www.sec.gov/cgi-bin/browse-edgar?action=getcompany&amp;CIK=0000008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3543</Characters>
  <CharactersWithSpaces>4102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