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MADDOCK ERNEST E</w:t>
              </w:r>
            </w:hyperlink>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Borders>
              <w:bottom w:val="single" w:sz="8" w:color="0000EE"/>
            </w:tcBorders>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AVNET, INC.</w:t>
            </w:r>
          </w:p>
        </w:tc>
        <w:tc>
          <w:tcPr>
            <w:tcW w:w="15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2211 SOUTH 47TH STREET</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85034</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62</w:t>
            </w:r>
            <w:r>
              <w:rPr>
                <w:rFonts w:ascii="Times New Roman" w:cs="Times New Roman" w:eastAsia="Times New Roman" w:hAnsi="Times New Roman"/>
                <w:sz w:val="11"/>
                <w:szCs w:val="11"/>
                <w:color w:val="008000"/>
              </w:rPr>
              <w:t>(2)</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90.91</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16,290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("PSU") equals one share of the Issuer's common stock, and will be settled in the Issuer's common stock after the reporting person leaves the Issuer's Board or upon change of control of the Issuer.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PSUs acquired as a result of the quarterly dividend.</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Darrel S. Jackson, Attorney- </w:t>
      </w:r>
      <w:r>
        <w:rPr>
          <w:rFonts w:ascii="Times New Roman" w:cs="Times New Roman" w:eastAsia="Times New Roman" w:hAnsi="Times New Roman"/>
          <w:sz w:val="33"/>
          <w:szCs w:val="33"/>
          <w:color w:val="0000FF"/>
          <w:vertAlign w:val="subscript"/>
        </w:rPr>
        <w:t>06/19/2026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9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7050" TargetMode="External"/><Relationship Id="rId14" Type="http://schemas.openxmlformats.org/officeDocument/2006/relationships/hyperlink" Target="http://www.sec.gov/cgi-bin/browse-edgar?action=getcompany&amp;CIK=0000008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2026-06-22T16:48:37Z</dcterms:created>
  <dcterms:modified xsi:type="dcterms:W3CDTF">2026-06-22T16:48:37Z</dcterms:modified>
</cp:coreProperties>
</file>