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4,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AVNET,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35" w:right="259" w:bottom="1440" w:gutter="0" w:footer="0" w:header="0"/>
        </w:sectPr>
      </w:pPr>
    </w:p>
    <w:p>
      <w:pPr>
        <w:spacing w:after="0" w:line="205"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1-4224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11-1890605</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535"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80"/>
        <w:spacing w:after="0"/>
        <w:rPr>
          <w:sz w:val="20"/>
          <w:szCs w:val="20"/>
          <w:color w:val="auto"/>
        </w:rPr>
      </w:pPr>
      <w:r>
        <w:rPr>
          <w:rFonts w:ascii="Arial" w:cs="Arial" w:eastAsia="Arial" w:hAnsi="Arial"/>
          <w:sz w:val="18"/>
          <w:szCs w:val="18"/>
          <w:b w:val="1"/>
          <w:bCs w:val="1"/>
          <w:color w:val="auto"/>
        </w:rPr>
        <w:t>85034</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500" w:space="720"/>
            <w:col w:w="3180"/>
          </w:cols>
          <w:pgMar w:left="240" w:top="535" w:right="25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(480) 643-2000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or to be registered pursuant to Section 12(b) of the Securities Exchange Act of 1934:</w:t>
      </w:r>
    </w:p>
    <w:p>
      <w:pPr>
        <w:spacing w:after="0" w:line="208"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Trading Symbol</w:t>
            </w:r>
          </w:p>
        </w:tc>
        <w:tc>
          <w:tcPr>
            <w:tcW w:w="412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88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Common stock, par value $1.00 per share</w:t>
            </w:r>
          </w:p>
        </w:tc>
        <w:tc>
          <w:tcPr>
            <w:tcW w:w="880" w:type="dxa"/>
            <w:vAlign w:val="bottom"/>
          </w:tcPr>
          <w:p>
            <w:pPr>
              <w:spacing w:after="0"/>
              <w:rPr>
                <w:sz w:val="20"/>
                <w:szCs w:val="20"/>
                <w:color w:val="auto"/>
              </w:rPr>
            </w:pPr>
          </w:p>
        </w:tc>
        <w:tc>
          <w:tcPr>
            <w:tcW w:w="2040" w:type="dxa"/>
            <w:vAlign w:val="bottom"/>
            <w:gridSpan w:val="2"/>
          </w:tcPr>
          <w:p>
            <w:pPr>
              <w:jc w:val="center"/>
              <w:ind w:right="780"/>
              <w:spacing w:after="0"/>
              <w:rPr>
                <w:sz w:val="20"/>
                <w:szCs w:val="20"/>
                <w:color w:val="auto"/>
              </w:rPr>
            </w:pPr>
            <w:r>
              <w:rPr>
                <w:rFonts w:ascii="Arial" w:cs="Arial" w:eastAsia="Arial" w:hAnsi="Arial"/>
                <w:sz w:val="18"/>
                <w:szCs w:val="18"/>
                <w:color w:val="auto"/>
                <w:w w:val="96"/>
              </w:rPr>
              <w:t>AVT</w:t>
            </w:r>
          </w:p>
        </w:tc>
        <w:tc>
          <w:tcPr>
            <w:tcW w:w="78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 2019, Texas Instruments Incorporated (“TI”) notified Avnet, Inc. (the “Company”) that, due to the evolution of TI's strategy, TI plans to end its distribution relationship with the Company by December 31, 2020. TI products accounted for approximately 10% of the Company's sales during fiscal 2019. The Company will continue to pursue opportunities to support its current and future customers, reduce operating costs, and further strengthen its current and future supplier partnerships.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20"/>
                <w:szCs w:val="20"/>
                <w:color w:val="auto"/>
              </w:rPr>
            </w:pPr>
            <w:r>
              <w:rPr>
                <w:rFonts w:ascii="Arial" w:cs="Arial" w:eastAsia="Arial" w:hAnsi="Arial"/>
                <w:sz w:val="18"/>
                <w:szCs w:val="18"/>
                <w:color w:val="auto"/>
              </w:rPr>
              <w:t>Date: October 4, 2019</w:t>
            </w: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AVNET, INC.</w:t>
            </w:r>
          </w:p>
        </w:tc>
      </w:tr>
      <w:tr>
        <w:trPr>
          <w:trHeight w:val="230"/>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4"/>
                <w:szCs w:val="24"/>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Thomas Liguori</w:t>
            </w:r>
          </w:p>
        </w:tc>
      </w:tr>
      <w:tr>
        <w:trPr>
          <w:trHeight w:val="222"/>
        </w:trPr>
        <w:tc>
          <w:tcPr>
            <w:tcW w:w="3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Thomas Liguori</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675"/>
        </w:trPr>
        <w:tc>
          <w:tcPr>
            <w:tcW w:w="36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w:t>
            </w:r>
          </w:p>
        </w:tc>
        <w:tc>
          <w:tcPr>
            <w:tcW w:w="5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2019-12-04T19:47:16Z</dcterms:created>
  <dcterms:modified xsi:type="dcterms:W3CDTF">2019-12-04T19:47:16Z</dcterms:modified>
</cp:coreProperties>
</file>