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221d4_8k.htm"/>
      <w:bookmarkStart w:id="1" w:name="kstm2623221d4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1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br/>
        <w:t xml:space="preserve">PURSUANT TO SECTION 13 OR 15(d) </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E_edei--DocumentPeriodEndDate_c202"/>
      <w:bookmarkEnd w:id="3"/>
      <w:r>
        <w:rPr>
          <w:rFonts w:ascii="Times New Roman;Times;Serif" w:hAnsi="Times New Roman;Times;Serif"/>
          <w:b/>
          <w:i w:val="false"/>
          <w:caps w:val="false"/>
          <w:smallCaps w:val="false"/>
          <w:sz w:val="20"/>
        </w:rPr>
        <w:t>August 19,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AVNET,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0" w:type="dxa"/>
          <w:right w:w="0" w:type="dxa"/>
        </w:tblCellMar>
      </w:tblPr>
      <w:tblGrid>
        <w:gridCol w:w="2720"/>
        <w:gridCol w:w="60"/>
        <w:gridCol w:w="1385"/>
        <w:gridCol w:w="60"/>
        <w:gridCol w:w="2375"/>
      </w:tblGrid>
      <w:tr>
        <w:trPr/>
        <w:tc>
          <w:tcPr>
            <w:tcW w:w="2720" w:type="dxa"/>
            <w:tcBorders/>
            <w:vAlign w:val="center"/>
          </w:tcPr>
          <w:p>
            <w:pPr>
              <w:pStyle w:val="TableContents"/>
              <w:bidi w:val="0"/>
              <w:spacing w:before="0" w:after="283"/>
              <w:jc w:val="center"/>
              <w:rPr>
                <w:b/>
              </w:rPr>
            </w:pPr>
            <w:bookmarkStart w:id="5" w:name="xdx_905_edei--EntityIncorporationStateCo"/>
            <w:bookmarkEnd w:id="5"/>
            <w:r>
              <w:rPr>
                <w:b/>
              </w:rPr>
              <w:t>New York</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bookmarkStart w:id="6" w:name="xdx_90D_edei--EntityFileNumber_c20260819"/>
            <w:bookmarkEnd w:id="6"/>
            <w:r>
              <w:rPr>
                <w:b/>
              </w:rPr>
              <w:t>1-4224</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bookmarkStart w:id="7" w:name="xdx_90A_edei--EntityTaxIdentificationNum"/>
            <w:bookmarkEnd w:id="7"/>
            <w:r>
              <w:rPr>
                <w:b/>
              </w:rPr>
              <w:t>11-1890605</w:t>
            </w:r>
          </w:p>
        </w:tc>
      </w:tr>
      <w:tr>
        <w:trPr/>
        <w:tc>
          <w:tcPr>
            <w:tcW w:w="2720" w:type="dxa"/>
            <w:tcBorders/>
            <w:vAlign w:val="center"/>
          </w:tcPr>
          <w:p>
            <w:pPr>
              <w:pStyle w:val="TableContents"/>
              <w:bidi w:val="0"/>
              <w:spacing w:before="0" w:after="283"/>
              <w:jc w:val="center"/>
              <w:rPr>
                <w:b/>
              </w:rPr>
            </w:pPr>
            <w:r>
              <w:rPr>
                <w:b/>
              </w:rPr>
              <w:t>(State or other jurisdiction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r>
          </w:p>
        </w:tc>
      </w:tr>
      <w:tr>
        <w:trPr/>
        <w:tc>
          <w:tcPr>
            <w:tcW w:w="2720" w:type="dxa"/>
            <w:tcBorders/>
            <w:vAlign w:val="center"/>
          </w:tcPr>
          <w:p>
            <w:pPr>
              <w:pStyle w:val="TableContents"/>
              <w:bidi w:val="0"/>
              <w:spacing w:before="0" w:after="283"/>
              <w:jc w:val="center"/>
              <w:rPr>
                <w:b/>
              </w:rPr>
            </w:pP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4235"/>
        <w:gridCol w:w="60"/>
        <w:gridCol w:w="1145"/>
      </w:tblGrid>
      <w:tr>
        <w:trPr/>
        <w:tc>
          <w:tcPr>
            <w:tcW w:w="4235" w:type="dxa"/>
            <w:tcBorders/>
            <w:vAlign w:val="center"/>
          </w:tcPr>
          <w:p>
            <w:pPr>
              <w:pStyle w:val="TableContents"/>
              <w:bidi w:val="0"/>
              <w:spacing w:before="0" w:after="283"/>
              <w:jc w:val="center"/>
              <w:rPr>
                <w:b/>
              </w:rPr>
            </w:pPr>
            <w:bookmarkStart w:id="8" w:name="xdx_90E_edei--EntityAddressAddressLine1_"/>
            <w:bookmarkEnd w:id="8"/>
            <w:r>
              <w:rPr>
                <w:b/>
              </w:rPr>
              <w:t xml:space="preserve">2211 South 47th Street, </w:t>
            </w:r>
            <w:bookmarkStart w:id="9" w:name="xdx_90E_edei--EntityAddressCityOrTown_c2"/>
            <w:bookmarkEnd w:id="9"/>
            <w:r>
              <w:rPr>
                <w:b/>
              </w:rPr>
              <w:t xml:space="preserve">Phoenix, </w:t>
            </w:r>
            <w:bookmarkStart w:id="10" w:name="xdx_906_edei--EntityAddressStateOrProvin"/>
            <w:bookmarkEnd w:id="10"/>
            <w:r>
              <w:rPr>
                <w:b/>
              </w:rPr>
              <w:t>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bookmarkStart w:id="11" w:name="xdx_902_edei--EntityAddressPostalZipCode"/>
            <w:bookmarkEnd w:id="11"/>
            <w:r>
              <w:rPr>
                <w:b/>
              </w:rPr>
              <w:t>85034</w:t>
            </w:r>
          </w:p>
        </w:tc>
      </w:tr>
      <w:tr>
        <w:trPr/>
        <w:tc>
          <w:tcPr>
            <w:tcW w:w="42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60819__20"/>
      <w:bookmarkEnd w:id="12"/>
      <w:r>
        <w:rPr>
          <w:rFonts w:ascii="Times New Roman;Times;Serif" w:hAnsi="Times New Roman;Times;Serif"/>
          <w:b/>
          <w:i w:val="false"/>
          <w:caps w:val="false"/>
          <w:smallCaps w:val="false"/>
          <w:sz w:val="20"/>
        </w:rPr>
        <w:t xml:space="preserve">480) </w:t>
      </w:r>
      <w:bookmarkStart w:id="13" w:name="xdx_90B_edei--LocalPhoneNumber_c20260819"/>
      <w:bookmarkEnd w:id="13"/>
      <w:r>
        <w:rPr>
          <w:rFonts w:ascii="Times New Roman;Times;Serif" w:hAnsi="Times New Roman;Times;Serif"/>
          <w:b/>
          <w:i w:val="false"/>
          <w:caps w:val="false"/>
          <w:smallCaps w:val="false"/>
          <w:sz w:val="20"/>
        </w:rPr>
        <w:t>643-2000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and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4_edei--SolicitingMaterial_c202608"/>
            <w:bookmarkEnd w:id="15"/>
            <w:r>
              <w:rPr/>
              <w:t>☐</w:t>
            </w:r>
          </w:p>
        </w:tc>
        <w:tc>
          <w:tcPr>
            <w:tcW w:w="9960" w:type="dxa"/>
            <w:tcBorders/>
            <w:vAlign w:val="center"/>
          </w:tcPr>
          <w:p>
            <w:pPr>
              <w:pStyle w:val="TableContents"/>
              <w:bidi w:val="0"/>
              <w:spacing w:before="0" w:after="283"/>
              <w:jc w:val="left"/>
              <w:rPr/>
            </w:pPr>
            <w:r>
              <w:rPr/>
              <w:t>Solicitation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7890" w:type="dxa"/>
        <w:jc w:val="left"/>
        <w:tblInd w:w="0" w:type="dxa"/>
        <w:tblLayout w:type="fixed"/>
        <w:tblCellMar>
          <w:top w:w="0" w:type="dxa"/>
          <w:left w:w="0" w:type="dxa"/>
          <w:bottom w:w="28" w:type="dxa"/>
          <w:right w:w="0" w:type="dxa"/>
        </w:tblCellMar>
      </w:tblPr>
      <w:tblGrid>
        <w:gridCol w:w="4025"/>
        <w:gridCol w:w="60"/>
        <w:gridCol w:w="920"/>
        <w:gridCol w:w="60"/>
        <w:gridCol w:w="2825"/>
      </w:tblGrid>
      <w:tr>
        <w:trPr/>
        <w:tc>
          <w:tcPr>
            <w:tcW w:w="402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rPr>
            </w:pPr>
            <w:r>
              <w:rPr>
                <w:b/>
              </w:rPr>
              <w:t xml:space="preserve">Trading </w:t>
              <w:br/>
              <w:t>Symbol</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025" w:type="dxa"/>
            <w:tcBorders/>
            <w:tcMar>
              <w:bottom w:w="0" w:type="dxa"/>
            </w:tcMar>
            <w:vAlign w:val="center"/>
          </w:tcPr>
          <w:p>
            <w:pPr>
              <w:pStyle w:val="TableContents"/>
              <w:bidi w:val="0"/>
              <w:spacing w:before="0" w:after="283"/>
              <w:jc w:val="center"/>
              <w:rPr/>
            </w:pPr>
            <w:bookmarkStart w:id="18" w:name="xdx_90B_edei--Security12bTitle_c20260819"/>
            <w:bookmarkEnd w:id="18"/>
            <w:r>
              <w:rPr/>
              <w:t>Common Stock, par value $1.00 per share</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pPr>
            <w:bookmarkStart w:id="19" w:name="xdx_90B_edei--TradingSymbol_c20260819__2"/>
            <w:bookmarkEnd w:id="19"/>
            <w:r>
              <w:rPr/>
              <w:t>AVT</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bookmarkStart w:id="20" w:name="xdx_90D_edei--SecurityExchangeName_c2026"/>
            <w:bookmarkEnd w:id="20"/>
            <w:r>
              <w:rPr/>
              <w:t>Nasdaq Global Select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875"/>
        <w:gridCol w:w="123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2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Avnet, Inc. (“Avnet” or the “Company”) priced a public offering of $550 million in aggregate principal amount of 5.650% Notes due 2031 (the “Notes”). Avnet expects to use the net proceeds from the offering to repay amounts owed under the Company’s senior unsecured revolving credit facility and the Company’s accounts receivable securitization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made pursuant to an Underwriting Agreement, dated August 19, 2026, by and among the Company and the representatives of the several underwriters listed therein, in an offering registered on a Registration Statement on Form S-3 (File No. 333-298324), which was filed with the Securities and Exchange Commission on August 14, 2026. The Notes are being issued pursuant to an Indenture, dated as of June 22, 2010, by and between the Company and Computershare Trust Company, National Association, as successor to Wells Fargo Bank, National Association, as trustee, and an Officers’ Certificate (which includes the form of Note as an exhibit) setting forth the terms of the Notes (the “Officers’ Certificate”). Copies of the Underwriting Agreement and the form of Officers’ Certificate are filed herewith as Exhibit 1.1 and Exhibit 4.1 respectively, and are incorporated herein by reference. The Notes will accrue interest from the date of their issuance at a rate of 5.650%. The Notes will rank equally with all of the Company’s other existing and future unsecured obligations. The offering of the Notes is expected to close on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Underwriting Agreement and the Notes is qualified in its entirety by reference to the Underwriting Agreement and the forms of Officers’ Certificate and the Notes filed as exhibits hereto, which exhibits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opinion of Michael R. McCoy, Senior Vice President, General Counsel and Chief Legal Officer of the Company, relating to the issuance of the Notes, is filed herewith as Exhibit 5.1.</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60"/>
        <w:gridCol w:w="830"/>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are attached as exhibits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vAlign w:val="center"/>
          </w:tcPr>
          <w:p>
            <w:pPr>
              <w:pStyle w:val="TableContents"/>
              <w:bidi w:val="0"/>
              <w:spacing w:before="0" w:after="283"/>
              <w:jc w:val="center"/>
              <w:rPr>
                <w:b/>
              </w:rPr>
            </w:pPr>
            <w:r>
              <w:rPr>
                <w:b/>
              </w:rPr>
              <w:t>Exhibit</w:t>
              <w:br/>
              <w:t>No.</w:t>
            </w:r>
          </w:p>
        </w:tc>
        <w:tc>
          <w:tcPr>
            <w:tcW w:w="94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85"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3221d4_ex1-1.htm">
              <w:r>
                <w:rPr>
                  <w:rStyle w:val="InternetLink"/>
                  <w:rFonts w:ascii="Times New Roman;Times;Serif" w:hAnsi="Times New Roman;Times;Serif"/>
                  <w:sz w:val="20"/>
                </w:rPr>
                <w:t>1.1</w:t>
              </w:r>
            </w:hyperlink>
          </w:p>
        </w:tc>
        <w:tc>
          <w:tcPr>
            <w:tcW w:w="9420" w:type="dxa"/>
            <w:tcBorders/>
            <w:vAlign w:val="center"/>
          </w:tcPr>
          <w:p>
            <w:pPr>
              <w:pStyle w:val="TableContents"/>
              <w:bidi w:val="0"/>
              <w:spacing w:before="0" w:after="283"/>
              <w:jc w:val="left"/>
              <w:rPr/>
            </w:pPr>
            <w:hyperlink w:anchor="tm2623221d4_ex1-1.htm">
              <w:r>
                <w:rPr>
                  <w:rStyle w:val="InternetLink"/>
                  <w:rFonts w:ascii="Times New Roman;Times;Serif" w:hAnsi="Times New Roman;Times;Serif"/>
                  <w:sz w:val="20"/>
                </w:rPr>
                <w:t xml:space="preserve">Underwriting Agreement, dated as of August 19, 2026, by and among Avnet, Inc. and the representatives of the several underwriters listed therein. </w:t>
              </w:r>
            </w:hyperlink>
          </w:p>
        </w:tc>
      </w:tr>
      <w:tr>
        <w:trPr/>
        <w:tc>
          <w:tcPr>
            <w:tcW w:w="785"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3221d4_ex4-1.htm">
              <w:r>
                <w:rPr>
                  <w:rStyle w:val="InternetLink"/>
                  <w:rFonts w:ascii="Times New Roman;Times;Serif" w:hAnsi="Times New Roman;Times;Serif"/>
                  <w:sz w:val="20"/>
                </w:rPr>
                <w:t>4.1</w:t>
              </w:r>
            </w:hyperlink>
          </w:p>
        </w:tc>
        <w:tc>
          <w:tcPr>
            <w:tcW w:w="9420" w:type="dxa"/>
            <w:tcBorders/>
            <w:vAlign w:val="center"/>
          </w:tcPr>
          <w:p>
            <w:pPr>
              <w:pStyle w:val="TableContents"/>
              <w:bidi w:val="0"/>
              <w:spacing w:before="0" w:after="283"/>
              <w:jc w:val="left"/>
              <w:rPr/>
            </w:pPr>
            <w:hyperlink w:anchor="tm2623221d4_ex4-1.htm">
              <w:r>
                <w:rPr>
                  <w:rStyle w:val="InternetLink"/>
                  <w:rFonts w:ascii="Times New Roman;Times;Serif" w:hAnsi="Times New Roman;Times;Serif"/>
                  <w:sz w:val="20"/>
                </w:rPr>
                <w:t xml:space="preserve">Form of Officers’ Certificate setting forth the terms of the 5.650% Notes due 2031. </w:t>
              </w:r>
            </w:hyperlink>
          </w:p>
        </w:tc>
      </w:tr>
      <w:tr>
        <w:trPr/>
        <w:tc>
          <w:tcPr>
            <w:tcW w:w="785"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3221d4_ex4-1.htm">
              <w:r>
                <w:rPr>
                  <w:rStyle w:val="InternetLink"/>
                  <w:rFonts w:ascii="Times New Roman;Times;Serif" w:hAnsi="Times New Roman;Times;Serif"/>
                  <w:sz w:val="20"/>
                </w:rPr>
                <w:t>4.2</w:t>
              </w:r>
            </w:hyperlink>
          </w:p>
        </w:tc>
        <w:tc>
          <w:tcPr>
            <w:tcW w:w="9420" w:type="dxa"/>
            <w:tcBorders/>
            <w:vAlign w:val="center"/>
          </w:tcPr>
          <w:p>
            <w:pPr>
              <w:pStyle w:val="TableContents"/>
              <w:bidi w:val="0"/>
              <w:spacing w:before="0" w:after="283"/>
              <w:jc w:val="left"/>
              <w:rPr/>
            </w:pPr>
            <w:hyperlink w:anchor="tm2623221d4_ex4-1.htm">
              <w:r>
                <w:rPr>
                  <w:rStyle w:val="InternetLink"/>
                  <w:rFonts w:ascii="Times New Roman;Times;Serif" w:hAnsi="Times New Roman;Times;Serif"/>
                  <w:sz w:val="20"/>
                </w:rPr>
                <w:t xml:space="preserve">Form of 5.650% Notes due 2031 (included as Exhibit A to Exhibit 4.1). </w:t>
              </w:r>
            </w:hyperlink>
          </w:p>
        </w:tc>
      </w:tr>
      <w:tr>
        <w:trPr/>
        <w:tc>
          <w:tcPr>
            <w:tcW w:w="785"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3221d4_ex5-1.htm">
              <w:r>
                <w:rPr>
                  <w:rStyle w:val="InternetLink"/>
                  <w:rFonts w:ascii="Times New Roman;Times;Serif" w:hAnsi="Times New Roman;Times;Serif"/>
                  <w:sz w:val="20"/>
                </w:rPr>
                <w:t>5.1</w:t>
              </w:r>
            </w:hyperlink>
          </w:p>
        </w:tc>
        <w:tc>
          <w:tcPr>
            <w:tcW w:w="9420" w:type="dxa"/>
            <w:tcBorders/>
            <w:vAlign w:val="center"/>
          </w:tcPr>
          <w:p>
            <w:pPr>
              <w:pStyle w:val="TableContents"/>
              <w:bidi w:val="0"/>
              <w:spacing w:before="0" w:after="283"/>
              <w:jc w:val="left"/>
              <w:rPr/>
            </w:pPr>
            <w:hyperlink w:anchor="tm2623221d4_ex5-1.htm">
              <w:r>
                <w:rPr>
                  <w:rStyle w:val="InternetLink"/>
                  <w:rFonts w:ascii="Times New Roman;Times;Serif" w:hAnsi="Times New Roman;Times;Serif"/>
                  <w:sz w:val="20"/>
                </w:rPr>
                <w:t xml:space="preserve">Opinion of Michael R. McCoy, Esq. with respect to the legality of the 5.650% Notes due 2031. </w:t>
              </w:r>
            </w:hyperlink>
          </w:p>
        </w:tc>
      </w:tr>
      <w:tr>
        <w:trPr/>
        <w:tc>
          <w:tcPr>
            <w:tcW w:w="785"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3221d4_ex5-1.htm">
              <w:r>
                <w:rPr>
                  <w:rStyle w:val="InternetLink"/>
                  <w:rFonts w:ascii="Times New Roman;Times;Serif" w:hAnsi="Times New Roman;Times;Serif"/>
                  <w:sz w:val="20"/>
                </w:rPr>
                <w:t>23.1</w:t>
              </w:r>
            </w:hyperlink>
          </w:p>
        </w:tc>
        <w:tc>
          <w:tcPr>
            <w:tcW w:w="9420" w:type="dxa"/>
            <w:tcBorders/>
            <w:vAlign w:val="center"/>
          </w:tcPr>
          <w:p>
            <w:pPr>
              <w:pStyle w:val="TableContents"/>
              <w:bidi w:val="0"/>
              <w:spacing w:before="0" w:after="283"/>
              <w:jc w:val="left"/>
              <w:rPr/>
            </w:pPr>
            <w:hyperlink w:anchor="tm2623221d4_ex5-1.htm">
              <w:r>
                <w:rPr>
                  <w:rStyle w:val="InternetLink"/>
                  <w:rFonts w:ascii="Times New Roman;Times;Serif" w:hAnsi="Times New Roman;Times;Serif"/>
                  <w:sz w:val="20"/>
                </w:rPr>
                <w:t xml:space="preserve">Consent of Michael R. McCoy, Esq. (included in Exhibit 5.1). </w:t>
              </w:r>
            </w:hyperlink>
          </w:p>
        </w:tc>
      </w:tr>
      <w:tr>
        <w:trPr/>
        <w:tc>
          <w:tcPr>
            <w:tcW w:w="785"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21, 2026</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545"/>
        <w:gridCol w:w="2345"/>
      </w:tblGrid>
      <w:tr>
        <w:trPr/>
        <w:tc>
          <w:tcPr>
            <w:tcW w:w="7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AVNET,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pPr>
            <w:r>
              <w:rPr/>
              <w:t>/s/ Kenneth A. Jacobson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Kenneth A. Jacobson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jc w:val="left"/>
        <w:rPr/>
      </w:pPr>
      <w:bookmarkStart w:id="22" w:name="tm2623221d4_ex1-1.htm"/>
      <w:bookmarkStart w:id="23" w:name="kstm2623221d4_ex1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AVNET,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5.650%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several Underwriters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in Schedule C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br/>
        <w:t>One Bryant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Avenue of the Americas, 6th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Introduction</w:t>
      </w:r>
      <w:r>
        <w:rPr>
          <w:rFonts w:ascii="Times New Roman;Times;Serif" w:hAnsi="Times New Roman;Times;Serif"/>
          <w:b w:val="false"/>
          <w:i w:val="false"/>
          <w:caps w:val="false"/>
          <w:smallCaps w:val="false"/>
          <w:sz w:val="20"/>
        </w:rPr>
        <w:t>. Avnet, Inc., a New York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to issue and sell to the several Underwriters named in Schedule C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$550,000,000 principal amount of its 5.650% Notes due 2031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registered under the registration statement referred to in Section 2(a). The Securities will be issued under an indenture between the Company and Computershare Trust Company, National Association, as successor trustee to Wells Fargo Bank, National Association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dated as of June 22, 2010 (such indenture as amended or supplemented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The following terms have the following meanings in this Underwriting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as of any time, the Registration Statement on Form S-3 (No. 333-298324), as amended from time to time (including any post effective amendments thereto), relating to the Securities in the form then filed with the Securities and Exchange Commission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including any document incorporated by reference therein and any prospectus or prospectus supplement relating to the Securities deemed or retroactively deemed to be a part thereof that has not been superseded or modified.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without reference to a time means the Registration Statement as of the time of the first contract of sale for the Securities, which time shall be considered the “effective date” of the Registration Statement. For purposes of this definition, information contained in a form of prospectus or prospectus supplement that is deemed retroactively to be a part of the Registration Statement pursuant to Rule 430B shall be considered to be included in the Registration Statement as of the time specified in Rule 430B. References herein to “Rules” are to the specified rules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Statutory Prospectus</w:t>
      </w:r>
      <w:r>
        <w:rPr>
          <w:rFonts w:ascii="Times New Roman;Times;Serif" w:hAnsi="Times New Roman;Times;Serif"/>
          <w:b w:val="false"/>
          <w:i w:val="false"/>
          <w:caps w:val="false"/>
          <w:smallCaps w:val="false"/>
          <w:sz w:val="20"/>
        </w:rPr>
        <w:t>” means, as of any time, the prospectus relating to the Securities that is included in the Registration Statement immediately prior to that time, including any document incorporated by reference therein and any base prospectus or prospectus supplement relating to the Securities deemed to be a part thereof that has not been superseded or modified. For purposes of this definition, information contained in a form of prospectus (including a prospectus supplement) that is deemed retroactively to be a part of the Registration Statement pursuant to Rule 430B or 430C shall be considered to be included in the Statutory Prospectus only as of the actual time that form of prospectus (including a prospectus supplement) is filed with the Commission pursuant to Rule 424(b).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means the Statutory Prospectus that discloses the public offering price and other final terms of the Securities and otherwise satisfies Section 10(a)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Securities in the form filed or required to be filed with the Commission or, if not required to be filed, in the form retained in the Company’s records pursuant to Rule 433(g).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General Use Issuer Free Writing Prospectus</w:t>
      </w:r>
      <w:r>
        <w:rPr>
          <w:rFonts w:ascii="Times New Roman;Times;Serif" w:hAnsi="Times New Roman;Times;Serif"/>
          <w:b w:val="false"/>
          <w:i w:val="false"/>
          <w:caps w:val="false"/>
          <w:smallCaps w:val="false"/>
          <w:sz w:val="20"/>
        </w:rPr>
        <w:t>” means an Issuer Free Writing Prospectus that is intended for general distribution to prospective investors, if any, as evidenced by its being specified on Schedule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Limited Use Issuer Free Writing Prospectus</w:t>
      </w:r>
      <w:r>
        <w:rPr>
          <w:rFonts w:ascii="Times New Roman;Times;Serif" w:hAnsi="Times New Roman;Times;Serif"/>
          <w:b w:val="false"/>
          <w:i w:val="false"/>
          <w:caps w:val="false"/>
          <w:smallCaps w:val="false"/>
          <w:sz w:val="20"/>
        </w:rPr>
        <w:t>” means any Issuer Free Writing Prospectus that is not a General Use Issuer Free Writing Prospectus, if any, including but not limited to any such Issuer Free Writing Prospectus specified on Schedule B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2:00 p.m., New York City time,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any subsidiary of the Company that would be a “significant subsidiary” as defined in Rule 1-02(w) of Regulation S-X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set forth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day on which banks are permitted or required to be closed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Representations, Warranties and Agreements of the Company</w:t>
      </w:r>
      <w:r>
        <w:rPr>
          <w:rFonts w:ascii="Times New Roman;Times;Serif" w:hAnsi="Times New Roman;Times;Serif"/>
          <w:b w:val="false"/>
          <w:i w:val="false"/>
          <w:caps w:val="false"/>
          <w:smallCaps w:val="false"/>
          <w:sz w:val="20"/>
        </w:rPr>
        <w:t>. The Company represents and warrants to, and agrees with, the several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At the original effectiveness of the Registration Statement, (ii) at the time the Company or any person acting on its behalf (within the meaning of Rule 163(c) solely for purposes of this clause) made any offer relating to the Securities in reliance on the exemption of Rule 163, (iii) at the date of this Agreement and (iv) at the Applicable Time, the Company was and is a “well-known seasoned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permitted to use Form S-3 under the Act and has filed the Registration Statement on such form not earlier than three years prior to the date of this Agreement, which has become effective, for the registration under the Act of specified securities of the Company, including the Securities; and no notice of objection of the Commission to the use of such registration statement pursuant to Rule 401(g)(2) has been received by the Company. The Registration Statement meets the requirements set forth in Rule 415(a)(1)(x) and complies in all other material respects with such Rule and as of the applicable effective date of the Registration Statement, the Registration Statement did not and will not contain any untrue statement of a material fact or omit to state a material fact required to be stated therein or necessary to make the statements therein not misleading. The preceding sentence does not apply to statements in or omissions from the Registration Statement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Registration Statement, the Statutory Prospectus, the Prospectus and the Indenture comply in all material respects with the applicable requirements of the Act, the Trust Indenture Act of 1939, as amended (the “</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and the Exchange Act and the respective rules and regulations thereunder. The Indenture has been duly qualified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time of the filing of the Registration Statement, at the earliest time after the filing of the Registration Statement that the Company or another offering participant made a “bona fide offer” (within the meaning of Rule 164(h)(2)) of the Securities and as of the date hereof, the Company was not and is not an “ineligible issuer” (as defined in Rule 405); and in the preceding three years, neither the Company nor any of its Significant Subsidiaries nor, to the knowledge of the Company, any of its other subsidiaries has been convicted of a felony or misdemeanor or has been made the subject of a judicial or administrative decree or order, each as described in Rule 405, and the Company has not been the subject of a bankruptcy petition or insolvency or similar proceeding or had a registration statement be the subject of a proceeding under Section 8 of the Act in connection with an offering, as described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At the time of filing, the Statutory Prospectus did not contain, (ii) as of the Applicable Time and the Closing Date (as defined herein), neither (1) the General Use Issuer Free Writing Prospectus(es) issued at or prior to the Applicable Time (together with the Statutory Prospectus, the “</w:t>
      </w:r>
      <w:r>
        <w:rPr>
          <w:rFonts w:ascii="Times New Roman;Times;Serif" w:hAnsi="Times New Roman;Times;Serif"/>
          <w:b/>
          <w:i w:val="false"/>
          <w:caps w:val="false"/>
          <w:smallCaps w:val="false"/>
          <w:sz w:val="20"/>
        </w:rPr>
        <w:t>General Disclosure Package</w:t>
      </w:r>
      <w:r>
        <w:rPr>
          <w:rFonts w:ascii="Times New Roman;Times;Serif" w:hAnsi="Times New Roman;Times;Serif"/>
          <w:b w:val="false"/>
          <w:i w:val="false"/>
          <w:caps w:val="false"/>
          <w:smallCaps w:val="false"/>
          <w:sz w:val="20"/>
        </w:rPr>
        <w:t>”), nor (2) any individual Limited Use Issuer Free Writing Prospectus, when considered together with the General Disclosure Package, nor (3) any “road show” as defined in Rule 433(h) under the Act (a “road show”) when considered together with the General Disclosure Package, contained or will contain and (iii) as of the date of the Prospectus, the date of any amendment or supplement thereto and as of the Closing Date, the Prospectus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any prospectus included in the Registration Statement, any road show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Issuer Free Writing Prospectus, as of its issue date and at all subsequent times through the completion of the public offer and sale of the Securities or until any earlier date that the Company notified or notifies the Representatives as described in the next sentence, did not, does not and will not include any information that conflicted, conflicts or will conflict with the information contained in the Registration Statement. If at any time following issuance of an Issuer Free Writing Prospectus, there occurred or occurs a material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(1) the Company has promptly notified or will promptly notify the Representatives and (2) the Company has promptly amended or will promptly amend or supplement such Issuer Free Writing Prospectus to eliminate or correct such conflict,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been duly incorporated and is validly existing as a corporation in good standing under the laws of the State of New York, with power and authority (corporate and other) to own, lease and operate its properties and conduct its business as described in the General Disclosure Package and the Prospectus and to enter into and perform its obligations under, and to consummate the transactions contemplated in, this Agreement, the Indenture and the Securities (collectively, the “</w:t>
      </w:r>
      <w:r>
        <w:rPr>
          <w:rFonts w:ascii="Times New Roman;Times;Serif" w:hAnsi="Times New Roman;Times;Serif"/>
          <w:b/>
          <w:i w:val="false"/>
          <w:caps w:val="false"/>
          <w:smallCaps w:val="false"/>
          <w:sz w:val="20"/>
        </w:rPr>
        <w:t>Operative Documents</w:t>
      </w:r>
      <w:r>
        <w:rPr>
          <w:rFonts w:ascii="Times New Roman;Times;Serif" w:hAnsi="Times New Roman;Times;Serif"/>
          <w:b w:val="false"/>
          <w:i w:val="false"/>
          <w:caps w:val="false"/>
          <w:smallCaps w:val="false"/>
          <w:sz w:val="20"/>
        </w:rPr>
        <w:t>”). The Company is duly qualified to transact business as a foreign corporation and is in good standing in all other jurisdictions in which its ownership or lease of property or the conduct of its business requires such qualification, except where the failure to be so qualified would not reasonably be expected to, individually or in the aggregate, result in a material adverse effect on (A) the condition (financial or other), business, properties or results of operations of the Company and its subsidiaries considered as one enterprise, or (B) on the ability of the Company to enter into and perform its obligations under, or consummate the transactions contemplated in, the Operative Documents (each,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Significant Subsidiary has been duly organized and is validly existing and in good standing under the laws of the jurisdiction of its organization, with power and authority (corporate and other) to own its properties and conduct its business as described in the General Disclosure Package and the Prospectus; each Significant Subsidiary is duly qualified to transact business as a foreign corporation and is in good standing in all other jurisdictions in which its ownership or lease of property or the conduct of its business requires such qualification, except where the failure to be so qualified would not reasonably be expected to, individually or in the aggregate, result in a Material Adverse Effect. Except as described in the Registration Statement, the General Disclosure Package and the Prospectus all of the issued and outstanding shares of capital stock of or other equity interests in each Significant Subsidiary have been duly authorized and validly issued, are fully paid and non-assessable and are owned by the Company, directly or through subsidiaries and are owned free from liens, encumbrances and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outstanding shares of capital stock of the Company have been duly authorized and validly issued, fully paid and are non-assessable and free of statutory and contractual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consent, approval, authorization, or order of, or filing with, any governmental agency or body or any court is required to be obtained or made by the Company for the consummation of the transactions contemplated by this Agreement in connection with the sale of the Securities, except such as have been obtained and made under the Act and such as may be required under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execution, delivery and performance of this Agreement, the Indenture, the Officers’ Certificate (as defined herein) and the issuance and sale of the Securities and the consummation of the transactions herein and therein contemplated will not result in a breach or violation of any of the terms and provisions of, or constitute a default under, (1) any statute, any rule, regulation or order of any governmental agency or body or any court (domestic or foreign) having jurisdiction over the Company or any subsidiary of the Company or any of their properties, (2) any agreement or instrument to which the Company or any such subsidiary is a party or by which the Company or any such subsidiary is bound or to which any of the properties of the Company or any such subsidiary is subject, or (3) the charter or by-laws of the Company or any such subsidiary, except, in the case of clauses (1) and (2) above, for any breach, default or violation that would not reasonably be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Indenture has been duly authorized, executed and delivered by the Company and is a legal, valid and binding agreement of the Company enforceable against the Company in accordance with its terms, except as the enforceability thereof may be limited by bankruptcy, insolvency, reorganization, moratorium or similar laws affecting creditors’ rights generally, and by general principles of equity. The Officers’ Certificate establishing the terms of the Securities, to be dated as of the Closing Date (the “</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has been duly authorized by the Company and, when executed and delivered by the Company, will constitute a legal, valid and binding agreement of the Company enforceable against the Company in accordance with its terms, except as the enforceability thereof may be limited by bankruptcy, insolvency, fraudulent transfer, reorganization, moratorium or other similar laws relating to or affecting the rights and remedies of creditors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Securities have been duly authorized by the Company and when executed and delivered by the Company and paid for in accordance with this Agreement and assuming due authentication and delivery by the Trustee, will constitute legal, valid and binding obligations of the Company enforceable against the Company in accordance with their terms, except as the enforceability thereof may be limited by bankruptcy, insolvency, reorganization, moratorium or similar laws affecting creditors’ rights generally, and by general principles of equity and will be entitled to the benefits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as disclosed in the General Disclosure Package and the Prospectus, the Company and its subsidiaries have good and marketable title to all real properties and all other properties and assets owned by them, in each case free from liens, encumbrances and defects that would materially affect the value thereof or materially interfere with the use made or to be made thereof by them; and except as disclosed in the General Disclosure Package and the Prospectus, the Company and its subsidiaries hold any leased real or personal property under valid and enforceable leases with no exceptions that would materially interfere with the use made or to be made thereof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and its subsidiaries possess valid certificates, authorities or permits issued by appropriate governmental agencies or bodies necessary to conduct the business now operated by them and have not received any notice of proceedings relating to the revocation or modification of any such certificate, authority or permit that, if determined adversely to the Company or any of its subsidiaries, would reasonably be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 labor dispute with the employees of the Company or any subsidiary exists or, to the knowledge of the Company, is imminent that would reasonably be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and its subsidiaries own, possess or can acquire on reasonable terms, adequate trademarks, trade names, patents, copyrights, applications for the foregoing and rights to inventions, know-how (including trade secrets and other unpatented and/or unpatentable proprietary or confidential information, systems or procedures), customer lists, licenses and other intellectual property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necessary to conduct the business now operated by them, or presently employed by them. Except as would not reasonably be expected to, individually or in the aggregate, have a Material Adverse Effect, (i) the conduct of the business of the Company and its subsidiaries does not infringe any third party intellectual property rights, and the Company and its subsidiaries have not received any notice of infringement or conflict with asserted rights of others with respect to any of such intellectual property rights and (ii) to the Company’s knowledge, no third party is infringing on any intellectual property rights owned by the Company or its subsidiaries. The Company and its subsidiaries take commercially reasonable measures to maintain and protect their material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Except as disclosed in the General Disclosure Package and the Prospectus, neither the Company nor any of its subsidiaries (1)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(2) owns or operates any real property contaminated with any substance that is subject to any environmental laws or (3) is liable for any off-site disposal or contamination pursuant to any environmental laws, or is subject to any claim relating to any environmental laws, which violation, contamination, liability or claim would reasonably be expected to, individually or in the aggregate, have a Material Adverse Effect; and the Company is not aware of any pending investigation which might lead to such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There are no contracts or other documents that are required under the Act to be (i) filed as exhibits to the Registration Statement that are not so filed, or (ii) described in the Registration Statement, General Disclosure Package and the Prospectus that are not so filed as exhibits to the Registration Statement or described in the Registration Statement,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Except as disclosed in the General Disclosure Package and the Prospectus, there are no pending actions, suits or proceedings against or affecting the Company, any of its subsidiaries or any of their respective properties that, if determined adversely to the Company or any of its subsidiaries, would reasonably be expected to, individually or in the aggregate, have a Material Adverse Effect, or would materially and adversely affect the ability of the Company to perform its obligations under this Agreement or the Indenture or consummate the transactions contemplated hereby or thereby, or which are otherwise material in the context of the issuance and sale of the Securities; and to the knowledge of the Company, no such actions, suits or proceedings are threatened or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financial statements, together with the respective schedules and notes thereto, included in the Registration Statement, the General Disclosure Package and the Prospectus present fairly the consolidated financial position of the Company and its subsidiaries as of the dates shown and the consolidated results of operations and cash flows for the periods shown; except as otherwise disclosed in the General Disclosure Package and the Prospectus, such financial statements have been prepared in conformity with the generally accepted accounting principles in the United States applied on a consistent basis; and any schedules included in the Registration Statement present fairly the information required to be stated therein. The interactive data in eXtensible Business Reporting Language (“</w:t>
      </w:r>
      <w:r>
        <w:rPr>
          <w:rFonts w:ascii="Times New Roman;Times;Serif" w:hAnsi="Times New Roman;Times;Serif"/>
          <w:b/>
          <w:i w:val="false"/>
          <w:caps w:val="false"/>
          <w:smallCaps w:val="false"/>
          <w:sz w:val="20"/>
        </w:rPr>
        <w:t>XBRL</w:t>
      </w:r>
      <w:r>
        <w:rPr>
          <w:rFonts w:ascii="Times New Roman;Times;Serif" w:hAnsi="Times New Roman;Times;Serif"/>
          <w:b w:val="false"/>
          <w:i w:val="false"/>
          <w:caps w:val="false"/>
          <w:smallCaps w:val="false"/>
          <w:sz w:val="20"/>
        </w:rPr>
        <w:t>”) incorporated by reference in the General Disclosure Package and the Prospectus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KPMG LLP, which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PricewaterhouseCoopers, LLP, which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Except as disclosed in the General Disclosure Package and the Prospectus, since the date of the latest audited financial statements incorporated by reference in the General Disclosure Package and the Prospectus, there has been no material adverse change, nor any development or event involving a prospective material adverse change, in the condition (financial or other), business, properties or results of operations of the Company and its subsidiaries taken as a whole; there has been no material change in the capital stock of the Company (other than as a result of (A) the exercise, if any, of stock options or the settlement of any restricted stock units (including any “net” or “cashless” exercises or settlements) or the award, if any, of stock options, restricted stock or restricted stock units, in all cases, pursuant to the Company’s equity incentive plans that are described in the General Disclosure Package and Prospectus and the forms of award agreements thereunder, (B) the repurchase of shares of capital stock pursuant to agreements providing for an option to repurchase or a right of first refusal on behalf of the Company pursuant to the Company’s repurchase rights that are described in the General Disclosure Package and Prospectus or (C) the issuance, if any, of stock upon conversion or exchange of Company securities as described in the General Disclosure Package and Prospectus); and, except as disclosed in the General Disclosure Package and the Prospectus, there has been no dividend or distribution of any kind declared, paid or made by the Company on any class of its capital stock or any material change in short-term debt or long-term debt of the Company or any of its subsidiaries since the date of the latest audited financial statements incorporated by reference in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Company is subject to the reporting requirements of either Section 13 or Section 15(d) of the Exchange Act and files reports with the Commission on the Electronic Data Gathering, Analysis, and Retrieval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 Company is not and, after giving effect to the offering and sale of the Securities and the application of the proceeds thereof as described in the Prospectus, will not be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maintains a system of internal accounting controls sufficient to provide reasonable assurance that (1) transactions are executed in accordance with management’s general or specific authorizations; (2) transactions are recorded as necessary to permit preparation of financial statements in conformity with U.S. generally accepted accounted principles and to maintain asset accountability; (3) access to assets is permitted only in accordance with management’s general or specific authorization; (4) the recorded accountability for assets is compared with the existing assets at reasonable intervals and appropriate action is taken with respect to any differences; and (5) interactive data in XBRL incorporated by reference in the General Disclosure Package and the Prospectus is prepared in accordance with the Commission’s rules and guidelines applicable thereto. The Company maintains “disclosure controls and procedures” (as such term is defined in Rule 13a-15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Commission,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or officers, as appropriate to allow timely decisions regarding required disclosure. The Company has carried out evaluations of the effectiveness of its disclosure controls and procedures as required by Rule 13a-15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Except as disclosed in the General Disclosure Package and the Prospectus, or in any document incorporated by reference therein,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has not taken, directly or indirectly, any action designed to or that would constitute or that could reasonably be expected to cause or result in, under the Exchange Act or otherwise, any stabilization that is not permitted by applicable law or manipulation of the price of any security of the Company to facilitate the sale or resale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To the extent applicable, the minimum funding standard under Section 302 of the Employee Retirement Income Security Act of 1974, as amended, and the regulations and published interpretations thereunder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has been satisfied by each “pension plan” (as defined in Section 3(2) of ERISA) which has been established or maintained by the Company and/or its U.S. subsidiaries, and the trust forming part of each such plan that is intended to be qualified under Section 401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has received a favorable determination letter or opinion letter from the Internal Revenue Service indicating that it satisfies the requirements to be so qualified; each of the Company and its U.S. subsidiaries has fulfilled its obligations, if any, under Section 515 of ERISA; each welfare plan established or maintained by the Company and/or its U.S. subsidiaries is in compliance in all material respects with the currently applicable provisions of ERISA; and neither the Company nor any of its U.S. subsidiaries has incurred or could reasonably be expected to incur any material withdrawal liability under Section 4201 of ERISA, any material liability under Section 4062, 4063, or 4064 of ERISA, or any other material liability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To the knowledge of the Company, there is and has been no material failure which is continuing on the part of any of the Company’s directors or officers, in their capacities as such, to comply with the provisions of the Sarbanes-Oxley Act of 2002 and the rules and regulations promulgated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The Company and its subsidiaries have, and, to the knowledge of the Company, each director, officer, agent, employee and other person associated with or acting on behalf of the Company or its subsidiaries has, complied in all material respects with the Foreign Corrupt Practices Act of 1977, as amended, and the rules and regulations thereunder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including, but not limited to, not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U.K. Bribery Act 2010, or any other applicable anti-bribery or anti-corruption laws, each as amended, and the rules and regulations thereunder (collectively and together with the FCPA, the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the Company and its subsidiaries have instituted and maintain policies and procedures designed to ensure, and which are reasonably expected to continue to ensure, continued compliance therewith; and the Company will not, directly or knowingly indirectly, use the proceeds of the sale of the Securities or lend, contribute, or otherwise make available such proceeds to any entity or person for the purpose of funding activities in violation of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The operations of the Company and its subsidiaries are and have been conducted at all relevant times in 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None of the Company, any of its subsidiaries or, to the knowledge of the Company, any director, officer, agent, employee or representative of the Company or any of its subsidiaries is an individual or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which is (i) currently the subject or target of any sanctions administered or enforced by the U.S. Government, including, without limitation, the U.S. Department of the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the United Nations Security Council (“</w:t>
      </w:r>
      <w:r>
        <w:rPr>
          <w:rFonts w:ascii="Times New Roman;Times;Serif" w:hAnsi="Times New Roman;Times;Serif"/>
          <w:b/>
          <w:i w:val="false"/>
          <w:caps w:val="false"/>
          <w:smallCaps w:val="false"/>
          <w:sz w:val="20"/>
        </w:rPr>
        <w:t>UNSC</w:t>
      </w:r>
      <w:r>
        <w:rPr>
          <w:rFonts w:ascii="Times New Roman;Times;Serif" w:hAnsi="Times New Roman;Times;Serif"/>
          <w:b w:val="false"/>
          <w:i w:val="false"/>
          <w:caps w:val="false"/>
          <w:smallCaps w:val="false"/>
          <w:sz w:val="20"/>
        </w:rPr>
        <w:t>”), the European Union, HM Treasury (“</w:t>
      </w:r>
      <w:r>
        <w:rPr>
          <w:rFonts w:ascii="Times New Roman;Times;Serif" w:hAnsi="Times New Roman;Times;Serif"/>
          <w:b/>
          <w:i w:val="false"/>
          <w:caps w:val="false"/>
          <w:smallCaps w:val="false"/>
          <w:sz w:val="20"/>
        </w:rPr>
        <w:t>HMT</w:t>
      </w:r>
      <w:r>
        <w:rPr>
          <w:rFonts w:ascii="Times New Roman;Times;Serif" w:hAnsi="Times New Roman;Times;Serif"/>
          <w:b w:val="false"/>
          <w:i w:val="false"/>
          <w:caps w:val="false"/>
          <w:smallCaps w:val="false"/>
          <w:sz w:val="20"/>
        </w:rPr>
        <w:t>”),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(ii) located, organized or resident in a country or territory that is the subject of Sanctions, including, without limitation, the Crimea Region, and the non-government controlled areas of the Kherson and Zaporizhzhia regions of Ukraine, the so-called Donetsk People’s Republic, the so-called Luhansk People’s Republic, Cuba, Iran, North Korea, and, until July 1, 2025, Syria (each, a “</w:t>
      </w:r>
      <w:r>
        <w:rPr>
          <w:rFonts w:ascii="Times New Roman;Times;Serif" w:hAnsi="Times New Roman;Times;Serif"/>
          <w:b/>
          <w:i w:val="false"/>
          <w:caps w:val="false"/>
          <w:smallCaps w:val="false"/>
          <w:sz w:val="20"/>
        </w:rPr>
        <w:t>Sanctioned Territory</w:t>
      </w:r>
      <w:r>
        <w:rPr>
          <w:rFonts w:ascii="Times New Roman;Times;Serif" w:hAnsi="Times New Roman;Times;Serif"/>
          <w:b w:val="false"/>
          <w:i w:val="false"/>
          <w:caps w:val="false"/>
          <w:smallCaps w:val="false"/>
          <w:sz w:val="20"/>
        </w:rPr>
        <w:t>”), (iii) a Person on the list of “Specially Designated Nationals and Blocked Persons” or any other Sanctions related list of designated persons, or (iv) 50% or more owned by any Person or Persons on a Sanctions related list of designated persons. The Company will not, directly or knowingly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of Sanctions by any Person (including any Person participating in the transaction, whether as underwriter, advisor, investor or otherwise); since April 24, 2019, the Company and its subsidiaries have not knowingly engaged in and are not now knowingly engaged in any dealings or transactions with any person that at the time of the dealing or transaction is or was a Sanctioned Person or with any Sanctioned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The Company is not a “covered foreign person,” as that term is defined in 31 C.F.R. § 850.208 (“</w:t>
      </w:r>
      <w:r>
        <w:rPr>
          <w:rFonts w:ascii="Times New Roman;Times;Serif" w:hAnsi="Times New Roman;Times;Serif"/>
          <w:b/>
          <w:i w:val="false"/>
          <w:caps w:val="false"/>
          <w:smallCaps w:val="false"/>
          <w:sz w:val="20"/>
        </w:rPr>
        <w:t>Covered Foreign Person</w:t>
      </w:r>
      <w:r>
        <w:rPr>
          <w:rFonts w:ascii="Times New Roman;Times;Serif" w:hAnsi="Times New Roman;Times;Serif"/>
          <w:b w:val="false"/>
          <w:i w:val="false"/>
          <w:caps w:val="false"/>
          <w:smallCaps w:val="false"/>
          <w:sz w:val="20"/>
        </w:rPr>
        <w:t>”). Neither the Company nor any of its subsidiaries engage, or have plans to engage, in a Covered Activity, as that term is defined in 31 C.F.R. § 850.221, and the Company does not, directly or indirectly, hold a board seat on, have a voting or equity interest in, or have any contractual power to direct or cause the direction of the management or policies of any person or persons that engages or plans to engage in any Covered Activity and from which the Company derives more than 50% of its revenue or net income individually, or as aggregated across such persons from each of which the Company derives at least US$50,000 (or equivalent) of its revenue or net income, on an annual basis, or for which the Company incurs more than 50% of its capital expenditure or operating expenses individually, or as aggregated across such persons for each of which the Company incurs at least US$50,000 (or equivalent) of its capital expenditure or operating expenses, on an annual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The Securities and the Indenture conform in all material respects to the descriptions thereof contained in the Registration Statement,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The Company and each of its subsidiaries have filed all applicable income, franchise and other tax returns (or obtained extensions with respect to the filing of such returns) and have paid all taxes as currently due through the date hereof, except as may be being contested in good faith by appropriate proceedings and for which appropriate reserves have been established or except as disclosed in the General Disclosure Package and the Prospectus; and the Company has no knowledge of any tax deficiency which has been or might be asserted against the Company or any of its subsidiaries, except, in each case, as would not reasonably be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Neither the Company nor any agent acting on its behalf has taken or will take any action that might cause this Agreement or sale of the Securities to violate Regulation T, U or X of the Board of Governors of the Federal Reserve System, in each case as in effect, or as the same may hereafter be in effect,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Except in the case of clauses (a) and (b), as would not reasonably be expected to, individually or in the aggregate, have a Material Adverse Effect, (a) there has been no security breach or incident, unauthorized access or disclosure, or other compromise of or relating to the Company’s or its subsidiaries’ information technology and computer systems, networks, hardware, software, websites, applications and data (including the data of their respective customers, employees, suppliers, vendors and any third-party data maintained or processed by or on behalf of the Company and its subsidiaries), equipment or technology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(b) neither the Company nor its subsidiaries have been notified of, and have no knowledge of, any event or condition that could reasonably be expected to result in, any security breach, attack or compromise to their IT Systems and Data; (c) the Company and its subsidiaries have implemented and maintained commercially reasonable controls, policies, procedures, and technological safeguards to maintain and protect the integrity, continuous operation, redundancy and security of their IT Systems and Data reasonably consistent with standards and practices of similarly situated companies in the Company’s industry, or as required by applicable regulatory standards; and (d) the Company and its subsidiaries are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Representatives and counsel for the Underwriters in connection with the offering of the Securities shall be deemed a representation and warranty by the Company to each Underwriter participating in such offering as to the matters covered thereby on the date of such certificate unless subsequently amended or supplemented subsequent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Purchase, Sale and Delivery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basis of the representations, warranties and agreements contained herein, but subject to the terms and conditions set forth herein, the Company agrees to sell to the Underwriters, and each Underwriter agrees, severally and not jointly, to purchase from the Company, at a purchase price of 99.191% of the principal amount thereof, the aggregate principal amount of Securities set forth opposite the name of such Underwriter in Schedule C attached hereto, plus any additional principal amount that such Underwriter may be obligated to purchase pursuant to the provisions of Section 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deliver the Securities to the Representatives for the accounts of the Underwriters, through the offices of Simpson Thacher &amp; Bartlett LLP, 425 Lexington Avenue, New York, New York 10017, against payment of the purchase price in federal (same day) funds by wire transfer to an account at a bank acceptable to the Representatives, at 9:30 a.m., New York City time, on August 24, 2026, or at such other time not later than five full business days thereafter as the Representatives and the Company determine (such time being herein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global certificate representing the Securities will be made available for inspection at the above office of Simpson Thacher &amp; Bartlett LLP at least 24 hours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            Offering by Underwriters</w:t>
      </w:r>
      <w:r>
        <w:rPr>
          <w:rFonts w:ascii="Times New Roman;Times;Serif" w:hAnsi="Times New Roman;Times;Serif"/>
          <w:b w:val="false"/>
          <w:i w:val="false"/>
          <w:caps w:val="false"/>
          <w:smallCaps w:val="false"/>
          <w:sz w:val="20"/>
        </w:rPr>
        <w:t>. It is understood that the several Underwriters propose to offer the Securities for sale to the public as set forth in the General Disclosure Package and the Prospectus. The Company acknowledges and agrees that the Underwriters may offer and sell Securities to or through any affiliate of an Underwriter and that any such affiliate may offer and sell Securities purchased by it to or through any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6.            Certain Agreements of the Company. </w:t>
      </w:r>
      <w:r>
        <w:rPr>
          <w:rFonts w:ascii="Times New Roman;Times;Serif" w:hAnsi="Times New Roman;Times;Serif"/>
          <w:b w:val="false"/>
          <w:i w:val="false"/>
          <w:caps w:val="false"/>
          <w:smallCaps w:val="false"/>
          <w:sz w:val="20"/>
        </w:rPr>
        <w:t>The Company agrees with the several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or will file each Statutory Prospectus with the Commission within the time periods specified by Rule 424(b) and Rule 430A, 430B or 430C, as applicable. The Company has complied and will comply with Rule 433 with respect to the Securities,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prepare and file the Prospectus pursuant to and in accordance with Rule 424(b) and a pricing term sheet (the “</w:t>
      </w:r>
      <w:r>
        <w:rPr>
          <w:rFonts w:ascii="Times New Roman;Times;Serif" w:hAnsi="Times New Roman;Times;Serif"/>
          <w:b/>
          <w:i w:val="false"/>
          <w:caps w:val="false"/>
          <w:smallCaps w:val="false"/>
          <w:sz w:val="20"/>
        </w:rPr>
        <w:t>Pricing Term Sheet</w:t>
      </w:r>
      <w:r>
        <w:rPr>
          <w:rFonts w:ascii="Times New Roman;Times;Serif" w:hAnsi="Times New Roman;Times;Serif"/>
          <w:b w:val="false"/>
          <w:i w:val="false"/>
          <w:caps w:val="false"/>
          <w:smallCaps w:val="false"/>
          <w:sz w:val="20"/>
        </w:rPr>
        <w:t>”) reflecting the final terms of the Securities, and shall file the Prospectus in a form approved by the Representatives with the Commission pursuant to Rule 424 no later than the close of business on the second business day following the date of determination of the public offering price of the Securities, or if applicable, such earlier time as may be required by Rule 424(b) and Rule 430A, 430B or 430C, as applicable. The Company will also file the Pricing Term Sheet as an Issuer Free Writing Prospectus to the extent required by Rule 433; and the Company will furnish copies of the Prospectus and each Issuer Free Writing Prospectus (to the extent not previously delivered) on the business day next succeeding the date of this Agreement in such quantities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Before making, preparing, using, authorizing, approving, referring to or filing any Issuer 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advise the Representatives promptly of any stop order proceedings pursuant to Section 8A under the Act in respect of a Registration Statement or of any part thereof and will use its reasonable best efforts to prevent the issuance of any such stop order and to obtain, as soon as possible, its lifting.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at any time when a prospectus relating to the Securities is (or but for the exemption in Rule 172 would be required to be) delivered under the Act in connection with sales by any Underwriter or dealer, any event occurs as a result of which the Prospectus as then amended or supplemented would include an untrue statement of a material fact or omit to state any material fact necessary in order to make the statements therein, in the light of the circumstances under which they were made, not misleading, or if it is necessary at any time to amend the Prospectus to comply with the Act, the Company will promptly notify the Representatives of such event and will promptly prepare and file with the Commission, at its own expense,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soon as practicable, but not later than the Availability Date (as defined below), the Company will make generally available to its security holders an earnings statement covering a period of at least 12 months beginning after the effective date of the Registration Statement and satisfying the provisions of Section 11(a) of the Act and Rule 158 promulgated thereunder. For the purposes of the previous sentence, “</w:t>
      </w:r>
      <w:r>
        <w:rPr>
          <w:rFonts w:ascii="Times New Roman;Times;Serif" w:hAnsi="Times New Roman;Times;Serif"/>
          <w:b/>
          <w:i w:val="false"/>
          <w:caps w:val="false"/>
          <w:smallCaps w:val="false"/>
          <w:sz w:val="20"/>
        </w:rPr>
        <w:t>Availability Date</w:t>
      </w:r>
      <w:r>
        <w:rPr>
          <w:rFonts w:ascii="Times New Roman;Times;Serif" w:hAnsi="Times New Roman;Times;Serif"/>
          <w:b w:val="false"/>
          <w:i w:val="false"/>
          <w:caps w:val="false"/>
          <w:smallCaps w:val="false"/>
          <w:sz w:val="20"/>
        </w:rPr>
        <w:t>” means 60 days after the end of the Company’s fourth fiscal quarter of the fiscal year after the fiscal year during which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will furnish to the Representatives copies of the Registration Statement, including all exhibits, any related preliminary prospectus, any related preliminary prospectus supplement, the Prospectus and all amendments and supplements to such documents, in each case as soon as available and in such quantities as the Representatives reasonably request. The Company will pay the expenses of printing and distributing to the Underwriters all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 will arrange for the qualification of the Securities for sale under the laws of such jurisdictions as the Representatives may reasonably request and will continue such qualifications in effect so long as required for the distribution;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obligated to file any general consent to service of process or to qualify as a foreign corporation or as a dealer in securities in any jurisdiction in which it is not so qualified or subject itself to taxation in respect of doing business in any jurisdiction in which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Whether or not the transactions contemplated by this Agreement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consummated or this Agreement is terminated, the Company will pay or cause to be paid all costs and expenses incident to the performance of its obligations hereunder, including without limitation, (1) the costs incident to the authorization, issuance, sale, preparation and delivery of the Securities and any taxes payable in that connection; (2) the costs incident to the preparation, printing and filing under the Act of the Registration Statement, the General Disclosure Package and the Prospectus (including all exhibits, amendments and supplements thereto) and the distribution thereof; (3) the costs of reproducing and distributing each of the documents relating to the sale of the Securities; (4) the fees and expenses of the Company’s counsel and independent accountants; (5)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(6) any fees charged by rating agencies for rating the Securities; (7) the fees and expenses of the Trustee and any paying agent (including related fees and expenses of any counsel to such parties); (8) all expenses and application fees incurred in connection with any filing with, and clearance of the offering by, the Financial Industry Regulatory Authority, Inc.; (9) all expenses and application fees, if any, related to the listing of the Securities on any securities exchange; and (10) all expenses incurred by the Company in connection with any “road show” presentation to potential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Company will furnish to the Representatives and, upon request, to each of the other Underwriters for a period of three years from the date of this Agreement copies of any reports or other communications which the Company shall send to its shareholders or shall from time to time publish or publicly disseminate;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reports or other communications shall be deemed furnished to the Representatives and, if applicable, the other Underwriters, when publicly filed with the Commission. The Company will furnish to the Representatives and, upon request, to each of the other Underwriters for a period commencing on the date of this Agreement and ending on the Closing Date such other information as the Representatives may reasonably request regarding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Securities that would constitute an Issuer Free Writing Prospectus, or that would otherwise constitute a “free writing prospectus,” as defined in Rule 405. Any such free writing prospectus consented to by the Company and the Representatives is hereinafter referred to as a “</w:t>
      </w:r>
      <w:r>
        <w:rPr>
          <w:rFonts w:ascii="Times New Roman;Times;Serif" w:hAnsi="Times New Roman;Times;Serif"/>
          <w:b/>
          <w:i w:val="false"/>
          <w:caps w:val="false"/>
          <w:smallCaps w:val="false"/>
          <w:sz w:val="20"/>
        </w:rPr>
        <w:t>Permitted Free Writing Prospectus</w:t>
      </w:r>
      <w:r>
        <w:rPr>
          <w:rFonts w:ascii="Times New Roman;Times;Serif" w:hAnsi="Times New Roman;Times;Serif"/>
          <w:b w:val="false"/>
          <w:i w:val="false"/>
          <w:caps w:val="false"/>
          <w:smallCaps w:val="false"/>
          <w:sz w:val="20"/>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filing with the Commission where required, legending and record keeping.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will apply the net proceeds from the sale of the Securities in the manner set forth under the caption “Use of Proceeds” in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will not, without the consent of the Representatives, offer or sell, or publicly announce its intention to offer or sell, (i) any equity or debt securities pursuant to a public offering or (ii) any equity or unsecured debt securities pursuant to a private placement which contemplates the purchasers of such equity or debt securities receiving customary registration rights, in each case during the period beginning on the date of this Agreement and ending on the Closing Date. The Company has not taken, and will not take, directly or indirectly, any action which might reasonably be expected to cause or result in the stabilization or manipulation of the price of any security to facilitate the sale or resale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Conditions of the Obligations of the Underwriters</w:t>
      </w:r>
      <w:r>
        <w:rPr>
          <w:rFonts w:ascii="Times New Roman;Times;Serif" w:hAnsi="Times New Roman;Times;Serif"/>
          <w:b w:val="false"/>
          <w:i w:val="false"/>
          <w:caps w:val="false"/>
          <w:smallCaps w:val="false"/>
          <w:sz w:val="20"/>
        </w:rPr>
        <w:t>. The obligations of the several Underwriters to purchase and pay for the Securities on the Closing Date shall be subject to the accuracy of the representations and warranties on the part of the Company, to the accuracy of the statements of Company officers made pursuant to the provisions hereof, to the performance by the Company of its obligations hereunder and to the following additional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Representatives shall have received a letter, dated the date of this Agreement, of KPMG LLP confirming that they are an independent registered public accounting firm within the meaning of the Act and the applicable rules and regulations of the Commission and the Public Company Accounting Oversight Board (United States) and containing statements and information of the type ordinarily included in accountants’ “comfort letters” to underwriters with respect to the financial statements and schedules and the financial information of the Company contained in the Registration Statement, the General Disclosure Package and the Prospectus, in each case, in form and substance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Representatives shall have received a letter, dated the date of this Agreement, of PricewaterhouseCoopers LLP confirming that they are an independent registered public accounting firm within the meaning of the Act and the applicable rules and regulations of the Commission and the Public Company Accounting Oversight Board (United States) and containing statements and information of the type ordinarily included in accountants’ “comfort letters” to underwriters with respect to the financial statements and schedules and the financial information of the Company contained in the Registration Statement, the General Disclosure Package and the Prospectus, in each case, in form and substance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Prospectus and each Issuer Free Writing Prospectus shall have been filed with the Commission in accordance with the rules and regulations promulgated under the Act (in the case of an Issuer Free Writing Prospectus, only to the extent required by Rule 433) and Section 6(a) and Section 6(c) of this Agreement, as applicable, and all requests by the Commission for additional information shall have been complied with to the reasonable satisfaction of the Representatives. No stop order proceeding or notice pursuant to Section 8A of, or Rule 401(g)(2) under, the Act suspending the effectiveness of the Registration Statement or any part thereof or objecting to the use thereof shall have been issued and no proceedings for that purpose shall have been instituted or, to the knowledge of the Company or the Representatives, shall be contemplated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Subsequent to the execution and delivery of this Agreement, there shall not have occurred (1) any change, or any development or event involving a prospective change, in the condition (financial or other), business, properties or results of operations of the Company or its subsidiaries which, in the judgment of the Representatives, is material and adverse and makes it impractical or inadvisable to proceed with completion of the public offering or the sale of and payment for the Securities; (2) any downgrading in the rating of any debt securities of the Company by any “nationally recognized statistical rating organization” (as defined in Section 3(a)(62) under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 or any announcement that the Company has been placed on negative outlook; (3)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of the Securities or to enforce contracts for the sale of the Securities; (4) any material suspension or material limitation of trading in securities generally on the Nasdaq Global Select Market, or any setting of minimum prices for trading on such exchange; (5) any suspension of trading of any securities of the Company on any exchange or in the over-the-counter market; (6) any banking moratorium declared by U.S. federal or New York authorities; or (7) any major disruption of settlements of securities or clearance services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Representatives shall have received an opinion or opinions, dated the Closing Date, of Covington &amp; Burling LLP, counsel for the Company, to the following effect (subject to customary assumptions, exceptions and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is a corporation validly existing and in good standing under the laws of the State of New York, and has the corporate power and authority to own and lease its properties and conduct its business as described in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duly authorized and executed the Securities, and when the Securities have been (a) duly authenticated and delivered by the Trustee in accordance with the Indenture and (b) issued and delivered by the Company against payment of the purchase price therefor in accordance with this Agreement, the Securities will constitute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duly authorized, executed and delivered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has duly authorized and executed the Indenture; the Indenture is the valid and binding obligation of the Company, enforceable against the Company in accordance with its terms, subject to bankruptcy, insolvency, fraudulent transfer, reorganization, moratorium and other laws of general applicability relating to or affecting creditors’ rights and to general equity principles; and the Indenture has been qualified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duly authorized and executed the Officers’ Certificate; and the Officers’ Certificate is the valid and binding obligation of the Company, enforceable against the Company in accordance with its terms, subject to bankruptcy, insolvency, fraudulent transfer, reorganization, moratorium and other laws of general applicability relating to or affecting creditors’ rights and to general equity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consent, approval, authorization or other action by or filing with any governmental agency or instrumentality of the State of New York or the United States of America is required on the part of the Company for the issuance of the Securities or the execution and delivery of this Agreement or the consummation of the transactions contemplated thereby in accordance with the terms thereof, except (i) those already obtained or made and (ii) those required under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issuance of the Securities and the execution and delivery of this Agreement by the Company and the consummation by the Company of the transactions contemplated hereby in accordance with the terms hereof do not (i) violate any New York or federal statute, law, rule or regulation known to us to which the Company is subject, (ii) breach the provisions of the Company’s Restated Certificate of Incorporation or Bylaws or (iii) breach the provisions of, or cause a default under, any material agreement, instrument, judgment or order identified in an exhibit attached to the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Registration Statement is effective under the Act; the Preliminary Prospectus and the Prospectus have been filed in the manner and within the time period required by Rule 424(b) under the Act; and, to the best of such counsel’s knowledge, no stop order suspending the effectiveness of the Registration Statement has been issued under the Act and no proceedings for that purpose have been instituted or are pending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Registration Statement, insofar as it relates to the offering of the Securities, as of the time the Registration Statement is deemed, pursuant to Rule 430B, to have become effective for purposes of liability of the Underwriters under Section 11 of the Act (the “</w:t>
      </w:r>
      <w:r>
        <w:rPr>
          <w:rFonts w:ascii="Times New Roman;Times;Serif" w:hAnsi="Times New Roman;Times;Serif"/>
          <w:b/>
          <w:i w:val="false"/>
          <w:caps w:val="false"/>
          <w:smallCaps w:val="false"/>
          <w:sz w:val="20"/>
        </w:rPr>
        <w:t>430B Effective Time</w:t>
      </w:r>
      <w:r>
        <w:rPr>
          <w:rFonts w:ascii="Times New Roman;Times;Serif" w:hAnsi="Times New Roman;Times;Serif"/>
          <w:b w:val="false"/>
          <w:i w:val="false"/>
          <w:caps w:val="false"/>
          <w:smallCaps w:val="false"/>
          <w:sz w:val="20"/>
        </w:rPr>
        <w:t>”), and the Prospectus, as of the date thereof (excluding (i) the documents incorporated or deemed incorporated in the Registration Statement or the Prospectus by reference, (ii) the financial statements, including the notes thereto, the financial schedules and other financial data included therein and (iii) the Statement of Eligibility on Form T-1 filed with the Commission on May 12, 2022 pursuant to Section 305(b)(2) of the Trust Indenture Act in connection with the Registration Statement (the “</w:t>
      </w:r>
      <w:r>
        <w:rPr>
          <w:rFonts w:ascii="Times New Roman;Times;Serif" w:hAnsi="Times New Roman;Times;Serif"/>
          <w:b/>
          <w:i w:val="false"/>
          <w:caps w:val="false"/>
          <w:smallCaps w:val="false"/>
          <w:sz w:val="20"/>
        </w:rPr>
        <w:t>Form T-1</w:t>
      </w:r>
      <w:r>
        <w:rPr>
          <w:rFonts w:ascii="Times New Roman;Times;Serif" w:hAnsi="Times New Roman;Times;Serif"/>
          <w:b w:val="false"/>
          <w:i w:val="false"/>
          <w:caps w:val="false"/>
          <w:smallCaps w:val="false"/>
          <w:sz w:val="20"/>
        </w:rPr>
        <w:t>”), as to which such counsel need express no opinion) complied as to form in all material respects with the requirements of the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is not, and upon the issuance and sale of the Securities as contemplated by the Prospectus, will not be,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statements in the General Disclosure Package and the Prospectus under the captions “Description of the Notes” and “Description of Securities,” insofar as such statements constitute summaries of the documents referred to therein, are accurate in all material respects and fairly summarize such documents;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information in the General Disclosure Package and the Prospectus under the caption “Material U.S. Federal Income Tax Considerations,” insofar as such statements describe specific provisions of the Code, or legal conclusions with respect thereto, are accurate in all material respects and fairly summarize such provisions or conclusions.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counsel shall also state that it has reviewed the Registration Statement, the Pricing Disclosure Package and the Prospectus and participated in discussions with representatives of the Underwriters and those of the Company, the Underwriters’ counsel and the Company’s accountants and that, on the basis of the information which was reviewed by such counsel in the course of the performance of the services rendered in connection with the issuance, offer and sale of the Securities, considered in the light of such counsel’s understanding of the applicable law and the experience such counsel has gained through its practice under the federal securities laws, such counsel confirms to the Underwriters that nothing which came to such counsel’s attention in the course of such review has caused such counsel to believe that: (a) the Registration Statement, at the 430B Effective Time, contained any untrue statement of a material fact or omitted to state any material fact required to be stated therein or necessary to make the statements therein not misleading, (b) the General Disclosure Package, as of the Applicable Time, contained any untrue statement of a material fact or omitted to state any material fact necessary to make the statements therein, in the light of the circumstances under which they were made, not misleading; or (c) the Prospectus, as of its date or as of the date of such counsel’s opinion, contained or contains any untrue statement of a material fact or omitted or omits to state any material fact necessary to make the statements therein, in the light of the circumstances under which they were made, not misleading; it being understood that such counsel need express no opinion or belief as to the financial statements, including the notes thereto, the financial schedules, and the other financial data included or deemed incorporated by reference in the Registration Statement, the General Disclosure Package or the Prospectus or with respect to the 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Representatives shall have received an opinion, dated the Closing Date, of Michael R. McCoy, Esq., Senior Vice President, General Counsel and Chief Legal Officer for the Company,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been duly incorporated and is a corporation validly existing and in good standing under the laws of the State of New York, with the requisite corporate power and authority to own its properties and conduct its business as described in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Significant Subsidiary is a company validly existing and in good standing under the laws of its respective jurisdiction of organization with the requisite corporate power and authority to own its respective properties and to conduct its respective business as described in the General Disclosure Package and the Prospectus, except where the failure to be validly existing, to be in good standing, and to have such power and authority would not, individually or in the aggregate, have a Material Adverse Effect (in rendering this opinion with respect to jurisdictions other than the State of New York, such counsel may state that he is relying exclusively on certificates and other documents of public officials of such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is qualified to do business as a foreign corporation in the jurisdictions of Arizona and South Carolina (in rendering this opinion, such counsel may state that he is relying exclusively on certificates and other documents of public officials of such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best of such counsel’s knowledge, neither the Company nor any of its subsidiaries is in breach of, or in default under (nor has any event occurred which with notice, lapse of time, or both would constitute a breach of, or default under), (1) its charter or by-laws, (2) any “material contract” (within the meaning of Item 601(b)(10) of Regulation S-K) to which the Company or any of its subsidiaries is a party or by which any of them or their respective properties may be bound or affected, (3) any federal or New York State law, regulation or rule, or (4) any decree, judgment or order applicable to the Company or any of its subsidiaries, except for, in the case of clauses (2) and (3) above, breaches and defaults that would not reasonably be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execution and delivery of this Agreement, the Indenture and the Officers’ Certificate and the issuance of the Securities by the Company and the performance by the Company of its obligations thereunder and under the Indenture do not and will not conflict with, or result in any breach of, or constitute a default under (nor constitute any event which with notice, lapse of time, or both would constitute a breach of or default under), any provision of (1) the charter or by-laws of the Company or (2) any license, indenture, mortgage, deed of trust, bank loan, credit agreement or other agreement or instrument to which the Company or any of its subsidiaries is a party or by which any of them or their respective properties may be bound or affected, or (3) any law, regulation or rule or any decree, judgment or order applicable to the Company or any of its subsidiaries, except for, in the case of clauses (2) and (3) above, conflicts, breaches or defaults that would not reasonably be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best of such counsel’s knowledge, there are no contracts, licenses, agreements, leases or documents of a character which are required to be filed as exhibits to the Registration Statement or any other Company filing incorporated by reference therein or to be summarized or described in the General Disclosure Package and the Prospectus which have not been so filed, summarized or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best of counsel’s knowledge, there are no actions, suits or proceedings pending or threatened against the Company or any of its subsidiaries or any of their respective properties, at law or in equity or before or by any commission, board, body, authority or agency which are required to be described in the General Disclosure Package and the Prospectus but are not so described;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documents incorporated by reference in the General Disclosure Package and the Prospectus, when they were filed (or, if an amendment with respect to any such document was filed, when such amendment was filed), complied as to form in all material respects with the requirements of the Exchange Act and the rules thereunder (except as to the financial statements (and related notes thereto) and schedules and other financial data contained or incorporated by reference therein, and the Form T-1, as to which such counsel need express no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such counsel shall state that he has participated in conferences with officers and other representatives of the Company, and members of such counsel’s staff have participated in conferences with representatives of the independent, registered public accounting firm of the Company and representatives of the Underwriters, at which the contents of the Registration Statement, the General Disclosure Package and the Prospectus were discussed and, although such counsel has not independently verified, is not passing upon, and does not assume responsibility for, the accuracy, completeness or fairness of the statements contained in the Registration Statement, the General Disclosure Package or the Prospectus, on the basis of the foregoing, and except for the Form T-1, the financial statements (and related notes thereto) and schedules and other information of an accounting or financial nature included or incorporated by reference therein, as to which such counsel need not express an opinion or belief, no facts have come to such counsel’s attention that led such counsel to believe that: (1) the Registration Statement, at the time it became effective (which, for such counsel’s opinion, shall have the meaning set forth in Rule 158(c)), contained an untrue statement of a material fact or omitted to state a material fact required to be stated therein or necessary to make the statements therein not misleading, (2) the General Disclosure Package, as of the Applicable Time, contained any untrue statement of a material fact or omitted to state a material fact necessary in order to make the statements therein, in light of the circumstances under which they were made, not misleading, or (3) the Prospectus, as of its date or as of the date of such opinion, contained or contains an untrue statement of a material fact or omitted or omits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Representatives shall have received from Simpson Thacher &amp; Bartlett LLP, counsel for the Underwriters, such opinion or opinions, dated as of the Closing Date, in form and substance reasonably satisfactory to the Representatives and the Company shall have furnished to such counsel such documents as they request for the purpose of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Representatives shall have received a certificate, dated as of the Closing Date, of the President or any Vice President and a principal financial or accounting officer of the Company in which such officers, to the best of their knowledge after reasonable investigation, shall state that: (1) the representations and warranties of the Company in this Agreement are true and correct; (2) the Company has complied in all material respects with all agreements and satisfied in all material respects all conditions on its part to be performed or satisfied hereunder at or prior to the Closing Date; (3) no stop order proceedings pursuant to Section 8A under the Act suspending the effectiveness of the Registration Statement or any part thereof has been issued and no proceedings for that purpose have been instituted by the Commission; and (4) subsequent to the dates of the most recent financial statements incorporated by reference in the General Disclosure Package and the Prospectus, there has been no material adverse change, nor any development or event involving a prospective material adverse change, in the condition (financial or other), business, properties or results of operations of the Company and its subsidiaries taken as a whole except as set forth in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Representatives shall have received a letter, dated the Closing Date, of KPMG LLP which meets the requirements of Section 7(a), except that KPMG LLP’s procedures shall be brought down to a date no more than three days prior to the Closing Date for the purposes of this Section 7(h).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Representatives shall have received a letter, dated the Closing Date, of PricewaterhouseCoopers LLP which meets the requirements of Section 7(b), except that PricewaterhouseCoopers LLP’s procedures shall be brought down to a date no more than three days prior to the Closing Date for the purposes of this Section 7(i).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Underwriters shall have received a certificate, dated the date of this Agreement signed by the Chief Financial Officer of the Company with respect to certain financial information contained or incorporated by reference in the General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Underwriters shall have received a certificate, dated the Closing Date signed by the Chief Financial Officer of the Company with respect to certain financial information contained or incorporated by reference in the General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will indemnify and hold harmless each Underwriter, its partners, members, directors, officers and its affiliates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(i) any untrue statement or alleged untrue statement of any material fact contained in any Registration Statement or the omission or alleged omission to state therein a material fact required to be stated therein or necessary to make the statements therein not misleading or (ii) any untrue statement or alleged untrue statement of any material fact contained in each Statutory Prospectus, the Prospectus and any Issuer Free Writing Prospectus, any road show, or any amendment or supplement thereto, or any related preliminary prospectus or preliminary prospectus supplement, or the omission or alleged omission to state therein a material fact necessary in order to make the statements therein, in the light of the circumstances under which they were made, not misleading, and will reimburse each Underwriter for any legal or other expenses reasonably incurred by such Underwriter in connection with investigating or defending any such loss, claim, damage, liability or action as such expenses are incurred;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will severally and not jointly indemnify and hold harmless the Company, its directors and officers and each person, if any, who controls the Company within the meaning of Section 15 of the Act or Section 20 of the Exchange Act, against any losses, claims, damages or liabilities to which the Company may become subject, under the Act or otherwise, insofar as such losses, claims, damages or liabilities (or actions in respect thereof) arise out of or are based upon (i) any untrue statement or alleged untrue statement of any material fact contained in any Registration Statement or the omission or alleged omission to state therein a material fact required to be stated therein or necessary to make the statements therein not misleading or (ii) any untrue statement or alleged untrue statement of any material fact contained in each Statutory Prospectus, the Prospectus and any Issuer Free Writing Prospectus, any road show, or any amendment or supplement thereto, or any related preliminary prospectus or preliminary prospectus supplement, or the omission or alleged omission to state therein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the Company in connection with investigating or defending any such loss, claim, damage, liability or action as such expenses are incurred, it being understood and agreed that the only such information furnished by any Underwriter consists of the information contained in the Prospectus that is set forth on Schedule 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receipt by an indemnified party under this Section 8 of notice of the commencement of any action, such indemnified party will, if a claim in respect thereof is to be made against an indemnifying party under Section 8(a) or 8(b) above, notify the indemnifying party of the commencement thereof; but the failure to notify the indemnifying party shall not relieve it from any liability that it may have under Section 8(a) or 8(b) above except to the extent that it has been materially prejudiced (through the forfeiture of substantive rights or defenses) by such failure; and provided, however, that the failure to notify the indemnifying party shall not relieve it from any liability that it may have to an indemnified party otherwise than under Section 8(a) or 8(b)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8 for any legal or other expenses subsequently incurred by such indemnified party in connection with the defense thereof other than reasonable costs of investigation; provided, however, if such indemnified party shall have been advised by counsel that there are one or more defenses available to it that are in actual or potential conflict with those available to the indemnifying party (in which case the indemnifying party shall not have the right to direct the defense of such action on behalf of the indemnified party), the reasonable fees and expenses of such indemnified party’s counsel shall be borne by the indemnifying party. In no event shall the indemnifying party be liable for the fees and expenses of more than one counsel (together with appropriate local counsel) at any time for any indemnified party in connection with any one action or separate but substantially similar or related actions arising in the same jurisdiction out of the same general allegations or circumstances.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indemnification provided for in this Section 8 is unavailable or insufficient to hold harmless an indemnified party under Section 8(a) or 8(b) above, then each indemnifying party shall contribute to the amount paid or payable by such indemnified party as a result of the losses, claims, damages or liabilities referred to in Section 8(a) or 8(b)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Company and the Underwriters agree that it would not be just and equitable if contributions pursuant to this Section 8(d) were determined by pro rata allocation (even if the Underwriters were treated as one entity for such purpose) or by any other method of allocation which does not take account of the equitable considerations referred to above in this Section 8(d). The amount paid by an indemnified party as a result of the losses, claims, damages or liabilities referred to in the first sentence of this Section 8(d) shall be deemed to include any legal or other expenses reasonably incurred by such indemnified party in connection with investigating or defending any action or claim which is the subject of this Section 8(d). Notwithstanding the provisions of this Section 8(d),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Section 8(d) to contribute are several in proportion to their respective underwriting obligations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director of the Company, to each officer of the Company who has signed a Registration Statement and to each person, if any, who controls the Company within the meaning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Default of Underwriters</w:t>
      </w:r>
      <w:r>
        <w:rPr>
          <w:rFonts w:ascii="Times New Roman;Times;Serif" w:hAnsi="Times New Roman;Times;Serif"/>
          <w:b w:val="false"/>
          <w:i w:val="false"/>
          <w:caps w:val="false"/>
          <w:smallCaps w:val="false"/>
          <w:sz w:val="20"/>
        </w:rPr>
        <w:t>. If any Underwriter or Underwriters default(s) in their obligations to purchase Securities hereunder on the Closing Date and the aggregate number of shares of Securities that such defaulting Underwriter or Underwriters agreed but failed to purchase does not exceed 10% of the total number of shares of Securities that the Underwriters are obligated to purchase on the Closing Date, the Representatives may make arrangements satisfactory to the Company for the purchase of such Securities by other persons, including any of the Underwriters, but if no such arrangements are made by the Closing Date, the non-defaulting Underwriters shall be obligated severally, in proportion to their respective commitments hereunder, to purchase the Securities that such defaulting Underwriters agreed but failed to purchase on the Closing Date.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General Disclosure Package and the Prospectus or in any other document or arrangement, and the Company agrees to promptly prepare any amendment or supplement to the Registration Statement, the General Disclosure Package and the Prospectus that effects any such changes. If any Underwriter or Underwriters so default(s) and the aggregate number of shares of Securities with respect to which such default or defaults occur exceeds 10% of the total number of shares of Securities that the Underwriters are obligated to purchase on the Closing Date and arrangements satisfactory to the Representatives and the Company for the purchase of such Securities by other persons are not made within 36 hours after such default, this Agreement will terminate without liability on the part of any non-defaulting Underwriter or the Company, except as provided in Section 10. As used in this Agreement,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includes any person substituted for an Underwriter under this Section 9. Nothing herein will relieve a defaulting Underwriter from liability for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Survival of Certain Representations and Obligations</w:t>
      </w:r>
      <w:r>
        <w:rPr>
          <w:rFonts w:ascii="Times New Roman;Times;Serif" w:hAnsi="Times New Roman;Times;Serif"/>
          <w:b w:val="false"/>
          <w:i w:val="false"/>
          <w:caps w:val="false"/>
          <w:smallCaps w:val="false"/>
          <w:sz w:val="20"/>
        </w:rPr>
        <w:t>. The respective indemnities, agreements, representations, warranties and other statements 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Securities. If this Agreement is terminated pursuant to Section 9 or if for any reason the purchase of the Securities by the Underwriters is not consummated, the Company shall remain responsible for the expenses to be paid or reimbursed by it pursuant to Section 6 and the respective obligations of the Company and the Underwriters pursuant to Section 8 shall remain in effect, and if any Securities have been purchased hereunder the representations and warranties in Section 3 and all obligations under Section 6 shall also remain in effect. If the purchase of the Securities by the Underwriters is not consummated for any reason other than solely because of the termination of this Agreement pursuant to Section 9, the Company will reimburse the Underwriters for all out-of-pocket expenses (including fees and disbursements of counsel) reasonably incurred by them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All communications hereunder will be in writing and, if sent to the Underwriters, will be mailed, delivered or transmitted and confirmed to the Representatives, c/o BofA Securities, Inc., 114 West 47th Street, New York, New York 10036, Facsimile: (212) 901-7881, Email: dg.hg_ua_notices@bofa.com, Attention: High Grade Debt Capital Markets Transaction Management/Legal, c/o J.P. Morgan Securities LLC, 270 Park Avenue, New York, NY 10017, Facsimile: (212) 834-6081, Attention: Investment Grade Syndicate Desk, or c/o MUFG Securities Americas Inc., 1221 Avenue of the Americas, 6th Floor, New York, New York 10020, Attention: Capital Markets Group, Facsimile: (646) 434-3455. Notices to the Company will be mailed, delivered or transmitted and confirmed to it at Avnet, Inc., 2150 E Warner Road, Tempe, AZ 85284, Attention: General Counsel; provided, however, that any notice to an Underwriter pursuant to Section 8 will be mailed, delivered or transmitted and confirmed to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and directors and controlling persons referred to in Section 8, and no other person will have any right or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 xml:space="preserve">Representation. </w:t>
      </w:r>
      <w:r>
        <w:rPr>
          <w:rFonts w:ascii="Times New Roman;Times;Serif" w:hAnsi="Times New Roman;Times;Serif"/>
          <w:b w:val="false"/>
          <w:i w:val="false"/>
          <w:caps w:val="false"/>
          <w:smallCaps w:val="false"/>
          <w:sz w:val="20"/>
        </w:rPr>
        <w:t>The Representatives will act for the several Underwriters in connection with the transactions contemplated by this Agreement, and any action under this Agreement taken by the Representatives jointly will be binding upon all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 xml:space="preserve">Counterparts. </w:t>
      </w:r>
      <w:r>
        <w:rPr>
          <w:rFonts w:ascii="Times New Roman;Times;Serif" w:hAnsi="Times New Roman;Times;Serif"/>
          <w:b w:val="false"/>
          <w:i w:val="false"/>
          <w:caps w:val="false"/>
          <w:smallCaps w:val="false"/>
          <w:sz w:val="20"/>
        </w:rPr>
        <w:t>This Agreement may be executed in one or more counterparts and, if executed in more than one counterpart, the executed counterparts shall each be deemed to be an original but all such counterparts shall together constitute one and the same instrument. The words “execution,” “executed,”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caps w:val="false"/>
          <w:smallCaps w:val="false"/>
          <w:sz w:val="20"/>
        </w:rPr>
        <w:t xml:space="preserve">U.K. Bail-in Legislation: </w:t>
      </w:r>
      <w:r>
        <w:rPr>
          <w:rFonts w:ascii="Times New Roman;Times;Serif" w:hAnsi="Times New Roman;Times;Serif"/>
          <w:b w:val="false"/>
          <w:i w:val="false"/>
          <w:caps w:val="false"/>
          <w:smallCaps w:val="false"/>
          <w:sz w:val="20"/>
        </w:rPr>
        <w:t>Notwithstanding and to the exclusion of any other term of this Agreement or any other agreements, arrangements, or understanding between the Underwriters and the Company, the Company acknowledges and accepts that a UK Bail-in Liability arising under this Agreement may be subject to the exercise of UK Bail-in Powers by the relevant UK resolution authority, and acknowledges, accepts,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effect of the exercise of UK Bail-in Powers by the relevant UK resolution authority in relation to any UK Bail-in Liability of the Underwriters to the Company under this Agreement, that (without limitation) may include and result in any of the following, or some combination thereof: (i) the reduction of all, or a portion, of the UK Bail-in Liability or outstanding amounts due thereon; (ii) the conversion of all, or a portion, of the UK Bail-in Liability into shares, other securities or other obligations of the Underwriters or another person, and the issue to or conferral on the Issuer of such shares, securities or obligations; (iii) the cancellation of the UK Bail-in Liability; and (iv) the amendment or alteration of any interest, if applicable, thereon, the maturity or the dates on which any payments are due, including by suspending payment for a temporary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variation of the terms of this Agreement, as deemed necessary by the relevant UK resolution authority, to give effect to the exercise of UK Bail-in Powers by the relevant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purpose of this subsection, (1) “</w:t>
      </w:r>
      <w:r>
        <w:rPr>
          <w:rFonts w:ascii="Times New Roman;Times;Serif" w:hAnsi="Times New Roman;Times;Serif"/>
          <w:b/>
          <w:i w:val="false"/>
          <w:caps w:val="false"/>
          <w:smallCaps w:val="false"/>
          <w:sz w:val="20"/>
        </w:rPr>
        <w:t>UK Bail-in Legislation</w:t>
      </w:r>
      <w:r>
        <w:rPr>
          <w:rFonts w:ascii="Times New Roman;Times;Serif" w:hAnsi="Times New Roman;Times;Serif"/>
          <w:b w:val="false"/>
          <w:i w:val="false"/>
          <w:caps w:val="false"/>
          <w:smallCaps w:val="false"/>
          <w:sz w:val="20"/>
        </w:rPr>
        <w:t>”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 (2) “</w:t>
      </w:r>
      <w:r>
        <w:rPr>
          <w:rFonts w:ascii="Times New Roman;Times;Serif" w:hAnsi="Times New Roman;Times;Serif"/>
          <w:b/>
          <w:i w:val="false"/>
          <w:caps w:val="false"/>
          <w:smallCaps w:val="false"/>
          <w:sz w:val="20"/>
        </w:rPr>
        <w:t>UK Bail-in Powers</w:t>
      </w:r>
      <w:r>
        <w:rPr>
          <w:rFonts w:ascii="Times New Roman;Times;Serif" w:hAnsi="Times New Roman;Times;Serif"/>
          <w:b w:val="false"/>
          <w:i w:val="false"/>
          <w:caps w:val="false"/>
          <w:smallCaps w:val="false"/>
          <w:sz w:val="20"/>
        </w:rPr>
        <w:t>”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to suspend any obligation in respect of that liability; and (3) “</w:t>
      </w:r>
      <w:r>
        <w:rPr>
          <w:rFonts w:ascii="Times New Roman;Times;Serif" w:hAnsi="Times New Roman;Times;Serif"/>
          <w:b/>
          <w:i w:val="false"/>
          <w:caps w:val="false"/>
          <w:smallCaps w:val="false"/>
          <w:sz w:val="20"/>
        </w:rPr>
        <w:t>UK Bail-in Liability</w:t>
      </w:r>
      <w:r>
        <w:rPr>
          <w:rFonts w:ascii="Times New Roman;Times;Serif" w:hAnsi="Times New Roman;Times;Serif"/>
          <w:b w:val="false"/>
          <w:i w:val="false"/>
          <w:caps w:val="false"/>
          <w:smallCaps w:val="false"/>
          <w:sz w:val="20"/>
        </w:rPr>
        <w:t>” means a liability in respect of which the UK Bail-in Powers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caps w:val="false"/>
          <w:smallCaps w:val="false"/>
          <w:sz w:val="20"/>
        </w:rPr>
        <w:t xml:space="preserve">Absence of Fiduciary Relationship. </w:t>
      </w:r>
      <w:r>
        <w:rPr>
          <w:rFonts w:ascii="Times New Roman;Times;Serif" w:hAnsi="Times New Roman;Times;Serif"/>
          <w:b w:val="false"/>
          <w:i w:val="false"/>
          <w:caps w:val="false"/>
          <w:smallCaps w:val="false"/>
          <w:sz w:val="20"/>
        </w:rPr>
        <w:t>The Company acknowledges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Representatives have been retained solely to act as underwriters in connection with the sale of the Company’s securities and that no fiduciary, advisory or agency relationship between the Company, on the one hand, and the Representatives, on the other, has been created in respect of any of the transactions contemplated by this Agreement, irrespective of whether the Representatives have advised or are advising on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price of the securities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waives, to the fullest extent permitted by law, any claims it may have against the Representatives for breach of fiduciary duty or alleged breach of fiduciary duty and agree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review by the Representative or any Underwriter of the Company of the transactions contemplated hereby or other matters relating to such transactions will be performed solely for the benefit of the Representative or such Underwriter, as the case may be, and shall not be on behalf of the Company, as the case may be,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caps w:val="false"/>
          <w:smallCaps w:val="false"/>
          <w:sz w:val="20"/>
        </w:rPr>
        <w:t xml:space="preserve">Amendments or Waivers. </w:t>
      </w:r>
      <w:r>
        <w:rPr>
          <w:rFonts w:ascii="Times New Roman;Times;Serif" w:hAnsi="Times New Roman;Times;Serif"/>
          <w:b w:val="false"/>
          <w:i w:val="false"/>
          <w:caps w:val="false"/>
          <w:smallCaps w:val="false"/>
          <w:sz w:val="20"/>
        </w:rPr>
        <w:t>No amendment or waiver of any provision of this Agreement, nor any consent or approval to any departure therefrom, shall in any event be effective unless the same shall be in writing and signed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caps w:val="false"/>
          <w:smallCaps w:val="false"/>
          <w:sz w:val="20"/>
        </w:rPr>
        <w:t xml:space="preserve">Applicable Law. </w:t>
      </w:r>
      <w:r>
        <w:rPr>
          <w:rFonts w:ascii="Times New Roman;Times;Serif" w:hAnsi="Times New Roman;Times;Serif"/>
          <w:b w:val="false"/>
          <w:i w:val="false"/>
          <w:caps w:val="false"/>
          <w:smallCaps w:val="false"/>
          <w:sz w:val="20"/>
        </w:rPr>
        <w:t>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caps w:val="false"/>
          <w:smallCaps w:val="false"/>
          <w:sz w:val="20"/>
        </w:rPr>
        <w:t xml:space="preserve">Waiver of Jury Trial. </w:t>
      </w:r>
      <w:r>
        <w:rPr>
          <w:rFonts w:ascii="Times New Roman;Times;Serif" w:hAnsi="Times New Roman;Times;Serif"/>
          <w:b w:val="false"/>
          <w:i w:val="false"/>
          <w:caps w:val="false"/>
          <w:smallCaps w:val="false"/>
          <w:sz w:val="20"/>
        </w:rPr>
        <w:t>Each of the parties hereto waives any right to trial by jury in any suit or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caps w:val="false"/>
          <w:smallCaps w:val="false"/>
          <w:sz w:val="20"/>
        </w:rPr>
        <w:t>Compliance with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hereby submits to the non-exclusive jurisdiction of the federal and state courts in the Borough of Manhattan in The City of New York in any suit or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hanging="0"/>
        <w:jc w:val="left"/>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0" w:type="dxa"/>
        </w:tblCellMar>
      </w:tblPr>
      <w:tblGrid>
        <w:gridCol w:w="80"/>
        <w:gridCol w:w="365"/>
        <w:gridCol w:w="2780"/>
      </w:tblGrid>
      <w:tr>
        <w:trPr/>
        <w:tc>
          <w:tcPr>
            <w:tcW w:w="80"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pPr>
            <w:r>
              <w:rPr/>
              <w:t>Very truly yours</w:t>
            </w:r>
          </w:p>
        </w:tc>
      </w:tr>
      <w:tr>
        <w:trPr/>
        <w:tc>
          <w:tcPr>
            <w:tcW w:w="80"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pPr>
            <w:r>
              <w:rPr/>
              <w:t>AVNET, INC.</w:t>
            </w:r>
          </w:p>
        </w:tc>
      </w:tr>
      <w:tr>
        <w:trPr/>
        <w:tc>
          <w:tcPr>
            <w:tcW w:w="80"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2780" w:type="dxa"/>
            <w:tcBorders>
              <w:bottom w:val="single" w:sz="8" w:space="0" w:color="000000"/>
            </w:tcBorders>
            <w:tcMar>
              <w:bottom w:w="28" w:type="dxa"/>
            </w:tcMar>
            <w:vAlign w:val="center"/>
          </w:tcPr>
          <w:p>
            <w:pPr>
              <w:pStyle w:val="TableContents"/>
              <w:bidi w:val="0"/>
              <w:spacing w:before="0" w:after="283"/>
              <w:jc w:val="left"/>
              <w:rPr/>
            </w:pPr>
            <w:r>
              <w:rPr/>
              <w:t>/s/ Kenneth A. Jacobson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Name: Kenneth A. Jacobson</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79" w:type="dxa"/>
        <w:jc w:val="left"/>
        <w:tblInd w:w="0" w:type="dxa"/>
        <w:tblLayout w:type="fixed"/>
        <w:tblCellMar>
          <w:top w:w="0" w:type="dxa"/>
          <w:left w:w="0" w:type="dxa"/>
          <w:bottom w:w="0" w:type="dxa"/>
          <w:right w:w="0" w:type="dxa"/>
        </w:tblCellMar>
      </w:tblPr>
      <w:tblGrid>
        <w:gridCol w:w="436"/>
        <w:gridCol w:w="2763"/>
        <w:gridCol w:w="80"/>
      </w:tblGrid>
      <w:tr>
        <w:trPr/>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80"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Cody Kiechle </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Cody Kiechle</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80"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80"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L. Sheiner </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Stephen L. Sheiner</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Director</w:t>
            </w:r>
          </w:p>
        </w:tc>
        <w:tc>
          <w:tcPr>
            <w:tcW w:w="80"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80"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Testa</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Richard Testa</w:t>
            </w:r>
          </w:p>
        </w:tc>
        <w:tc>
          <w:tcPr>
            <w:tcW w:w="80"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themselves and on behalf of the several Underwriters listed in Schedule C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Use Issuer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Term Sheet, dated August 19, 2026, relating to the Securities, as filed pursuant to Rule 433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AVNET,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$550,000,000 5.650% Senior Notes due 2031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7"/>
        <w:gridCol w:w="8668"/>
      </w:tblGrid>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Avnet, Inc.</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Ratings (Moody’s / S&amp;P / Fitch)*:</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24, 2026 (T+3)</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2031</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Coupon (Interest Rate):</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Yield to Maturity:</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5.698%</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to Public:</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99.791% of the principal amount</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Spread to Benchmark Treasury:</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basis points</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Treasury:</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due July 31, 2031</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Treasury Price and Yield:</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99-31+; 4.378%</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Semi-annually on September 1 and March 1 of each year, commencing on March 1, 2027</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any time prior to August 1, 2031 at the greater of (i) the sum of the present values of the remaining scheduled payments of principal and interest discounted at the treasury rate plus 20 basis points less interest accrued to, but excluding, the redemption date and (ii) 100% of the principal amount of the notes being redeemed, plus, in either case, accrued and unpaid interest to, but excluding, the redemption date.</w:t>
            </w:r>
          </w:p>
        </w:tc>
      </w:tr>
      <w:tr>
        <w:trPr/>
        <w:tc>
          <w:tcPr>
            <w:tcW w:w="1537"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left"/>
              <w:rPr/>
            </w:pPr>
            <w:r>
              <w:rPr/>
              <w:t> </w:t>
            </w:r>
          </w:p>
        </w:tc>
      </w:tr>
      <w:tr>
        <w:trPr/>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w:t>
            </w:r>
          </w:p>
        </w:tc>
        <w:tc>
          <w:tcPr>
            <w:tcW w:w="8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on or after August 1, 2031, we may redeem all or any part of the notes at a redemption price equal to 100% of the principal amount thereof plus accrued and unpaid interest thereon to, but excluding, the redemption date.</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w:t>
      </w:r>
    </w:p>
    <w:p>
      <w:pPr>
        <w:pStyle w:val="TextBody"/>
        <w:bidi w:val="0"/>
        <w:spacing w:before="0" w:after="283"/>
        <w:jc w:val="left"/>
        <w:rPr/>
      </w:pPr>
      <w:r>
        <w:rPr/>
        <w:t> </w:t>
      </w:r>
    </w:p>
    <w:tbl>
      <w:tblPr>
        <w:tblW w:w="7270" w:type="dxa"/>
        <w:jc w:val="left"/>
        <w:tblInd w:w="0" w:type="dxa"/>
        <w:tblLayout w:type="fixed"/>
        <w:tblCellMar>
          <w:top w:w="0" w:type="dxa"/>
          <w:left w:w="0" w:type="dxa"/>
          <w:bottom w:w="0" w:type="dxa"/>
          <w:right w:w="0" w:type="dxa"/>
        </w:tblCellMar>
      </w:tblPr>
      <w:tblGrid>
        <w:gridCol w:w="2615"/>
        <w:gridCol w:w="4655"/>
      </w:tblGrid>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Denominations:</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 and integral multiples of $1,000 in excess thereof</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Count Convention:</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30/360</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053807BA0</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Number:</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US053807BA01</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Book-Running Managers:</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br/>
              <w:t>J.P. Morgan Securities LLC</w:t>
              <w:br/>
              <w:t>MUFG Securities Americas Inc.</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Bookrunners</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br/>
              <w:t>Scotia Capital (USA) Inc.</w:t>
              <w:br/>
              <w:t>Truist Securities, Inc.</w:t>
              <w:br/>
              <w:t>Commerz Markets LLC</w:t>
              <w:br/>
              <w:t>KeyBanc Capital Markets Inc.</w:t>
              <w:br/>
              <w:t>Santander US Capital Markets LLC</w:t>
              <w:br/>
              <w:t>SMBC Nikko Securities America, Inc.</w:t>
              <w:br/>
              <w:t>TD Securities (USA) LLC</w:t>
              <w:br/>
              <w:t>U.S. Bancorp Investments, Inc.</w:t>
              <w:br/>
              <w:t>Wells Fargo Securities, LLC</w:t>
            </w:r>
          </w:p>
        </w:tc>
      </w:tr>
      <w:tr>
        <w:trPr/>
        <w:tc>
          <w:tcPr>
            <w:tcW w:w="261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Co-Managers</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br/>
              <w:t>Loop Capital Markets LLC</w:t>
              <w:br/>
              <w:t>Bayerische Landesbank</w:t>
              <w:br/>
              <w:t>Huntington Securities, Inc.</w:t>
              <w:br/>
              <w:t>KBC Securities USA LLC</w:t>
              <w:br/>
              <w:t>Oversea-Chinese Banking Corporation Limited</w:t>
              <w:br/>
              <w:t>Standard Chartered Bank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w:t>
      </w:r>
      <w:r>
        <w:rPr>
          <w:rFonts w:ascii="Times New Roman;Times;Serif" w:hAnsi="Times New Roman;Times;Serif"/>
          <w:b w:val="false"/>
          <w:i w:val="false"/>
          <w:caps w:val="false"/>
          <w:smallCaps w:val="false"/>
          <w:sz w:val="20"/>
        </w:rPr>
        <w:t>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It is expected that delivery of the notes will be made against payment therefor on or about August 24, 2026, which is the third business day following the date hereof (such settlement cycle being referred to as “T+3”).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before the delivery of the notes will be required, by virtue of the fact that the notes initially will settle in T+3, to specify an alternative settlement cycle at the time of any such trade to prevent failed settlement. Purchasers of the notes who wish to trade the notes prior to the business day before the delivery of the notes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Times;Serif" w:hAnsi="Times New Roman;Times;Serif"/>
          <w:b/>
          <w:i w:val="false"/>
          <w:caps w:val="false"/>
          <w:smallCaps w:val="false"/>
          <w:sz w:val="20"/>
          <w:u w:val="single"/>
        </w:rPr>
        <w:t>www.sec.gov</w:t>
      </w:r>
      <w:r>
        <w:rPr>
          <w:rFonts w:ascii="Times New Roman;Times;Serif" w:hAnsi="Times New Roman;Times;Serif"/>
          <w:b/>
          <w:i w:val="false"/>
          <w:caps w:val="false"/>
          <w:smallCaps w:val="false"/>
          <w:sz w:val="20"/>
        </w:rPr>
        <w:t xml:space="preserve">. Alternatively, BofA Securities, Inc., J.P. Morgan Securities LLC, or MUFG Securities Americas Inc. can arrange to send you the prospectus if you request it by calling or e-mailing BofA Securities, Inc. at 1-800-294-1322 or </w:t>
      </w:r>
      <w:r>
        <w:rPr>
          <w:rFonts w:ascii="Times New Roman;Times;Serif" w:hAnsi="Times New Roman;Times;Serif"/>
          <w:b/>
          <w:i w:val="false"/>
          <w:caps w:val="false"/>
          <w:smallCaps w:val="false"/>
          <w:sz w:val="20"/>
          <w:u w:val="single"/>
        </w:rPr>
        <w:t>dg.prospectus_requests@bofa.com</w:t>
      </w:r>
      <w:r>
        <w:rPr>
          <w:rFonts w:ascii="Times New Roman;Times;Serif" w:hAnsi="Times New Roman;Times;Serif"/>
          <w:b/>
          <w:i w:val="false"/>
          <w:caps w:val="false"/>
          <w:smallCaps w:val="false"/>
          <w:sz w:val="20"/>
        </w:rPr>
        <w:t>; J.P. Morgan Securities LLC at 1-212-834-4533 (collect); or MUFG Securities Americas Inc. at 1-877-649-6848.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Use Issuer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tbl>
      <w:tblPr>
        <w:tblW w:w="5884" w:type="dxa"/>
        <w:jc w:val="left"/>
        <w:tblInd w:w="0" w:type="dxa"/>
        <w:tblLayout w:type="fixed"/>
        <w:tblCellMar>
          <w:top w:w="0" w:type="dxa"/>
          <w:left w:w="0" w:type="dxa"/>
          <w:bottom w:w="28" w:type="dxa"/>
          <w:right w:w="0" w:type="dxa"/>
        </w:tblCellMar>
      </w:tblPr>
      <w:tblGrid>
        <w:gridCol w:w="3875"/>
        <w:gridCol w:w="65"/>
        <w:gridCol w:w="197"/>
        <w:gridCol w:w="1667"/>
        <w:gridCol w:w="80"/>
      </w:tblGrid>
      <w:tr>
        <w:trPr/>
        <w:tc>
          <w:tcPr>
            <w:tcW w:w="38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Amount of </w:t>
              <w:br/>
              <w:t>Notes to be Purchased</w:t>
            </w:r>
          </w:p>
        </w:tc>
        <w:tc>
          <w:tcPr>
            <w:tcW w:w="8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17,875,000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17,875,000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Commerz Markets LLC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KeyBanc Capital Markets Inc.</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US Capital Markets LLC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Siebert Williams Shank &amp; Co., LLC</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Loop Capital Markets LLC</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Huntington Securities, Inc.</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Oversea-Chinese Banking Corporation Limited</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9,625,000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Chartered Bank</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9,625,000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Information provided by the Underwriters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left"/>
              <w:rPr/>
            </w:pPr>
            <w:r>
              <w:rPr/>
              <w:t>The concession and reallowance amounts appearing in the sixth paragraph of text under the caption “Underwriting (Conflicts of Interest)” on page S-21 of the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left"/>
              <w:rPr/>
            </w:pPr>
            <w:r>
              <w:rPr/>
              <w:t>The third sentence of the eighth paragraph under the caption “Underwriting (Conflicts of Interest)” on page S-21 of the Prospectus Supplement concerning market-making activities for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283"/>
              <w:jc w:val="left"/>
              <w:rPr/>
            </w:pPr>
            <w:r>
              <w:rPr/>
              <w:t>The tenth and eleventh paragraphs of text under the caption “Underwriting (Conflicts of Interest)” on page S-22 of the Prospectus Supplement, concerning stabilizing transactions;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4.</w:t>
            </w:r>
          </w:p>
        </w:tc>
        <w:tc>
          <w:tcPr>
            <w:tcW w:w="10017" w:type="dxa"/>
            <w:tcBorders/>
            <w:vAlign w:val="center"/>
          </w:tcPr>
          <w:p>
            <w:pPr>
              <w:pStyle w:val="TableContents"/>
              <w:bidi w:val="0"/>
              <w:spacing w:before="0" w:after="283"/>
              <w:jc w:val="left"/>
              <w:rPr/>
            </w:pPr>
            <w:r>
              <w:rPr/>
              <w:t>The fourteenth paragraph of text under the caption “Underwriting (Conflicts of Interest)” on pages S-22 and S-23 of the Prospectus Supplement, concerning hedging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4" w:name="tm2623221d4_ex4-1.htm"/>
      <w:bookmarkStart w:id="25" w:name="kstm2623221d4_ex4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Kenneth A. Jacobson and Michael R. McCoy, do hereby certify on behalf of Avnet, Inc., a New York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they are the duly appointed Chief Financial Officer and Senior Vice President, General Counsel and Chief Legal Officer, respectively, of the Company. Each of the undersigned also hereby certifies on behalf of the Company, pursuant to the Indenture, dated as of June 22, 2010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Computershare Trust Company, National Association, as successor to Wells Fargo Bank, National Association, as trustee under the Indenture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authorizations granted by resolutions duly adopted by the Board of Directors on May 20, 2026, a series of Securities to be issued under the Indenture has been established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have the terms set forth in this certificate (this “</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 (defined terms used herein and not otherwise defined herein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caps w:val="false"/>
          <w:smallCaps w:val="false"/>
          <w:sz w:val="20"/>
        </w:rPr>
        <w:t>The title of the Securities of the series (which shall distinguish the Securities of the series from Securities of any other series):</w:t>
      </w:r>
      <w:r>
        <w:rPr>
          <w:rFonts w:ascii="Times New Roman;Times;Serif" w:hAnsi="Times New Roman;Times;Serif"/>
          <w:b w:val="false"/>
          <w:i w:val="false"/>
          <w:caps w:val="false"/>
          <w:smallCaps w:val="false"/>
          <w:sz w:val="20"/>
        </w:rPr>
        <w:t xml:space="preserve"> The Notes shall constitute a series of Securities having the title “5.650%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caps w:val="false"/>
          <w:smallCaps w:val="false"/>
          <w:sz w:val="20"/>
        </w:rPr>
        <w:t>Any limit upon the aggregate principal amount of the Securities of the series that may be authenticated and delivered under the Indenture (except for Securities authenticated and delivered upon registration of transfer of, or in exchange for, or in lieu of, other Securities of the series pursuant to Sections 2.05, 2.06, 2.07, 3.05, 10.06 and except for Securities which, pursuant to Section 2.04, are deemed never to have been authenticated and delivered under the Indenture)</w:t>
      </w:r>
      <w:r>
        <w:rPr>
          <w:rFonts w:ascii="Times New Roman;Times;Serif" w:hAnsi="Times New Roman;Times;Serif"/>
          <w:b w:val="false"/>
          <w:i w:val="false"/>
          <w:caps w:val="false"/>
          <w:smallCaps w:val="false"/>
          <w:sz w:val="20"/>
        </w:rPr>
        <w:t>: The aggregate principal amount of Notes that may be authenticated and delivered under the Indenture is unlimited. On the date hereof, the Company has delivered to the Trustee $550,000,000 in aggregate principal amount of Notes, together with a Company Order for the authentication and delivery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caps w:val="false"/>
          <w:smallCaps w:val="false"/>
          <w:sz w:val="20"/>
        </w:rPr>
        <w:t>The Person to whom any interest on a Security of the series shall be payable, if other than the person in whose name that Security (or one or more Predecessor Securities) is registered at the close of business on the Regular Record Date for such interest:</w:t>
      </w:r>
      <w:r>
        <w:rPr>
          <w:rFonts w:ascii="Times New Roman;Times;Serif" w:hAnsi="Times New Roman;Times;Serif"/>
          <w:b w:val="false"/>
          <w:i w:val="false"/>
          <w:caps w:val="false"/>
          <w:smallCaps w:val="false"/>
          <w:sz w:val="20"/>
        </w:rPr>
        <w:t xml:space="preserve">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caps w:val="false"/>
          <w:smallCaps w:val="false"/>
          <w:sz w:val="20"/>
        </w:rPr>
        <w:t xml:space="preserve">The date or dates on which the principal of the Securities of the series shall be payable: </w:t>
      </w:r>
      <w:r>
        <w:rPr>
          <w:rFonts w:ascii="Times New Roman;Times;Serif" w:hAnsi="Times New Roman;Times;Serif"/>
          <w:b w:val="false"/>
          <w:i w:val="false"/>
          <w:caps w:val="false"/>
          <w:smallCaps w:val="false"/>
          <w:sz w:val="20"/>
        </w:rPr>
        <w:t>The entire principal of the Notes shall be due and payable on September 1, 2031 (the “</w:t>
      </w:r>
      <w:r>
        <w:rPr>
          <w:rFonts w:ascii="Times New Roman;Times;Serif" w:hAnsi="Times New Roman;Times;Serif"/>
          <w:b/>
          <w:i w:val="false"/>
          <w:caps w:val="false"/>
          <w:smallCaps w:val="false"/>
          <w:sz w:val="20"/>
        </w:rPr>
        <w:t>Stated Maturity</w:t>
      </w:r>
      <w:r>
        <w:rPr>
          <w:rFonts w:ascii="Times New Roman;Times;Serif" w:hAnsi="Times New Roman;Times;Serif"/>
          <w:b w:val="false"/>
          <w:i w:val="false"/>
          <w:caps w:val="false"/>
          <w:smallCaps w:val="false"/>
          <w:sz w:val="20"/>
        </w:rPr>
        <w:t>”), unless earlier redeemed by the Company as provided in Section 7 below or repurchased by the Company as provided in Section 19(A)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caps w:val="false"/>
          <w:smallCaps w:val="false"/>
          <w:sz w:val="20"/>
        </w:rPr>
        <w:t>The rate or rates at which the Securities of the series shall bear interest, if any, the date or dates from which such interest shall accrue, the Interest Payment Dates on which such interest shall be payable, and the Regular Record Date for any interest payable on any Interest Payment Date:</w:t>
      </w:r>
      <w:r>
        <w:rPr>
          <w:rFonts w:ascii="Times New Roman;Times;Serif" w:hAnsi="Times New Roman;Times;Serif"/>
          <w:b w:val="false"/>
          <w:i w:val="false"/>
          <w:caps w:val="false"/>
          <w:smallCaps w:val="false"/>
          <w:sz w:val="20"/>
        </w:rPr>
        <w:t xml:space="preserve"> The Notes shall bear interest from August 24, 2026 at the annual rate of 5.650%. Interest shall be payable semi-annually on September 1 and March 1 (“</w:t>
      </w:r>
      <w:r>
        <w:rPr>
          <w:rFonts w:ascii="Times New Roman;Times;Serif" w:hAnsi="Times New Roman;Times;Serif"/>
          <w:b/>
          <w:i w:val="false"/>
          <w:caps w:val="false"/>
          <w:smallCaps w:val="false"/>
          <w:sz w:val="20"/>
        </w:rPr>
        <w:t>Interest Payment Dates</w:t>
      </w:r>
      <w:r>
        <w:rPr>
          <w:rFonts w:ascii="Times New Roman;Times;Serif" w:hAnsi="Times New Roman;Times;Serif"/>
          <w:b w:val="false"/>
          <w:i w:val="false"/>
          <w:caps w:val="false"/>
          <w:smallCaps w:val="false"/>
          <w:sz w:val="20"/>
        </w:rPr>
        <w:t>”) of each year, beginning on March 1, 2027, to the Person in whose name the Notes are registered in the Security Register at the close of business on August 15 and February 15, as the case may be, next preceding the relevant Interest Payment Date (each a “</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whether or not such Regular Record Date shall be a Business Day. Interest on the Notes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on the Notes shall include interest accrued to but excluding the respective Interest Payment Date, Redemption Date (as defined herein) or Repurchase Date (as defined herein),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any Interest Payment Date, Redemption Date, or Stated Maturity of any Note shall not be a Business Day at any Place of Payment, then (notwithstanding any other provision of the Indenture or of the Notes)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provided that no interest shall accrue for the period from and after such Interest Payment Date, Redemption Date, or Stated Maturity,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caps w:val="false"/>
          <w:smallCaps w:val="false"/>
          <w:sz w:val="20"/>
        </w:rPr>
        <w:t>The place or places where the principal of and any premium and interest on the Securities of the series shall be payable:</w:t>
      </w:r>
      <w:r>
        <w:rPr>
          <w:rFonts w:ascii="Times New Roman;Times;Serif" w:hAnsi="Times New Roman;Times;Serif"/>
          <w:b w:val="false"/>
          <w:i w:val="false"/>
          <w:caps w:val="false"/>
          <w:smallCaps w:val="false"/>
          <w:sz w:val="20"/>
        </w:rPr>
        <w:t xml:space="preserve"> The Place of Payment shall be, the registration of transfer and exchange for the payment of principal of, and premium, if any, and interest on, the Notes shall be payable, and the exchange of and the transfer of the Notes shall be registrable, at the offices of the Trustee or at any other office or agency maintained by the Company for that purpose subject to the limitations of the Indenture, and at the office or agency of the Trustee in St. Paul, Minnesota, to be such office or agency of the Company for the aforesaid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caps w:val="false"/>
          <w:smallCaps w:val="false"/>
          <w:sz w:val="20"/>
        </w:rPr>
        <w:t>The period or periods within which, the price or prices at which, and the other terms and conditions upon which the Securities of the series may be redeemed, in whole or in part, at the option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August 1, 2031 (one month prior to the Stated Maturity (the “</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the Company may redeem the Notes,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20 basis points less (b) interest accrued to, but excluding, the Redemption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100% of the principal amount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Notes at its option, in whole or in part, at any time and from time to time, at a redemption price equal to 100% of the principal amount of the Notes being redeemed plus accrued and unpaid interest thereon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hereof, the redemption price calculated in accordance with the prior two sentences shall be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Treasury Rate</w:t>
      </w:r>
      <w:r>
        <w:rPr>
          <w:rFonts w:ascii="Times New Roman;Times;Serif" w:hAnsi="Times New Roman;Times;Serif"/>
          <w:b w:val="false"/>
          <w:i w:val="false"/>
          <w:caps w:val="false"/>
          <w:smallCaps w:val="false"/>
          <w:sz w:val="20"/>
        </w:rPr>
        <w:t>”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Company shall select, as applicable: (1) the yield for the Treasury constant maturity on H.15 exactly equal to the period from the Redemption Date to the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Notes for redemption shall be made pro rata, by lot or by such other method as the Trustee in its sole discretion deems appropriate and fair. No Notes of a principal amount of $2,000 or less will be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of redemption to Holders of Notes shall be given in the manner provided in Section 3.02 of the Indenture, except that notice of redemption shall be mailed (or otherwise transmitted in accordance with the depositary’s procedures), at least 10 but not more than 60 calendar days prior to the Redemption Date, to each Holder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Notice of redemption having been given as provided in the Indenture, the Notes so to be redeemed shall, on the Redemption Date, become due and payable at the Redemption Price therein specified, and from and after such date (unless the Company defaults in the payment of the Redemption Price and accrued interest) such Notes shall cease to accrue interest. Upon surrender of any such Note for redemption in accordance with such notice, such Notes shall be paid by the Company at the Redemption Price, together with accrued interest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that relates to any Note that is redeemed in part only shall state the portion of the principal amount thereof to be redeemed. A new Note in principal amount equal to the unredeemed portion thereof shall be issued in the name of the Holder thereof upon cancellation of the original Note. For so long as the Notes are held by DTC (as defined below) (or another depositary), the redemption of the Notes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11:00 a.m. (New York City time) on the Redemption Date specified in the notice of redemption given as provided in Section 3.02 of the Indenture, the Company shall deposit with the Trustee or with a Paying Agent (or, if the Company is acting as its own Paying Agent, segregate and hold in trust as provided in Section 6.03 of the Indenture) an amount of money sufficient to pay the Redemption Price of, and (except if the Redemption Date shall be an Interest Payment Date) any accrued interest on, all of the Notes that are to be redeemed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caps w:val="false"/>
          <w:smallCaps w:val="false"/>
          <w:sz w:val="20"/>
        </w:rPr>
        <w:t>The obligation, if any, of the Company to redeem or purchase Securities of the series pursuant to any sinking fund or analogous provision or at the option of a Holder thereof and the period or periods within which, the price or prices at which, and the terms and conditions upon which Securities of the series shall be redeemed or purchased, in whole or in part, pursuant to such obligation</w:t>
      </w:r>
      <w:r>
        <w:rPr>
          <w:rFonts w:ascii="Times New Roman;Times;Serif" w:hAnsi="Times New Roman;Times;Serif"/>
          <w:b w:val="false"/>
          <w:i w:val="false"/>
          <w:caps w:val="false"/>
          <w:smallCaps w:val="false"/>
          <w:sz w:val="20"/>
        </w:rPr>
        <w:t>: The Notes shall not have the benefit of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caps w:val="false"/>
          <w:smallCaps w:val="false"/>
          <w:sz w:val="20"/>
        </w:rPr>
        <w:t>If other than denominations of $1,000 and integral multiples thereof, the denomination in which the Securities of the series shall be issuable:</w:t>
      </w:r>
      <w:r>
        <w:rPr>
          <w:rFonts w:ascii="Times New Roman;Times;Serif" w:hAnsi="Times New Roman;Times;Serif"/>
          <w:b w:val="false"/>
          <w:i w:val="false"/>
          <w:caps w:val="false"/>
          <w:smallCaps w:val="false"/>
          <w:sz w:val="20"/>
        </w:rPr>
        <w:t xml:space="preserve"> The Notes shall be issued in registered form only in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caps w:val="false"/>
          <w:smallCaps w:val="false"/>
          <w:sz w:val="20"/>
        </w:rPr>
        <w:t>The currency, currencies, or currency units in which payment of the principal of and any premium and interest on any Securities of the series shall be payable if other than the currency of the United States of America and the manner of determining the equivalent thereof in the currency of the United States of America for purposes of the definition of “Outstanding” in Section 1.01 of the Indenture:</w:t>
      </w:r>
      <w:r>
        <w:rPr>
          <w:rFonts w:ascii="Times New Roman;Times;Serif" w:hAnsi="Times New Roman;Times;Serif"/>
          <w:b w:val="false"/>
          <w:i w:val="false"/>
          <w:caps w:val="false"/>
          <w:smallCaps w:val="false"/>
          <w:sz w:val="20"/>
        </w:rPr>
        <w:t xml:space="preserve">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caps w:val="false"/>
          <w:smallCaps w:val="false"/>
          <w:sz w:val="20"/>
        </w:rPr>
        <w:t>If the amount of payments of principal of or any premium or interest on the Securities of the series may be determined with reference to an index, based upon a formula, or in some other manner, the manner in which such amounts shall be determined:</w:t>
      </w:r>
      <w:r>
        <w:rPr>
          <w:rFonts w:ascii="Times New Roman;Times;Serif" w:hAnsi="Times New Roman;Times;Serif"/>
          <w:b w:val="false"/>
          <w:i w:val="false"/>
          <w:caps w:val="false"/>
          <w:smallCaps w:val="false"/>
          <w:sz w:val="20"/>
        </w:rPr>
        <w:t xml:space="preserve"> Except as set forth in the Indenture and this Certificate, the amount of payments of principal of or any premium or interest on the Notes shall not be determined with reference to an index, based upon a formula or in some other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caps w:val="false"/>
          <w:smallCaps w:val="false"/>
          <w:sz w:val="20"/>
        </w:rPr>
        <w:t>If the principal of or any premium or interest on the Securities of the series is to be payable, at the election of the Company or a Holder thereof, in one or more currencies or currency units other than that or those in which the Securities of the series are stated to be payable, the currency, currencies, or currency units in which payment of the principal of and any premium and interest on the Securities of the series as to which such election is made shall be payable, and the periods within which and the terms and conditions upon which such election is to be made:</w:t>
      </w:r>
      <w:r>
        <w:rPr>
          <w:rFonts w:ascii="Times New Roman;Times;Serif" w:hAnsi="Times New Roman;Times;Serif"/>
          <w:b w:val="false"/>
          <w:i w:val="false"/>
          <w:caps w:val="false"/>
          <w:smallCaps w:val="false"/>
          <w:sz w:val="20"/>
        </w:rPr>
        <w:t xml:space="preserve">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caps w:val="false"/>
          <w:smallCaps w:val="false"/>
          <w:sz w:val="20"/>
        </w:rPr>
        <w:t>If other than the Trustee, the identity of each Security Registrar and/or Paying Agent</w:t>
      </w:r>
      <w:r>
        <w:rPr>
          <w:rFonts w:ascii="Times New Roman;Times;Serif" w:hAnsi="Times New Roman;Times;Serif"/>
          <w:b w:val="false"/>
          <w:i w:val="false"/>
          <w:caps w:val="false"/>
          <w:smallCaps w:val="false"/>
          <w:sz w:val="20"/>
        </w:rPr>
        <w:t>: The Paying Agent and Security Registrar initially shall be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caps w:val="false"/>
          <w:smallCaps w:val="false"/>
          <w:sz w:val="20"/>
        </w:rPr>
        <w:t>If other than the principal amount thereof, the portion of the principal amount of Securities of the series which shall be payable upon declaration of acceleration of the Maturity thereof pursuant to Section 8.01(b):</w:t>
      </w:r>
      <w:r>
        <w:rPr>
          <w:rFonts w:ascii="Times New Roman;Times;Serif" w:hAnsi="Times New Roman;Times;Serif"/>
          <w:b w:val="false"/>
          <w:i w:val="false"/>
          <w:caps w:val="false"/>
          <w:smallCaps w:val="false"/>
          <w:sz w:val="20"/>
        </w:rPr>
        <w:t xml:space="preserve">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caps w:val="false"/>
          <w:smallCaps w:val="false"/>
          <w:sz w:val="20"/>
        </w:rPr>
        <w:t xml:space="preserve">If applicable, that the Securities of the series shall be subject to either or both of Defeasance or Covenant Defeasance as provided in Article V of the Indenture, provided that no Securities of the series that are convertible into Common Stock pursuant to Section 2.01(b)(xvi) or convertible into or exchangeable for any other Securities pursuant to Section 2.01(b)(xvii) shall be subject to Defeasance pursuant to Section 5.02: </w:t>
      </w:r>
      <w:r>
        <w:rPr>
          <w:rFonts w:ascii="Times New Roman;Times;Serif" w:hAnsi="Times New Roman;Times;Serif"/>
          <w:b w:val="false"/>
          <w:i w:val="false"/>
          <w:caps w:val="false"/>
          <w:smallCaps w:val="false"/>
          <w:sz w:val="20"/>
        </w:rPr>
        <w:t>The defeasance and discharge provisions under Article V of the Indenture shall be applicable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caps w:val="false"/>
          <w:smallCaps w:val="false"/>
          <w:sz w:val="20"/>
        </w:rPr>
        <w:t xml:space="preserve">If and as applicable, that the Securities of the series shall be issuable in whole or in part in the form of one or more Global Securities and, in such case, the Depositary or Depositaries of such Global Security or Global Securities and any circumstances other than those set forth in Section 2.05 in which any such Global Security may be transferred to, and registered and exchanged for Securities of the series registered in the name of, a Person other than the Depositary for such Global Security or a nominee thereof and in which any such transfer may be registered: </w:t>
      </w:r>
      <w:r>
        <w:rPr>
          <w:rFonts w:ascii="Times New Roman;Times;Serif" w:hAnsi="Times New Roman;Times;Serif"/>
          <w:b w:val="false"/>
          <w:i w:val="false"/>
          <w:caps w:val="false"/>
          <w:smallCaps w:val="false"/>
          <w:sz w:val="20"/>
        </w:rPr>
        <w:t>The Notes shall be evidenced by one or more Global Notes deposited with the Trustee as custodian for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and shall initially be registered in the name of Cede &amp; Co., as nominee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Cede &amp; Co., as nominee of DTC, is the registered owner of the Global Notes, Cede &amp; Co. for all purposes shall be considered the sole holder of the Global Notes. Except as provided below, owners of beneficial interests in the Global Notes shall not be (A) entitled to have certificates registered in their names and (B) considered Holders of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the Notes in definitive certificated form if DTC notifies the Company that it is unwilling or unable to continue as depositary or DTC ceases to be a clearing agency registered under the Exchange Act and a successor depositary is not appointed by the Company within 90 days. In addition, beneficial interests in a Global Note may be exchanged for definitive certificated Notes upon request by or on behalf of DTC and in accordance with DTC’s customary procedures. The Company may determine at any time and in its sole discretion that the Notes shall no longer be represented by Global Notes, in which case the Company shall issue certificates in definitive form in exchange for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caps w:val="false"/>
          <w:smallCaps w:val="false"/>
          <w:sz w:val="20"/>
        </w:rPr>
        <w:t xml:space="preserve">The terms and conditions, if any, pursuant to which the Securities of the series are convertible into Common Stock: </w:t>
      </w: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caps w:val="false"/>
          <w:smallCaps w:val="false"/>
          <w:sz w:val="20"/>
        </w:rPr>
        <w:t xml:space="preserve">The terms and conditions, if any, pursuant to which the Securities of the series are convertible into or exchangeable for any other securities, including (without limitation) securities of Persons other than the Company: </w:t>
      </w: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caps w:val="false"/>
          <w:smallCaps w:val="false"/>
          <w:sz w:val="20"/>
        </w:rPr>
        <w:t>Any other terms of, or provisions, covenants, rights or other matters applicable to, the Securities of the series (which terms, provisions, covenants, rights or other matters shall not be inconsistent with the provisions of the Indenture, except as permitted by Section 10.01(e)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If a Change of Control Triggering Event (as defined below) occurs, unless the Company has exercised its right to redeem the Notes in accordance with Section 7 hereof, each Holder shall have the right to require the Company to repurchase all or any part of each Holder’s Notes pursuant to the offer (the “</w:t>
      </w:r>
      <w:r>
        <w:rPr>
          <w:rFonts w:ascii="Times New Roman;Times;Serif" w:hAnsi="Times New Roman;Times;Serif"/>
          <w:b/>
          <w:i w:val="false"/>
          <w:caps w:val="false"/>
          <w:smallCaps w:val="false"/>
          <w:sz w:val="20"/>
        </w:rPr>
        <w:t>Change of Control Offer</w:t>
      </w:r>
      <w:r>
        <w:rPr>
          <w:rFonts w:ascii="Times New Roman;Times;Serif" w:hAnsi="Times New Roman;Times;Serif"/>
          <w:b w:val="false"/>
          <w:i w:val="false"/>
          <w:caps w:val="false"/>
          <w:smallCaps w:val="false"/>
          <w:sz w:val="20"/>
        </w:rPr>
        <w:t>”) on the terms set forth in the Notes and herein. In the Change of Control Offer, the Company shall offer payment in cash equal to 101% of the aggregate principal amount of Notes repurchased plus accrued and unpaid interest, if any (the “</w:t>
      </w:r>
      <w:r>
        <w:rPr>
          <w:rFonts w:ascii="Times New Roman;Times;Serif" w:hAnsi="Times New Roman;Times;Serif"/>
          <w:b/>
          <w:i w:val="false"/>
          <w:caps w:val="false"/>
          <w:smallCaps w:val="false"/>
          <w:sz w:val="20"/>
        </w:rPr>
        <w:t>Change of Control Payment</w:t>
      </w:r>
      <w:r>
        <w:rPr>
          <w:rFonts w:ascii="Times New Roman;Times;Serif" w:hAnsi="Times New Roman;Times;Serif"/>
          <w:b w:val="false"/>
          <w:i w:val="false"/>
          <w:caps w:val="false"/>
          <w:smallCaps w:val="false"/>
          <w:sz w:val="20"/>
        </w:rPr>
        <w:t>”), on the Notes repurchased, to the repurchase date (the “</w:t>
      </w:r>
      <w:r>
        <w:rPr>
          <w:rFonts w:ascii="Times New Roman;Times;Serif" w:hAnsi="Times New Roman;Times;Serif"/>
          <w:b/>
          <w:i w:val="false"/>
          <w:caps w:val="false"/>
          <w:smallCaps w:val="false"/>
          <w:sz w:val="20"/>
        </w:rPr>
        <w:t>Repurchase Date</w:t>
      </w:r>
      <w:r>
        <w:rPr>
          <w:rFonts w:ascii="Times New Roman;Times;Serif" w:hAnsi="Times New Roman;Times;Serif"/>
          <w:b w:val="false"/>
          <w:i w:val="false"/>
          <w:caps w:val="false"/>
          <w:smallCaps w:val="false"/>
          <w:sz w:val="20"/>
        </w:rPr>
        <w:t>”) (subject to the right of Holders of record on the relevant Regular Record Date to receive interest due on the Interest Payment Date). The principal amount of a Note remaining Outstanding after a repurchase in part must be $2,000 or an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30 days following the date upon which the Change of Control Triggering Event has occurred or, at the Company’s option, prior to any Change of Control, but after the public announcement of the transaction that may or shall constitute a Change of Control, except to the extent that the Company has exercised its right to redeem the Notes in accordance with Section 7 above, the Company shall cause a notice to be mailed to each Holder with a copy to the Trustee describing the transaction or transactions that may or shall constitute a Change of Control Triggering Event and offering to repurchase the Notes on the date specified in the notice, which date shall be no earlier than 30 days, but no later than 60 days from the date such notice is mailed (the “</w:t>
      </w:r>
      <w:r>
        <w:rPr>
          <w:rFonts w:ascii="Times New Roman;Times;Serif" w:hAnsi="Times New Roman;Times;Serif"/>
          <w:b/>
          <w:i w:val="false"/>
          <w:caps w:val="false"/>
          <w:smallCaps w:val="false"/>
          <w:sz w:val="20"/>
        </w:rPr>
        <w:t>Change of Control Payment Date</w:t>
      </w:r>
      <w:r>
        <w:rPr>
          <w:rFonts w:ascii="Times New Roman;Times;Serif" w:hAnsi="Times New Roman;Times;Serif"/>
          <w:b w:val="false"/>
          <w:i w:val="false"/>
          <w:caps w:val="false"/>
          <w:smallCaps w:val="false"/>
          <w:sz w:val="20"/>
        </w:rPr>
        <w:t>”). The notice shall, if mailed prior to the date of consummation of the Change of Control, state that the Change of Control Offer is conditioned on the Change of Control being consummated on or prior to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the Company shall,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payment all Notes or portions thereof properly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with the Paying Agent an amount equal to the Change of Control Payment in respect of all Notes or portions thereof properly tendered pursuant to the applicable Change of Control Offer;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or cause to be delivered to the Trustee the Notes properly accepted together with an Officers’ Certificate stating the aggregate principal amount of Notes or portions thereof being 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Section 19(A), the Company shall comply with the applicable securities laws and regulations and shall not be deemed to have breached its obligations under this Section 19(A) by virtue of such conflicts.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make a Change of Control Offer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 In the event that such third party terminates or defaults on its offer, the Company shall be required to make a Change of Control Offer treating the date of such termination or default as though it were the date of the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19(A), the following definitions shall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Below Investment Grade Rating Event</w:t>
      </w:r>
      <w:r>
        <w:rPr>
          <w:rFonts w:ascii="Times New Roman;Times;Serif" w:hAnsi="Times New Roman;Times;Serif"/>
          <w:b w:val="false"/>
          <w:i w:val="false"/>
          <w:caps w:val="false"/>
          <w:smallCaps w:val="false"/>
          <w:sz w:val="20"/>
        </w:rPr>
        <w:t>” means the rating on the Notes is lowered by each of the Rating Agencies and the Notes are rated below an Investment Grade Rating by each of the Rating Agencies on any day during the period (the “</w:t>
      </w:r>
      <w:r>
        <w:rPr>
          <w:rFonts w:ascii="Times New Roman;Times;Serif" w:hAnsi="Times New Roman;Times;Serif"/>
          <w:b/>
          <w:i w:val="false"/>
          <w:caps w:val="false"/>
          <w:smallCaps w:val="false"/>
          <w:sz w:val="20"/>
        </w:rPr>
        <w:t>Trigger Period</w:t>
      </w:r>
      <w:r>
        <w:rPr>
          <w:rFonts w:ascii="Times New Roman;Times;Serif" w:hAnsi="Times New Roman;Times;Serif"/>
          <w:b w:val="false"/>
          <w:i w:val="false"/>
          <w:caps w:val="false"/>
          <w:smallCaps w:val="false"/>
          <w:sz w:val="20"/>
        </w:rPr>
        <w:t>”) commencing on the date 60 days prior to the first public announcement by the Company of any Change of Control or pending Change of Control and ending 60 days following the consummation of such Change of Control (which Trigger Period shall be extended so long as the rating of the Notes is under publicly announced consideration for possible downgrade by any of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the Company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adoption of a plan relating to the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consummation of any transaction (including, without limitation, any merger or consolidation) the result of which is that any “person” (as defined above), becomes the “beneficial owner” (as defined in Rule 13d-3 and 13d-5 under the Exchange Act), directly or indirectly, of more than 50% of the then Outstanding number of shares of the Company’s Voting Stock measured by voting power rather than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consolidates with, or merges with or into any Person, or any Person consolidates with, or merges with or into, the Company, in any such event pursuant to a transaction in which any of the Company’s Outstanding Voting Stock or the Outstanding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(measured by voting power rather than number of shares) of the surviving Person immediately after giving effect to such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first day on which a majority of the members of the Company’s Board of Directors are not Continuing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Triggering Event</w:t>
      </w:r>
      <w:r>
        <w:rPr>
          <w:rFonts w:ascii="Times New Roman;Times;Serif" w:hAnsi="Times New Roman;Times;Serif"/>
          <w:b w:val="false"/>
          <w:i w:val="false"/>
          <w:caps w:val="false"/>
          <w:smallCaps w:val="false"/>
          <w:sz w:val="20"/>
        </w:rPr>
        <w:t>” means the occurrence of both a Change of Control and a Below Investment Grade Rating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Continuing Directors</w:t>
      </w:r>
      <w:r>
        <w:rPr>
          <w:rFonts w:ascii="Times New Roman;Times;Serif" w:hAnsi="Times New Roman;Times;Serif"/>
          <w:b w:val="false"/>
          <w:i w:val="false"/>
          <w:caps w:val="false"/>
          <w:smallCaps w:val="false"/>
          <w:sz w:val="20"/>
        </w:rPr>
        <w:t>” means, as of any date of determination, any member of the Board of Directors of the Company who (1) was a member of such Board of Directors on the date of this Certificate; or (2) was nominated for election, elected or appointed to such Board of Directors with the approval of a majority of the Continuing Directors who were members of such board of directors at the time of such nomination, election or appointment (either by specific vote or by approval of the Company’s proxy statement in which such member was named as a nominee for election as a director, without objection to such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 Grade Rating</w:t>
      </w:r>
      <w:r>
        <w:rPr>
          <w:rFonts w:ascii="Times New Roman;Times;Serif" w:hAnsi="Times New Roman;Times;Serif"/>
          <w:b w:val="false"/>
          <w:i w:val="false"/>
          <w:caps w:val="false"/>
          <w:smallCaps w:val="false"/>
          <w:sz w:val="20"/>
        </w:rPr>
        <w:t>” means a rating equal to or higher than Baa3 (or the equivalent) by Moody’s and BBB- (or the equivalent) by S&amp;P, and the equivalent rating from any replacement Rating Agency or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and any of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Rating Agencies</w:t>
      </w:r>
      <w:r>
        <w:rPr>
          <w:rFonts w:ascii="Times New Roman;Times;Serif" w:hAnsi="Times New Roman;Times;Serif"/>
          <w:b w:val="false"/>
          <w:i w:val="false"/>
          <w:caps w:val="false"/>
          <w:smallCaps w:val="false"/>
          <w:sz w:val="20"/>
        </w:rPr>
        <w:t>” means (1) each of Moody’s and S&amp;P; and (2) if either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certified by a Board Resolution) as a replacement rating agency for Moody’s or S&amp;P, or both of them,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S&amp;P Global Ratings, a division of S&amp;P Global Inc., and any of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Restriction on Secured Debt</w:t>
      </w:r>
      <w:r>
        <w:rPr>
          <w:rFonts w:ascii="Times New Roman;Times;Serif" w:hAnsi="Times New Roman;Times;Serif"/>
          <w:b w:val="false"/>
          <w:i w:val="false"/>
          <w:caps w:val="false"/>
          <w:smallCaps w:val="false"/>
          <w:sz w:val="20"/>
        </w:rPr>
        <w:t>. The Company covenants, for the benefit of the Holders, that if the Company or any Restricted Subsidiary (as defined below) after the date hereof incurs or guarantees any loans, notes, bonds, debentures or other similar evidences of indebtedness for money borrowed (“</w:t>
      </w:r>
      <w:r>
        <w:rPr>
          <w:rFonts w:ascii="Times New Roman;Times;Serif" w:hAnsi="Times New Roman;Times;Serif"/>
          <w:b/>
          <w:i w:val="false"/>
          <w:caps w:val="false"/>
          <w:smallCaps w:val="false"/>
          <w:sz w:val="20"/>
        </w:rPr>
        <w:t>Certain Debt</w:t>
      </w:r>
      <w:r>
        <w:rPr>
          <w:rFonts w:ascii="Times New Roman;Times;Serif" w:hAnsi="Times New Roman;Times;Serif"/>
          <w:b w:val="false"/>
          <w:i w:val="false"/>
          <w:caps w:val="false"/>
          <w:smallCaps w:val="false"/>
          <w:sz w:val="20"/>
        </w:rPr>
        <w:t>”) secured by a mortgage, pledge or lien (“</w:t>
      </w:r>
      <w:r>
        <w:rPr>
          <w:rFonts w:ascii="Times New Roman;Times;Serif" w:hAnsi="Times New Roman;Times;Serif"/>
          <w:b/>
          <w:i w:val="false"/>
          <w:caps w:val="false"/>
          <w:smallCaps w:val="false"/>
          <w:sz w:val="20"/>
        </w:rPr>
        <w:t>Mortgage</w:t>
      </w:r>
      <w:r>
        <w:rPr>
          <w:rFonts w:ascii="Times New Roman;Times;Serif" w:hAnsi="Times New Roman;Times;Serif"/>
          <w:b w:val="false"/>
          <w:i w:val="false"/>
          <w:caps w:val="false"/>
          <w:smallCaps w:val="false"/>
          <w:sz w:val="20"/>
        </w:rPr>
        <w:t>”) on any Principal Property (as defined below) of the Company or any Restricted Subsidiary, or on any share of capital stock or Certain Debt of any Restricted Subsidiary, the Company shall secure or cause such Restricted Subsidiary to secure the Notes equally and ratably with (or, at the Company’s option, before) such secured Certain Debt, unless the aggregate principal amount of all such secured Certain Debt plus the amount of all Attributable Debt (as defined below) which is not excluded as described under Section 19(C) below would not exceed 10% of Consolidated Net Assets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restriction shall not apply to, and there shall be excluded from secured Certain Debt in any computation of the above restriction, Certain Debt secured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left"/>
              <w:rPr/>
            </w:pPr>
            <w:r>
              <w:rPr/>
              <w:t>Mortgages on property (including any shares of capital stock or Certain Debt) of any Person existing at the time such Person becomes a Restricted Subsidiary;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70"/>
        <w:gridCol w:w="9674"/>
      </w:tblGrid>
      <w:tr>
        <w:trPr/>
        <w:tc>
          <w:tcPr>
            <w:tcW w:w="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(b)</w:t>
            </w:r>
          </w:p>
        </w:tc>
        <w:tc>
          <w:tcPr>
            <w:tcW w:w="9674" w:type="dxa"/>
            <w:tcBorders/>
            <w:vAlign w:val="center"/>
          </w:tcPr>
          <w:p>
            <w:pPr>
              <w:pStyle w:val="TableContents"/>
              <w:bidi w:val="0"/>
              <w:spacing w:before="0" w:after="283"/>
              <w:jc w:val="left"/>
              <w:rPr/>
            </w:pPr>
            <w:r>
              <w:rPr/>
              <w:t>Mortgages in favor of the Company or a Restricted Subsidiary;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5"/>
        <w:gridCol w:w="9847"/>
      </w:tblGrid>
      <w:tr>
        <w:trPr/>
        <w:tc>
          <w:tcPr>
            <w:tcW w:w="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(c)</w:t>
            </w:r>
          </w:p>
        </w:tc>
        <w:tc>
          <w:tcPr>
            <w:tcW w:w="9847" w:type="dxa"/>
            <w:tcBorders/>
            <w:vAlign w:val="center"/>
          </w:tcPr>
          <w:p>
            <w:pPr>
              <w:pStyle w:val="TableContents"/>
              <w:bidi w:val="0"/>
              <w:spacing w:before="0" w:after="283"/>
              <w:jc w:val="left"/>
              <w:rPr/>
            </w:pPr>
            <w:r>
              <w:rPr/>
              <w:t>Mortgages in favor of governmental bodies to secure progress, advance or other payments;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left"/>
              <w:rPr/>
            </w:pPr>
            <w:r>
              <w:rPr/>
              <w:t>Mortgages on property, shares of capital stock or Certain Debt existing at the time of acquisition thereof (including acquisition through merger or consolidation) and purchase money and construction or improvement Mortgages which are entered into within 180 days after the acquisition of such property, shares or Certain Debt or, in the case of real property, within 180 days after the later of (A) the completion of construction on, substantial repair to, alteration or development of, or substantial improvement to, such property and (B) the commencement of commercial operations on such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(e)</w:t>
            </w:r>
          </w:p>
        </w:tc>
        <w:tc>
          <w:tcPr>
            <w:tcW w:w="9912" w:type="dxa"/>
            <w:tcBorders/>
            <w:vAlign w:val="center"/>
          </w:tcPr>
          <w:p>
            <w:pPr>
              <w:pStyle w:val="TableContents"/>
              <w:bidi w:val="0"/>
              <w:spacing w:before="0" w:after="283"/>
              <w:jc w:val="left"/>
              <w:rPr/>
            </w:pPr>
            <w:r>
              <w:rPr/>
              <w:t>mechanics’ and similar liens arising in the ordinary course of business in respect of obligations not due or being contested in good faith;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(f)</w:t>
            </w:r>
          </w:p>
        </w:tc>
        <w:tc>
          <w:tcPr>
            <w:tcW w:w="9964" w:type="dxa"/>
            <w:tcBorders/>
            <w:vAlign w:val="center"/>
          </w:tcPr>
          <w:p>
            <w:pPr>
              <w:pStyle w:val="TableContents"/>
              <w:bidi w:val="0"/>
              <w:spacing w:before="0" w:after="283"/>
              <w:jc w:val="left"/>
              <w:rPr/>
            </w:pPr>
            <w:r>
              <w:rPr/>
              <w:t>Mortgages arising from deposits with, or the giving of any form of security to, any governmental agency required as a condition to the transaction of business or to the exercise of any privilege, franchise or license;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(g)</w:t>
            </w:r>
          </w:p>
        </w:tc>
        <w:tc>
          <w:tcPr>
            <w:tcW w:w="9899" w:type="dxa"/>
            <w:tcBorders/>
            <w:vAlign w:val="center"/>
          </w:tcPr>
          <w:p>
            <w:pPr>
              <w:pStyle w:val="TableContents"/>
              <w:bidi w:val="0"/>
              <w:spacing w:before="0" w:after="283"/>
              <w:jc w:val="left"/>
              <w:rPr/>
            </w:pPr>
            <w:r>
              <w:rPr/>
              <w:t>Mortgages for taxes, assessments or government charges or levies which are not then due or, if delinquent, are being contested in good faith;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6"/>
        <w:gridCol w:w="9859"/>
      </w:tblGrid>
      <w:tr>
        <w:trPr/>
        <w:tc>
          <w:tcPr>
            <w:tcW w:w="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(h)</w:t>
            </w:r>
          </w:p>
        </w:tc>
        <w:tc>
          <w:tcPr>
            <w:tcW w:w="9859" w:type="dxa"/>
            <w:tcBorders/>
            <w:vAlign w:val="center"/>
          </w:tcPr>
          <w:p>
            <w:pPr>
              <w:pStyle w:val="TableContents"/>
              <w:bidi w:val="0"/>
              <w:spacing w:before="0" w:after="283"/>
              <w:jc w:val="left"/>
              <w:rPr/>
            </w:pPr>
            <w:r>
              <w:rPr/>
              <w:t>Mortgages (including judgment liens) arising from legal proceedings being contested in good faith;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552"/>
        <w:gridCol w:w="9562"/>
      </w:tblGrid>
      <w:tr>
        <w:trPr/>
        <w:tc>
          <w:tcPr>
            <w:tcW w:w="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pPr>
            <w:r>
              <w:rPr/>
              <w:t>(i)</w:t>
            </w:r>
          </w:p>
        </w:tc>
        <w:tc>
          <w:tcPr>
            <w:tcW w:w="9562" w:type="dxa"/>
            <w:tcBorders/>
            <w:vAlign w:val="center"/>
          </w:tcPr>
          <w:p>
            <w:pPr>
              <w:pStyle w:val="TableContents"/>
              <w:bidi w:val="0"/>
              <w:spacing w:before="0" w:after="283"/>
              <w:jc w:val="left"/>
              <w:rPr/>
            </w:pPr>
            <w:r>
              <w:rPr/>
              <w:t>Mortgages existing at the date hereof;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41"/>
        <w:gridCol w:w="9925"/>
      </w:tblGrid>
      <w:tr>
        <w:trPr/>
        <w:tc>
          <w:tcPr>
            <w:tcW w:w="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(j)</w:t>
            </w:r>
          </w:p>
        </w:tc>
        <w:tc>
          <w:tcPr>
            <w:tcW w:w="9925" w:type="dxa"/>
            <w:tcBorders/>
            <w:vAlign w:val="center"/>
          </w:tcPr>
          <w:p>
            <w:pPr>
              <w:pStyle w:val="TableContents"/>
              <w:bidi w:val="0"/>
              <w:spacing w:before="0" w:after="283"/>
              <w:jc w:val="left"/>
              <w:rPr/>
            </w:pPr>
            <w:r>
              <w:rPr/>
              <w:t>any extension, renewal or refunding of any Mortgage referred to in the clauses (a) through (i)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Restriction on Sale and Leaseback Transactions</w:t>
      </w:r>
      <w:r>
        <w:rPr>
          <w:rFonts w:ascii="Times New Roman;Times;Serif" w:hAnsi="Times New Roman;Times;Serif"/>
          <w:b w:val="false"/>
          <w:i w:val="false"/>
          <w:caps w:val="false"/>
          <w:smallCaps w:val="false"/>
          <w:sz w:val="20"/>
        </w:rPr>
        <w:t>. The Company covenants, for the benefit of the Holders, that the Company shall not itself, and shall not permit any Restricted Subsidiary to, enter into any sale and leaseback transaction involving any Principal Property, unless after giving effect thereto the aggregate amount of all Attributable Debt with respect to all such transactions plus the aggregate principal amount of all secured Certain Debt which is not excluded as described under Section 19(B) above would not exceed 10% of Consolidated Net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restriction shall not apply to, and there shall be excluded from Attributable Debt in any computation of the above restriction, any sale and leaseback transaction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lease is for a period, including renewal rights, of not in excess of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sale or transfer of the Principal Property is made within 180 days after its acquisition or within 180 days after the later of (1) the completion of construction on, substantial repair to, alteration or development of, or substantial improvement to, such property and (2) the commencement of commercial operations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transaction is between the Company and a Restricted Subsidiary, or between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or a Restricted Subsidiary would be entitled to incur a Mortgage on such Principal Property pursuant to clauses (a) through (j) of Section 19(B)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or a Restricted Subsidiary, within 180 days after the sale or transfer is completed, applies to the retirement of Funded Debt (as defined below) of the Company ranking on a parity with or senior to the Notes or Funded Debt of a Restricted Subsidiary, or to the purchase of other property which shall constitute a Principal Property having a fair market value at least equal to the fair market value of the Principal Property leased, an amount equal to the greater of the net proceeds of the sale of the Principal Property or the fair market value (as determined by the Board of Directors) of the Principal Property leased at the time of entering into such arrangement (as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 Upon any acceleration of the Notes (by declaration or otherwise), the principal of and premium, if any, and accrued and unpaid interest on the Notes shall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No Subordination</w:t>
      </w:r>
      <w:r>
        <w:rPr>
          <w:rFonts w:ascii="Times New Roman;Times;Serif" w:hAnsi="Times New Roman;Times;Serif"/>
          <w:b w:val="false"/>
          <w:i w:val="false"/>
          <w:caps w:val="false"/>
          <w:smallCaps w:val="false"/>
          <w:sz w:val="20"/>
        </w:rPr>
        <w:t>: Article XIII of the Indenture shall not be applicable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Form of Note</w:t>
      </w:r>
      <w:r>
        <w:rPr>
          <w:rFonts w:ascii="Times New Roman;Times;Serif" w:hAnsi="Times New Roman;Times;Serif"/>
          <w:b w:val="false"/>
          <w:i w:val="false"/>
          <w:caps w:val="false"/>
          <w:smallCaps w:val="false"/>
          <w:sz w:val="20"/>
        </w:rPr>
        <w:t>. The form of the Note attached hereto as Exhibit A is hereby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foregoing form and terms of the Notes have been established in conformity with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undersigned has read the Indenture, including the applicable conditions precedent set forth therein, and has examined the resolutions referred to in the Recital of this Certificate, this Certificate and the Notes and, in the opinion of the undersigned, has made such examination or investigation as is necessary to enable the undersigned to express an informed opinion as to whether or not all conditions precedent provided in the Indenture relating to the establishment, authentication and delivery of the Notes have been complied with. In the opinion of the undersigned and on the basis of the foregoing,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Attributable Debt</w:t>
      </w:r>
      <w:r>
        <w:rPr>
          <w:rFonts w:ascii="Times New Roman;Times;Serif" w:hAnsi="Times New Roman;Times;Serif"/>
          <w:b w:val="false"/>
          <w:i w:val="false"/>
          <w:caps w:val="false"/>
          <w:smallCaps w:val="false"/>
          <w:sz w:val="20"/>
        </w:rPr>
        <w:t>” shall mean, as to any particular lease, the greater of: (A) the fair market value of the property subject to the lease (as determined by the Board of Directors); or (B) the total net amount of rent required to be paid during the remaining term of the lease, discounted by the weighted average effective interest cost per annum of the Outstanding debt securities of all series, compounded semi-annually.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Net Assets</w:t>
      </w:r>
      <w:r>
        <w:rPr>
          <w:rFonts w:ascii="Times New Roman;Times;Serif" w:hAnsi="Times New Roman;Times;Serif"/>
          <w:b w:val="false"/>
          <w:i w:val="false"/>
          <w:caps w:val="false"/>
          <w:smallCaps w:val="false"/>
          <w:sz w:val="20"/>
        </w:rPr>
        <w:t>” shall mean total assets after deducting all current liabilities as set forth in the most recent balance sheet of the Company and its consolidated Subsidiaries and computed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Funded Debt</w:t>
      </w:r>
      <w:r>
        <w:rPr>
          <w:rFonts w:ascii="Times New Roman;Times;Serif" w:hAnsi="Times New Roman;Times;Serif"/>
          <w:b w:val="false"/>
          <w:i w:val="false"/>
          <w:caps w:val="false"/>
          <w:smallCaps w:val="false"/>
          <w:sz w:val="20"/>
        </w:rPr>
        <w:t>” shall mean all indebtedness for money borrowed having a maturity of more than twelve months from the date as of which the determination is made, or having a maturity of twelve months or less but by its terms being renewable or extendible beyond twelve months from such date at the option of the borrower; and rental obligations payable more than twelve months from such date under leases which are capitalized in accordance with GAAP (such rental obligations to be included as Funded Debt at the amount so capitalized and to be included as an asset for the purposes of the definition of Consolidated Net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of America (including, if applicable, International Financial Reporting Standards)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Notes</w:t>
      </w:r>
      <w:r>
        <w:rPr>
          <w:rFonts w:ascii="Times New Roman;Times;Serif" w:hAnsi="Times New Roman;Times;Serif"/>
          <w:b w:val="false"/>
          <w:i w:val="false"/>
          <w:caps w:val="false"/>
          <w:smallCaps w:val="false"/>
          <w:sz w:val="20"/>
        </w:rPr>
        <w:t>” shall mean Notes that are substantially in the form of the Note attached hereto as Exhibit A, and that are registered in the Security Register in the name of DTC or a nominee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any individual, corporation, partnership, joint venture, association, joint stock company, trust,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Property</w:t>
      </w:r>
      <w:r>
        <w:rPr>
          <w:rFonts w:ascii="Times New Roman;Times;Serif" w:hAnsi="Times New Roman;Times;Serif"/>
          <w:b w:val="false"/>
          <w:i w:val="false"/>
          <w:caps w:val="false"/>
          <w:smallCaps w:val="false"/>
          <w:sz w:val="20"/>
        </w:rPr>
        <w:t>” shall mean any plant, facility or warehouse owned on the date hereof or thereafter acquired by the Company or any Restricted Subsidiary of the Company which is located within the United States and the gross book value (including related land and improvements thereon and all machinery and equipment included therein without deduction of any depreciation reserves) of which on the date of determination exceeds 2% of Consolidated Net Assets, other than: (A) any such manufacturing or processing plant or warehouse or any portion thereof (together with the land on which it is erected and fixtures comprising a part thereof) which is financed by industrial development bonds which are tax exempt pursuant to Section 103 of the Internal Revenue Code (or which receive similar tax treatment under any subsequent amendments thereto or any successor laws thereof or under any other similar statute of the United States); (B) any property which, in the opinion the Board of Directors, is not of material importance to the total business conducted by the Company and its consolidated Subsidiaries as an entirety; or (C) any portion of a particular property which is similarly found not to be of material importance to the use or operation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means the date specified by the Company in a notice of redemption on which the Notes may be redeemed in accordance with the terms of the Notes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Subsidiary</w:t>
      </w:r>
      <w:r>
        <w:rPr>
          <w:rFonts w:ascii="Times New Roman;Times;Serif" w:hAnsi="Times New Roman;Times;Serif"/>
          <w:b w:val="false"/>
          <w:i w:val="false"/>
          <w:caps w:val="false"/>
          <w:smallCaps w:val="false"/>
          <w:sz w:val="20"/>
        </w:rPr>
        <w:t>” means a Subsidiary of the Company (A) substantially all the property of which is located, or substantially all the business of which is carried on, within the United States, and (B) which owns a Principal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or other Person more than 50% of the Outstanding Voting Stock (measured by voting power rather than number of shares) of which at the date of determination is owned, directly or indirectly, by the Company and/or by one or more other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means capital stock (or equivalent equity interests) of a Person of the class or classes having general voting power under ordinary circumstances to elect at least a majority of the board of directors, managers or trustees of such Person (irrespective of whether or not at the time capital stock (or equivalent equity interests) of any other class or classes has or might have voting power upon the occurrence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This Officers’ Certificate shall be governed by, and construed in accordance with, the laws of the State of New York, without regard to conflicts of law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Electronic Signatures.</w:t>
      </w:r>
      <w:r>
        <w:rPr>
          <w:rFonts w:ascii="Times New Roman;Times;Serif" w:hAnsi="Times New Roman;Times;Serif"/>
          <w:b w:val="false"/>
          <w:i w:val="false"/>
          <w:caps w:val="false"/>
          <w:smallCaps w:val="false"/>
          <w:sz w:val="20"/>
        </w:rPr>
        <w:t xml:space="preserve"> This Officers’ Certificate (and any other document executed in accordance with the Indenture) shall be valid, binding, and enforceable against the Company when executed and delivered by an authorized individual on behalf of the Company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(collectively, “</w:t>
      </w:r>
      <w:r>
        <w:rPr>
          <w:rFonts w:ascii="Times New Roman;Times;Serif" w:hAnsi="Times New Roman;Times;Serif"/>
          <w:b/>
          <w:i w:val="false"/>
          <w:caps w:val="false"/>
          <w:smallCaps w:val="false"/>
          <w:sz w:val="20"/>
        </w:rPr>
        <w:t>Signature Law</w:t>
      </w:r>
      <w:r>
        <w:rPr>
          <w:rFonts w:ascii="Times New Roman;Times;Serif" w:hAnsi="Times New Roman;Times;Serif"/>
          <w:b w:val="false"/>
          <w:i w:val="false"/>
          <w:caps w:val="false"/>
          <w:smallCaps w:val="false"/>
          <w:sz w:val="20"/>
        </w:rPr>
        <w:t>”), in each case to the extent applicable. Each faxed, scanned, or photocopied manual signature, or other electronic signature, shall for all purposes have the same validity, legal effect, and admissibility in evidence as an original manual signature. The Company and the Trustee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Officers’ Certificate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hereunto executed this Certificate as of the 24th day of August, 2026.</w:t>
      </w:r>
    </w:p>
    <w:p>
      <w:pPr>
        <w:pStyle w:val="TextBody"/>
        <w:bidi w:val="0"/>
        <w:spacing w:before="0" w:after="0"/>
        <w:ind w:left="0" w:right="0" w:hanging="0"/>
        <w:jc w:val="left"/>
        <w:rPr>
          <w:caps w:val="false"/>
          <w:smallCaps w:val="false"/>
        </w:rPr>
      </w:pPr>
      <w:r>
        <w:rPr>
          <w:caps w:val="false"/>
          <w:smallCaps w:val="false"/>
        </w:rPr>
        <w:t> </w:t>
      </w:r>
    </w:p>
    <w:tbl>
      <w:tblPr>
        <w:tblW w:w="5739" w:type="dxa"/>
        <w:jc w:val="left"/>
        <w:tblInd w:w="0" w:type="dxa"/>
        <w:tblLayout w:type="fixed"/>
        <w:tblCellMar>
          <w:top w:w="0" w:type="dxa"/>
          <w:left w:w="0" w:type="dxa"/>
          <w:bottom w:w="0" w:type="dxa"/>
          <w:right w:w="0" w:type="dxa"/>
        </w:tblCellMar>
      </w:tblPr>
      <w:tblGrid>
        <w:gridCol w:w="80"/>
        <w:gridCol w:w="1613"/>
        <w:gridCol w:w="4046"/>
      </w:tblGrid>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AVNET, INC.,</w:t>
            </w:r>
          </w:p>
        </w:tc>
      </w:tr>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York corporation</w:t>
            </w:r>
          </w:p>
        </w:tc>
      </w:tr>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Kenneth A. Jacobson</w:t>
            </w:r>
          </w:p>
        </w:tc>
      </w:tr>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6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R. McCoy</w:t>
            </w:r>
          </w:p>
        </w:tc>
      </w:tr>
      <w:tr>
        <w:trPr/>
        <w:tc>
          <w:tcPr>
            <w:tcW w:w="80"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General Counsel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Officers’ Certificate Pursuant to the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A GLOBAL NOTE WITHIN THE MEANING OF THE INDENTURE HEREINAFTER REFERRED TO AND IS REGISTERED IN THE NAME OF THE DEPOSITORY TRUST COMPANY (“DTC”) OR A NOMINEE THEREOF. THIS NOTE MAY NOT BE TRANSFERRED TO, OR REGISTERED OR EXCHANGED FOR NOTES REGISTERED IN THE NAME OF, ANY PERSON OTHER THAN DTC OR A NOMINEE THEREOF, AND NO SUCH TRANSFER MAY BE REGISTERED, EXCEPT IN THE LIMITED CIRCUMSTANCES DESCRIBED IN THE INDENTURE. EVERY NOTE AUTHENTICATED AND DELIVERED UPON REGISTRATION OF TRANSFER OF, OR IN EXCHANGE FOR, OR IN LIEU OF, THIS NOTE WILL BE A GLOBAL NOTE SUBJECT TO THE FOREGOING,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AVNET,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 Notes due 2031</w:t>
      </w:r>
    </w:p>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320"/>
        <w:gridCol w:w="90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905"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AVNET, INC., a corporation duly organized and existing under the laws of the State of New York (hereinafter called the “Company,” which term includes any successor Person under the Indenture hereinafter referred to), for value received, hereby promises to pay to , or its registered assigns, the principal sum of $                  on September 1, 2031, and to pay interest thereon from August 24, 2026 or from the most recent Interest Payment Date to which interest has been paid or duly provided for, on September 1 and March 1 in each year, commencing on March 1, 2027, at the rate of 5.650% per annum, until the principal hereof is paid or made available for payment. The interest so payable, and punctually paid or duly provided for, on any Interest Payment Date shall, as provided in such Indenture, be paid to the Person in whose name this Note (or one or more Predecessor Securities) is registered in the Security Register at the close of business on the Regular Record Date for such interest, which shall be the August 15 or February 15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Note (or one or more Predecessor Securities) is registered in the Security Register at the close of business on a Special Record Date for the payment of such Defaulted Interest to be fixed by the Trustee, notice whereof shall be given to Holders not less than 10 calendar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SET FORTH ON THE REVERSE HEREOF. SUCH PROVISIONS SHALL FOR ALL PURPOSES HAVE THE SAME EFFECT AS THOUGH FULLY SET FORTH IN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herein has been signed manually by the Trustee under the Indenture referred to on the reverse side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in accordance with the Indenture.</w:t>
      </w:r>
    </w:p>
    <w:p>
      <w:pPr>
        <w:pStyle w:val="TextBody"/>
        <w:bidi w:val="0"/>
        <w:spacing w:before="0" w:after="0"/>
        <w:ind w:left="0" w:right="0" w:hanging="0"/>
        <w:jc w:val="left"/>
        <w:rPr>
          <w:caps w:val="false"/>
          <w:smallCaps w:val="false"/>
        </w:rPr>
      </w:pPr>
      <w:r>
        <w:rPr>
          <w:caps w:val="false"/>
          <w:smallCaps w:val="false"/>
        </w:rPr>
        <w:t> </w:t>
      </w:r>
    </w:p>
    <w:tbl>
      <w:tblPr>
        <w:tblW w:w="1539" w:type="dxa"/>
        <w:jc w:val="left"/>
        <w:tblInd w:w="0" w:type="dxa"/>
        <w:tblLayout w:type="fixed"/>
        <w:tblCellMar>
          <w:top w:w="0" w:type="dxa"/>
          <w:left w:w="0" w:type="dxa"/>
          <w:bottom w:w="0" w:type="dxa"/>
          <w:right w:w="0" w:type="dxa"/>
        </w:tblCellMar>
      </w:tblPr>
      <w:tblGrid>
        <w:gridCol w:w="80"/>
        <w:gridCol w:w="517"/>
        <w:gridCol w:w="942"/>
      </w:tblGrid>
      <w:tr>
        <w:trPr/>
        <w:tc>
          <w:tcPr>
            <w:tcW w:w="8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AVNET, INC.</w:t>
            </w:r>
          </w:p>
        </w:tc>
      </w:tr>
      <w:tr>
        <w:trPr/>
        <w:tc>
          <w:tcPr>
            <w:tcW w:w="8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By:</w:t>
            </w:r>
          </w:p>
        </w:tc>
        <w:tc>
          <w:tcPr>
            <w:tcW w:w="94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pPr>
            <w:r>
              <w:rPr/>
              <w:t>Name:</w:t>
            </w:r>
          </w:p>
        </w:tc>
      </w:tr>
      <w:tr>
        <w:trPr/>
        <w:tc>
          <w:tcPr>
            <w:tcW w:w="8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of Avnet, Inc., do hereby certify that is the duly elected, qualified and acting                           of Avnet, Inc. and that the signature of                              set forth above is his genuine signature.</w:t>
      </w:r>
    </w:p>
    <w:p>
      <w:pPr>
        <w:pStyle w:val="TextBody"/>
        <w:bidi w:val="0"/>
        <w:spacing w:before="0" w:after="0"/>
        <w:ind w:left="0" w:right="0" w:hanging="0"/>
        <w:jc w:val="left"/>
        <w:rPr>
          <w:caps w:val="false"/>
          <w:smallCaps w:val="false"/>
        </w:rPr>
      </w:pPr>
      <w:r>
        <w:rPr>
          <w:caps w:val="false"/>
          <w:smallCaps w:val="false"/>
        </w:rPr>
        <w:t> </w:t>
      </w:r>
    </w:p>
    <w:tbl>
      <w:tblPr>
        <w:tblW w:w="160" w:type="dxa"/>
        <w:jc w:val="left"/>
        <w:tblInd w:w="0" w:type="dxa"/>
        <w:tblLayout w:type="fixed"/>
        <w:tblCellMar>
          <w:top w:w="0" w:type="dxa"/>
          <w:left w:w="0" w:type="dxa"/>
          <w:bottom w:w="0" w:type="dxa"/>
          <w:right w:w="0" w:type="dxa"/>
        </w:tblCellMar>
      </w:tblPr>
      <w:tblGrid>
        <w:gridCol w:w="80"/>
        <w:gridCol w:w="80"/>
      </w:tblGrid>
      <w:tr>
        <w:trPr/>
        <w:tc>
          <w:tcPr>
            <w:tcW w:w="80" w:type="dxa"/>
            <w:tcBorders/>
            <w:vAlign w:val="center"/>
          </w:tcPr>
          <w:p>
            <w:pPr>
              <w:pStyle w:val="TableContents"/>
              <w:bidi w:val="0"/>
              <w:spacing w:before="0" w:after="283"/>
              <w:jc w:val="lef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8559" w:type="dxa"/>
        <w:jc w:val="left"/>
        <w:tblInd w:w="0" w:type="dxa"/>
        <w:tblLayout w:type="fixed"/>
        <w:tblCellMar>
          <w:top w:w="0" w:type="dxa"/>
          <w:left w:w="0" w:type="dxa"/>
          <w:bottom w:w="0" w:type="dxa"/>
          <w:right w:w="0" w:type="dxa"/>
        </w:tblCellMar>
      </w:tblPr>
      <w:tblGrid>
        <w:gridCol w:w="80"/>
        <w:gridCol w:w="1268"/>
        <w:gridCol w:w="7211"/>
      </w:tblGrid>
      <w:tr>
        <w:trPr/>
        <w:tc>
          <w:tcPr>
            <w:tcW w:w="80" w:type="dxa"/>
            <w:tcBorders/>
            <w:vAlign w:val="center"/>
          </w:tcPr>
          <w:p>
            <w:pPr>
              <w:pStyle w:val="TableContents"/>
              <w:bidi w:val="0"/>
              <w:spacing w:before="0" w:after="283"/>
              <w:jc w:val="left"/>
              <w:rPr/>
            </w:pPr>
            <w:r>
              <w:rPr/>
              <w:t> </w:t>
            </w:r>
          </w:p>
        </w:tc>
        <w:tc>
          <w:tcPr>
            <w:tcW w:w="8479" w:type="dxa"/>
            <w:gridSpan w:val="2"/>
            <w:tcBorders/>
            <w:vAlign w:val="center"/>
          </w:tcPr>
          <w:p>
            <w:pPr>
              <w:pStyle w:val="TableContents"/>
              <w:bidi w:val="0"/>
              <w:spacing w:before="0" w:after="283"/>
              <w:jc w:val="left"/>
              <w:rPr/>
            </w:pPr>
            <w:r>
              <w:rPr/>
              <w:t>COMPUTERSHARE TRUST COMPANY, NATIONAL ASSOCIATION, as Trustee</w:t>
            </w:r>
          </w:p>
        </w:tc>
      </w:tr>
      <w:tr>
        <w:trPr/>
        <w:tc>
          <w:tcPr>
            <w:tcW w:w="8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7211"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By:</w:t>
            </w:r>
          </w:p>
        </w:tc>
        <w:tc>
          <w:tcPr>
            <w:tcW w:w="721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7211"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720" w:type="dxa"/>
        <w:jc w:val="left"/>
        <w:tblInd w:w="0" w:type="dxa"/>
        <w:tblLayout w:type="fixed"/>
        <w:tblCellMar>
          <w:top w:w="0" w:type="dxa"/>
          <w:left w:w="0" w:type="dxa"/>
          <w:bottom w:w="0" w:type="dxa"/>
          <w:right w:w="0" w:type="dxa"/>
        </w:tblCellMar>
      </w:tblPr>
      <w:tblGrid>
        <w:gridCol w:w="575"/>
        <w:gridCol w:w="65"/>
        <w:gridCol w:w="8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5.650% Notes due 2031 of the Company (herein called the “Notes”), and is to be issued under an indenture, dated as of June 22, 2010 (as amended and supplemented, the “Base Indenture”), between the Company and Computershare Trust Company, National Association, as successor to Wells Fargo Bank, National Association, as trustee under the Indenture (as defined below) (herein called the “Trustee”, which term includes any successor trustee under the Base Indenture), and an Officers’ Certificate, dated as of August 24, 2026, setting forth the terms of the Notes (together with the Base Indenture, the “Indenture”), to which Indenture reference is hereby made for a statement of the respective rights, limitations of rights, duties and immunities thereunder of the Company, the Trustee and the Holders and of the terms upon which the Notes are, and are to be, authenticated and delivered. This Note is one of the series designated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The Notes shall bear interest from August 24, 2026 at the annual rate of 5.650%.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below or in the Indenture, interest on any Note which shall be payable, and shall be punctually paid or duly provided for, on any Interest Payment Date shall be paid to the Person in whose name the Note is registered in the Security Register at the close of business on the Regular Record Date for such interest. Interest on the Notes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Method of Payment</w:t>
      </w:r>
      <w:r>
        <w:rPr>
          <w:rFonts w:ascii="Times New Roman;Times;Serif" w:hAnsi="Times New Roman;Times;Serif"/>
          <w:b w:val="false"/>
          <w:i w:val="false"/>
          <w:caps w:val="false"/>
          <w:smallCaps w:val="false"/>
          <w:sz w:val="20"/>
        </w:rPr>
        <w:t>. So long as the Notes are in the form of registered Global Notes, the Company shall wire, through the facilities of the Trustee, payments of principal of, and premium, if any, and interest on or the Redemption Price of the Notes, to the registered owner of the Global Notes. The registered owner of the Global Notes initially will be Cede &amp; Co., the nominee of DTC. The Company shall pay cash amounts in money of the United States that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The Notes are the Company’s senior unsecured obligations, and the aggregate principal amount of Notes that may be authenticated and delivered under the Indenture is unlimited. The terms, conditions and provisions of the Notes are those stated in the Indenture, those made part of the Indenture by reference to the Trust Indenture Act of 1939, as amended, and those set forth in the Notes. To the extent permitted by applicable law, in the event of any inconsistency between the terms of this Note and the terms of the Indenture, the terms of the Indenture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Redemption at the Option of the Company</w:t>
      </w:r>
      <w:r>
        <w:rPr>
          <w:rFonts w:ascii="Times New Roman;Times;Serif" w:hAnsi="Times New Roman;Times;Serif"/>
          <w:b w:val="false"/>
          <w:i w:val="false"/>
          <w:caps w:val="false"/>
          <w:smallCaps w:val="false"/>
          <w:sz w:val="20"/>
        </w:rPr>
        <w:t>. Prior to the Par Call Date, the Company may redeem the Notes, in whole or in part, at its option, at any time and from time to time at a Redemption Price (expressed as a percentage of principal amount and rounded to three decimal places) equal to the greater of: (a)(i)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(ii) interest accrued to, but excluding the Redemption Date, and (b) 100% of the principal amount of the Notes to be redeemed, plus, in either case, accrued and unpaid interest thereon to, but excluding, the Redemption Date. On or after the Par Call Date, the Company may redeem the Notes, in whole or in part, at its option, at any time and from time to time at a Redemption Price equal to 100% of the principal amount of the Notes being redeemed plus accrued and unpaid interest thereon to, but excluding, the Redemption Date. The principal amount of a Note remaining Outstanding after redemption in part must be $2,000 or an integral multiple of $1,000 in excess thereof. Any Note that is to be redeemed only in part shall be surrendered at a Place of Payment therefor, and the Company shall execute, and the Trustee shall authenticate and deliver to the Holder of such Note without service charge, a new Note of any authorized denomination, as requested by such Holder, in aggregate principal amount equal to and in exchange for the unredeemed portion of the principal of the Note so surrendered upon cancellation of the original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of the Notes to be redeemed at the election of the Company shall be given by the Company or, at the Company’s request, by the Trustee in the name and at the expense of the Company and shall be irrevocable. Notice of redemption shall be mailed (or otherwise transmitted in accordance with the depositary’s procedures), at least 10 but not more than 60 calendar days prior to the Redemption Date, to each Holder of Notes to be redeemed. Once notice of redemption has been given in accordance with the Indenture, the Notes so to be redeemed shall, on the Redemption Date, become due and payable at the Redemption Price therein specified, and from and after such date (unless the Company defaults in the payment of the Redemption Price and accrued interest) such Notes will cease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Offer to Repurchase on a Change of Control Triggering Event</w:t>
      </w:r>
      <w:r>
        <w:rPr>
          <w:rFonts w:ascii="Times New Roman;Times;Serif" w:hAnsi="Times New Roman;Times;Serif"/>
          <w:b w:val="false"/>
          <w:i w:val="false"/>
          <w:caps w:val="false"/>
          <w:smallCaps w:val="false"/>
          <w:sz w:val="20"/>
        </w:rPr>
        <w:t>: If a Change of Control Triggering Event occurs, unless the Company has exercised its right to redeem the Notes in accordance with Paragraph 4 hereof, each Holder shall have the right to require the Company to repurchase all or any part of such Holder’s Notes pursuant to the Change of Control Offer on the terms set forth herein, and in the Indenture. In the Change of Control Offer, the Company shall offer payment in cash equal to 101% of the aggregate principal amount of Notes repurchased plus accrued and unpaid interest, if any, on the Notes repurchased, to the repurchase date (subject to the right of Holders of record on the relevant Regular Record Date to receive interest due on the Interest Payment Date). The principal amount of a Note remaining Outstanding after a repurchase in part must be $2,000 or an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30 days following the date upon which the Change of Control Triggering Event has occurred or, at the Company’s option, prior to any Change of Control, but after the public announcement of the transaction that may or shall constitute a Change of Control, except to the extent that the Company has exercised its right to redeem the Notes in accordance with Paragraph 4 hereof, the Company shall cause a notice to be mailed to each Holder with a copy to the Trustee describing the transaction or transactions that may or shall constitute a Change of Control Triggering Event and offering to repurchase the Notes on the date specified in the notice, which date shall be no earlier than 30 days, but no later than 60 days from the date such notice is mailed (the “Change of Control Payment Date”). The notice shall, if mailed prior to the date of consummation of the Change of Control, state that the Change of Control Offer is conditioned on the Change of Control being consummated on or prior to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the Company shall, to the extent lawful: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accept for payment all Notes or portions of Notes properly tendered pursuant to the Change of Control Offer;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deposit with the Paying Agent an amount equal to the Change of Control Payment in respect of all Notes or portions of Notes properly tendered pursuant to the applicable Change of Control Offer;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deliver or cause to be delivered to the Trustee the Notes properly accepted together with an Officers’ Certificate stating the aggregate principal amount of Notes or portions of Notes being purchased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Defeasance</w:t>
      </w:r>
      <w:r>
        <w:rPr>
          <w:rFonts w:ascii="Times New Roman;Times;Serif" w:hAnsi="Times New Roman;Times;Serif"/>
          <w:b w:val="false"/>
          <w:i w:val="false"/>
          <w:caps w:val="false"/>
          <w:smallCaps w:val="false"/>
          <w:sz w:val="20"/>
        </w:rPr>
        <w:t>. The Indenture contains provisions for defeasance at any time of (a) the entire indebtedness evidenced by this Note or (b) certain restrictive covenants and Events of Default with respect to this Note, in each case upon compliance with certain conditions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Persons Deemed Owners</w:t>
      </w:r>
      <w:r>
        <w:rPr>
          <w:rFonts w:ascii="Times New Roman;Times;Serif" w:hAnsi="Times New Roman;Times;Serif"/>
          <w:b w:val="false"/>
          <w:i w:val="false"/>
          <w:caps w:val="false"/>
          <w:smallCaps w:val="false"/>
          <w:sz w:val="20"/>
        </w:rPr>
        <w:t>. Prior to due presentment of this Note for registration of transfer, the Company, the Trustee and any agent of the Company or the Trustee may treat the Person in whose name this Note is registered as the owner hereof for all purposes, whether or not this Note shall be overdue, and neither the Company, the Trustee nor any agent of the Company or the Trustee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Amendment; Waiver</w:t>
      </w:r>
      <w:r>
        <w:rPr>
          <w:rFonts w:ascii="Times New Roman;Times;Serif" w:hAnsi="Times New Roman;Times;Serif"/>
          <w:b w:val="false"/>
          <w:i w:val="false"/>
          <w:caps w:val="false"/>
          <w:smallCaps w:val="false"/>
          <w:sz w:val="20"/>
        </w:rPr>
        <w:t>. The Indenture permits the amendment thereof and the modification of the rights and obligations of the Company and the rights of the Holders under the Indenture and this Note at any time by the Company and the Trustee with the consent of the Holders of not less than a majority in principal amount of the Outstanding Notes affected by the modification or amendment, except for certain amendments and modifications requiring the consent of the Holders of all Outstanding Notes affected thereby and for certain other amendments and modifications that may be made without the consent of the Holders. The Company may also omit in any particular instance to comply with the provisions of the Indenture, with respect to the Notes, if the Holders of a majority in principal amount of the Outstanding Notes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Notes may on behalf of the Holders of all the Notes waive any past default under the Indenture with respect to such Notes and its consequences, except a default (i) in the payment of the principal of or any premium or interest on any Note or (ii) in respect of a covenant or provision under the Indenture which cannot be modified or amended without the consent of the Holder of each Outstanding Note affected. Upon any such waiver, such default shall cease to exist, and any Event of Default arising therefrom shall be deemed to have been cured, for every purpose of the Indenture,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caps w:val="false"/>
          <w:smallCaps w:val="false"/>
          <w:sz w:val="20"/>
        </w:rPr>
        <w:t>Defaults and Remedies</w:t>
      </w:r>
      <w:r>
        <w:rPr>
          <w:rFonts w:ascii="Times New Roman;Times;Serif" w:hAnsi="Times New Roman;Times;Serif"/>
          <w:b w:val="false"/>
          <w:i w:val="false"/>
          <w:caps w:val="false"/>
          <w:smallCaps w:val="false"/>
          <w:sz w:val="20"/>
        </w:rPr>
        <w:t>. If an Event of Default (other than an Event of Default specified in Sections 8.01(a)(v) and 8.01(a)(vi) of the Indenture) occurs and shall be continuing, then in every case either the Trustee or the Holders of at least 25% in principal amount of the Notes then Outstanding may declare the principal amount and the accrued and unpaid interest thereon, if any, of the Notes to be due and payable immediately, by a notice in writing to the Company (and to the Trustee if given by Holders), and upon any such declaration such principal amount and the accrued and unpaid interest thereon, if any, will become immediately due and payable. If an Event of Default specified in Sections 8.01(a)(v) and 8.01(a)(vi) of the Indenture occurs and shall be continuing, then the principal of, and premium, if any, and accrued and unpaid interest, if any, on, the Notes shall become immediately due and payable without any declaration or other act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Note shall have any right to institute any proceeding, judicial or otherwise, with respect to the Indenture, or for the appointment of a receiver or trustee, or for any other remedy under the Indenture, unless (a) such Holder has previously given written notice to the Trustee of a continuing Event of Default with respect to the Notes, (b) the Holders of not less than 25% in principal amount of the Outstanding Notes shall have made written request to the Trustee to institute proceedings in respect of such Event of Default in its own name as Trustee under the Indenture, (c) such Holder or Holders have offered to the Trustee indemnity satisfactory to the Trustee against the costs, expenses, and liabilities to be incurred in compliance with such request, (d) the Trustee for 60 calendar days after its receipt of such notice, request, and offer of indemnity has failed to institute any such proceeding, and (e) no direction inconsistent with such written request has been given to the Trustee during such 60-day period by the Holders of a majority in principal amount of the Outstanding Notes, it being understood and intended that no one or more of such Holders shall have any right in any manner whatever by virtue of, or by availing of, any provision of the Indenture to affect, disturb, or prejudice the rights of any other of such Holders (it being understood that the Trustee does not have an affirmative duty to ascertain whether or not such actions or forbearances are unduly prejudicial to such Holders), or to obtain or to seek to obtain priority or preference over any other of such Holders or to enforce any right under the Indenture, except in the manner provided in the Indenture and for the equal and ratable benefit of all of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provisions of this Note or of the Indenture shall alter or impair the obligation of the Company, which is absolute and unconditional, to pay the principal of and any premium and interest on this Note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caps w:val="false"/>
          <w:smallCaps w:val="false"/>
          <w:sz w:val="20"/>
        </w:rPr>
        <w:t>Transfers and Exchanges of the Notes</w:t>
      </w:r>
      <w:r>
        <w:rPr>
          <w:rFonts w:ascii="Times New Roman;Times;Serif" w:hAnsi="Times New Roman;Times;Serif"/>
          <w:b w:val="false"/>
          <w:i w:val="false"/>
          <w:caps w:val="false"/>
          <w:smallCaps w:val="false"/>
          <w:sz w:val="20"/>
        </w:rPr>
        <w:t>. As provided in the Indenture and subject to certain limitations therein set forth, the transfer of this Note is registrable in the Security Register, upon surrender of this Note for registration of transfer at the office or agency of the Company in any Place of Payment for the Notes,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shall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in registered form only in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Trustee Dealings with the Company</w:t>
      </w:r>
      <w:r>
        <w:rPr>
          <w:rFonts w:ascii="Times New Roman;Times;Serif" w:hAnsi="Times New Roman;Times;Serif"/>
          <w:b w:val="false"/>
          <w:i w:val="false"/>
          <w:caps w:val="false"/>
          <w:smallCaps w:val="false"/>
          <w:sz w:val="20"/>
        </w:rPr>
        <w:t>. The Trustee, any Authenticating Agent, any Paying Agent, any Security Registrar or any other agent of the Company, in its individual or any other capacity, may become the owner or pledgee of Notes and, subject to certain provisions of the Indenture, may otherwise deal with the Company with the same rights it would have if it were not the Trustee, Authenticating Agent, Paying Agent, Security Registrar, or such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No Recourse Against Others</w:t>
      </w:r>
      <w:r>
        <w:rPr>
          <w:rFonts w:ascii="Times New Roman;Times;Serif" w:hAnsi="Times New Roman;Times;Serif"/>
          <w:b w:val="false"/>
          <w:i w:val="false"/>
          <w:caps w:val="false"/>
          <w:smallCaps w:val="false"/>
          <w:sz w:val="20"/>
        </w:rPr>
        <w:t>. A director, officer or employee or stockholder, as such of the Company, shall not have any liability for any obligations of the Company under the Notes or the Indenture or for any claim based on, in respect of or by reason of such obligations or their creation. By accepting a Note, each Holder waives and releases all such liability. The waiver and release shall be part of the consideration for the issue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NOTE SHALL BE GOVERNED BY AND CONSTRUED IN ACCORDANCE WITH THE LAWS OF THE STATE OF NEW YORK, WITHOUT REGARD TO CONFLICTS OF LAW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rPr>
        <w:t>Copy of Indenture</w:t>
      </w:r>
      <w:r>
        <w:rPr>
          <w:rFonts w:ascii="Times New Roman;Times;Serif" w:hAnsi="Times New Roman;Times;Serif"/>
          <w:b w:val="false"/>
          <w:i w:val="false"/>
          <w:caps w:val="false"/>
          <w:smallCaps w:val="false"/>
          <w:sz w:val="20"/>
        </w:rPr>
        <w:t>. The Company shall furnish to any Holder upon written request and without charge a copy of the Indenture which has in it the text of this Note. Requests may be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AVNET,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 South 47th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Phoenix, Arizona 85034</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All terms used in this Note that are defined in the Indenture shall have the respective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 (I) or (We) assign and transfer this Note to</w:t>
      </w:r>
    </w:p>
    <w:p>
      <w:pPr>
        <w:pStyle w:val="TextBody"/>
        <w:bidi w:val="0"/>
        <w:spacing w:before="0" w:after="0"/>
        <w:ind w:left="0" w:right="0" w:hanging="0"/>
        <w:jc w:val="left"/>
        <w:rPr>
          <w:caps w:val="false"/>
          <w:smallCaps w:val="false"/>
        </w:rPr>
      </w:pPr>
      <w:r>
        <w:rPr>
          <w:caps w:val="false"/>
          <w:smallCaps w:val="false"/>
        </w:rPr>
        <w:t> </w:t>
      </w:r>
    </w:p>
    <w:tbl>
      <w:tblPr>
        <w:tblW w:w="3335" w:type="dxa"/>
        <w:jc w:val="left"/>
        <w:tblInd w:w="0" w:type="dxa"/>
        <w:tblLayout w:type="fixed"/>
        <w:tblCellMar>
          <w:top w:w="0" w:type="dxa"/>
          <w:left w:w="0" w:type="dxa"/>
          <w:bottom w:w="28" w:type="dxa"/>
          <w:right w:w="0" w:type="dxa"/>
        </w:tblCellMar>
      </w:tblPr>
      <w:tblGrid>
        <w:gridCol w:w="3335"/>
      </w:tblGrid>
      <w:tr>
        <w:trPr/>
        <w:tc>
          <w:tcPr>
            <w:tcW w:w="333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015"/>
        <w:gridCol w:w="80"/>
      </w:tblGrid>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this Note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95" w:type="dxa"/>
        <w:jc w:val="left"/>
        <w:tblInd w:w="0" w:type="dxa"/>
        <w:tblLayout w:type="fixed"/>
        <w:tblCellMar>
          <w:top w:w="0" w:type="dxa"/>
          <w:left w:w="0" w:type="dxa"/>
          <w:bottom w:w="28" w:type="dxa"/>
          <w:right w:w="0" w:type="dxa"/>
        </w:tblCellMar>
      </w:tblPr>
      <w:tblGrid>
        <w:gridCol w:w="95"/>
      </w:tblGrid>
      <w:tr>
        <w:trPr/>
        <w:tc>
          <w:tcPr>
            <w:tcW w:w="9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15" w:type="dxa"/>
        <w:jc w:val="left"/>
        <w:tblInd w:w="0" w:type="dxa"/>
        <w:tblLayout w:type="fixed"/>
        <w:tblCellMar>
          <w:top w:w="0" w:type="dxa"/>
          <w:left w:w="0" w:type="dxa"/>
          <w:bottom w:w="0" w:type="dxa"/>
          <w:right w:w="0" w:type="dxa"/>
        </w:tblCellMar>
      </w:tblPr>
      <w:tblGrid>
        <w:gridCol w:w="470"/>
        <w:gridCol w:w="65"/>
        <w:gridCol w:w="8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80"/>
        <w:gridCol w:w="1535"/>
        <w:gridCol w:w="5720"/>
      </w:tblGrid>
      <w:tr>
        <w:trPr/>
        <w:tc>
          <w:tcPr>
            <w:tcW w:w="8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Your Signature:</w:t>
            </w:r>
          </w:p>
        </w:tc>
        <w:tc>
          <w:tcPr>
            <w:tcW w:w="57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rPr>
      </w:pPr>
      <w:r>
        <w:rPr>
          <w:rFonts w:ascii="Times New Roman;Times;Serif" w:hAnsi="Times New Roman;Times;Serif"/>
        </w:rPr>
        <w:t>*NOTICE: The Signature must be guaranteed by an institution which is a member of one of the following recognized signature Guarantee Programs: (i) Securities Transfer Agents Medallion Program (STAMP); (ii) New York Stock Exchange Inc. Medallion Signature Program (MSP); (iii) Stock Exchanges Medallion Program (SEMP); or (iv) in such other guarantee program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or an assignee, such as TEN COM (=tenants in common), TEN ENT (=tenants by the entirety), JT TEN (=joint tenants with right of survivorship and not as tenants in common), CUST (=custodian), and U/G/M/A (=Uniform Gift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Company pursuant to Section 19(A) of the Officers’ Certificate, check the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Section 19(A)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Note purchased by the Company pursuant to Section 19(A) of the Officers’ Certificate, state the amount you elect to have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545"/>
        <w:gridCol w:w="65"/>
        <w:gridCol w:w="65"/>
        <w:gridCol w:w="1535"/>
        <w:gridCol w:w="5720"/>
      </w:tblGrid>
      <w:tr>
        <w:trPr/>
        <w:tc>
          <w:tcPr>
            <w:tcW w:w="545" w:type="dxa"/>
            <w:tcBorders/>
            <w:vAlign w:val="center"/>
          </w:tcPr>
          <w:p>
            <w:pPr>
              <w:pStyle w:val="TableContents"/>
              <w:bidi w:val="0"/>
              <w:spacing w:before="0" w:after="283"/>
              <w:jc w:val="left"/>
              <w:rPr/>
            </w:pPr>
            <w:r>
              <w:rPr/>
              <w:t>Date:</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Your Signature:</w:t>
            </w:r>
          </w:p>
        </w:tc>
        <w:tc>
          <w:tcPr>
            <w:tcW w:w="57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75" w:type="dxa"/>
            <w:gridSpan w:val="3"/>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(Sign exactly as your name appears on the face of this Note)</w:t>
            </w:r>
          </w:p>
        </w:tc>
      </w:tr>
    </w:tbl>
    <w:p>
      <w:pPr>
        <w:pStyle w:val="TextBody"/>
        <w:bidi w:val="0"/>
        <w:spacing w:before="0" w:after="283"/>
        <w:jc w:val="left"/>
        <w:rPr/>
      </w:pPr>
      <w:r>
        <w:rPr/>
        <w:t> </w:t>
      </w:r>
    </w:p>
    <w:tbl>
      <w:tblPr>
        <w:tblW w:w="2455" w:type="dxa"/>
        <w:jc w:val="left"/>
        <w:tblInd w:w="0" w:type="dxa"/>
        <w:tblLayout w:type="fixed"/>
        <w:tblCellMar>
          <w:top w:w="0" w:type="dxa"/>
          <w:left w:w="0" w:type="dxa"/>
          <w:bottom w:w="0" w:type="dxa"/>
          <w:right w:w="0" w:type="dxa"/>
        </w:tblCellMar>
      </w:tblPr>
      <w:tblGrid>
        <w:gridCol w:w="80"/>
        <w:gridCol w:w="65"/>
        <w:gridCol w:w="65"/>
        <w:gridCol w:w="2165"/>
        <w:gridCol w:w="80"/>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Tax Identification No: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5825"/>
        <w:gridCol w:w="80"/>
      </w:tblGrid>
      <w:tr>
        <w:trPr/>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8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58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Guarantee Medallion Program)</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INTERESTS IN THE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an interest in this Global Note for an interest in another Global Security or for a certificated Security, or exchanges of an interest in another Global Security or certificated Security for an interest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845"/>
        <w:gridCol w:w="65"/>
        <w:gridCol w:w="995"/>
        <w:gridCol w:w="65"/>
        <w:gridCol w:w="935"/>
        <w:gridCol w:w="65"/>
        <w:gridCol w:w="1010"/>
        <w:gridCol w:w="65"/>
        <w:gridCol w:w="995"/>
      </w:tblGrid>
      <w:tr>
        <w:trPr/>
        <w:tc>
          <w:tcPr>
            <w:tcW w:w="8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w:t>
              <w:br/>
            </w:r>
            <w:r>
              <w:rPr>
                <w:rFonts w:ascii="Times New Roman;Times;Serif" w:hAnsi="Times New Roman;Times;Serif"/>
                <w:b w:val="false"/>
                <w:i w:val="false"/>
                <w:caps w:val="false"/>
                <w:smallCaps w:val="false"/>
                <w:sz w:val="20"/>
                <w:u w:val="single"/>
              </w:rPr>
              <w:t>Exchange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 xml:space="preserve">Decrease in </w:t>
              <w:br/>
              <w:t xml:space="preserve">Principal </w:t>
              <w:br/>
              <w:t>Amount of</w:t>
              <w:br/>
              <w:t>this Global</w:t>
              <w:br/>
            </w:r>
            <w:r>
              <w:rPr>
                <w:rFonts w:ascii="Times New Roman;Times;Serif" w:hAnsi="Times New Roman;Times;Serif"/>
                <w:b w:val="false"/>
                <w:i w:val="false"/>
                <w:caps w:val="false"/>
                <w:smallCaps w:val="false"/>
                <w:sz w:val="20"/>
                <w:u w:val="single"/>
              </w:rPr>
              <w:t>Note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 xml:space="preserve">Principal </w:t>
              <w:br/>
              <w:t xml:space="preserve">Amount of </w:t>
              <w:br/>
              <w:t>this Global</w:t>
              <w:br/>
            </w:r>
            <w:r>
              <w:rPr>
                <w:rFonts w:ascii="Times New Roman;Times;Serif" w:hAnsi="Times New Roman;Times;Serif"/>
                <w:b w:val="false"/>
                <w:i w:val="false"/>
                <w:caps w:val="false"/>
                <w:smallCaps w:val="false"/>
                <w:sz w:val="20"/>
                <w:u w:val="single"/>
              </w:rPr>
              <w:t>Note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w:t>
              <w:br/>
              <w:t xml:space="preserve">Amount of </w:t>
              <w:br/>
              <w:t xml:space="preserve">this Global </w:t>
              <w:br/>
              <w:t xml:space="preserve">Note </w:t>
              <w:br/>
              <w:t>Following</w:t>
              <w:br/>
              <w:t xml:space="preserve">Such </w:t>
              <w:br/>
              <w:t>Decrease (or</w:t>
              <w:br/>
            </w:r>
            <w:r>
              <w:rPr>
                <w:rFonts w:ascii="Times New Roman;Times;Serif" w:hAnsi="Times New Roman;Times;Serif"/>
                <w:b w:val="false"/>
                <w:i w:val="false"/>
                <w:caps w:val="false"/>
                <w:smallCaps w:val="false"/>
                <w:sz w:val="20"/>
                <w:u w:val="single"/>
              </w:rPr>
              <w:t>Increase)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br/>
              <w:t>of</w:t>
              <w:br/>
              <w:t xml:space="preserve">Authorized </w:t>
              <w:br/>
              <w:t>Officer or</w:t>
              <w:br/>
              <w:t>Trustee or</w:t>
              <w:br/>
              <w:t>Security</w:t>
              <w:br/>
            </w:r>
            <w:r>
              <w:rPr>
                <w:rFonts w:ascii="Times New Roman;Times;Serif" w:hAnsi="Times New Roman;Times;Serif"/>
                <w:b w:val="false"/>
                <w:i w:val="false"/>
                <w:caps w:val="false"/>
                <w:smallCaps w:val="false"/>
                <w:sz w:val="20"/>
                <w:u w:val="single"/>
              </w:rPr>
              <w:t>Custodian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6" w:name="tm2623221d4_ex5-1.htm"/>
      <w:bookmarkStart w:id="27" w:name="kstm2623221d4_ex51"/>
      <w:bookmarkEnd w:id="26"/>
      <w:bookmarkEnd w:id="27"/>
      <w:r>
        <w:rPr/>
        <w:t> </w:t>
      </w:r>
      <w:r>
        <w:br w:type="page"/>
      </w:r>
    </w:p>
    <w:p>
      <w:pPr>
        <w:pStyle w:val="TextBody"/>
        <w:bidi w:val="0"/>
        <w:spacing w:before="0" w:after="0"/>
        <w:ind w:left="7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733675"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33675" cy="819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R. McCoy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and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Avnet,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 South 47th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Phoenix, Arizona 85034</w:t>
      </w:r>
    </w:p>
    <w:p>
      <w:pPr>
        <w:pStyle w:val="TextBody"/>
        <w:bidi w:val="0"/>
        <w:spacing w:before="0" w:after="0"/>
        <w:ind w:left="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35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Re:</w:t>
            </w:r>
          </w:p>
        </w:tc>
        <w:tc>
          <w:tcPr>
            <w:tcW w:w="5195" w:type="dxa"/>
            <w:tcBorders/>
            <w:vAlign w:val="center"/>
          </w:tcPr>
          <w:p>
            <w:pPr>
              <w:pStyle w:val="TableContents"/>
              <w:bidi w:val="0"/>
              <w:spacing w:before="0" w:after="283"/>
              <w:jc w:val="both"/>
              <w:rPr>
                <w:b/>
              </w:rPr>
            </w:pPr>
            <w:r>
              <w:rPr>
                <w:b/>
              </w:rPr>
              <w:t>Avnet, Inc. — $550 million 5.650% Notes due 2031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the Senior Vice President, General Counsel and Chief Legal Officer of Avnet, Inc., a New York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This opinion letter is delivered in connection with the public offering of $550 million aggregate principal amount of the Company’s 5.650% Notes due 2031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Securities are to be issued pursuant to an Indenture, dated as of June 22, 2010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by and between the Company and Computershare Trust Company, National Association, as successor trustee to Wells Fargo Bank, National Association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an Officers’ Certificate setting forth the terms of the Securities (the “</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On August 19, 2026, the Company entered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representatives of the several underwriters listed in Schedule C thereto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relating to the sale by the Company to the Underwriters of the Securities. I or attorneys under my supervision (with whom I have consulted) have examined originals or copies, certified or otherwise identified to my satisfaction, of such records of the Company and such agreements, certificates and receipts of public officials, certificates of officers or other representatives of the Company and others, and such other documents as I or attorneys under my supervision (with whom I have consulted) have deemed necessary or appropriate in order to render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my examination, I or attorneys under my supervision (with whom I have consulted) have assumed the genuineness of all signatures, including endorsements, the legal capacity and competency of all natural persons, the authenticity of all documents submitted to me as originals, the conformity to original documents of all documents submitted to me as facsimile, electronic, certified, conformed, or photostatic copies, and the authenticity of the originals of such copies. In making my examination of executed documents or documents to be executed, I have assumed that the parties thereto, other than the Company, had or will have the power, corporate or otherwise, to enter into and perform all obligations thereunder and have also assumed the due authorization by all requisite action, corporate or other, and the execution and delivery by such parties of such documents, and, as to parties other than the Company, the validity and binding effect on such parties. As to any facts material to this opinion that I or attorneys under my supervision (with whom I have consulted) did not independently establish or verify, we have relied upon statements and representations of officers and other representatives of the Company and others and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limitations, qualifications, exceptions and assumptions set forth herein, I am of the opinion that the Securities have been duly authorized and executed by the Company, and that when duly authenticated by the Trustee and issued and delivered by the Company against payment therefor in accordance with the terms of the Underwriting Agreement and the Indenture, the Securities will be legally issued and valid and binding obligations of the Company, enforceable against the Company in accordance with their terms, under the laws of the State of New York, which laws govern the Indenture, subject to applicable bankruptcy, insolvency, fraudulent conveyance, reorganization, moratorium and similar laws affecting creditors’ rights and remedies generally, and subject to general principles of equity, including principles of commercial reasonableness, good faith and fair dealing (regardless of whether enforcement is sought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law of the State of New York, and I express no opinion on the law of any other jurisdiction. I consent to the filing of this opinion with the Securities and Exchange Commission as an exhibit to the Company’s Registration Statement on Form S-3 (File No. 333-298324) relating to the Securities and other securities of the Company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through incorporation by reference of a Current Report on Form 8-K. I also consent to the reference to me under the caption “Validity of the Notes” in the prospectus supplement which forms a part of the Registration Statement. I do not thereby admit that I am in the category of persons whose consent is required under Section 7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165"/>
      </w:tblGrid>
      <w:tr>
        <w:trPr/>
        <w:tc>
          <w:tcPr>
            <w:tcW w:w="7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R. McCoy</w:t>
            </w:r>
          </w:p>
        </w:tc>
      </w:tr>
      <w:tr>
        <w:trPr/>
        <w:tc>
          <w:tcPr>
            <w:tcW w:w="7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 McCoy</w:t>
            </w:r>
          </w:p>
        </w:tc>
      </w:tr>
      <w:tr>
        <w:trPr/>
        <w:tc>
          <w:tcPr>
            <w:tcW w:w="75"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28485</Words>
  <Characters>147789</Characters>
  <CharactersWithSpaces>178230</CharactersWithSpaces>
  <Paragraphs>1482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