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107315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500" w:hanging="499"/>
        <w:spacing w:after="0"/>
        <w:tabs>
          <w:tab w:leader="none" w:pos="5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highlight w:val="black"/>
        </w:rPr>
      </w:pPr>
    </w:p>
    <w:p>
      <w:pPr>
        <w:ind w:left="326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quarterly period ended October 3, 2026</w:t>
      </w:r>
    </w:p>
    <w:p>
      <w:pPr>
        <w:spacing w:after="0" w:line="144" w:lineRule="exact"/>
        <w:rPr>
          <w:sz w:val="24"/>
          <w:szCs w:val="24"/>
          <w:color w:val="auto"/>
        </w:rPr>
      </w:pPr>
    </w:p>
    <w:p>
      <w:pPr>
        <w:ind w:left="500" w:hanging="499"/>
        <w:spacing w:after="0"/>
        <w:tabs>
          <w:tab w:leader="none" w:pos="5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97155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AVNET</w:t>
      </w:r>
      <w:r>
        <w:rPr>
          <w:rFonts w:ascii="Times New Roman" w:cs="Times New Roman" w:eastAsia="Times New Roman" w:hAnsi="Times New Roman"/>
          <w:sz w:val="35"/>
          <w:szCs w:val="35"/>
          <w:b w:val="1"/>
          <w:bCs w:val="1"/>
          <w:color w:val="auto"/>
        </w:rPr>
        <w:t>,</w:t>
      </w:r>
      <w:r>
        <w:rPr>
          <w:rFonts w:ascii="Times New Roman" w:cs="Times New Roman" w:eastAsia="Times New Roman" w:hAnsi="Times New Roman"/>
          <w:sz w:val="29"/>
          <w:szCs w:val="29"/>
          <w:b w:val="1"/>
          <w:bCs w:val="1"/>
          <w:color w:val="auto"/>
        </w:rPr>
        <w:t xml:space="preserve">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160"/>
          </w:cols>
          <w:pgMar w:left="860" w:top="661"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New York</w:t>
      </w:r>
    </w:p>
    <w:p>
      <w:pPr>
        <w:jc w:val="center"/>
        <w:ind w:right="4000"/>
        <w:spacing w:after="0" w:line="203" w:lineRule="auto"/>
        <w:rPr>
          <w:sz w:val="20"/>
          <w:szCs w:val="20"/>
          <w:color w:val="auto"/>
        </w:rPr>
      </w:pPr>
      <w:r>
        <w:rPr>
          <w:rFonts w:ascii="Times New Roman" w:cs="Times New Roman" w:eastAsia="Times New Roman" w:hAnsi="Times New Roman"/>
          <w:sz w:val="18"/>
          <w:szCs w:val="18"/>
          <w:color w:val="auto"/>
        </w:rPr>
        <w:t>(State or other jurisdiction</w:t>
      </w:r>
    </w:p>
    <w:p>
      <w:pPr>
        <w:jc w:val="center"/>
        <w:ind w:right="400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11-1890605</w:t>
      </w:r>
    </w:p>
    <w:p>
      <w:pPr>
        <w:jc w:val="center"/>
        <w:ind w:right="860"/>
        <w:spacing w:after="0" w:line="203" w:lineRule="auto"/>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1" w:right="879" w:bottom="1440" w:gutter="0" w:footer="0" w:header="0"/>
          <w:type w:val="continuous"/>
        </w:sectPr>
      </w:pPr>
    </w:p>
    <w:p>
      <w:pPr>
        <w:spacing w:after="0" w:line="7"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2150 East Warner Road, Tempe, Arizona</w:t>
      </w:r>
    </w:p>
    <w:p>
      <w:pPr>
        <w:spacing w:after="0" w:line="4"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85284</w:t>
      </w:r>
    </w:p>
    <w:p>
      <w:pPr>
        <w:jc w:val="center"/>
        <w:ind w:right="2060"/>
        <w:spacing w:after="0"/>
        <w:rPr>
          <w:sz w:val="20"/>
          <w:szCs w:val="20"/>
          <w:color w:val="auto"/>
        </w:rPr>
      </w:pPr>
      <w:r>
        <w:rPr>
          <w:rFonts w:ascii="Times New Roman" w:cs="Times New Roman" w:eastAsia="Times New Roman" w:hAnsi="Times New Roman"/>
          <w:sz w:val="17"/>
          <w:szCs w:val="17"/>
          <w:color w:val="auto"/>
        </w:rPr>
        <w:t>(Zip Code)</w:t>
      </w:r>
    </w:p>
    <w:p>
      <w:pPr>
        <w:spacing w:after="0" w:line="77" w:lineRule="exact"/>
        <w:rPr>
          <w:sz w:val="24"/>
          <w:szCs w:val="24"/>
          <w:color w:val="auto"/>
        </w:rPr>
      </w:pPr>
    </w:p>
    <w:p>
      <w:pPr>
        <w:sectPr>
          <w:pgSz w:w="11900" w:h="16838" w:orient="portrait"/>
          <w:cols w:equalWidth="0" w:num="2">
            <w:col w:w="6600" w:space="720"/>
            <w:col w:w="2840"/>
          </w:cols>
          <w:pgMar w:left="860" w:top="661" w:right="8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 643-2000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0160"/>
          </w:cols>
          <w:pgMar w:left="860" w:top="661" w:right="87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8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AVT</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103"/>
        </w:trPr>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tcBorders>
              <w:bottom w:val="single" w:sz="8" w:color="0D0D0D"/>
            </w:tcBorders>
          </w:tcPr>
          <w:p>
            <w:pPr>
              <w:spacing w:after="0"/>
              <w:rPr>
                <w:sz w:val="8"/>
                <w:szCs w:val="8"/>
                <w:color w:val="auto"/>
              </w:rPr>
            </w:pPr>
          </w:p>
        </w:tc>
        <w:tc>
          <w:tcPr>
            <w:tcW w:w="260" w:type="dxa"/>
            <w:vAlign w:val="bottom"/>
            <w:tcBorders>
              <w:bottom w:val="single" w:sz="8" w:color="0D0D0D"/>
            </w:tcBorders>
          </w:tcPr>
          <w:p>
            <w:pPr>
              <w:spacing w:after="0"/>
              <w:rPr>
                <w:sz w:val="8"/>
                <w:szCs w:val="8"/>
                <w:color w:val="auto"/>
              </w:rPr>
            </w:pPr>
          </w:p>
        </w:tc>
        <w:tc>
          <w:tcPr>
            <w:tcW w:w="380" w:type="dxa"/>
            <w:vAlign w:val="bottom"/>
            <w:tcBorders>
              <w:bottom w:val="single" w:sz="8" w:color="0D0D0D"/>
            </w:tcBorders>
          </w:tcPr>
          <w:p>
            <w:pPr>
              <w:spacing w:after="0"/>
              <w:rPr>
                <w:sz w:val="8"/>
                <w:szCs w:val="8"/>
                <w:color w:val="auto"/>
              </w:rPr>
            </w:pPr>
          </w:p>
        </w:tc>
        <w:tc>
          <w:tcPr>
            <w:tcW w:w="3800" w:type="dxa"/>
            <w:vAlign w:val="bottom"/>
          </w:tcPr>
          <w:p>
            <w:pPr>
              <w:spacing w:after="0"/>
              <w:rPr>
                <w:sz w:val="8"/>
                <w:szCs w:val="8"/>
                <w:color w:val="auto"/>
              </w:rPr>
            </w:pPr>
          </w:p>
        </w:tc>
      </w:tr>
    </w:tbl>
    <w:p>
      <w:pPr>
        <w:spacing w:after="0" w:line="157" w:lineRule="exact"/>
        <w:rPr>
          <w:sz w:val="24"/>
          <w:szCs w:val="24"/>
          <w:color w:val="auto"/>
        </w:rPr>
      </w:pPr>
    </w:p>
    <w:p>
      <w:pPr>
        <w:ind w:right="200" w:firstLine="427"/>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right="560" w:firstLine="432"/>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ind w:right="200" w:firstLine="42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1" w:right="879" w:bottom="1440" w:gutter="0" w:footer="0" w:header="0"/>
          <w:type w:val="continuous"/>
        </w:sectPr>
      </w:pPr>
    </w:p>
    <w:p>
      <w:pPr>
        <w:spacing w:after="0" w:line="41" w:lineRule="exact"/>
        <w:rPr>
          <w:sz w:val="24"/>
          <w:szCs w:val="24"/>
          <w:color w:val="auto"/>
        </w:rPr>
      </w:pP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8"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ind w:left="6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7" w:lineRule="exact"/>
        <w:rPr>
          <w:sz w:val="24"/>
          <w:szCs w:val="24"/>
          <w:color w:val="auto"/>
        </w:rPr>
      </w:pPr>
    </w:p>
    <w:p>
      <w:pPr>
        <w:sectPr>
          <w:pgSz w:w="11900" w:h="16838" w:orient="portrait"/>
          <w:cols w:equalWidth="0" w:num="3">
            <w:col w:w="5960" w:space="720"/>
            <w:col w:w="2660" w:space="720"/>
            <w:col w:w="100"/>
          </w:cols>
          <w:pgMar w:left="860" w:top="661" w:right="879" w:bottom="1440" w:gutter="0" w:footer="0" w:header="0"/>
          <w:type w:val="continuous"/>
        </w:sectPr>
      </w:pP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0160"/>
          </w:cols>
          <w:pgMar w:left="860" w:top="661" w:right="879" w:bottom="1440" w:gutter="0" w:footer="0" w:header="0"/>
          <w:type w:val="continuous"/>
        </w:sectPr>
      </w:pPr>
    </w:p>
    <w:p>
      <w:pPr>
        <w:ind w:right="500" w:firstLine="427"/>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540" w:firstLine="427"/>
        <w:spacing w:after="0" w:line="282" w:lineRule="auto"/>
        <w:rPr>
          <w:sz w:val="20"/>
          <w:szCs w:val="20"/>
          <w:color w:val="auto"/>
        </w:rPr>
      </w:pPr>
      <w:r>
        <w:rPr>
          <w:rFonts w:ascii="Times New Roman" w:cs="Times New Roman" w:eastAsia="Times New Roman" w:hAnsi="Times New Roman"/>
          <w:sz w:val="18"/>
          <w:szCs w:val="18"/>
          <w:color w:val="auto"/>
        </w:rPr>
        <w:t>As of October 31, 2026, the total number of shares outstanding of the registrant’s Common Stock was 82,234,900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64636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wp:posOffset>
            </wp:positionV>
            <wp:extent cx="6463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0160"/>
          </w:cols>
          <w:pgMar w:left="860" w:top="661" w:right="87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800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12"/>
          </w:tcPr>
          <w:p>
            <w:pPr>
              <w:jc w:val="center"/>
              <w:ind w:right="2120"/>
              <w:spacing w:after="0"/>
              <w:rPr>
                <w:sz w:val="20"/>
                <w:szCs w:val="20"/>
                <w:color w:val="auto"/>
              </w:rPr>
            </w:pPr>
            <w:r>
              <w:rPr>
                <w:rFonts w:ascii="Times New Roman" w:cs="Times New Roman" w:eastAsia="Times New Roman" w:hAnsi="Times New Roman"/>
                <w:sz w:val="18"/>
                <w:szCs w:val="18"/>
                <w:color w:val="auto"/>
                <w:w w:val="98"/>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60" w:type="dxa"/>
            <w:vAlign w:val="bottom"/>
            <w:gridSpan w:val="11"/>
          </w:tcPr>
          <w:p>
            <w:pPr>
              <w:jc w:val="center"/>
              <w:ind w:right="2620"/>
              <w:spacing w:after="0"/>
              <w:rPr>
                <w:sz w:val="20"/>
                <w:szCs w:val="20"/>
                <w:color w:val="auto"/>
              </w:rPr>
            </w:pPr>
            <w:r>
              <w:rPr>
                <w:rFonts w:ascii="Times New Roman" w:cs="Times New Roman" w:eastAsia="Times New Roman" w:hAnsi="Times New Roman"/>
                <w:sz w:val="18"/>
                <w:szCs w:val="18"/>
                <w:color w:val="auto"/>
                <w:w w:val="99"/>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5440" w:type="dxa"/>
            <w:vAlign w:val="bottom"/>
            <w:gridSpan w:val="14"/>
            <w:vMerge w:val="restart"/>
          </w:tcPr>
          <w:p>
            <w:pPr>
              <w:jc w:val="center"/>
              <w:ind w:right="2560"/>
              <w:spacing w:after="0"/>
              <w:rPr>
                <w:sz w:val="20"/>
                <w:szCs w:val="20"/>
                <w:color w:val="auto"/>
              </w:rPr>
            </w:pPr>
            <w:r>
              <w:rPr>
                <w:rFonts w:ascii="Times New Roman" w:cs="Times New Roman" w:eastAsia="Times New Roman" w:hAnsi="Times New Roman"/>
                <w:sz w:val="18"/>
                <w:szCs w:val="18"/>
                <w:color w:val="0000EE"/>
                <w:w w:val="98"/>
              </w:rPr>
              <w:t>PART I. FINANCIAL INFORMATION</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440" w:type="dxa"/>
            <w:vAlign w:val="bottom"/>
            <w:gridSpan w:val="14"/>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Consolidated Balance Sheets at October 3, 2026, and June 27, 2026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Consolidated Statements of Operations for the first quarters ended October 3, 2026, and September 27,</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gridSpan w:val="3"/>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first quarters ended October 3, 2026, and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27, 2025</w:t>
            </w:r>
          </w:p>
        </w:tc>
        <w:tc>
          <w:tcPr>
            <w:tcW w:w="5660" w:type="dxa"/>
            <w:vAlign w:val="bottom"/>
            <w:tcBorders>
              <w:top w:val="single" w:sz="8" w:color="0000EE"/>
            </w:tcBorders>
            <w:gridSpan w:val="14"/>
          </w:tcPr>
          <w:p>
            <w:pPr>
              <w:spacing w:after="0"/>
              <w:rPr>
                <w:sz w:val="17"/>
                <w:szCs w:val="17"/>
                <w:color w:val="auto"/>
              </w:rPr>
            </w:pPr>
          </w:p>
        </w:tc>
        <w:tc>
          <w:tcPr>
            <w:tcW w:w="36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for the first quarters ended October 3, 2026, and</w:t>
            </w:r>
          </w:p>
        </w:tc>
        <w:tc>
          <w:tcPr>
            <w:tcW w:w="50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September 27, 2025</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first quarters ended October 3, 2026, and September 27,</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gridSpan w:val="4"/>
          </w:tcPr>
          <w:p>
            <w:pPr>
              <w:spacing w:after="0"/>
              <w:rPr>
                <w:sz w:val="17"/>
                <w:szCs w:val="17"/>
                <w:color w:val="auto"/>
              </w:rPr>
            </w:pPr>
          </w:p>
        </w:tc>
        <w:tc>
          <w:tcPr>
            <w:tcW w:w="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4"/>
          </w:tcPr>
          <w:p>
            <w:pPr>
              <w:spacing w:after="0"/>
              <w:rPr>
                <w:sz w:val="24"/>
                <w:szCs w:val="24"/>
                <w:color w:val="auto"/>
              </w:rPr>
            </w:pPr>
          </w:p>
        </w:tc>
        <w:tc>
          <w:tcPr>
            <w:tcW w:w="9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color w:val="0000EE"/>
                <w:w w:val="98"/>
              </w:rPr>
              <w:t>PART II. OTHER INFORMATION</w:t>
            </w:r>
          </w:p>
        </w:tc>
        <w:tc>
          <w:tcPr>
            <w:tcW w:w="270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6040" w:type="dxa"/>
            <w:vAlign w:val="bottom"/>
            <w:gridSpan w:val="18"/>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634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02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Signature Page</w:t>
            </w:r>
          </w:p>
        </w:tc>
        <w:tc>
          <w:tcPr>
            <w:tcW w:w="60" w:type="dxa"/>
            <w:vAlign w:val="bottom"/>
            <w:tcBorders>
              <w:top w:val="single" w:sz="8" w:color="0000EE"/>
            </w:tcBorders>
          </w:tcPr>
          <w:p>
            <w:pPr>
              <w:spacing w:after="0"/>
              <w:rPr>
                <w:sz w:val="24"/>
                <w:szCs w:val="24"/>
                <w:color w:val="auto"/>
              </w:rPr>
            </w:pPr>
          </w:p>
        </w:tc>
        <w:tc>
          <w:tcPr>
            <w:tcW w:w="678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898"/>
        </w:trPr>
        <w:tc>
          <w:tcPr>
            <w:tcW w:w="4980" w:type="dxa"/>
            <w:vAlign w:val="bottom"/>
            <w:gridSpan w:val="19"/>
          </w:tcPr>
          <w:p>
            <w:pPr>
              <w:jc w:val="center"/>
              <w:ind w:left="385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5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940" w:type="dxa"/>
            <w:vAlign w:val="bottom"/>
          </w:tcPr>
          <w:p>
            <w:pPr>
              <w:spacing w:after="0"/>
              <w:rPr>
                <w:sz w:val="21"/>
                <w:szCs w:val="21"/>
                <w:color w:val="auto"/>
              </w:rPr>
            </w:pPr>
          </w:p>
        </w:tc>
        <w:tc>
          <w:tcPr>
            <w:tcW w:w="54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p>
        </w:tc>
        <w:tc>
          <w:tcPr>
            <w:tcW w:w="54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6"/>
        </w:trPr>
        <w:tc>
          <w:tcPr>
            <w:tcW w:w="9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October 3,</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94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r>
      <w:tr>
        <w:trPr>
          <w:trHeight w:val="180"/>
        </w:trPr>
        <w:tc>
          <w:tcPr>
            <w:tcW w:w="9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w w:val="93"/>
              </w:rPr>
              <w:t>(Thousands,</w:t>
            </w:r>
          </w:p>
        </w:tc>
        <w:tc>
          <w:tcPr>
            <w:tcW w:w="200" w:type="dxa"/>
            <w:vAlign w:val="bottom"/>
          </w:tcPr>
          <w:p>
            <w:pPr>
              <w:spacing w:after="0"/>
              <w:rPr>
                <w:sz w:val="15"/>
                <w:szCs w:val="15"/>
                <w:color w:val="auto"/>
              </w:rPr>
            </w:pPr>
          </w:p>
        </w:tc>
        <w:tc>
          <w:tcPr>
            <w:tcW w:w="1020" w:type="dxa"/>
            <w:vAlign w:val="bottom"/>
            <w:gridSpan w:val="2"/>
          </w:tcPr>
          <w:p>
            <w:pPr>
              <w:jc w:val="right"/>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87"/>
              </w:rPr>
              <w:t>except share</w:t>
            </w:r>
          </w:p>
        </w:tc>
        <w:tc>
          <w:tcPr>
            <w:tcW w:w="80" w:type="dxa"/>
            <w:vAlign w:val="bottom"/>
          </w:tcPr>
          <w:p>
            <w:pPr>
              <w:spacing w:after="0"/>
              <w:rPr>
                <w:sz w:val="15"/>
                <w:szCs w:val="15"/>
                <w:color w:val="auto"/>
              </w:rPr>
            </w:pPr>
          </w:p>
        </w:tc>
      </w:tr>
      <w:tr>
        <w:trPr>
          <w:trHeight w:val="238"/>
        </w:trPr>
        <w:tc>
          <w:tcPr>
            <w:tcW w:w="9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940" w:type="dxa"/>
            <w:vAlign w:val="bottom"/>
            <w:shd w:val="clear" w:color="auto" w:fill="CCEEFF"/>
          </w:tcPr>
          <w:p>
            <w:pPr>
              <w:spacing w:after="0"/>
              <w:rPr>
                <w:sz w:val="18"/>
                <w:szCs w:val="18"/>
                <w:color w:val="auto"/>
              </w:rPr>
            </w:pPr>
          </w:p>
        </w:tc>
        <w:tc>
          <w:tcPr>
            <w:tcW w:w="5400" w:type="dxa"/>
            <w:vAlign w:val="bottom"/>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236,780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155,396</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7,758,037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6,882,965</w:t>
            </w:r>
          </w:p>
        </w:tc>
        <w:tc>
          <w:tcPr>
            <w:tcW w:w="8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5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8,175,066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6,069,419</w:t>
            </w:r>
          </w:p>
        </w:tc>
        <w:tc>
          <w:tcPr>
            <w:tcW w:w="8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232,159</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226,043</w:t>
            </w:r>
          </w:p>
        </w:tc>
        <w:tc>
          <w:tcPr>
            <w:tcW w:w="80" w:type="dxa"/>
            <w:vAlign w:val="bottom"/>
            <w:tcBorders>
              <w:bottom w:val="single" w:sz="8" w:color="CCEEFF"/>
            </w:tcBorders>
          </w:tcPr>
          <w:p>
            <w:pPr>
              <w:spacing w:after="0"/>
              <w:rPr>
                <w:sz w:val="19"/>
                <w:szCs w:val="19"/>
                <w:color w:val="auto"/>
              </w:rPr>
            </w:pPr>
          </w:p>
        </w:tc>
      </w:tr>
      <w:tr>
        <w:trPr>
          <w:trHeight w:val="216"/>
        </w:trPr>
        <w:tc>
          <w:tcPr>
            <w:tcW w:w="6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16,402,042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13,333,823</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644,574</w:t>
            </w:r>
          </w:p>
        </w:tc>
        <w:tc>
          <w:tcPr>
            <w:tcW w:w="8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5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810,163</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248,958</w:t>
            </w:r>
          </w:p>
        </w:tc>
        <w:tc>
          <w:tcPr>
            <w:tcW w:w="80" w:type="dxa"/>
            <w:vAlign w:val="bottom"/>
          </w:tcPr>
          <w:p>
            <w:pPr>
              <w:spacing w:after="0"/>
              <w:rPr>
                <w:sz w:val="18"/>
                <w:szCs w:val="18"/>
                <w:color w:val="auto"/>
              </w:rPr>
            </w:pPr>
          </w:p>
        </w:tc>
      </w:tr>
      <w:tr>
        <w:trPr>
          <w:trHeight w:val="236"/>
        </w:trPr>
        <w:tc>
          <w:tcPr>
            <w:tcW w:w="63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376,168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387,875</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43"/>
        </w:trPr>
        <w:tc>
          <w:tcPr>
            <w:tcW w:w="634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18,465,340</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15,425,393</w:t>
            </w:r>
          </w:p>
        </w:tc>
        <w:tc>
          <w:tcPr>
            <w:tcW w:w="80" w:type="dxa"/>
            <w:vAlign w:val="bottom"/>
            <w:tcBorders>
              <w:bottom w:val="single" w:sz="8" w:color="CCEEFF"/>
            </w:tcBorders>
          </w:tcPr>
          <w:p>
            <w:pPr>
              <w:spacing w:after="0"/>
              <w:rPr>
                <w:sz w:val="21"/>
                <w:szCs w:val="21"/>
                <w:color w:val="auto"/>
              </w:rPr>
            </w:pPr>
          </w:p>
        </w:tc>
      </w:tr>
      <w:tr>
        <w:trPr>
          <w:trHeight w:val="197"/>
        </w:trPr>
        <w:tc>
          <w:tcPr>
            <w:tcW w:w="940" w:type="dxa"/>
            <w:vAlign w:val="bottom"/>
            <w:shd w:val="clear" w:color="auto" w:fill="CCEEFF"/>
          </w:tcPr>
          <w:p>
            <w:pPr>
              <w:spacing w:after="0"/>
              <w:rPr>
                <w:sz w:val="17"/>
                <w:szCs w:val="17"/>
                <w:color w:val="auto"/>
              </w:rPr>
            </w:pPr>
          </w:p>
        </w:tc>
        <w:tc>
          <w:tcPr>
            <w:tcW w:w="5400" w:type="dxa"/>
            <w:vAlign w:val="bottom"/>
            <w:shd w:val="clear" w:color="auto" w:fill="CCEEFF"/>
          </w:tcPr>
          <w:p>
            <w:pPr>
              <w:jc w:val="center"/>
              <w:ind w:right="8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733,952</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7,842,394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6,054,326</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659,266</w:t>
            </w:r>
          </w:p>
        </w:tc>
        <w:tc>
          <w:tcPr>
            <w:tcW w:w="8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55,888</w:t>
            </w:r>
          </w:p>
        </w:tc>
        <w:tc>
          <w:tcPr>
            <w:tcW w:w="80" w:type="dxa"/>
            <w:vAlign w:val="bottom"/>
            <w:tcBorders>
              <w:bottom w:val="single" w:sz="8" w:color="CCEEFF"/>
            </w:tcBorders>
          </w:tcPr>
          <w:p>
            <w:pPr>
              <w:spacing w:after="0"/>
              <w:rPr>
                <w:sz w:val="19"/>
                <w:szCs w:val="19"/>
                <w:color w:val="auto"/>
              </w:rPr>
            </w:pPr>
          </w:p>
        </w:tc>
      </w:tr>
      <w:tr>
        <w:trPr>
          <w:trHeight w:val="216"/>
        </w:trPr>
        <w:tc>
          <w:tcPr>
            <w:tcW w:w="6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9,469,279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7,503,432</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3,306,435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2,478,864</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207,111</w:t>
            </w:r>
          </w:p>
        </w:tc>
        <w:tc>
          <w:tcPr>
            <w:tcW w:w="80" w:type="dxa"/>
            <w:vAlign w:val="bottom"/>
            <w:shd w:val="clear" w:color="auto" w:fill="CCEEFF"/>
          </w:tcPr>
          <w:p>
            <w:pPr>
              <w:spacing w:after="0"/>
              <w:rPr>
                <w:sz w:val="18"/>
                <w:szCs w:val="18"/>
                <w:color w:val="auto"/>
              </w:rPr>
            </w:pPr>
          </w:p>
        </w:tc>
      </w:tr>
      <w:tr>
        <w:trPr>
          <w:trHeight w:val="223"/>
        </w:trPr>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204,913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213,483</w:t>
            </w:r>
          </w:p>
        </w:tc>
        <w:tc>
          <w:tcPr>
            <w:tcW w:w="80" w:type="dxa"/>
            <w:vAlign w:val="bottom"/>
            <w:tcBorders>
              <w:bottom w:val="single" w:sz="8" w:color="CCEEFF"/>
            </w:tcBorders>
          </w:tcPr>
          <w:p>
            <w:pPr>
              <w:spacing w:after="0"/>
              <w:rPr>
                <w:sz w:val="19"/>
                <w:szCs w:val="19"/>
                <w:color w:val="auto"/>
              </w:rPr>
            </w:pPr>
          </w:p>
        </w:tc>
      </w:tr>
      <w:tr>
        <w:trPr>
          <w:trHeight w:val="236"/>
        </w:trPr>
        <w:tc>
          <w:tcPr>
            <w:tcW w:w="63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13,181,373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10,402,890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634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3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$1.00 par; authorized 300,000,000 shares; issued 82,254,935 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82,082,259 shares, respectively</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82,082</w:t>
            </w:r>
          </w:p>
        </w:tc>
        <w:tc>
          <w:tcPr>
            <w:tcW w:w="80" w:type="dxa"/>
            <w:vAlign w:val="bottom"/>
          </w:tcPr>
          <w:p>
            <w:pPr>
              <w:spacing w:after="0"/>
              <w:rPr>
                <w:sz w:val="20"/>
                <w:szCs w:val="20"/>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1,802,639</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3,764,924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3,513,176</w:t>
            </w:r>
          </w:p>
        </w:tc>
        <w:tc>
          <w:tcPr>
            <w:tcW w:w="80" w:type="dxa"/>
            <w:vAlign w:val="bottom"/>
          </w:tcPr>
          <w:p>
            <w:pPr>
              <w:spacing w:after="0"/>
              <w:rPr>
                <w:sz w:val="18"/>
                <w:szCs w:val="18"/>
                <w:color w:val="auto"/>
              </w:rPr>
            </w:pPr>
          </w:p>
        </w:tc>
      </w:tr>
      <w:tr>
        <w:trPr>
          <w:trHeight w:val="236"/>
        </w:trPr>
        <w:tc>
          <w:tcPr>
            <w:tcW w:w="63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(387,545)</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(375,394)</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634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5,283,967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5,022,503</w:t>
            </w:r>
          </w:p>
        </w:tc>
        <w:tc>
          <w:tcPr>
            <w:tcW w:w="80" w:type="dxa"/>
            <w:vAlign w:val="bottom"/>
            <w:tcBorders>
              <w:bottom w:val="single" w:sz="8" w:color="CCEEFF"/>
            </w:tcBorders>
          </w:tcPr>
          <w:p>
            <w:pPr>
              <w:spacing w:after="0"/>
              <w:rPr>
                <w:sz w:val="18"/>
                <w:szCs w:val="18"/>
                <w:color w:val="auto"/>
              </w:rPr>
            </w:pPr>
          </w:p>
        </w:tc>
      </w:tr>
      <w:tr>
        <w:trPr>
          <w:trHeight w:val="216"/>
        </w:trPr>
        <w:tc>
          <w:tcPr>
            <w:tcW w:w="63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18,465,340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15,425,393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5"/>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140" w:type="dxa"/>
            <w:vAlign w:val="bottom"/>
          </w:tcPr>
          <w:p>
            <w:pPr>
              <w:ind w:left="100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36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420" w:type="dxa"/>
            <w:vAlign w:val="bottom"/>
            <w:gridSpan w:val="3"/>
          </w:tcPr>
          <w:p>
            <w:pPr>
              <w:jc w:val="right"/>
              <w:ind w:right="75"/>
              <w:spacing w:after="0" w:line="194"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(Thousands, except</w:t>
            </w:r>
          </w:p>
        </w:tc>
        <w:tc>
          <w:tcPr>
            <w:tcW w:w="1640" w:type="dxa"/>
            <w:vAlign w:val="bottom"/>
            <w:gridSpan w:val="2"/>
          </w:tcPr>
          <w:p>
            <w:pPr>
              <w:jc w:val="right"/>
              <w:ind w:right="210"/>
              <w:spacing w:after="0"/>
              <w:rPr>
                <w:sz w:val="20"/>
                <w:szCs w:val="20"/>
                <w:color w:val="auto"/>
              </w:rPr>
            </w:pPr>
            <w:r>
              <w:rPr>
                <w:rFonts w:ascii="Times New Roman" w:cs="Times New Roman" w:eastAsia="Times New Roman" w:hAnsi="Times New Roman"/>
                <w:sz w:val="17"/>
                <w:szCs w:val="17"/>
                <w:b w:val="1"/>
                <w:bCs w:val="1"/>
                <w:color w:val="auto"/>
                <w:w w:val="93"/>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10,717,980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9,644,004</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1,073,976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464,442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474,736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1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(91,854)</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371,643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89,471</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282,172</w:t>
            </w: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2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earnings per share: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82,273</w:t>
            </w: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86,005</w:t>
            </w: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84,462</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1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260" w:type="dxa"/>
            <w:vAlign w:val="bottom"/>
            <w:gridSpan w:val="2"/>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194"/>
        </w:trPr>
        <w:tc>
          <w:tcPr>
            <w:tcW w:w="5140" w:type="dxa"/>
            <w:vAlign w:val="bottom"/>
          </w:tcPr>
          <w:p>
            <w:pPr>
              <w:spacing w:after="0"/>
              <w:rPr>
                <w:sz w:val="16"/>
                <w:szCs w:val="16"/>
                <w:color w:val="auto"/>
              </w:rPr>
            </w:pPr>
          </w:p>
        </w:tc>
        <w:tc>
          <w:tcPr>
            <w:tcW w:w="1460" w:type="dxa"/>
            <w:vAlign w:val="bottom"/>
          </w:tcPr>
          <w:p>
            <w:pPr>
              <w:ind w:left="13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3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September 27,</w:t>
            </w:r>
          </w:p>
        </w:tc>
      </w:tr>
      <w:tr>
        <w:trPr>
          <w:trHeight w:val="245"/>
        </w:trPr>
        <w:tc>
          <w:tcPr>
            <w:tcW w:w="5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3"/>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4"/>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282,172</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51,745</w:t>
            </w: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(66,331)</w:t>
            </w: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Cross-currency swap</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r>
      <w:tr>
        <w:trPr>
          <w:trHeight w:val="236"/>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adjustments</w:t>
            </w:r>
          </w:p>
        </w:tc>
        <w:tc>
          <w:tcPr>
            <w:tcW w:w="1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10"/>
        </w:trPr>
        <w:tc>
          <w:tcPr>
            <w:tcW w:w="514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(12,151)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(57,846)</w:t>
            </w:r>
          </w:p>
        </w:tc>
      </w:tr>
      <w:tr>
        <w:trPr>
          <w:trHeight w:val="216"/>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1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270,021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r>
      <w:tr>
        <w:trPr>
          <w:trHeight w:val="20"/>
        </w:trPr>
        <w:tc>
          <w:tcPr>
            <w:tcW w:w="5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1500" w:right="1760"/>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SHAREHOLDERS’ EQUITY (Unaudited)</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08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tcPr>
          <w:p>
            <w:pPr>
              <w:jc w:val="right"/>
              <w:ind w:right="7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4"/>
          </w:tcPr>
          <w:p>
            <w:pPr>
              <w:jc w:val="right"/>
              <w:ind w:right="8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Accumulated</w:t>
            </w:r>
          </w:p>
        </w:tc>
        <w:tc>
          <w:tcPr>
            <w:tcW w:w="36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20" w:type="dxa"/>
            <w:vAlign w:val="bottom"/>
          </w:tcPr>
          <w:p>
            <w:pPr>
              <w:spacing w:after="0"/>
              <w:rPr>
                <w:sz w:val="17"/>
                <w:szCs w:val="17"/>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03"/>
        </w:trPr>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120" w:type="dxa"/>
            <w:vAlign w:val="bottom"/>
          </w:tcPr>
          <w:p>
            <w:pPr>
              <w:spacing w:after="0"/>
              <w:rPr>
                <w:sz w:val="17"/>
                <w:szCs w:val="17"/>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2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Shareholders’</w:t>
            </w:r>
          </w:p>
        </w:tc>
      </w:tr>
      <w:tr>
        <w:trPr>
          <w:trHeight w:val="235"/>
        </w:trPr>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20"/>
                <w:szCs w:val="20"/>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189"/>
        </w:trPr>
        <w:tc>
          <w:tcPr>
            <w:tcW w:w="2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83"/>
              </w:rPr>
              <w:t>(Thousands)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June 27, 2026</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82,082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$ 82,082</w:t>
            </w: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$ 1,802,639</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$ 3,513,176</w:t>
            </w:r>
          </w:p>
        </w:tc>
        <w:tc>
          <w:tcPr>
            <w:tcW w:w="6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(375,394)</w:t>
            </w:r>
          </w:p>
        </w:tc>
        <w:tc>
          <w:tcPr>
            <w:tcW w:w="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5,022,503</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282,172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282,172</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(12,151)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(12,151)</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(30,424)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(30,424)</w:t>
            </w: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21,867</w:t>
            </w:r>
          </w:p>
        </w:tc>
      </w:tr>
      <w:tr>
        <w:trPr>
          <w:trHeight w:val="189"/>
        </w:trPr>
        <w:tc>
          <w:tcPr>
            <w:tcW w:w="232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Balance, October 3, 2026</w:t>
            </w:r>
          </w:p>
        </w:tc>
        <w:tc>
          <w:tcPr>
            <w:tcW w:w="320" w:type="dxa"/>
            <w:vAlign w:val="bottom"/>
            <w:tcBorders>
              <w:top w:val="single" w:sz="8" w:color="CCEEFF"/>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82,255</w:t>
            </w: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$ 82,255</w:t>
            </w:r>
          </w:p>
        </w:tc>
        <w:tc>
          <w:tcPr>
            <w:tcW w:w="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9"/>
              </w:rPr>
              <w:t>$ 1,824,333</w:t>
            </w: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9"/>
              </w:rPr>
              <w:t>$ 3,764,924</w:t>
            </w: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(387,545)</w:t>
            </w: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5,283,967</w:t>
            </w:r>
          </w:p>
        </w:tc>
      </w:tr>
      <w:tr>
        <w:trPr>
          <w:trHeight w:val="20"/>
        </w:trPr>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08"/>
        </w:trPr>
        <w:tc>
          <w:tcPr>
            <w:tcW w:w="2320" w:type="dxa"/>
            <w:vAlign w:val="bottom"/>
          </w:tcPr>
          <w:p>
            <w:pPr>
              <w:spacing w:after="0"/>
              <w:rPr>
                <w:sz w:val="24"/>
                <w:szCs w:val="24"/>
                <w:color w:val="auto"/>
              </w:rPr>
            </w:pPr>
          </w:p>
        </w:tc>
        <w:tc>
          <w:tcPr>
            <w:tcW w:w="108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1080" w:type="dxa"/>
            <w:vAlign w:val="bottom"/>
            <w:gridSpan w:val="5"/>
          </w:tcPr>
          <w:p>
            <w:pPr>
              <w:ind w:left="28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Accumulated</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20" w:type="dxa"/>
            <w:vAlign w:val="bottom"/>
          </w:tcPr>
          <w:p>
            <w:pPr>
              <w:spacing w:after="0"/>
              <w:rPr>
                <w:sz w:val="17"/>
                <w:szCs w:val="17"/>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03"/>
        </w:trPr>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120" w:type="dxa"/>
            <w:vAlign w:val="bottom"/>
          </w:tcPr>
          <w:p>
            <w:pPr>
              <w:spacing w:after="0"/>
              <w:rPr>
                <w:sz w:val="17"/>
                <w:szCs w:val="17"/>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Paid-In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2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Shareholders’</w:t>
            </w:r>
          </w:p>
        </w:tc>
      </w:tr>
      <w:tr>
        <w:trPr>
          <w:trHeight w:val="235"/>
        </w:trPr>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20"/>
                <w:szCs w:val="20"/>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189"/>
        </w:trPr>
        <w:tc>
          <w:tcPr>
            <w:tcW w:w="2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w w:val="85"/>
              </w:rPr>
              <w:t>(Thousands)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June 28, 2025</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83,854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$ 83,854</w:t>
            </w: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$ 1,755,141</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$ 3,430,193</w:t>
            </w:r>
          </w:p>
        </w:tc>
        <w:tc>
          <w:tcPr>
            <w:tcW w:w="6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(257,693)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5,011,495</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51,745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51,745</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(57,846)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(57,846)</w:t>
            </w:r>
          </w:p>
        </w:tc>
      </w:tr>
      <w:tr>
        <w:trPr>
          <w:trHeight w:val="20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(28,464)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(28,464)</w:t>
            </w:r>
          </w:p>
        </w:tc>
      </w:tr>
      <w:tr>
        <w:trPr>
          <w:trHeight w:val="20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(2,646)</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(2,646)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(137,044)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(139,690)</w:t>
            </w: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10,723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10,861</w:t>
            </w:r>
          </w:p>
        </w:tc>
      </w:tr>
      <w:tr>
        <w:trPr>
          <w:trHeight w:val="203"/>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September 27, 2025</w:t>
            </w:r>
          </w:p>
        </w:tc>
        <w:tc>
          <w:tcPr>
            <w:tcW w:w="3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81,346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$ 81,346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$ 1,765,864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$ 3,316,430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(315,539)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4,848,101</w:t>
            </w:r>
          </w:p>
        </w:tc>
      </w:tr>
      <w:tr>
        <w:trPr>
          <w:trHeight w:val="20"/>
        </w:trPr>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4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October 3,</w:t>
            </w:r>
          </w:p>
        </w:tc>
        <w:tc>
          <w:tcPr>
            <w:tcW w:w="12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September 27,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4"/>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282,172</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and other reconciling items: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(net of effects from businesses acquired and divested):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(2,121,749)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1,810,176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Accrued expenses and other, net</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flows used for 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convertible notes, net of issuance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notes, net of discounts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Repayments under accounts receivable securitization,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Borrowings (repayments) under senior unsecured credit facility,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Borrowings (repayments) under bank credit facilities and other debt,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Borrowings under term loans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Repayments of term loans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420"/>
              <w:spacing w:after="0" w:line="203" w:lineRule="exact"/>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950,771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 increase (decrease)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at beginning of period</w:t>
            </w: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192,428</w:t>
            </w:r>
          </w:p>
        </w:tc>
        <w:tc>
          <w:tcPr>
            <w:tcW w:w="0" w:type="dxa"/>
            <w:vAlign w:val="bottom"/>
          </w:tcPr>
          <w:p>
            <w:pPr>
              <w:spacing w:after="0"/>
              <w:rPr>
                <w:sz w:val="1"/>
                <w:szCs w:val="1"/>
                <w:color w:val="auto"/>
              </w:rPr>
            </w:pPr>
          </w:p>
        </w:tc>
      </w:tr>
      <w:tr>
        <w:trPr>
          <w:trHeight w:val="203"/>
        </w:trPr>
        <w:tc>
          <w:tcPr>
            <w:tcW w:w="63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 at end of period</w:t>
            </w:r>
          </w:p>
        </w:tc>
        <w:tc>
          <w:tcPr>
            <w:tcW w:w="3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236,780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jc w:val="center"/>
              <w:ind w:left="2450"/>
              <w:spacing w:after="0"/>
              <w:rPr>
                <w:sz w:val="20"/>
                <w:szCs w:val="20"/>
                <w:color w:val="auto"/>
              </w:rPr>
            </w:pPr>
            <w:r>
              <w:rPr>
                <w:rFonts w:ascii="Times New Roman" w:cs="Times New Roman" w:eastAsia="Times New Roman" w:hAnsi="Times New Roman"/>
                <w:sz w:val="18"/>
                <w:szCs w:val="18"/>
                <w:color w:val="auto"/>
                <w:w w:val="99"/>
              </w:rPr>
              <w:t>See notes to consolidated financial statements.</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3"/>
        </w:trPr>
        <w:tc>
          <w:tcPr>
            <w:tcW w:w="638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left="60" w:right="79"/>
        <w:spacing w:after="0" w:line="315" w:lineRule="auto"/>
        <w:rPr>
          <w:sz w:val="20"/>
          <w:szCs w:val="20"/>
          <w:color w:val="auto"/>
        </w:rPr>
      </w:pPr>
      <w:r>
        <w:rPr>
          <w:rFonts w:ascii="Times New Roman" w:cs="Times New Roman" w:eastAsia="Times New Roman" w:hAnsi="Times New Roman"/>
          <w:sz w:val="18"/>
          <w:szCs w:val="18"/>
          <w:b w:val="1"/>
          <w:bCs w:val="1"/>
          <w:color w:val="auto"/>
        </w:rPr>
        <w:t>AVNET, INC. AND SUBSIDIARIES NOTES TO CONSOLIDATED FINANCIAL STATEMENTS (Unaudited)</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 and new accounting pronouncements</w:t>
      </w:r>
    </w:p>
    <w:p>
      <w:pPr>
        <w:spacing w:after="0" w:line="189"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adjustments necessary to state fairly Avnet, Inc. and its consolidated subsidiaries’ (collectively, the “Company” or “Avnet”) financial position, results of operations, statement of equity, comprehensive income, and cash flows. All such adjustments are of a normal recurring nature.</w:t>
      </w:r>
    </w:p>
    <w:p>
      <w:pPr>
        <w:spacing w:after="0" w:line="180" w:lineRule="exact"/>
        <w:rPr>
          <w:sz w:val="20"/>
          <w:szCs w:val="20"/>
          <w:color w:val="auto"/>
        </w:rPr>
      </w:pPr>
    </w:p>
    <w:p>
      <w:pPr>
        <w:ind w:left="60" w:right="299" w:firstLine="427"/>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76" w:lineRule="exact"/>
        <w:rPr>
          <w:sz w:val="20"/>
          <w:szCs w:val="20"/>
          <w:color w:val="auto"/>
        </w:rPr>
      </w:pPr>
    </w:p>
    <w:p>
      <w:pPr>
        <w:ind w:left="60" w:right="459" w:firstLine="427"/>
        <w:spacing w:after="0" w:line="289" w:lineRule="auto"/>
        <w:rPr>
          <w:sz w:val="20"/>
          <w:szCs w:val="20"/>
          <w:color w:val="auto"/>
        </w:rPr>
      </w:pPr>
      <w:r>
        <w:rPr>
          <w:rFonts w:ascii="Times New Roman" w:cs="Times New Roman" w:eastAsia="Times New Roman" w:hAnsi="Times New Roman"/>
          <w:sz w:val="17"/>
          <w:szCs w:val="17"/>
          <w:color w:val="auto"/>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June 27, 2026.</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00" w:lineRule="exact"/>
        <w:rPr>
          <w:sz w:val="20"/>
          <w:szCs w:val="20"/>
          <w:color w:val="auto"/>
        </w:rPr>
      </w:pPr>
    </w:p>
    <w:p>
      <w:pPr>
        <w:ind w:left="60" w:right="79" w:firstLine="427"/>
        <w:spacing w:after="0" w:line="266" w:lineRule="auto"/>
        <w:rPr>
          <w:sz w:val="20"/>
          <w:szCs w:val="20"/>
          <w:color w:val="auto"/>
        </w:rPr>
      </w:pPr>
      <w:r>
        <w:rPr>
          <w:rFonts w:ascii="Times New Roman" w:cs="Times New Roman" w:eastAsia="Times New Roman" w:hAnsi="Times New Roman"/>
          <w:sz w:val="18"/>
          <w:szCs w:val="18"/>
          <w:color w:val="auto"/>
        </w:rPr>
        <w:t>The Company operates on a “52/53 week” fiscal year, and fiscal 2027 contains 53 weeks compared to fiscal 2026, which contained 52 weeks. As a result, the first quarter of fiscal 2027 ended October 3, 2026 contained 14 weeks compared to the first quarter of fiscal 2026 ended September 27, 2025, which contained 13 weeks.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Certain prior period amounts have been reclassified or combined to conform to the current period presentation.</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98" w:lineRule="exact"/>
        <w:rPr>
          <w:sz w:val="20"/>
          <w:szCs w:val="20"/>
          <w:color w:val="auto"/>
        </w:rPr>
      </w:pPr>
    </w:p>
    <w:p>
      <w:pPr>
        <w:ind w:left="60" w:right="119" w:firstLine="427"/>
        <w:spacing w:after="0" w:line="254"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for Accounts Receivable and Contract Assets </w:t>
      </w:r>
      <w:r>
        <w:rPr>
          <w:rFonts w:ascii="Times New Roman" w:cs="Times New Roman" w:eastAsia="Times New Roman" w:hAnsi="Times New Roman"/>
          <w:sz w:val="18"/>
          <w:szCs w:val="18"/>
          <w:color w:val="auto"/>
        </w:rPr>
        <w:t>(“ASU No. 2025-05”). This update introduces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expedient available to all entities when estimating expected credit losses on current accounts receivable and contract assets arising from revenue recognized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With this expedient, entities may assume that the current conditions used to determine credit loss allowances for these assets will remain unchanged for the remainder of their lives. The Company adopted ASU 2025-05 during the first quarter of fiscal 2027 and elected to apply the practical expedient and related policy elections prospectively. The adoption of ASU 2025-05 did not have a material impact on the Company’s allowance for credit loss estimates or its consolidated financial statements and related disclosures primarily due to the short-term nature of its receivables.</w:t>
      </w:r>
    </w:p>
    <w:p>
      <w:pPr>
        <w:spacing w:after="0" w:line="148" w:lineRule="exact"/>
        <w:rPr>
          <w:sz w:val="20"/>
          <w:szCs w:val="20"/>
          <w:color w:val="auto"/>
        </w:rPr>
      </w:pPr>
    </w:p>
    <w:p>
      <w:pPr>
        <w:ind w:left="60" w:right="119" w:firstLine="427"/>
        <w:spacing w:after="0" w:line="255"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2025-09, </w:t>
      </w:r>
      <w:r>
        <w:rPr>
          <w:rFonts w:ascii="Times New Roman" w:cs="Times New Roman" w:eastAsia="Times New Roman" w:hAnsi="Times New Roman"/>
          <w:sz w:val="18"/>
          <w:szCs w:val="18"/>
          <w:i w:val="1"/>
          <w:iCs w:val="1"/>
          <w:color w:val="auto"/>
        </w:rPr>
        <w:t>Derivatives and Hedging (Topic 815): Hedge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w:t>
      </w:r>
      <w:r>
        <w:rPr>
          <w:rFonts w:ascii="Times New Roman" w:cs="Times New Roman" w:eastAsia="Times New Roman" w:hAnsi="Times New Roman"/>
          <w:sz w:val="18"/>
          <w:szCs w:val="18"/>
          <w:color w:val="auto"/>
        </w:rPr>
        <w:t>(“ASU No. 2025-09”), which make certain targeted improvements to simplify the application of the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guidance and to address several incremental hedge accounting issues arising from the global reference rate reform initiative. Among other amendments, these improvements include expanding the hedged risks permitted to be aggregated in a group of individual forecasted transactions in a cash flow hedge and clarifying the circumstance under which a group of individual forecasted transactions can be considered to have a similar risk exposure. The Company adopted ASU 2025-09 in the first quarter of fiscal 2027 on a prospective basis. The adoption of ASU 2025-09 did not have a material impact on the Company’s hedging relationships or its consolidated financial statements and disclosures.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85" w:lineRule="exact"/>
        <w:rPr>
          <w:sz w:val="20"/>
          <w:szCs w:val="20"/>
          <w:color w:val="auto"/>
        </w:rPr>
      </w:pPr>
    </w:p>
    <w:p>
      <w:pPr>
        <w:ind w:left="60" w:right="79" w:firstLine="427"/>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January 2025, the FASB issued ASU 2025-01,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Clarifying the Effective Date </w:t>
      </w:r>
      <w:r>
        <w:rPr>
          <w:rFonts w:ascii="Times New Roman" w:cs="Times New Roman" w:eastAsia="Times New Roman" w:hAnsi="Times New Roman"/>
          <w:sz w:val="18"/>
          <w:szCs w:val="18"/>
          <w:color w:val="auto"/>
        </w:rPr>
        <w:t>(“ASU 2025-01”). The guidance is designed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by requiring public business entities to disclose additional information about specific expense categories in the financial statement notes at interim and annual reporting periods. ASU No. 2024-03, as clarified by ASU 2025-01, will be effective for the Company in fiscal year 2028 and early adoption is permitted. The Company is currently evaluating the impact of adopting ASU No. 2024-03 on its disclosures.</w:t>
      </w:r>
    </w:p>
    <w:p>
      <w:pPr>
        <w:spacing w:after="0" w:line="158" w:lineRule="exact"/>
        <w:rPr>
          <w:sz w:val="20"/>
          <w:szCs w:val="20"/>
          <w:color w:val="auto"/>
        </w:rPr>
      </w:pPr>
    </w:p>
    <w:p>
      <w:pPr>
        <w:ind w:left="60" w:right="99" w:firstLine="427"/>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350-40): Targeted Improvements to the Accounting for Internal-Use Software </w:t>
      </w:r>
      <w:r>
        <w:rPr>
          <w:rFonts w:ascii="Times New Roman" w:cs="Times New Roman" w:eastAsia="Times New Roman" w:hAnsi="Times New Roman"/>
          <w:sz w:val="18"/>
          <w:szCs w:val="18"/>
          <w:color w:val="auto"/>
        </w:rPr>
        <w:t>(“ASU No. 2025-06”). This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modernizes the guidance for accounting for software costs by aligning the accounting with how software is developed today. The effective date for the standard is for fiscal years beginning after December 15, 2027, the Company’s Fiscal 2029, and interim periods within those fiscal years. Early adoption is permitted. The amendments in this ASU should be applied either prospectively, retrospectively, or utilizing a modified transition approach. The Company is in the process of analyzing the impact of ASU No. 2025-06 on its consolidated financial statements and related disclosures.</w:t>
      </w:r>
    </w:p>
    <w:p>
      <w:pPr>
        <w:spacing w:after="0" w:line="142" w:lineRule="exact"/>
        <w:rPr>
          <w:sz w:val="20"/>
          <w:szCs w:val="20"/>
          <w:color w:val="auto"/>
        </w:rPr>
      </w:pPr>
    </w:p>
    <w:p>
      <w:pPr>
        <w:ind w:left="60" w:right="99" w:firstLine="427"/>
        <w:spacing w:after="0" w:line="277"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xml:space="preserve"> (“ASU No. 2025-11”). This update enhances the clarity and organization of interim reporting and the applicability of Topic</w:t>
      </w:r>
    </w:p>
    <w:p>
      <w:pPr>
        <w:spacing w:after="0" w:line="1" w:lineRule="exact"/>
        <w:rPr>
          <w:sz w:val="20"/>
          <w:szCs w:val="20"/>
          <w:color w:val="auto"/>
        </w:rPr>
      </w:pPr>
    </w:p>
    <w:p>
      <w:pPr>
        <w:ind w:left="60" w:right="199" w:hanging="10"/>
        <w:spacing w:after="0" w:line="25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also clarifies the required form and content of interim financial statements, including requiring entities to disclose events since the end of the last annual reporting period that have a material impact on the entity. The standard is effective for interim reporting periods within annual periods beginning after December 15, 2027, which for the Company would be the first quarter of fiscal 2029, with early adoption permitted. Entities may apply the update either prospectively or retrospectively. The Company is in the process of evaluating the impact of adopting ASU No. 2025-11 on its consolidated financial statements and related disclosures.</w:t>
      </w:r>
    </w:p>
    <w:p>
      <w:pPr>
        <w:spacing w:after="0" w:line="186" w:lineRule="exact"/>
        <w:rPr>
          <w:sz w:val="20"/>
          <w:szCs w:val="20"/>
          <w:color w:val="auto"/>
        </w:rPr>
      </w:pPr>
    </w:p>
    <w:p>
      <w:pPr>
        <w:ind w:left="480" w:right="7539" w:hanging="430"/>
        <w:spacing w:after="0" w:line="491" w:lineRule="auto"/>
        <w:tabs>
          <w:tab w:leader="none" w:pos="233"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Working capital </w:t>
      </w:r>
      <w:r>
        <w:rPr>
          <w:rFonts w:ascii="Times New Roman" w:cs="Times New Roman" w:eastAsia="Times New Roman" w:hAnsi="Times New Roman"/>
          <w:sz w:val="17"/>
          <w:szCs w:val="17"/>
          <w:b w:val="1"/>
          <w:bCs w:val="1"/>
          <w:i w:val="1"/>
          <w:iCs w:val="1"/>
          <w:color w:val="auto"/>
        </w:rPr>
        <w:t>Receivables</w:t>
      </w: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Company’s receivables and allowance for credit losses were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27,</w:t>
            </w:r>
          </w:p>
        </w:tc>
        <w:tc>
          <w:tcPr>
            <w:tcW w:w="0" w:type="dxa"/>
            <w:vAlign w:val="bottom"/>
          </w:tcPr>
          <w:p>
            <w:pPr>
              <w:spacing w:after="0"/>
              <w:rPr>
                <w:sz w:val="1"/>
                <w:szCs w:val="1"/>
                <w:color w:val="auto"/>
              </w:rPr>
            </w:pPr>
          </w:p>
        </w:tc>
      </w:tr>
      <w:tr>
        <w:trPr>
          <w:trHeight w:val="245"/>
        </w:trPr>
        <w:tc>
          <w:tcPr>
            <w:tcW w:w="32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receivables</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7,858,797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(100,760)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Receivables</w:t>
            </w:r>
          </w:p>
        </w:tc>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7,758,037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2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auto"/>
        </w:rPr>
        <w:t>The Company had the following activity in the allowance for credit losses during the first quarters of fiscal 2027 and fiscal 2026:</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27,</w:t>
            </w:r>
          </w:p>
        </w:tc>
      </w:tr>
      <w:tr>
        <w:trPr>
          <w:trHeight w:val="245"/>
        </w:trPr>
        <w:tc>
          <w:tcPr>
            <w:tcW w:w="6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800" w:type="dxa"/>
            <w:vAlign w:val="bottom"/>
          </w:tcPr>
          <w:p>
            <w:pPr>
              <w:spacing w:after="0"/>
              <w:rPr>
                <w:sz w:val="17"/>
                <w:szCs w:val="17"/>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108,195</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Provisions (Releases)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Recoveries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Write Offs</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(858)</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3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Effect and Other</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03"/>
        </w:trPr>
        <w:tc>
          <w:tcPr>
            <w:tcW w:w="62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end of the period</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100,760</w:t>
            </w:r>
          </w:p>
        </w:tc>
        <w:tc>
          <w:tcPr>
            <w:tcW w:w="160" w:type="dxa"/>
            <w:vAlign w:val="bottom"/>
            <w:tcBorders>
              <w:top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104,873</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27"/>
        <w:spacing w:after="0" w:line="266" w:lineRule="auto"/>
        <w:rPr>
          <w:sz w:val="20"/>
          <w:szCs w:val="20"/>
          <w:color w:val="auto"/>
        </w:rPr>
      </w:pPr>
      <w:r>
        <w:rPr>
          <w:rFonts w:ascii="Times New Roman" w:cs="Times New Roman" w:eastAsia="Times New Roman" w:hAnsi="Times New Roman"/>
          <w:sz w:val="18"/>
          <w:szCs w:val="18"/>
          <w:color w:val="auto"/>
        </w:rPr>
        <w:t>The Company has legally transferred and de-recognized certain of its receivables on a non-recourse basis to financial institutions for cash. At October 3, 2026 and June 27, 2026, the Company had $2.48 billion and $1.98 billion, respectively, of transferred and de-recognized receivables that were not yet settled.</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02" w:lineRule="exact"/>
        <w:rPr>
          <w:sz w:val="20"/>
          <w:szCs w:val="20"/>
          <w:color w:val="auto"/>
        </w:rPr>
      </w:pPr>
    </w:p>
    <w:p>
      <w:pPr>
        <w:ind w:left="60" w:right="619" w:firstLine="427"/>
        <w:spacing w:after="0" w:line="266" w:lineRule="auto"/>
        <w:rPr>
          <w:sz w:val="20"/>
          <w:szCs w:val="20"/>
          <w:color w:val="auto"/>
        </w:rPr>
      </w:pPr>
      <w:r>
        <w:rPr>
          <w:rFonts w:ascii="Times New Roman" w:cs="Times New Roman" w:eastAsia="Times New Roman" w:hAnsi="Times New Roman"/>
          <w:sz w:val="18"/>
          <w:szCs w:val="18"/>
          <w:color w:val="auto"/>
        </w:rPr>
        <w:t>The Company’s inventories are primarily comprised of electronic components purchased from the Company’s suppliers, which are available for sale to customers in the normal course of the Company’s electronic component distribution business.</w:t>
      </w:r>
    </w:p>
    <w:p>
      <w:pPr>
        <w:spacing w:after="0" w:line="176"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Classified within inventories are electronic components held for supply chain service engagements (components) where the Company is acting as an agent on behalf of a customer or in some cases the component supplier. Given that these supply chain services involve purchasing, warehousing and providing logistics services for components as part of the services, the Company classifies the underlying components within inventories on the consolidated balance sheets. Components held for supply chain services where the Company is acting as an agent represented approximately 11.5% and 7.0% of inventories as of October 3, 2026, and June 27, 2026, respectively.</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 in goodwill by reportable segment for the first quarter of fiscal 2027.</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Components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Farnell</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June 27, 2026 </w:t>
            </w:r>
            <w:r>
              <w:rPr>
                <w:rFonts w:ascii="Times New Roman" w:cs="Times New Roman" w:eastAsia="Times New Roman" w:hAnsi="Times New Roman"/>
                <w:sz w:val="25"/>
                <w:szCs w:val="25"/>
                <w:color w:val="auto"/>
                <w:vertAlign w:val="superscript"/>
              </w:rPr>
              <w:t>(1)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303,927</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506,236</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810,163</w:t>
            </w: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October 3, 2026 </w:t>
            </w:r>
            <w:r>
              <w:rPr>
                <w:rFonts w:ascii="Times New Roman" w:cs="Times New Roman" w:eastAsia="Times New Roman" w:hAnsi="Times New Roman"/>
                <w:sz w:val="25"/>
                <w:szCs w:val="25"/>
                <w:color w:val="auto"/>
                <w:vertAlign w:val="superscript"/>
              </w:rPr>
              <w:t>(1)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302,946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505,852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808,798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0D0D0D"/>
            </w:tcBorders>
          </w:tcPr>
          <w:p>
            <w:pPr>
              <w:spacing w:after="0"/>
              <w:rPr>
                <w:sz w:val="8"/>
                <w:szCs w:val="8"/>
                <w:color w:val="auto"/>
              </w:rPr>
            </w:pPr>
          </w:p>
        </w:tc>
        <w:tc>
          <w:tcPr>
            <w:tcW w:w="2220" w:type="dxa"/>
            <w:vAlign w:val="bottom"/>
            <w:tcBorders>
              <w:bottom w:val="single" w:sz="8" w:color="0D0D0D"/>
            </w:tcBorders>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r>
    </w:tbl>
    <w:p>
      <w:pPr>
        <w:spacing w:after="0" w:line="54" w:lineRule="exact"/>
        <w:rPr>
          <w:sz w:val="20"/>
          <w:szCs w:val="20"/>
          <w:color w:val="auto"/>
        </w:rPr>
      </w:pPr>
    </w:p>
    <w:p>
      <w:pPr>
        <w:ind w:left="60"/>
        <w:spacing w:after="0"/>
        <w:tabs>
          <w:tab w:leader="none" w:pos="28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6"/>
          <w:szCs w:val="16"/>
          <w:color w:val="auto"/>
        </w:rPr>
        <w:t>Includes accumulated impairments of $1,482,677 from prior fiscal years.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Short-term debt consists of the following (carrying balances in thousands):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June 27,</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12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38"/>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2026</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2026</w:t>
            </w:r>
          </w:p>
        </w:tc>
      </w:tr>
      <w:tr>
        <w:trPr>
          <w:trHeight w:val="27"/>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jc w:val="right"/>
              <w:ind w:right="29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1"/>
              </w:rPr>
              <w:t>Balance</w:t>
            </w:r>
          </w:p>
        </w:tc>
        <w:tc>
          <w:tcPr>
            <w:tcW w:w="80" w:type="dxa"/>
            <w:vAlign w:val="bottom"/>
            <w:tcBorders>
              <w:bottom w:val="single" w:sz="8" w:color="CCEEFF"/>
            </w:tcBorders>
          </w:tcPr>
          <w:p>
            <w:pPr>
              <w:spacing w:after="0"/>
              <w:rPr>
                <w:sz w:val="18"/>
                <w:szCs w:val="18"/>
                <w:color w:val="auto"/>
              </w:rPr>
            </w:pP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$ 500,000</w:t>
            </w:r>
          </w:p>
        </w:tc>
        <w:tc>
          <w:tcPr>
            <w:tcW w:w="80" w:type="dxa"/>
            <w:vAlign w:val="bottom"/>
            <w:shd w:val="clear" w:color="auto" w:fill="CCEEFF"/>
          </w:tcPr>
          <w:p>
            <w:pPr>
              <w:spacing w:after="0"/>
              <w:rPr>
                <w:sz w:val="18"/>
                <w:szCs w:val="18"/>
                <w:color w:val="auto"/>
              </w:rPr>
            </w:pPr>
          </w:p>
        </w:tc>
      </w:tr>
      <w:tr>
        <w:trPr>
          <w:trHeight w:val="216"/>
        </w:trPr>
        <w:tc>
          <w:tcPr>
            <w:tcW w:w="51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Convertible Notes (September 2030)</w:t>
            </w:r>
            <w:r>
              <w:rPr>
                <w:rFonts w:ascii="Times New Roman" w:cs="Times New Roman" w:eastAsia="Times New Roman" w:hAnsi="Times New Roman"/>
                <w:sz w:val="25"/>
                <w:szCs w:val="25"/>
                <w:color w:val="auto"/>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 - current portion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89,806</w:t>
            </w:r>
          </w:p>
        </w:tc>
        <w:tc>
          <w:tcPr>
            <w:tcW w:w="80" w:type="dxa"/>
            <w:vAlign w:val="bottom"/>
            <w:shd w:val="clear" w:color="auto" w:fill="CCEEFF"/>
          </w:tcPr>
          <w:p>
            <w:pPr>
              <w:spacing w:after="0"/>
              <w:rPr>
                <w:sz w:val="18"/>
                <w:szCs w:val="18"/>
                <w:color w:val="auto"/>
              </w:rPr>
            </w:pPr>
          </w:p>
        </w:tc>
      </w:tr>
      <w:tr>
        <w:trPr>
          <w:trHeight w:val="223"/>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short-term debt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144,146</w:t>
            </w:r>
          </w:p>
        </w:tc>
        <w:tc>
          <w:tcPr>
            <w:tcW w:w="80" w:type="dxa"/>
            <w:vAlign w:val="bottom"/>
          </w:tcPr>
          <w:p>
            <w:pPr>
              <w:spacing w:after="0"/>
              <w:rPr>
                <w:sz w:val="19"/>
                <w:szCs w:val="19"/>
                <w:color w:val="auto"/>
              </w:rPr>
            </w:pPr>
          </w:p>
        </w:tc>
      </w:tr>
      <w:tr>
        <w:trPr>
          <w:trHeight w:val="216"/>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6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Short-term debt</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$ 733,952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240" w:type="dxa"/>
            <w:vAlign w:val="bottom"/>
            <w:tcBorders>
              <w:bottom w:val="single" w:sz="8" w:color="0D0D0D"/>
            </w:tcBorders>
          </w:tcPr>
          <w:p>
            <w:pPr>
              <w:spacing w:after="0"/>
              <w:rPr>
                <w:sz w:val="12"/>
                <w:szCs w:val="12"/>
                <w:color w:val="auto"/>
              </w:rPr>
            </w:pPr>
          </w:p>
        </w:tc>
        <w:tc>
          <w:tcPr>
            <w:tcW w:w="2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bl>
    <w:p>
      <w:pPr>
        <w:spacing w:after="0" w:line="94" w:lineRule="exact"/>
        <w:rPr>
          <w:sz w:val="20"/>
          <w:szCs w:val="20"/>
          <w:color w:val="auto"/>
        </w:rPr>
      </w:pPr>
    </w:p>
    <w:p>
      <w:pPr>
        <w:ind w:left="60" w:right="299" w:hanging="10"/>
        <w:spacing w:after="0" w:line="237" w:lineRule="auto"/>
        <w:tabs>
          <w:tab w:leader="none" w:pos="345"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Company classified its $650 million of 1.75% Convertible Notes as short-term debt following the satisfaction of certain conversion conditions. As the Avnet share price exceeded approximately $91 for more than 20 trading days in a 30 day consecutive period during the quarter, the note holders have the ability to put the notes to Avnet for redemption for 90 days from the balance sheet date.</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consists of the following (carrying balances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October 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27,</w:t>
            </w:r>
          </w:p>
        </w:tc>
        <w:tc>
          <w:tcPr>
            <w:tcW w:w="12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5160" w:type="dxa"/>
            <w:vAlign w:val="bottom"/>
          </w:tcPr>
          <w:p>
            <w:pPr>
              <w:spacing w:after="0"/>
              <w:rPr>
                <w:sz w:val="21"/>
                <w:szCs w:val="21"/>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2026</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r>
      <w:tr>
        <w:trPr>
          <w:trHeight w:val="209"/>
        </w:trPr>
        <w:tc>
          <w:tcPr>
            <w:tcW w:w="5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b w:val="1"/>
                <w:bCs w:val="1"/>
                <w:color w:val="auto"/>
                <w:w w:val="76"/>
              </w:rPr>
              <w:t>Interest</w:t>
            </w:r>
          </w:p>
        </w:tc>
        <w:tc>
          <w:tcPr>
            <w:tcW w:w="18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w w:val="88"/>
              </w:rPr>
              <w:t>Rate</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Borders>
              <w:bottom w:val="single" w:sz="8" w:color="auto"/>
            </w:tcBorders>
            <w:gridSpan w:val="2"/>
          </w:tcPr>
          <w:p>
            <w:pPr>
              <w:spacing w:after="0"/>
              <w:rPr>
                <w:sz w:val="18"/>
                <w:szCs w:val="18"/>
                <w:color w:val="auto"/>
              </w:rPr>
            </w:pPr>
          </w:p>
        </w:tc>
        <w:tc>
          <w:tcPr>
            <w:tcW w:w="940" w:type="dxa"/>
            <w:vAlign w:val="bottom"/>
            <w:tcBorders>
              <w:top w:val="single" w:sz="8" w:color="auto"/>
              <w:bottom w:val="single" w:sz="8" w:color="auto"/>
            </w:tcBorders>
            <w:gridSpan w:val="2"/>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 (due July 2028)</w:t>
            </w: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3.91 %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(due January 2030)</w:t>
            </w:r>
          </w:p>
        </w:tc>
        <w:tc>
          <w:tcPr>
            <w:tcW w:w="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3.92 %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1,181,000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557,000</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 noncurrent portion</w:t>
            </w: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5.00 %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458,705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173,925</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w:t>
            </w:r>
          </w:p>
        </w:tc>
        <w:tc>
          <w:tcPr>
            <w:tcW w:w="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4.74 %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notes due: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2028</w:t>
            </w:r>
          </w:p>
        </w:tc>
        <w:tc>
          <w:tcPr>
            <w:tcW w:w="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6.25 %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2030 (Convertible Notes)</w:t>
            </w: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2031</w:t>
            </w:r>
          </w:p>
        </w:tc>
        <w:tc>
          <w:tcPr>
            <w:tcW w:w="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3.00 %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2031</w:t>
            </w: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5.65 %</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June 2032</w:t>
            </w:r>
          </w:p>
        </w:tc>
        <w:tc>
          <w:tcPr>
            <w:tcW w:w="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5.50 %</w:t>
            </w:r>
          </w:p>
        </w:tc>
        <w:tc>
          <w:tcPr>
            <w:tcW w:w="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Borders>
              <w:bottom w:val="single" w:sz="8" w:color="CCEEFF"/>
            </w:tcBorders>
          </w:tcPr>
          <w:p>
            <w:pPr>
              <w:spacing w:after="0"/>
              <w:rPr>
                <w:sz w:val="19"/>
                <w:szCs w:val="19"/>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before discount and debt issuance costs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3,331,958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2,499,406</w:t>
            </w:r>
          </w:p>
        </w:tc>
        <w:tc>
          <w:tcPr>
            <w:tcW w:w="60" w:type="dxa"/>
            <w:vAlign w:val="bottom"/>
            <w:shd w:val="clear" w:color="auto" w:fill="CCEEFF"/>
          </w:tcPr>
          <w:p>
            <w:pPr>
              <w:spacing w:after="0"/>
              <w:rPr>
                <w:sz w:val="18"/>
                <w:szCs w:val="18"/>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(20,542)</w:t>
            </w:r>
          </w:p>
        </w:tc>
      </w:tr>
      <w:tr>
        <w:trPr>
          <w:trHeight w:val="216"/>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3,306,435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2,478,864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left="60" w:right="319" w:firstLine="427"/>
        <w:spacing w:after="0" w:line="261" w:lineRule="auto"/>
        <w:rPr>
          <w:sz w:val="20"/>
          <w:szCs w:val="20"/>
          <w:color w:val="auto"/>
        </w:rPr>
      </w:pPr>
      <w:r>
        <w:rPr>
          <w:rFonts w:ascii="Times New Roman" w:cs="Times New Roman" w:eastAsia="Times New Roman" w:hAnsi="Times New Roman"/>
          <w:sz w:val="18"/>
          <w:szCs w:val="18"/>
          <w:color w:val="auto"/>
        </w:rPr>
        <w:t>Other short-term debt consists of various committed and uncommitted lines of credit and other forms of bank debt with financial institutions utilized primarily to support the ongoing working capital requirements of the Company, including its foreign operations. The available unused capacity under the uncommitted lines of credit available to the Company and its subsidiaries was approximately $325.0 million as of October 3, 2026, and June 27, 2026.</w:t>
      </w:r>
    </w:p>
    <w:p>
      <w:pPr>
        <w:spacing w:after="0" w:line="153" w:lineRule="exact"/>
        <w:rPr>
          <w:sz w:val="20"/>
          <w:szCs w:val="20"/>
          <w:color w:val="auto"/>
        </w:rPr>
      </w:pPr>
    </w:p>
    <w:p>
      <w:pPr>
        <w:ind w:left="60" w:right="59" w:firstLine="427"/>
        <w:spacing w:after="0" w:line="255" w:lineRule="auto"/>
        <w:rPr>
          <w:sz w:val="20"/>
          <w:szCs w:val="20"/>
          <w:color w:val="auto"/>
        </w:rPr>
      </w:pPr>
      <w:r>
        <w:rPr>
          <w:rFonts w:ascii="Times New Roman" w:cs="Times New Roman" w:eastAsia="Times New Roman" w:hAnsi="Times New Roman"/>
          <w:sz w:val="18"/>
          <w:szCs w:val="18"/>
          <w:color w:val="auto"/>
        </w:rPr>
        <w:t>In July 2026, the Company amended and extended its trade accounts receivable securitization program (the “Securitization Program”) in the United States with a group of financial institutions for two years, which is due in July 2028. The Securitization Program allows the Company to transfer, on an ongoing revolving basis, an undivided interest in a designated pool of trade accounts receivable, to provide security or collateral for borrowings of up to $700 million, an increase from the previous limit of $500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receivable into a wholly owned and consolidated bankruptcy remote special purpose entity. Such receivables, which are recorded within “Receivables” in the consolidated balance sheets, totaled $1.70 billion and $1.23 billion at October 3, 2026, and June 27, 2026, respectively. The Securitization Program contains certain covenants relating to the quality of the receivables sold.</w:t>
      </w:r>
    </w:p>
    <w:p>
      <w:pPr>
        <w:spacing w:after="0" w:line="139" w:lineRule="exact"/>
        <w:rPr>
          <w:sz w:val="20"/>
          <w:szCs w:val="20"/>
          <w:color w:val="auto"/>
        </w:rPr>
      </w:pPr>
    </w:p>
    <w:p>
      <w:pPr>
        <w:ind w:left="60" w:right="79" w:firstLine="427"/>
        <w:spacing w:after="0" w:line="272" w:lineRule="auto"/>
        <w:rPr>
          <w:sz w:val="20"/>
          <w:szCs w:val="20"/>
          <w:color w:val="auto"/>
        </w:rPr>
      </w:pPr>
      <w:r>
        <w:rPr>
          <w:rFonts w:ascii="Times New Roman" w:cs="Times New Roman" w:eastAsia="Times New Roman" w:hAnsi="Times New Roman"/>
          <w:sz w:val="17"/>
          <w:szCs w:val="17"/>
          <w:color w:val="auto"/>
        </w:rPr>
        <w:t>The Company has a five-year $1.75 billion revolving credit facility (the “Credit Facility”) with a syndicate of banks, which expires in January 2030. It consists of revolving credit facilities and the issuance of up to $200.0 million of letters of credit and up to $300.0 million of loans in certain approved currencies. As of October 3, 2026, and June 27, 2026, there were $0.7 million and $0.8 million, respectively, in letters of credit issued under the Credit Facility.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leverage ratio below a certain threshold, which the Company was in compliance with as of October 3, 2026, and June 27, 2026.</w:t>
      </w:r>
    </w:p>
    <w:p>
      <w:pPr>
        <w:spacing w:after="0" w:line="145" w:lineRule="exact"/>
        <w:rPr>
          <w:sz w:val="20"/>
          <w:szCs w:val="20"/>
          <w:color w:val="auto"/>
        </w:rPr>
      </w:pPr>
    </w:p>
    <w:p>
      <w:pPr>
        <w:ind w:left="60" w:right="159" w:firstLine="427"/>
        <w:spacing w:after="0" w:line="282" w:lineRule="auto"/>
        <w:rPr>
          <w:sz w:val="20"/>
          <w:szCs w:val="20"/>
          <w:color w:val="auto"/>
        </w:rPr>
      </w:pPr>
      <w:r>
        <w:rPr>
          <w:rFonts w:ascii="Times New Roman" w:cs="Times New Roman" w:eastAsia="Times New Roman" w:hAnsi="Times New Roman"/>
          <w:sz w:val="18"/>
          <w:szCs w:val="18"/>
          <w:color w:val="auto"/>
        </w:rPr>
        <w:t>In October 2026, the Company amended its Credit Facility to increase the revolving line of credit by $1.00 billion to $2.75 billion and to permit the Company to request up to $1.00 billion of additional commitments.</w:t>
      </w:r>
    </w:p>
    <w:p>
      <w:pPr>
        <w:spacing w:after="0" w:line="121" w:lineRule="exact"/>
        <w:rPr>
          <w:sz w:val="20"/>
          <w:szCs w:val="20"/>
          <w:color w:val="auto"/>
        </w:rPr>
      </w:pPr>
    </w:p>
    <w:p>
      <w:pPr>
        <w:ind w:left="60" w:right="119" w:firstLine="427"/>
        <w:spacing w:after="0" w:line="261" w:lineRule="auto"/>
        <w:rPr>
          <w:sz w:val="20"/>
          <w:szCs w:val="20"/>
          <w:color w:val="auto"/>
        </w:rPr>
      </w:pPr>
      <w:r>
        <w:rPr>
          <w:rFonts w:ascii="Times New Roman" w:cs="Times New Roman" w:eastAsia="Times New Roman" w:hAnsi="Times New Roman"/>
          <w:sz w:val="18"/>
          <w:szCs w:val="18"/>
          <w:color w:val="auto"/>
        </w:rPr>
        <w:t>In August 2026, the Company entered into a credit agreement (“2026 Term Loan”) for $375 million maturing in July 2028. The loan is priced at a variable interest rate based on Term SOFR or a base rate, plus an applicable margin determined by the Company’s credit ratings. The Term Loan contains certain covenants, with which the Company was in compliance as of October 3, 2026.</w:t>
      </w:r>
    </w:p>
    <w:p>
      <w:pPr>
        <w:spacing w:after="0" w:line="139" w:lineRule="exact"/>
        <w:rPr>
          <w:sz w:val="20"/>
          <w:szCs w:val="20"/>
          <w:color w:val="auto"/>
        </w:rPr>
      </w:pPr>
    </w:p>
    <w:p>
      <w:pPr>
        <w:ind w:left="60" w:right="79" w:firstLine="427"/>
        <w:spacing w:after="0" w:line="255" w:lineRule="auto"/>
        <w:rPr>
          <w:sz w:val="20"/>
          <w:szCs w:val="20"/>
          <w:color w:val="auto"/>
        </w:rPr>
      </w:pPr>
      <w:r>
        <w:rPr>
          <w:rFonts w:ascii="Times New Roman" w:cs="Times New Roman" w:eastAsia="Times New Roman" w:hAnsi="Times New Roman"/>
          <w:sz w:val="18"/>
          <w:szCs w:val="18"/>
          <w:color w:val="auto"/>
        </w:rPr>
        <w:t>The Convertible Notes accrue interest at a rate of 1.75% per annum. Before June 1, 2030, noteholders will have the right to convert their Convertible Notes only upon the occurrence of certain events, including but not limited to, the Company’s common stock trading above approximately $91 per share for each of at least 20 trading days, whether or not consecutive, during the 30 consecutive trading days ending on, and including, the last trading day of the immediately preceding fiscal quarter, the market value of the Convertible Notes trading below 98% of the product of the trading price of the Company’s common stock and the conversion rate for a specific period, and certain fundamental changes to the Company’s corporate structure. The initial conversion price is approximately $70.27 per share of common stock.</w:t>
      </w:r>
    </w:p>
    <w:p>
      <w:pPr>
        <w:spacing w:after="0" w:line="162" w:lineRule="exact"/>
        <w:rPr>
          <w:sz w:val="20"/>
          <w:szCs w:val="20"/>
          <w:color w:val="auto"/>
        </w:rPr>
      </w:pPr>
    </w:p>
    <w:p>
      <w:pPr>
        <w:ind w:left="60" w:right="419" w:firstLine="427"/>
        <w:spacing w:after="0" w:line="266" w:lineRule="auto"/>
        <w:rPr>
          <w:sz w:val="20"/>
          <w:szCs w:val="20"/>
          <w:color w:val="auto"/>
        </w:rPr>
      </w:pPr>
      <w:r>
        <w:rPr>
          <w:rFonts w:ascii="Times New Roman" w:cs="Times New Roman" w:eastAsia="Times New Roman" w:hAnsi="Times New Roman"/>
          <w:sz w:val="18"/>
          <w:szCs w:val="18"/>
          <w:color w:val="auto"/>
        </w:rPr>
        <w:t>The Company may redeem all or any portion of the Convertible Notes, at the Company’s option, on or after September 8, 2028, if the sale price of the Company’s common stock has been at least approximately $91 per common share for at least 20 trading days during any 30 consecutive trading-day period.</w:t>
      </w:r>
    </w:p>
    <w:p>
      <w:pPr>
        <w:spacing w:after="0" w:line="135" w:lineRule="exact"/>
        <w:rPr>
          <w:sz w:val="20"/>
          <w:szCs w:val="20"/>
          <w:color w:val="auto"/>
        </w:rPr>
      </w:pPr>
    </w:p>
    <w:p>
      <w:pPr>
        <w:ind w:left="60" w:right="119" w:firstLine="427"/>
        <w:spacing w:after="0" w:line="266" w:lineRule="auto"/>
        <w:rPr>
          <w:sz w:val="20"/>
          <w:szCs w:val="20"/>
          <w:color w:val="auto"/>
        </w:rPr>
      </w:pPr>
      <w:r>
        <w:rPr>
          <w:rFonts w:ascii="Times New Roman" w:cs="Times New Roman" w:eastAsia="Times New Roman" w:hAnsi="Times New Roman"/>
          <w:sz w:val="18"/>
          <w:szCs w:val="18"/>
          <w:color w:val="auto"/>
        </w:rPr>
        <w:t>Upon conversion of the Convertible Notes, the Company must satisfy the aggregate principal amount of the notes being converted in cash. For any conversion obligation exceeding the aggregate principal amount, the Company may, at its discretion, settle the remainder through cash, shares of the Company’s common stock, or a combination thereof.</w:t>
      </w:r>
    </w:p>
    <w:p>
      <w:pPr>
        <w:spacing w:after="0" w:line="135" w:lineRule="exact"/>
        <w:rPr>
          <w:sz w:val="20"/>
          <w:szCs w:val="20"/>
          <w:color w:val="auto"/>
        </w:rPr>
      </w:pPr>
    </w:p>
    <w:p>
      <w:pPr>
        <w:ind w:left="60" w:right="219" w:firstLine="427"/>
        <w:spacing w:after="0" w:line="261" w:lineRule="auto"/>
        <w:rPr>
          <w:sz w:val="20"/>
          <w:szCs w:val="20"/>
          <w:color w:val="auto"/>
        </w:rPr>
      </w:pPr>
      <w:r>
        <w:rPr>
          <w:rFonts w:ascii="Times New Roman" w:cs="Times New Roman" w:eastAsia="Times New Roman" w:hAnsi="Times New Roman"/>
          <w:sz w:val="18"/>
          <w:szCs w:val="18"/>
          <w:color w:val="auto"/>
        </w:rPr>
        <w:t>In August 2026, the Company issued $550 million in aggregate principal amount of 5.65% Notes due 2031. The related discount and issuance costs will be amortized to interest expense over the term of the notes and are not considered material to the consolidated financial statements. Interest is payable semi-annually, in arrears, in March and September, commencing March 2027.</w:t>
      </w:r>
    </w:p>
    <w:p>
      <w:pPr>
        <w:spacing w:after="0" w:line="153" w:lineRule="exact"/>
        <w:rPr>
          <w:sz w:val="20"/>
          <w:szCs w:val="20"/>
          <w:color w:val="auto"/>
        </w:rPr>
      </w:pPr>
    </w:p>
    <w:p>
      <w:pPr>
        <w:ind w:left="60" w:right="179" w:firstLine="427"/>
        <w:spacing w:after="0" w:line="258" w:lineRule="auto"/>
        <w:rPr>
          <w:sz w:val="20"/>
          <w:szCs w:val="20"/>
          <w:color w:val="auto"/>
        </w:rPr>
      </w:pPr>
      <w:r>
        <w:rPr>
          <w:rFonts w:ascii="Times New Roman" w:cs="Times New Roman" w:eastAsia="Times New Roman" w:hAnsi="Times New Roman"/>
          <w:sz w:val="18"/>
          <w:szCs w:val="18"/>
          <w:color w:val="auto"/>
        </w:rPr>
        <w:t>As of October 3, 2026, the carrying value and fair value of the Company’s total debt was $4.17 billion and $4.37 billion, respectively. At June 27, 2026, the carrying value and fair value of the Company’s total debt was $3.21 billion and $3.46 billion, respectively. Fair value for public notes including convertible notes was estimated based on quoted market prices (Level 1) and, for other forms of debt, fair value approximates carrying value due to the market based variable nature of the interest rates on those debt facilities (Level 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189" w:lineRule="exact"/>
        <w:rPr>
          <w:sz w:val="20"/>
          <w:szCs w:val="20"/>
          <w:color w:val="auto"/>
        </w:rPr>
      </w:pPr>
    </w:p>
    <w:p>
      <w:pPr>
        <w:ind w:left="60" w:right="199" w:firstLine="427"/>
        <w:spacing w:after="0" w:line="255"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87" w:lineRule="exact"/>
        <w:rPr>
          <w:sz w:val="20"/>
          <w:szCs w:val="20"/>
          <w:color w:val="auto"/>
        </w:rPr>
      </w:pPr>
    </w:p>
    <w:p>
      <w:pPr>
        <w:ind w:left="60" w:right="59" w:firstLine="427"/>
        <w:spacing w:after="0" w:line="253" w:lineRule="auto"/>
        <w:rPr>
          <w:sz w:val="20"/>
          <w:szCs w:val="20"/>
          <w:color w:val="auto"/>
        </w:rPr>
      </w:pPr>
      <w:r>
        <w:rPr>
          <w:rFonts w:ascii="Times New Roman" w:cs="Times New Roman" w:eastAsia="Times New Roman" w:hAnsi="Times New Roman"/>
          <w:sz w:val="18"/>
          <w:szCs w:val="18"/>
          <w:color w:val="auto"/>
        </w:rPr>
        <w:t>The Company uses economic hedges to reduce this risk utilizing natural hedging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offsetting receivables and payables in the same foreign currency) and creating offsetting positions using derivative financial instruments (primarily forward foreign currency exchange contracts typically with maturities of less than 60 days, but no longer than one year). The Company continues to have exposure to foreign currency risks to the extent they are not economically hedged. The fair value of forward foreign currency exchange contracts is based 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94" w:lineRule="exact"/>
        <w:rPr>
          <w:sz w:val="20"/>
          <w:szCs w:val="20"/>
          <w:color w:val="auto"/>
        </w:rPr>
      </w:pPr>
    </w:p>
    <w:p>
      <w:pPr>
        <w:ind w:left="60" w:right="99" w:firstLine="427"/>
        <w:spacing w:after="0" w:line="254" w:lineRule="auto"/>
        <w:rPr>
          <w:sz w:val="20"/>
          <w:szCs w:val="20"/>
          <w:color w:val="auto"/>
        </w:rPr>
      </w:pPr>
      <w:r>
        <w:rPr>
          <w:rFonts w:ascii="Times New Roman" w:cs="Times New Roman" w:eastAsia="Times New Roman" w:hAnsi="Times New Roman"/>
          <w:sz w:val="18"/>
          <w:szCs w:val="18"/>
          <w:color w:val="auto"/>
        </w:rPr>
        <w:t>The Company has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loss”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is based on Level 2 criteria under the ASC 820 fair value hierarchy.</w:t>
      </w:r>
    </w:p>
    <w:p>
      <w:pPr>
        <w:spacing w:after="0" w:line="192" w:lineRule="exact"/>
        <w:rPr>
          <w:sz w:val="20"/>
          <w:szCs w:val="20"/>
          <w:color w:val="auto"/>
        </w:rPr>
      </w:pPr>
    </w:p>
    <w:p>
      <w:pPr>
        <w:ind w:left="60" w:right="139" w:firstLine="427"/>
        <w:spacing w:after="0" w:line="266" w:lineRule="auto"/>
        <w:rPr>
          <w:sz w:val="20"/>
          <w:szCs w:val="20"/>
          <w:color w:val="auto"/>
        </w:rPr>
      </w:pPr>
      <w:r>
        <w:rPr>
          <w:rFonts w:ascii="Times New Roman" w:cs="Times New Roman" w:eastAsia="Times New Roman" w:hAnsi="Times New Roman"/>
          <w:sz w:val="18"/>
          <w:szCs w:val="18"/>
          <w:color w:val="auto"/>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spacing w:after="0" w:line="176" w:lineRule="exact"/>
        <w:rPr>
          <w:sz w:val="20"/>
          <w:szCs w:val="20"/>
          <w:color w:val="auto"/>
        </w:rPr>
      </w:pPr>
    </w:p>
    <w:p>
      <w:pPr>
        <w:ind w:left="60" w:right="539" w:firstLine="427"/>
        <w:spacing w:after="0" w:line="282" w:lineRule="auto"/>
        <w:rPr>
          <w:sz w:val="20"/>
          <w:szCs w:val="20"/>
          <w:color w:val="auto"/>
        </w:rPr>
      </w:pPr>
      <w:r>
        <w:rPr>
          <w:rFonts w:ascii="Times New Roman" w:cs="Times New Roman" w:eastAsia="Times New Roman" w:hAnsi="Times New Roman"/>
          <w:sz w:val="18"/>
          <w:szCs w:val="18"/>
          <w:color w:val="auto"/>
        </w:rPr>
        <w:t>The locations and fair values of the Company’s derivative financial instruments in the Company’s consolidated balance sheets are as follows: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October 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27,</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3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3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30,331</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3440" w:type="dxa"/>
            <w:vAlign w:val="bottom"/>
          </w:tcPr>
          <w:p>
            <w:pPr>
              <w:spacing w:after="0"/>
              <w:rPr>
                <w:sz w:val="24"/>
                <w:szCs w:val="24"/>
                <w:color w:val="auto"/>
              </w:rPr>
            </w:pPr>
          </w:p>
        </w:tc>
        <w:tc>
          <w:tcPr>
            <w:tcW w:w="330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480" w:firstLine="427"/>
        <w:spacing w:after="0" w:line="282" w:lineRule="auto"/>
        <w:rPr>
          <w:sz w:val="20"/>
          <w:szCs w:val="20"/>
          <w:color w:val="auto"/>
        </w:rPr>
      </w:pPr>
      <w:r>
        <w:rPr>
          <w:rFonts w:ascii="Times New Roman" w:cs="Times New Roman" w:eastAsia="Times New Roman" w:hAnsi="Times New Roman"/>
          <w:sz w:val="18"/>
          <w:szCs w:val="18"/>
          <w:color w:val="auto"/>
        </w:rPr>
        <w:t>The locations of derivative financial instruments on the Company’s consolidated statements of operations are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18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194"/>
        </w:trPr>
        <w:tc>
          <w:tcPr>
            <w:tcW w:w="18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80" w:type="dxa"/>
            <w:vAlign w:val="bottom"/>
            <w:tcBorders>
              <w:top w:val="single" w:sz="8" w:color="auto"/>
            </w:tcBorders>
            <w:gridSpan w:val="2"/>
          </w:tcPr>
          <w:p>
            <w:pPr>
              <w:jc w:val="right"/>
              <w:ind w:right="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27,</w:t>
            </w:r>
          </w:p>
        </w:tc>
        <w:tc>
          <w:tcPr>
            <w:tcW w:w="20" w:type="dxa"/>
            <w:vAlign w:val="bottom"/>
          </w:tcPr>
          <w:p>
            <w:pPr>
              <w:spacing w:after="0"/>
              <w:rPr>
                <w:sz w:val="16"/>
                <w:szCs w:val="16"/>
                <w:color w:val="auto"/>
              </w:rPr>
            </w:pPr>
          </w:p>
        </w:tc>
      </w:tr>
      <w:tr>
        <w:trPr>
          <w:trHeight w:val="245"/>
        </w:trPr>
        <w:tc>
          <w:tcPr>
            <w:tcW w:w="18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r>
      <w:tr>
        <w:trPr>
          <w:trHeight w:val="203"/>
        </w:trPr>
        <w:tc>
          <w:tcPr>
            <w:tcW w:w="18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5"/>
          </w:tcPr>
          <w:p>
            <w:pPr>
              <w:jc w:val="right"/>
              <w:ind w:right="7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4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(17,671)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0" w:type="dxa"/>
            <w:vAlign w:val="bottom"/>
          </w:tcPr>
          <w:p>
            <w:pPr>
              <w:spacing w:after="0"/>
              <w:rPr>
                <w:sz w:val="18"/>
                <w:szCs w:val="18"/>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w:t>
            </w:r>
          </w:p>
        </w:tc>
        <w:tc>
          <w:tcPr>
            <w:tcW w:w="4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Pr>
          <w:p>
            <w:pPr>
              <w:spacing w:after="0"/>
              <w:rPr>
                <w:sz w:val="20"/>
                <w:szCs w:val="20"/>
                <w:color w:val="auto"/>
              </w:rPr>
            </w:pP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02" w:lineRule="exact"/>
        <w:rPr>
          <w:sz w:val="20"/>
          <w:szCs w:val="20"/>
          <w:color w:val="auto"/>
        </w:rPr>
      </w:pPr>
    </w:p>
    <w:p>
      <w:pPr>
        <w:ind w:left="60" w:right="180" w:firstLine="427"/>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0" w:lineRule="exact"/>
        <w:rPr>
          <w:sz w:val="20"/>
          <w:szCs w:val="20"/>
          <w:color w:val="auto"/>
        </w:rPr>
      </w:pPr>
    </w:p>
    <w:p>
      <w:pPr>
        <w:ind w:left="60" w:right="140" w:firstLine="427"/>
        <w:spacing w:after="0" w:line="256" w:lineRule="auto"/>
        <w:rPr>
          <w:sz w:val="20"/>
          <w:szCs w:val="20"/>
          <w:color w:val="auto"/>
        </w:rPr>
      </w:pPr>
      <w:r>
        <w:rPr>
          <w:rFonts w:ascii="Times New Roman" w:cs="Times New Roman" w:eastAsia="Times New Roman" w:hAnsi="Times New Roman"/>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87" w:lineRule="exact"/>
        <w:rPr>
          <w:sz w:val="20"/>
          <w:szCs w:val="20"/>
          <w:color w:val="auto"/>
        </w:rPr>
      </w:pPr>
    </w:p>
    <w:p>
      <w:pPr>
        <w:jc w:val="both"/>
        <w:ind w:left="60" w:right="340" w:firstLine="427"/>
        <w:spacing w:after="0" w:line="281" w:lineRule="auto"/>
        <w:rPr>
          <w:sz w:val="20"/>
          <w:szCs w:val="20"/>
          <w:color w:val="auto"/>
        </w:rPr>
      </w:pPr>
      <w:r>
        <w:rPr>
          <w:rFonts w:ascii="Times New Roman" w:cs="Times New Roman" w:eastAsia="Times New Roman" w:hAnsi="Times New Roman"/>
          <w:sz w:val="17"/>
          <w:szCs w:val="17"/>
          <w:color w:val="auto"/>
        </w:rPr>
        <w:t>In the ordinary course of business, the Company provides bank guarantees and standby letters of credit issued by financial institutions to support certain obligations. As of October 3, 2026, and June 27, 2026, the aggregate amount of these guarantees was approximately $148.3 million and $139.8 million, respectively. The Company does not expect any material losses to arise from these arrangements, and no material liability has been recorded related to these guarantees.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89" w:lineRule="exact"/>
        <w:rPr>
          <w:sz w:val="20"/>
          <w:szCs w:val="20"/>
          <w:color w:val="auto"/>
        </w:rPr>
      </w:pPr>
    </w:p>
    <w:p>
      <w:pPr>
        <w:ind w:left="60" w:right="780" w:firstLine="427"/>
        <w:spacing w:after="0" w:line="282" w:lineRule="auto"/>
        <w:rPr>
          <w:sz w:val="20"/>
          <w:szCs w:val="20"/>
          <w:color w:val="auto"/>
        </w:rPr>
      </w:pPr>
      <w:r>
        <w:rPr>
          <w:rFonts w:ascii="Times New Roman" w:cs="Times New Roman" w:eastAsia="Times New Roman" w:hAnsi="Times New Roman"/>
          <w:sz w:val="18"/>
          <w:szCs w:val="18"/>
          <w:color w:val="auto"/>
        </w:rPr>
        <w:t>The following discussion of the effective tax rate for the periods presented in the consolidated statements of operations is in comparison to the 21% U.S. statutory federal income tax rate.</w:t>
      </w:r>
    </w:p>
    <w:p>
      <w:pPr>
        <w:spacing w:after="0" w:line="162" w:lineRule="exact"/>
        <w:rPr>
          <w:sz w:val="20"/>
          <w:szCs w:val="20"/>
          <w:color w:val="auto"/>
        </w:rPr>
      </w:pPr>
    </w:p>
    <w:p>
      <w:pPr>
        <w:jc w:val="both"/>
        <w:ind w:left="60" w:right="140" w:firstLine="427"/>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on its income before taxes was 24.1% in the first quarter of fiscal 2027. During the first quarter of fiscal 2027, the Company’s effective tax rate was unfavorably impacted primarily by (i) the mix of income in higher tax jurisdictions, and (ii) U.S. state taxes.</w:t>
      </w:r>
    </w:p>
    <w:p>
      <w:pPr>
        <w:spacing w:after="0" w:line="176" w:lineRule="exact"/>
        <w:rPr>
          <w:sz w:val="20"/>
          <w:szCs w:val="20"/>
          <w:color w:val="auto"/>
        </w:rPr>
      </w:pPr>
    </w:p>
    <w:p>
      <w:pPr>
        <w:ind w:left="60" w:right="160" w:firstLine="427"/>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2026, the Company’s effective tax rate on its income before taxes was 32.6%, and it was unfavorably impacted primarily by (i) the effect of changes in tax rates enacted in foreign jurisdictions, and (ii) increases to unrecognized tax benefit reserves net of settlements.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40" w:right="1439"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Pension plan</w:t>
      </w:r>
    </w:p>
    <w:p>
      <w:pPr>
        <w:spacing w:after="0" w:line="189" w:lineRule="exact"/>
        <w:rPr>
          <w:sz w:val="20"/>
          <w:szCs w:val="20"/>
          <w:color w:val="auto"/>
        </w:rPr>
      </w:pPr>
    </w:p>
    <w:p>
      <w:pPr>
        <w:ind w:left="60" w:right="519" w:firstLine="427"/>
        <w:spacing w:after="0" w:line="282" w:lineRule="auto"/>
        <w:rPr>
          <w:sz w:val="20"/>
          <w:szCs w:val="20"/>
          <w:color w:val="auto"/>
        </w:rPr>
      </w:pPr>
      <w:r>
        <w:rPr>
          <w:rFonts w:ascii="Times New Roman" w:cs="Times New Roman" w:eastAsia="Times New Roman" w:hAnsi="Times New Roman"/>
          <w:sz w:val="18"/>
          <w:szCs w:val="18"/>
          <w:color w:val="auto"/>
        </w:rPr>
        <w:t>The Company has a noncontributory defined benefit pension plan that covers substantially all current and some former U.S. employees (the “Plan”). Components of net periodic pension cost for the Plan were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5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194"/>
        </w:trPr>
        <w:tc>
          <w:tcPr>
            <w:tcW w:w="5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3,</w:t>
            </w:r>
          </w:p>
        </w:tc>
        <w:tc>
          <w:tcPr>
            <w:tcW w:w="1240" w:type="dxa"/>
            <w:vAlign w:val="bottom"/>
            <w:tcBorders>
              <w:top w:val="single" w:sz="8" w:color="auto"/>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September 27,</w:t>
            </w:r>
          </w:p>
        </w:tc>
        <w:tc>
          <w:tcPr>
            <w:tcW w:w="20" w:type="dxa"/>
            <w:vAlign w:val="bottom"/>
          </w:tcPr>
          <w:p>
            <w:pPr>
              <w:spacing w:after="0"/>
              <w:rPr>
                <w:sz w:val="16"/>
                <w:szCs w:val="16"/>
                <w:color w:val="auto"/>
              </w:rPr>
            </w:pPr>
          </w:p>
        </w:tc>
      </w:tr>
      <w:tr>
        <w:trPr>
          <w:trHeight w:val="245"/>
        </w:trPr>
        <w:tc>
          <w:tcPr>
            <w:tcW w:w="5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r>
      <w:tr>
        <w:trPr>
          <w:trHeight w:val="203"/>
        </w:trPr>
        <w:tc>
          <w:tcPr>
            <w:tcW w:w="5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6"/>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 within selling, general and administrative expenses</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20" w:type="dxa"/>
            <w:vAlign w:val="bottom"/>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20" w:type="dxa"/>
            <w:vAlign w:val="bottom"/>
          </w:tcPr>
          <w:p>
            <w:pPr>
              <w:spacing w:after="0"/>
              <w:rPr>
                <w:sz w:val="18"/>
                <w:szCs w:val="18"/>
                <w:color w:val="auto"/>
              </w:rPr>
            </w:pPr>
          </w:p>
        </w:tc>
      </w:tr>
      <w:tr>
        <w:trPr>
          <w:trHeight w:val="236"/>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 and other</w:t>
            </w: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0" w:type="dxa"/>
            <w:vAlign w:val="bottom"/>
          </w:tcPr>
          <w:p>
            <w:pPr>
              <w:spacing w:after="0"/>
              <w:rPr>
                <w:sz w:val="20"/>
                <w:szCs w:val="20"/>
                <w:color w:val="auto"/>
              </w:rPr>
            </w:pPr>
          </w:p>
        </w:tc>
      </w:tr>
      <w:tr>
        <w:trPr>
          <w:trHeight w:val="203"/>
        </w:trPr>
        <w:tc>
          <w:tcPr>
            <w:tcW w:w="570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net periodic pension cost (benefit) within other expense, net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(1,970)</w:t>
            </w:r>
          </w:p>
        </w:tc>
        <w:tc>
          <w:tcPr>
            <w:tcW w:w="20" w:type="dxa"/>
            <w:vAlign w:val="bottom"/>
          </w:tcPr>
          <w:p>
            <w:pPr>
              <w:spacing w:after="0"/>
              <w:rPr>
                <w:sz w:val="17"/>
                <w:szCs w:val="17"/>
                <w:color w:val="auto"/>
              </w:rPr>
            </w:pPr>
          </w:p>
        </w:tc>
      </w:tr>
      <w:tr>
        <w:trPr>
          <w:trHeight w:val="236"/>
        </w:trPr>
        <w:tc>
          <w:tcPr>
            <w:tcW w:w="5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570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periodic pension cost</w:t>
            </w:r>
          </w:p>
        </w:tc>
        <w:tc>
          <w:tcPr>
            <w:tcW w:w="880" w:type="dxa"/>
            <w:vAlign w:val="bottom"/>
          </w:tcPr>
          <w:p>
            <w:pPr>
              <w:spacing w:after="0"/>
              <w:rPr>
                <w:sz w:val="17"/>
                <w:szCs w:val="17"/>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748</w:t>
            </w:r>
          </w:p>
        </w:tc>
        <w:tc>
          <w:tcPr>
            <w:tcW w:w="2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79" w:firstLine="427"/>
        <w:spacing w:after="0" w:line="282" w:lineRule="auto"/>
        <w:rPr>
          <w:sz w:val="20"/>
          <w:szCs w:val="20"/>
          <w:color w:val="auto"/>
        </w:rPr>
      </w:pPr>
      <w:r>
        <w:rPr>
          <w:rFonts w:ascii="Times New Roman" w:cs="Times New Roman" w:eastAsia="Times New Roman" w:hAnsi="Times New Roman"/>
          <w:sz w:val="18"/>
          <w:szCs w:val="18"/>
          <w:color w:val="auto"/>
        </w:rPr>
        <w:t>The Company made $4.0 million contributions during the first quarter of fiscal 2027 and expects to make additional contributions to the Plan of $4.0 million in the remainder of fiscal 2027.</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87" w:lineRule="exact"/>
        <w:rPr>
          <w:sz w:val="20"/>
          <w:szCs w:val="20"/>
          <w:color w:val="auto"/>
        </w:rPr>
      </w:pPr>
    </w:p>
    <w:p>
      <w:pPr>
        <w:ind w:left="60" w:right="619" w:firstLine="427"/>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2027, the Company did not repurchase any shares. As of October 3, 2026, the Company had $225.8 million remaining under its share repurchase authorization.</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200" w:lineRule="exact"/>
        <w:rPr>
          <w:sz w:val="20"/>
          <w:szCs w:val="20"/>
          <w:color w:val="auto"/>
        </w:rPr>
      </w:pPr>
    </w:p>
    <w:p>
      <w:pPr>
        <w:ind w:left="60" w:right="579" w:firstLine="432"/>
        <w:spacing w:after="0" w:line="282" w:lineRule="auto"/>
        <w:rPr>
          <w:sz w:val="20"/>
          <w:szCs w:val="20"/>
          <w:color w:val="auto"/>
        </w:rPr>
      </w:pPr>
      <w:r>
        <w:rPr>
          <w:rFonts w:ascii="Times New Roman" w:cs="Times New Roman" w:eastAsia="Times New Roman" w:hAnsi="Times New Roman"/>
          <w:sz w:val="18"/>
          <w:szCs w:val="18"/>
          <w:color w:val="auto"/>
        </w:rPr>
        <w:t>In August 2026, the Company’s Board of Directors approved a dividend of $0.37 per common share and made dividend payments of $30.4 million in September 2026.</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6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9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10. Earnings per share</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60" w:type="dxa"/>
            <w:vAlign w:val="bottom"/>
          </w:tcPr>
          <w:p>
            <w:pPr>
              <w:spacing w:after="0"/>
              <w:rPr>
                <w:sz w:val="16"/>
                <w:szCs w:val="16"/>
                <w:color w:val="auto"/>
              </w:rPr>
            </w:pPr>
          </w:p>
        </w:tc>
        <w:tc>
          <w:tcPr>
            <w:tcW w:w="12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September 27,</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4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w w:val="94"/>
              </w:rPr>
              <w:t>(Thousands, except</w:t>
            </w:r>
          </w:p>
        </w:tc>
        <w:tc>
          <w:tcPr>
            <w:tcW w:w="12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282,172</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51,745</w:t>
            </w:r>
          </w:p>
        </w:tc>
        <w:tc>
          <w:tcPr>
            <w:tcW w:w="0" w:type="dxa"/>
            <w:vAlign w:val="bottom"/>
          </w:tcPr>
          <w:p>
            <w:pPr>
              <w:spacing w:after="0"/>
              <w:rPr>
                <w:sz w:val="1"/>
                <w:szCs w:val="1"/>
                <w:color w:val="auto"/>
              </w:rPr>
            </w:pPr>
          </w:p>
        </w:tc>
      </w:tr>
      <w:tr>
        <w:trPr>
          <w:trHeight w:val="196"/>
        </w:trPr>
        <w:tc>
          <w:tcPr>
            <w:tcW w:w="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for basic earnings per share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82,996</w:t>
            </w:r>
          </w:p>
        </w:tc>
        <w:tc>
          <w:tcPr>
            <w:tcW w:w="0" w:type="dxa"/>
            <w:vAlign w:val="bottom"/>
          </w:tcPr>
          <w:p>
            <w:pPr>
              <w:spacing w:after="0"/>
              <w:rPr>
                <w:sz w:val="1"/>
                <w:szCs w:val="1"/>
                <w:color w:val="auto"/>
              </w:rPr>
            </w:pPr>
          </w:p>
        </w:tc>
      </w:tr>
      <w:tr>
        <w:trPr>
          <w:trHeight w:val="216"/>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effect of dilutive stock-based compensation awards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effect of dilutive convertible notes</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for diluted earnings per share</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86,005</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84,462</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tcBorders>
              <w:bottom w:val="single" w:sz="8" w:color="CCEEFF"/>
            </w:tcBorders>
            <w:gridSpan w:val="3"/>
            <w:vMerge w:val="continue"/>
          </w:tcPr>
          <w:p>
            <w:pPr>
              <w:spacing w:after="0"/>
              <w:rPr>
                <w:sz w:val="20"/>
                <w:szCs w:val="20"/>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3.28</w:t>
            </w:r>
          </w:p>
        </w:tc>
        <w:tc>
          <w:tcPr>
            <w:tcW w:w="1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151"/>
        </w:trPr>
        <w:tc>
          <w:tcPr>
            <w:tcW w:w="6280" w:type="dxa"/>
            <w:vAlign w:val="bottom"/>
            <w:gridSpan w:val="3"/>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Stock options excluded from earnings per share calculation due to an anti-dilutive</w:t>
            </w: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0" w:right="239" w:firstLine="427"/>
        <w:spacing w:after="0" w:line="261" w:lineRule="auto"/>
        <w:rPr>
          <w:sz w:val="20"/>
          <w:szCs w:val="20"/>
          <w:color w:val="auto"/>
        </w:rPr>
      </w:pPr>
      <w:r>
        <w:rPr>
          <w:rFonts w:ascii="Times New Roman" w:cs="Times New Roman" w:eastAsia="Times New Roman" w:hAnsi="Times New Roman"/>
          <w:sz w:val="18"/>
          <w:szCs w:val="18"/>
          <w:color w:val="auto"/>
        </w:rPr>
        <w:t>The Company calculates basic earnings per share, or EPS, by dividing net income by the weighted average number of common shares outstanding during the period. Diluted earnings per share is computed using the treasury stock method for outstanding stock options, restricted stock units, and performance share units and the if-converted method for convertible debt.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Additional cash flow information</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were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100" w:type="dxa"/>
            <w:vAlign w:val="bottom"/>
            <w:gridSpan w:val="2"/>
          </w:tcPr>
          <w:p>
            <w:pPr>
              <w:spacing w:after="0"/>
              <w:rPr>
                <w:sz w:val="21"/>
                <w:szCs w:val="21"/>
                <w:color w:val="auto"/>
              </w:rPr>
            </w:pPr>
          </w:p>
        </w:tc>
      </w:tr>
      <w:tr>
        <w:trPr>
          <w:trHeight w:val="194"/>
        </w:trPr>
        <w:tc>
          <w:tcPr>
            <w:tcW w:w="3760" w:type="dxa"/>
            <w:vAlign w:val="bottom"/>
          </w:tcPr>
          <w:p>
            <w:pPr>
              <w:spacing w:after="0"/>
              <w:rPr>
                <w:sz w:val="16"/>
                <w:szCs w:val="16"/>
                <w:color w:val="auto"/>
              </w:rPr>
            </w:pPr>
          </w:p>
        </w:tc>
        <w:tc>
          <w:tcPr>
            <w:tcW w:w="284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3,</w:t>
            </w:r>
          </w:p>
        </w:tc>
        <w:tc>
          <w:tcPr>
            <w:tcW w:w="13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September 27,</w:t>
            </w:r>
          </w:p>
        </w:tc>
        <w:tc>
          <w:tcPr>
            <w:tcW w:w="100" w:type="dxa"/>
            <w:vAlign w:val="bottom"/>
            <w:gridSpan w:val="2"/>
          </w:tcPr>
          <w:p>
            <w:pPr>
              <w:spacing w:after="0"/>
              <w:rPr>
                <w:sz w:val="16"/>
                <w:szCs w:val="16"/>
                <w:color w:val="auto"/>
              </w:rPr>
            </w:pPr>
          </w:p>
        </w:tc>
      </w:tr>
      <w:tr>
        <w:trPr>
          <w:trHeight w:val="245"/>
        </w:trPr>
        <w:tc>
          <w:tcPr>
            <w:tcW w:w="37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37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4"/>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gridSpan w:val="2"/>
          </w:tcPr>
          <w:p>
            <w:pPr>
              <w:spacing w:after="0"/>
              <w:rPr>
                <w:sz w:val="17"/>
                <w:szCs w:val="17"/>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 incurred but not paid</w:t>
            </w:r>
          </w:p>
        </w:tc>
        <w:tc>
          <w:tcPr>
            <w:tcW w:w="2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112,268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payments, net</w:t>
            </w:r>
          </w:p>
        </w:tc>
        <w:tc>
          <w:tcPr>
            <w:tcW w:w="2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44,348</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905"/>
        </w:trPr>
        <w:tc>
          <w:tcPr>
            <w:tcW w:w="3760" w:type="dxa"/>
            <w:vAlign w:val="bottom"/>
          </w:tcPr>
          <w:p>
            <w:pPr>
              <w:spacing w:after="0"/>
              <w:rPr>
                <w:sz w:val="24"/>
                <w:szCs w:val="24"/>
                <w:color w:val="auto"/>
              </w:rPr>
            </w:pPr>
          </w:p>
        </w:tc>
        <w:tc>
          <w:tcPr>
            <w:tcW w:w="274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7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7"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89" w:lineRule="exact"/>
        <w:rPr>
          <w:sz w:val="20"/>
          <w:szCs w:val="20"/>
          <w:color w:val="auto"/>
        </w:rPr>
      </w:pPr>
    </w:p>
    <w:p>
      <w:pPr>
        <w:ind w:left="60" w:right="99" w:firstLine="427"/>
        <w:spacing w:after="0" w:line="254" w:lineRule="auto"/>
        <w:rPr>
          <w:sz w:val="20"/>
          <w:szCs w:val="20"/>
          <w:color w:val="auto"/>
        </w:rPr>
      </w:pPr>
      <w:r>
        <w:rPr>
          <w:rFonts w:ascii="Times New Roman" w:cs="Times New Roman" w:eastAsia="Times New Roman" w:hAnsi="Times New Roman"/>
          <w:sz w:val="18"/>
          <w:szCs w:val="18"/>
          <w:color w:val="auto"/>
        </w:rPr>
        <w:t>Avnet has two primary operating reportable segments — Electronic Components (“EC”) and Farnell (“Farnell”). Both reportable segments aggregate the operating segments in each of the three major economic regions of the world: (i) the Americas, (ii) EMEA, and (iii) Asia. Each operating segment also has distinct financial reporting to the executive level, which informs operating decisions, strategic planning, and resource allocation for the Company as a whole. The company concluded that identifying operating segments by major geographic region within each of the company’s major businesses was consistent with ASC 280 and it has aggregated geographic operating segments within EC and Farnell reportable segments based on similar characteristics including long-term financial performance, the nature of products and services provided, process for delivering those products and services, and types of customers.</w:t>
      </w:r>
    </w:p>
    <w:p>
      <w:pPr>
        <w:spacing w:after="0" w:line="165" w:lineRule="exact"/>
        <w:rPr>
          <w:sz w:val="20"/>
          <w:szCs w:val="20"/>
          <w:color w:val="auto"/>
        </w:rPr>
      </w:pPr>
    </w:p>
    <w:p>
      <w:pPr>
        <w:ind w:left="60" w:right="199" w:firstLine="427"/>
        <w:spacing w:after="0" w:line="256" w:lineRule="auto"/>
        <w:rPr>
          <w:sz w:val="20"/>
          <w:szCs w:val="20"/>
          <w:color w:val="auto"/>
        </w:rPr>
      </w:pPr>
      <w:r>
        <w:rPr>
          <w:rFonts w:ascii="Times New Roman" w:cs="Times New Roman" w:eastAsia="Times New Roman" w:hAnsi="Times New Roman"/>
          <w:sz w:val="18"/>
          <w:szCs w:val="18"/>
          <w:color w:val="auto"/>
        </w:rPr>
        <w:t>The Company has identified its Chief Executive Officer (“CEO”) as the chief operating decision maker (“CODM”). The CODM evaluates the performance of operating and reportable segments based on operating income. Sales, cost of goods sold, and operating expenses are also monitored closely. This information is used to monitor operating margins, measure segment profitability, allocate resources, and make budgeting and forecasting decisions about the reportable segments. The CODM also uses these measures to monitor trends in year-over-year performance comparisons, sequential quarter performance comparisons, and to compare actual results to forecasts.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tbl>
      <w:tblPr>
        <w:tblLayout w:type="fixed"/>
        <w:tblInd w:w="40" w:type="dxa"/>
        <w:tblCellMar>
          <w:top w:w="0" w:type="dxa"/>
          <w:left w:w="0" w:type="dxa"/>
          <w:bottom w:w="0" w:type="dxa"/>
          <w:right w:w="0" w:type="dxa"/>
        </w:tblCellMar>
      </w:tblPr>
      <w:tr>
        <w:trPr>
          <w:trHeight w:val="207"/>
        </w:trPr>
        <w:tc>
          <w:tcPr>
            <w:tcW w:w="6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394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3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First Quarters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3,</w:t>
            </w:r>
          </w:p>
        </w:tc>
        <w:tc>
          <w:tcPr>
            <w:tcW w:w="200" w:type="dxa"/>
            <w:vAlign w:val="bottom"/>
          </w:tcPr>
          <w:p>
            <w:pPr>
              <w:spacing w:after="0"/>
              <w:rPr>
                <w:sz w:val="16"/>
                <w:szCs w:val="16"/>
                <w:color w:val="auto"/>
              </w:rPr>
            </w:pP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 *</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Electronic Components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10,134,689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5,499,690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Farnell</w:t>
            </w: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583,291</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Avnet Sales</w:t>
            </w:r>
          </w:p>
        </w:tc>
        <w:tc>
          <w:tcPr>
            <w:tcW w:w="4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10,717,980</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5,898,572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Significant Segment Expenses and Operating Income: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Electronic Components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9,229,797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4,992,639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420,434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gridSpan w:val="3"/>
          </w:tcPr>
          <w:p>
            <w:pPr>
              <w:ind w:left="320"/>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484,458</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Farnell</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414,207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110,485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tcBorders>
              <w:bottom w:val="single" w:sz="8" w:color="CCEEFF"/>
            </w:tcBorders>
            <w:gridSpan w:val="2"/>
          </w:tcPr>
          <w:p>
            <w:pPr>
              <w:spacing w:after="0"/>
              <w:rPr>
                <w:sz w:val="19"/>
                <w:szCs w:val="19"/>
                <w:color w:val="auto"/>
              </w:rPr>
            </w:pPr>
          </w:p>
        </w:tc>
        <w:tc>
          <w:tcPr>
            <w:tcW w:w="39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reportable segment operating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selling, general and administrative expenses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4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Avnet operating income</w:t>
            </w:r>
          </w:p>
        </w:tc>
        <w:tc>
          <w:tcPr>
            <w:tcW w:w="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474,736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Electronic Components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Farnell</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4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Depreciation &amp; amortization expense:</w:t>
            </w: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Electronic Components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Farnell</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394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19,249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Sales, by geographic area:</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2,861,757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EMEA</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2,737,489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Asia</w:t>
            </w:r>
          </w:p>
        </w:tc>
        <w:tc>
          <w:tcPr>
            <w:tcW w:w="4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5,118,734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Avnet Sales</w:t>
            </w:r>
          </w:p>
        </w:tc>
        <w:tc>
          <w:tcPr>
            <w:tcW w:w="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10,717,980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Borders>
              <w:bottom w:val="single" w:sz="8" w:color="0D0D0D"/>
            </w:tcBorders>
          </w:tcPr>
          <w:p>
            <w:pPr>
              <w:spacing w:after="0"/>
              <w:rPr>
                <w:sz w:val="12"/>
                <w:szCs w:val="12"/>
                <w:color w:val="auto"/>
              </w:rPr>
            </w:pPr>
          </w:p>
        </w:tc>
        <w:tc>
          <w:tcPr>
            <w:tcW w:w="1260" w:type="dxa"/>
            <w:vAlign w:val="bottom"/>
            <w:tcBorders>
              <w:bottom w:val="single" w:sz="8" w:color="0D0D0D"/>
            </w:tcBorders>
          </w:tcPr>
          <w:p>
            <w:pPr>
              <w:spacing w:after="0"/>
              <w:rPr>
                <w:sz w:val="12"/>
                <w:szCs w:val="12"/>
                <w:color w:val="auto"/>
              </w:rPr>
            </w:pPr>
          </w:p>
        </w:tc>
        <w:tc>
          <w:tcPr>
            <w:tcW w:w="960" w:type="dxa"/>
            <w:vAlign w:val="bottom"/>
            <w:tcBorders>
              <w:bottom w:val="single" w:sz="8" w:color="0D0D0D"/>
            </w:tcBorders>
          </w:tcPr>
          <w:p>
            <w:pPr>
              <w:spacing w:after="0"/>
              <w:rPr>
                <w:sz w:val="12"/>
                <w:szCs w:val="12"/>
                <w:color w:val="auto"/>
              </w:rPr>
            </w:pPr>
          </w:p>
        </w:tc>
        <w:tc>
          <w:tcPr>
            <w:tcW w:w="3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May not foot due to rounding.</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Assets by segment as follows:</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83"/>
        </w:trPr>
        <w:tc>
          <w:tcPr>
            <w:tcW w:w="670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3,</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5"/>
        </w:trPr>
        <w:tc>
          <w:tcPr>
            <w:tcW w:w="6700" w:type="dxa"/>
            <w:vAlign w:val="bottom"/>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 *</w:t>
            </w:r>
          </w:p>
        </w:tc>
        <w:tc>
          <w:tcPr>
            <w:tcW w:w="140" w:type="dxa"/>
            <w:vAlign w:val="bottom"/>
          </w:tcPr>
          <w:p>
            <w:pPr>
              <w:spacing w:after="0"/>
              <w:rPr>
                <w:sz w:val="21"/>
                <w:szCs w:val="21"/>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03"/>
        </w:trPr>
        <w:tc>
          <w:tcPr>
            <w:tcW w:w="6700" w:type="dxa"/>
            <w:vAlign w:val="bottom"/>
          </w:tcPr>
          <w:p>
            <w:pPr>
              <w:spacing w:after="0"/>
              <w:rPr>
                <w:sz w:val="17"/>
                <w:szCs w:val="17"/>
                <w:color w:val="auto"/>
              </w:rPr>
            </w:pPr>
          </w:p>
        </w:tc>
        <w:tc>
          <w:tcPr>
            <w:tcW w:w="2200" w:type="dxa"/>
            <w:vAlign w:val="bottom"/>
            <w:gridSpan w:val="3"/>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Electronic Components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$ 16,287,557</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$ 13,361,020</w:t>
            </w: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Farnell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1,799,878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1,764,060</w:t>
            </w:r>
          </w:p>
        </w:tc>
      </w:tr>
      <w:tr>
        <w:trPr>
          <w:trHeight w:val="22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377,905</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300,313</w:t>
            </w:r>
          </w:p>
        </w:tc>
      </w:tr>
      <w:tr>
        <w:trPr>
          <w:trHeight w:val="216"/>
        </w:trPr>
        <w:tc>
          <w:tcPr>
            <w:tcW w:w="67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$ 18,465,340</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$ 15,425,393</w:t>
            </w:r>
          </w:p>
        </w:tc>
      </w:tr>
      <w:tr>
        <w:trPr>
          <w:trHeight w:val="20"/>
        </w:trPr>
        <w:tc>
          <w:tcPr>
            <w:tcW w:w="6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Restructuring expenses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2027</w:t>
      </w:r>
    </w:p>
    <w:p>
      <w:pPr>
        <w:spacing w:after="0" w:line="189" w:lineRule="exact"/>
        <w:rPr>
          <w:sz w:val="20"/>
          <w:szCs w:val="20"/>
          <w:color w:val="auto"/>
        </w:rPr>
      </w:pPr>
    </w:p>
    <w:p>
      <w:pPr>
        <w:ind w:left="60" w:right="99" w:firstLine="427"/>
        <w:spacing w:after="0" w:line="266" w:lineRule="auto"/>
        <w:rPr>
          <w:sz w:val="20"/>
          <w:szCs w:val="20"/>
          <w:color w:val="auto"/>
        </w:rPr>
      </w:pPr>
      <w:r>
        <w:rPr>
          <w:rFonts w:ascii="Times New Roman" w:cs="Times New Roman" w:eastAsia="Times New Roman" w:hAnsi="Times New Roman"/>
          <w:sz w:val="18"/>
          <w:szCs w:val="18"/>
          <w:color w:val="auto"/>
        </w:rPr>
        <w:t>During fiscal 2027, the Company incurred restructuring expenses primarily related to headcount reductions including restructuring actions taken related to a planned warehouse closure in Europe. The following table presents the activity incurred during the first quarter of fiscal 2027:</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r>
      <w:tr>
        <w:trPr>
          <w:trHeight w:val="245"/>
        </w:trPr>
        <w:tc>
          <w:tcPr>
            <w:tcW w:w="4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Exit Costs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4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 restructuring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5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36"/>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principally foreign currency translation</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3"/>
        </w:trPr>
        <w:tc>
          <w:tcPr>
            <w:tcW w:w="428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October 3, 2026</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3,452</w:t>
            </w: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439</w:t>
            </w: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3,891</w:t>
            </w: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firstLine="427"/>
        <w:spacing w:after="0" w:line="261" w:lineRule="auto"/>
        <w:rPr>
          <w:sz w:val="20"/>
          <w:szCs w:val="20"/>
          <w:color w:val="auto"/>
        </w:rPr>
      </w:pPr>
      <w:r>
        <w:rPr>
          <w:rFonts w:ascii="Times New Roman" w:cs="Times New Roman" w:eastAsia="Times New Roman" w:hAnsi="Times New Roman"/>
          <w:sz w:val="18"/>
          <w:szCs w:val="18"/>
          <w:color w:val="auto"/>
        </w:rPr>
        <w:t>Severance expense recorded in the first quarter of fiscal 2027 related to the reduction or planned reduction of employees. Of the $4.7 million in restructuring expenses recorded in the first quarter of fiscal 2027, $4.4 million related to EC, and $0.3 million related to Farnell. The Company expects the majority of the remaining amounts to be paid by the end of fiscal 2027.</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2026</w:t>
      </w:r>
    </w:p>
    <w:p>
      <w:pPr>
        <w:spacing w:after="0" w:line="229" w:lineRule="exact"/>
        <w:rPr>
          <w:sz w:val="20"/>
          <w:szCs w:val="20"/>
          <w:color w:val="auto"/>
        </w:rPr>
      </w:pPr>
    </w:p>
    <w:p>
      <w:pPr>
        <w:ind w:left="60" w:right="119" w:firstLine="427"/>
        <w:spacing w:after="0" w:line="261" w:lineRule="auto"/>
        <w:rPr>
          <w:sz w:val="20"/>
          <w:szCs w:val="20"/>
          <w:color w:val="auto"/>
        </w:rPr>
      </w:pPr>
      <w:r>
        <w:rPr>
          <w:rFonts w:ascii="Times New Roman" w:cs="Times New Roman" w:eastAsia="Times New Roman" w:hAnsi="Times New Roman"/>
          <w:sz w:val="18"/>
          <w:szCs w:val="18"/>
          <w:color w:val="auto"/>
        </w:rPr>
        <w:t>During fiscal 2026, the Company incurred $87.7 million in restructuring expenses primarily related to headcount reductions including restructuring actions taken to reduce costs in Farnell and Europe including the announced closure of a distribution center in Europe. The following table presents the activity during the first quarter of fiscal 2027 related to the restructuring liabilities established during fiscal 2026:</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60" w:type="dxa"/>
            <w:vAlign w:val="bottom"/>
          </w:tcPr>
          <w:p>
            <w:pPr>
              <w:spacing w:after="0"/>
              <w:rPr>
                <w:sz w:val="20"/>
                <w:szCs w:val="20"/>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Exit Costs</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4"/>
          </w:tcPr>
          <w:p>
            <w:pPr>
              <w:ind w:left="64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27, 2026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69,596</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estimates, net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principally foreign currency</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translation</w:t>
            </w:r>
          </w:p>
        </w:tc>
        <w:tc>
          <w:tcPr>
            <w:tcW w:w="5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 2026</w:t>
            </w:r>
          </w:p>
        </w:tc>
        <w:tc>
          <w:tcPr>
            <w:tcW w:w="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69,653</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405"/>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Many of these statements can be found by looking for words like “continue,” “believes,” “projected,”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June 27, 2026,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competitive pressures among distributors of electronic components; an industry down-cycle in semiconductors; relationships with key suppliers and allocations of products by suppliers; accounts receivable defaults; risks relating to the Company’s international sales and operations, including risks relating to repatriating cash, foreign currency fluctuations, inflation, duties and taxes, tariffs,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risks related to cyber security attacks, other privacy and security incidents, and information systems failures, including related to current or future implementations, integrations, and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w:t>
      </w:r>
    </w:p>
    <w:p>
      <w:pPr>
        <w:spacing w:after="0" w:line="205" w:lineRule="exact"/>
        <w:rPr>
          <w:sz w:val="20"/>
          <w:szCs w:val="20"/>
          <w:color w:val="auto"/>
        </w:rPr>
      </w:pPr>
    </w:p>
    <w:p>
      <w:pPr>
        <w:ind w:left="60" w:right="279" w:firstLine="405"/>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89" w:lineRule="exact"/>
        <w:rPr>
          <w:sz w:val="20"/>
          <w:szCs w:val="20"/>
          <w:color w:val="auto"/>
        </w:rPr>
      </w:pPr>
    </w:p>
    <w:p>
      <w:pPr>
        <w:ind w:left="60" w:right="119" w:firstLine="432"/>
        <w:spacing w:after="0" w:line="254" w:lineRule="auto"/>
        <w:rPr>
          <w:sz w:val="20"/>
          <w:szCs w:val="20"/>
          <w:color w:val="auto"/>
        </w:rPr>
      </w:pPr>
      <w:r>
        <w:rPr>
          <w:rFonts w:ascii="Times New Roman" w:cs="Times New Roman" w:eastAsia="Times New Roman" w:hAnsi="Times New Roman"/>
          <w:sz w:val="18"/>
          <w:szCs w:val="18"/>
          <w:color w:val="auto"/>
        </w:rPr>
        <w:t xml:space="preserve">For a description of the Company’s critical accounting policies and an understanding of Avnet and the significant factors that influenced the Company’s performance during the quarter ended October 3, 2026, this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(“MD&amp;A”) should be read in conjunction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including the related notes, appearing in Item 1 of this Quarterly Report on Form 10-Q, as well as the Company’s Annual Report on Form 10-K for the fiscal year ended June 27, 2026. The Company operates on a “52/53 week” fiscal year and fiscal 2027 contains 53 weeks compared to 52 weeks in fiscal 2026. As a result, the first quarter of fiscal 2027 ended October 3, 2026, contained 14 weeks and the first quarter of fiscal 2026 ended September 27, 2025, contained 13 weeks. This extra week in the first quarter of fiscal 2027 impacts the year-over-year analysis in this MD&amp;A.</w:t>
      </w:r>
    </w:p>
    <w:p>
      <w:pPr>
        <w:spacing w:after="0" w:line="188" w:lineRule="exact"/>
        <w:rPr>
          <w:sz w:val="20"/>
          <w:szCs w:val="20"/>
          <w:color w:val="auto"/>
        </w:rPr>
      </w:pPr>
    </w:p>
    <w:p>
      <w:pPr>
        <w:ind w:left="60" w:right="139" w:firstLine="432"/>
        <w:spacing w:after="0" w:line="256" w:lineRule="auto"/>
        <w:rPr>
          <w:sz w:val="20"/>
          <w:szCs w:val="20"/>
          <w:color w:val="auto"/>
        </w:rPr>
      </w:pPr>
      <w:r>
        <w:rPr>
          <w:rFonts w:ascii="Times New Roman" w:cs="Times New Roman" w:eastAsia="Times New Roman" w:hAnsi="Times New Roman"/>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39" w:firstLine="427"/>
        <w:spacing w:after="0" w:line="312" w:lineRule="auto"/>
        <w:rPr>
          <w:sz w:val="20"/>
          <w:szCs w:val="20"/>
          <w:color w:val="auto"/>
        </w:rPr>
      </w:pPr>
      <w:r>
        <w:rPr>
          <w:rFonts w:ascii="Times New Roman" w:cs="Times New Roman" w:eastAsia="Times New Roman" w:hAnsi="Times New Roman"/>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13" w:lineRule="exact"/>
        <w:rPr>
          <w:sz w:val="20"/>
          <w:szCs w:val="20"/>
          <w:color w:val="auto"/>
        </w:rPr>
      </w:pPr>
    </w:p>
    <w:p>
      <w:pPr>
        <w:jc w:val="both"/>
        <w:ind w:left="720" w:right="3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adjusted for certain items that impact the year-over-year analysis, which includes the adjustment for the estimated impact of the extra week of sales in the first quarter of fiscal 2027 due to it being a 14-week quarter. Sales taking into account this adjustment is referred to as “organic sales.”</w:t>
      </w:r>
    </w:p>
    <w:p>
      <w:pPr>
        <w:spacing w:after="0" w:line="135"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which is operating income excluding (i) restructuring, integration, and other expenses, and (ii) amortization of acquired intangible assets.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reconciliation of operating income to adjusted operating income is presented in the following table:</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194"/>
        </w:trPr>
        <w:tc>
          <w:tcPr>
            <w:tcW w:w="4780" w:type="dxa"/>
            <w:vAlign w:val="bottom"/>
          </w:tcPr>
          <w:p>
            <w:pPr>
              <w:spacing w:after="0"/>
              <w:rPr>
                <w:sz w:val="16"/>
                <w:szCs w:val="16"/>
                <w:color w:val="auto"/>
              </w:rPr>
            </w:pPr>
          </w:p>
        </w:tc>
        <w:tc>
          <w:tcPr>
            <w:tcW w:w="1460" w:type="dxa"/>
            <w:vAlign w:val="bottom"/>
          </w:tcPr>
          <w:p>
            <w:pPr>
              <w:ind w:left="1340"/>
              <w:spacing w:after="0" w:line="194"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6"/>
                <w:szCs w:val="16"/>
                <w:color w:val="auto"/>
              </w:rPr>
            </w:pPr>
          </w:p>
        </w:tc>
        <w:tc>
          <w:tcPr>
            <w:tcW w:w="106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October 3,</w:t>
            </w:r>
          </w:p>
        </w:tc>
        <w:tc>
          <w:tcPr>
            <w:tcW w:w="14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 September 27,</w:t>
            </w:r>
          </w:p>
        </w:tc>
      </w:tr>
      <w:tr>
        <w:trPr>
          <w:trHeight w:val="238"/>
        </w:trPr>
        <w:tc>
          <w:tcPr>
            <w:tcW w:w="47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r>
        <w:trPr>
          <w:trHeight w:val="203"/>
        </w:trPr>
        <w:tc>
          <w:tcPr>
            <w:tcW w:w="4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820" w:type="dxa"/>
            <w:vAlign w:val="bottom"/>
          </w:tcPr>
          <w:p>
            <w:pPr>
              <w:spacing w:after="0"/>
              <w:rPr>
                <w:sz w:val="17"/>
                <w:szCs w:val="17"/>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474,736</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142,032</w:t>
            </w: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w:t>
            </w:r>
          </w:p>
        </w:tc>
      </w:tr>
      <w:tr>
        <w:trPr>
          <w:trHeight w:val="236"/>
        </w:trPr>
        <w:tc>
          <w:tcPr>
            <w:tcW w:w="4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4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03"/>
        </w:trPr>
        <w:tc>
          <w:tcPr>
            <w:tcW w:w="4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operating income</w:t>
            </w:r>
          </w:p>
        </w:tc>
        <w:tc>
          <w:tcPr>
            <w:tcW w:w="14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498,064</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150,687</w:t>
            </w:r>
          </w:p>
        </w:tc>
      </w:tr>
      <w:tr>
        <w:trPr>
          <w:trHeight w:val="20"/>
        </w:trPr>
        <w:tc>
          <w:tcPr>
            <w:tcW w:w="4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432"/>
        <w:spacing w:after="0" w:line="256" w:lineRule="auto"/>
        <w:rPr>
          <w:sz w:val="20"/>
          <w:szCs w:val="20"/>
          <w:color w:val="auto"/>
        </w:rPr>
      </w:pPr>
      <w:r>
        <w:rPr>
          <w:rFonts w:ascii="Times New Roman" w:cs="Times New Roman" w:eastAsia="Times New Roman" w:hAnsi="Times New Roman"/>
          <w:sz w:val="18"/>
          <w:szCs w:val="18"/>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with and without these adjustments to GAAP results. Management also uses these non-GAAP measures to establish operational goals and, in many cases, for measuring performance for compensation purposes. However, any analysis of results on a non-GAAP basis should be used in conjunction with results presented in accordance with GAAP.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ind w:left="60" w:right="119" w:firstLine="432"/>
        <w:spacing w:after="0" w:line="261" w:lineRule="auto"/>
        <w:rPr>
          <w:sz w:val="20"/>
          <w:szCs w:val="20"/>
          <w:color w:val="auto"/>
        </w:rPr>
      </w:pPr>
      <w:r>
        <w:rPr>
          <w:rFonts w:ascii="Times New Roman" w:cs="Times New Roman" w:eastAsia="Times New Roman" w:hAnsi="Times New Roman"/>
          <w:sz w:val="18"/>
          <w:szCs w:val="18"/>
          <w:color w:val="auto"/>
        </w:rPr>
        <w:t>Avnet, Inc., including its consolidated subsidiaries (collectively, the “Company” or “Avnet”), is a leading global electronic component distributor and solutions provider that has served customers’ evolving needs for more than a century. Founded in 1921, the Company works with suppliers in every major technology segment to serve customers in more than 140 countries.</w:t>
      </w:r>
    </w:p>
    <w:p>
      <w:pPr>
        <w:spacing w:after="0" w:line="180" w:lineRule="exact"/>
        <w:rPr>
          <w:sz w:val="20"/>
          <w:szCs w:val="20"/>
          <w:color w:val="auto"/>
        </w:rPr>
      </w:pPr>
    </w:p>
    <w:p>
      <w:pPr>
        <w:ind w:left="60" w:right="259" w:firstLine="427"/>
        <w:spacing w:after="0" w:line="266" w:lineRule="auto"/>
        <w:rPr>
          <w:sz w:val="20"/>
          <w:szCs w:val="20"/>
          <w:color w:val="auto"/>
        </w:rPr>
      </w:pPr>
      <w:r>
        <w:rPr>
          <w:rFonts w:ascii="Times New Roman" w:cs="Times New Roman" w:eastAsia="Times New Roman" w:hAnsi="Times New Roman"/>
          <w:sz w:val="18"/>
          <w:szCs w:val="18"/>
          <w:color w:val="auto"/>
        </w:rPr>
        <w:t>Avnet has two reportable segments — Electronic Components (“EC”) and Farnell, which are discussed further in Note 12 “Segment information” to the Company’s consolidated financial statements included in this Quarterly Report on Form 10-Q.</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Industry outlook</w:t>
      </w:r>
    </w:p>
    <w:p>
      <w:pPr>
        <w:spacing w:after="0" w:line="189" w:lineRule="exact"/>
        <w:rPr>
          <w:sz w:val="20"/>
          <w:szCs w:val="20"/>
          <w:color w:val="auto"/>
        </w:rPr>
      </w:pPr>
    </w:p>
    <w:p>
      <w:pPr>
        <w:ind w:left="60" w:right="59" w:firstLine="405"/>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2027, the Company continued to experience improving market conditions as demand for electronic components and pricing for memory related components strengthened, including demand associated with data center applications including those that support artificial intelligence, resulting in year-over-year sales growth across all regions. The Company continues to see strengthening demand across its’ end markets, while broader industry conditions continue to be influenced by product availability and memory pricing, global economic conditions, geopolitical developments and changes in global trade policies. These factors may affect customer demand, product costs, market volatility and currency exchange rates.</w:t>
      </w:r>
    </w:p>
    <w:p>
      <w:pPr>
        <w:spacing w:after="0" w:line="189" w:lineRule="exact"/>
        <w:rPr>
          <w:sz w:val="20"/>
          <w:szCs w:val="20"/>
          <w:color w:val="auto"/>
        </w:rPr>
      </w:pPr>
    </w:p>
    <w:p>
      <w:pPr>
        <w:jc w:val="both"/>
        <w:ind w:left="60" w:right="419" w:firstLine="405"/>
        <w:spacing w:after="0" w:line="312" w:lineRule="auto"/>
        <w:rPr>
          <w:sz w:val="20"/>
          <w:szCs w:val="20"/>
          <w:color w:val="auto"/>
        </w:rPr>
      </w:pPr>
      <w:r>
        <w:rPr>
          <w:rFonts w:ascii="Times New Roman" w:cs="Times New Roman" w:eastAsia="Times New Roman" w:hAnsi="Times New Roman"/>
          <w:sz w:val="17"/>
          <w:szCs w:val="17"/>
          <w:color w:val="auto"/>
        </w:rPr>
        <w:t>The Company expects sales in the second quarter of fiscal 2027 to grow from the first quarter of fiscal 2027. The Company has historically used cash from operations for working capital investments during periods of higher growth.</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8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0"/>
        </w:trPr>
        <w:tc>
          <w:tcPr>
            <w:tcW w:w="3860" w:type="dxa"/>
            <w:vAlign w:val="bottom"/>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Q1 2027</w:t>
            </w:r>
          </w:p>
        </w:tc>
        <w:tc>
          <w:tcPr>
            <w:tcW w:w="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Q1 2026</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260" w:type="dxa"/>
            <w:vAlign w:val="bottom"/>
          </w:tcPr>
          <w:p>
            <w:pPr>
              <w:spacing w:after="0"/>
              <w:rPr>
                <w:sz w:val="18"/>
                <w:szCs w:val="18"/>
                <w:color w:val="auto"/>
              </w:rPr>
            </w:pPr>
          </w:p>
        </w:tc>
        <w:tc>
          <w:tcPr>
            <w:tcW w:w="11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 %</w:t>
            </w:r>
          </w:p>
        </w:tc>
      </w:tr>
      <w:tr>
        <w:trPr>
          <w:trHeight w:val="189"/>
        </w:trPr>
        <w:tc>
          <w:tcPr>
            <w:tcW w:w="3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6"/>
                <w:szCs w:val="16"/>
                <w:i w:val="1"/>
                <w:iCs w:val="1"/>
                <w:color w:val="auto"/>
                <w:w w:val="94"/>
              </w:rPr>
              <w:t>($ in millions, unless</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otherwise stated)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   10,718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5,899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615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280" w:type="dxa"/>
            <w:vAlign w:val="bottom"/>
          </w:tcPr>
          <w:p>
            <w:pPr>
              <w:spacing w:after="0"/>
              <w:rPr>
                <w:sz w:val="17"/>
                <w:szCs w:val="17"/>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464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80" w:type="dxa"/>
            <w:vAlign w:val="bottom"/>
            <w:shd w:val="clear" w:color="auto" w:fill="CCEEFF"/>
          </w:tcPr>
          <w:p>
            <w:pPr>
              <w:spacing w:after="0"/>
              <w:rPr>
                <w:sz w:val="17"/>
                <w:szCs w:val="17"/>
                <w:color w:val="auto"/>
              </w:rPr>
            </w:pP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integration, and other expenses</w:t>
            </w: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280" w:type="dxa"/>
            <w:vAlign w:val="bottom"/>
          </w:tcPr>
          <w:p>
            <w:pPr>
              <w:spacing w:after="0"/>
              <w:rPr>
                <w:sz w:val="17"/>
                <w:szCs w:val="17"/>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142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280" w:type="dxa"/>
            <w:vAlign w:val="bottom"/>
            <w:shd w:val="clear" w:color="auto" w:fill="CCEEFF"/>
          </w:tcPr>
          <w:p>
            <w:pPr>
              <w:spacing w:after="0"/>
              <w:rPr>
                <w:sz w:val="17"/>
                <w:szCs w:val="17"/>
                <w:color w:val="auto"/>
              </w:rPr>
            </w:pP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w:t>
            </w: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i w:val="1"/>
                <w:iCs w:val="1"/>
                <w:color w:val="auto"/>
              </w:rPr>
              <w:t>498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i w:val="1"/>
                <w:iCs w:val="1"/>
                <w:color w:val="auto"/>
              </w:rPr>
              <w:t>151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347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230.5</w:t>
            </w:r>
          </w:p>
        </w:tc>
        <w:tc>
          <w:tcPr>
            <w:tcW w:w="280" w:type="dxa"/>
            <w:vAlign w:val="bottom"/>
          </w:tcPr>
          <w:p>
            <w:pPr>
              <w:spacing w:after="0"/>
              <w:rPr>
                <w:sz w:val="17"/>
                <w:szCs w:val="17"/>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280" w:type="dxa"/>
            <w:vAlign w:val="bottom"/>
            <w:shd w:val="clear" w:color="auto" w:fill="CCEEFF"/>
          </w:tcPr>
          <w:p>
            <w:pPr>
              <w:spacing w:after="0"/>
              <w:rPr>
                <w:sz w:val="17"/>
                <w:szCs w:val="17"/>
                <w:color w:val="auto"/>
              </w:rPr>
            </w:pP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financing expenses, net</w:t>
            </w: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80" w:type="dxa"/>
            <w:vAlign w:val="bottom"/>
          </w:tcPr>
          <w:p>
            <w:pPr>
              <w:spacing w:after="0"/>
              <w:rPr>
                <w:sz w:val="17"/>
                <w:szCs w:val="17"/>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280" w:type="dxa"/>
            <w:vAlign w:val="bottom"/>
            <w:shd w:val="clear" w:color="auto" w:fill="CCEEFF"/>
          </w:tcPr>
          <w:p>
            <w:pPr>
              <w:spacing w:after="0"/>
              <w:rPr>
                <w:sz w:val="17"/>
                <w:szCs w:val="17"/>
                <w:color w:val="auto"/>
              </w:rPr>
            </w:pP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w:t>
            </w:r>
          </w:p>
        </w:tc>
        <w:tc>
          <w:tcPr>
            <w:tcW w:w="280" w:type="dxa"/>
            <w:vAlign w:val="bottom"/>
          </w:tcPr>
          <w:p>
            <w:pPr>
              <w:spacing w:after="0"/>
              <w:rPr>
                <w:sz w:val="17"/>
                <w:szCs w:val="17"/>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0.61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w:t>
            </w:r>
          </w:p>
        </w:tc>
        <w:tc>
          <w:tcPr>
            <w:tcW w:w="280" w:type="dxa"/>
            <w:vAlign w:val="bottom"/>
            <w:shd w:val="clear" w:color="auto" w:fill="CCEEFF"/>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Metrics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(40) bps</w:t>
            </w: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(0.4) %</w:t>
            </w: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margin</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bps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 margin</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4.7 %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2.6 %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210</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i w:val="1"/>
                <w:iCs w:val="1"/>
                <w:color w:val="auto"/>
              </w:rPr>
              <w:t>bps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32.6 %</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(856) bps</w:t>
            </w: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 %</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89"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reported sales to organic sales for the first quarter of fiscal 2027 by region and by operating group.</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5"/>
        </w:trPr>
        <w:tc>
          <w:tcPr>
            <w:tcW w:w="34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October 3, 2026</w:t>
            </w: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194"/>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Extra</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Week in</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8"/>
        </w:trPr>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Q1-Fiscal</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Organic</w:t>
            </w:r>
          </w:p>
        </w:tc>
      </w:tr>
      <w:tr>
        <w:trPr>
          <w:trHeight w:val="253"/>
        </w:trPr>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ind w:right="70"/>
              <w:spacing w:after="0" w:line="246" w:lineRule="exact"/>
              <w:rPr>
                <w:sz w:val="20"/>
                <w:szCs w:val="20"/>
                <w:color w:val="auto"/>
              </w:rPr>
            </w:pPr>
            <w:r>
              <w:rPr>
                <w:rFonts w:ascii="Times New Roman" w:cs="Times New Roman" w:eastAsia="Times New Roman" w:hAnsi="Times New Roman"/>
                <w:sz w:val="18"/>
                <w:szCs w:val="18"/>
                <w:b w:val="1"/>
                <w:bCs w:val="1"/>
                <w:color w:val="auto"/>
                <w:w w:val="92"/>
              </w:rPr>
              <w:t>2027</w:t>
            </w:r>
            <w:r>
              <w:rPr>
                <w:rFonts w:ascii="Times New Roman" w:cs="Times New Roman" w:eastAsia="Times New Roman" w:hAnsi="Times New Roman"/>
                <w:sz w:val="26"/>
                <w:szCs w:val="26"/>
                <w:b w:val="1"/>
                <w:bCs w:val="1"/>
                <w:color w:val="auto"/>
                <w:w w:val="92"/>
                <w:vertAlign w:val="superscript"/>
              </w:rPr>
              <w:t>(1)</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203"/>
        </w:trPr>
        <w:tc>
          <w:tcPr>
            <w:tcW w:w="34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10,717,980</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654,000</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10,063,980</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region</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2,861,757</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2,716,757</w:t>
            </w:r>
          </w:p>
        </w:tc>
      </w:tr>
      <w:tr>
        <w:trPr>
          <w:trHeight w:val="216"/>
        </w:trPr>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2,737,489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2,556,489</w:t>
            </w:r>
          </w:p>
        </w:tc>
      </w:tr>
      <w:tr>
        <w:trPr>
          <w:trHeight w:val="216"/>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5,118,734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4,790,734</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operating group</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10,134,689</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9,519,689</w:t>
            </w:r>
          </w:p>
        </w:tc>
      </w:tr>
      <w:tr>
        <w:trPr>
          <w:trHeight w:val="234"/>
        </w:trPr>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Farnell</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583,291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91440</wp:posOffset>
            </wp:positionV>
            <wp:extent cx="14141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8" w:lineRule="exact"/>
        <w:rPr>
          <w:sz w:val="20"/>
          <w:szCs w:val="20"/>
          <w:color w:val="auto"/>
        </w:rPr>
      </w:pPr>
    </w:p>
    <w:p>
      <w:pPr>
        <w:ind w:left="300" w:hanging="250"/>
        <w:spacing w:after="0"/>
        <w:tabs>
          <w:tab w:leader="none" w:pos="3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The impact of the additional week of sales in the first quarter of fiscal 2027 is estimated.</w:t>
      </w:r>
    </w:p>
    <w:p>
      <w:pPr>
        <w:spacing w:after="0" w:line="200" w:lineRule="exact"/>
        <w:rPr>
          <w:rFonts w:ascii="Times New Roman" w:cs="Times New Roman" w:eastAsia="Times New Roman" w:hAnsi="Times New Roman"/>
          <w:sz w:val="12"/>
          <w:szCs w:val="12"/>
          <w:color w:val="auto"/>
        </w:rPr>
      </w:pPr>
    </w:p>
    <w:p>
      <w:pPr>
        <w:spacing w:after="0" w:line="219" w:lineRule="exact"/>
        <w:rPr>
          <w:rFonts w:ascii="Times New Roman" w:cs="Times New Roman" w:eastAsia="Times New Roman" w:hAnsi="Times New Roman"/>
          <w:sz w:val="12"/>
          <w:szCs w:val="12"/>
          <w:color w:val="auto"/>
        </w:rPr>
      </w:pPr>
    </w:p>
    <w:p>
      <w:pPr>
        <w:ind w:left="4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99" w:firstLine="427"/>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reported and organic percentage change in sales for the first quarter of fiscal 2027 as compared to the first quarter of fiscal 2026, by geographic region and operating group.</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020" w:type="dxa"/>
            <w:vAlign w:val="bottom"/>
          </w:tcPr>
          <w:p>
            <w:pPr>
              <w:spacing w:after="0"/>
              <w:rPr>
                <w:sz w:val="18"/>
                <w:szCs w:val="18"/>
                <w:color w:val="auto"/>
              </w:rPr>
            </w:pPr>
          </w:p>
        </w:tc>
      </w:tr>
      <w:tr>
        <w:trPr>
          <w:trHeight w:val="245"/>
        </w:trPr>
        <w:tc>
          <w:tcPr>
            <w:tcW w:w="47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October 3, 2026</w:t>
            </w:r>
          </w:p>
        </w:tc>
        <w:tc>
          <w:tcPr>
            <w:tcW w:w="1020" w:type="dxa"/>
            <w:vAlign w:val="bottom"/>
            <w:tcBorders>
              <w:bottom w:val="single" w:sz="8" w:color="auto"/>
            </w:tcBorders>
          </w:tcPr>
          <w:p>
            <w:pPr>
              <w:spacing w:after="0"/>
              <w:rPr>
                <w:sz w:val="21"/>
                <w:szCs w:val="21"/>
                <w:color w:val="auto"/>
              </w:rPr>
            </w:pPr>
          </w:p>
        </w:tc>
      </w:tr>
      <w:tr>
        <w:trPr>
          <w:trHeight w:val="194"/>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Organic</w:t>
            </w:r>
          </w:p>
        </w:tc>
      </w:tr>
      <w:tr>
        <w:trPr>
          <w:trHeight w:val="216"/>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r>
      <w:tr>
        <w:trPr>
          <w:trHeight w:val="216"/>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Year-Year %   Organic</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Year-Year %</w:t>
            </w:r>
          </w:p>
        </w:tc>
      </w:tr>
      <w:tr>
        <w:trPr>
          <w:trHeight w:val="216"/>
        </w:trPr>
        <w:tc>
          <w:tcPr>
            <w:tcW w:w="4720" w:type="dxa"/>
            <w:vAlign w:val="bottom"/>
          </w:tcPr>
          <w:p>
            <w:pPr>
              <w:spacing w:after="0"/>
              <w:rPr>
                <w:sz w:val="18"/>
                <w:szCs w:val="18"/>
                <w:color w:val="auto"/>
              </w:rPr>
            </w:pP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00" w:type="dxa"/>
            <w:vAlign w:val="bottom"/>
          </w:tcPr>
          <w:p>
            <w:pPr>
              <w:spacing w:after="0"/>
              <w:rPr>
                <w:sz w:val="18"/>
                <w:szCs w:val="18"/>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w:t>
            </w:r>
          </w:p>
        </w:tc>
      </w:tr>
      <w:tr>
        <w:trPr>
          <w:trHeight w:val="208"/>
        </w:trPr>
        <w:tc>
          <w:tcPr>
            <w:tcW w:w="4720" w:type="dxa"/>
            <w:vAlign w:val="bottom"/>
          </w:tcPr>
          <w:p>
            <w:pPr>
              <w:spacing w:after="0"/>
              <w:rPr>
                <w:sz w:val="18"/>
                <w:szCs w:val="18"/>
                <w:color w:val="auto"/>
              </w:rPr>
            </w:pP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5"/>
              </w:rPr>
              <w:t>Year-Year %</w:t>
            </w: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Constant   Year-Year %</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Constant</w:t>
            </w:r>
          </w:p>
        </w:tc>
      </w:tr>
      <w:tr>
        <w:trPr>
          <w:trHeight w:val="253"/>
        </w:trPr>
        <w:tc>
          <w:tcPr>
            <w:tcW w:w="4840" w:type="dxa"/>
            <w:vAlign w:val="bottom"/>
            <w:gridSpan w:val="2"/>
          </w:tcPr>
          <w:p>
            <w:pPr>
              <w:ind w:left="4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180" w:type="dxa"/>
            <w:vAlign w:val="bottom"/>
            <w:gridSpan w:val="3"/>
          </w:tcPr>
          <w:p>
            <w:pPr>
              <w:ind w:left="100"/>
              <w:spacing w:after="0" w:line="246" w:lineRule="exact"/>
              <w:rPr>
                <w:sz w:val="20"/>
                <w:szCs w:val="20"/>
                <w:color w:val="auto"/>
              </w:rPr>
            </w:pPr>
            <w:r>
              <w:rPr>
                <w:rFonts w:ascii="Times New Roman" w:cs="Times New Roman" w:eastAsia="Times New Roman" w:hAnsi="Times New Roman"/>
                <w:sz w:val="18"/>
                <w:szCs w:val="18"/>
                <w:b w:val="1"/>
                <w:bCs w:val="1"/>
                <w:color w:val="auto"/>
              </w:rPr>
              <w:t xml:space="preserve">​ Change </w:t>
            </w:r>
            <w:r>
              <w:rPr>
                <w:rFonts w:ascii="Times New Roman" w:cs="Times New Roman" w:eastAsia="Times New Roman" w:hAnsi="Times New Roman"/>
                <w:sz w:val="26"/>
                <w:szCs w:val="26"/>
                <w:b w:val="1"/>
                <w:bCs w:val="1"/>
                <w:color w:val="auto"/>
                <w:vertAlign w:val="superscript"/>
              </w:rPr>
              <w:t>(1)</w:t>
            </w:r>
          </w:p>
        </w:tc>
        <w:tc>
          <w:tcPr>
            <w:tcW w:w="1020" w:type="dxa"/>
            <w:vAlign w:val="bottom"/>
          </w:tcPr>
          <w:p>
            <w:pPr>
              <w:jc w:val="center"/>
              <w:spacing w:after="0" w:line="246" w:lineRule="exact"/>
              <w:rPr>
                <w:sz w:val="20"/>
                <w:szCs w:val="20"/>
                <w:color w:val="auto"/>
              </w:rPr>
            </w:pPr>
            <w:r>
              <w:rPr>
                <w:rFonts w:ascii="Times New Roman" w:cs="Times New Roman" w:eastAsia="Times New Roman" w:hAnsi="Times New Roman"/>
                <w:sz w:val="18"/>
                <w:szCs w:val="18"/>
                <w:b w:val="1"/>
                <w:bCs w:val="1"/>
                <w:color w:val="auto"/>
                <w:w w:val="95"/>
              </w:rPr>
              <w:t xml:space="preserve">Currency </w:t>
            </w:r>
            <w:r>
              <w:rPr>
                <w:rFonts w:ascii="Times New Roman" w:cs="Times New Roman" w:eastAsia="Times New Roman" w:hAnsi="Times New Roman"/>
                <w:sz w:val="26"/>
                <w:szCs w:val="26"/>
                <w:b w:val="1"/>
                <w:bCs w:val="1"/>
                <w:color w:val="auto"/>
                <w:w w:val="95"/>
                <w:vertAlign w:val="superscript"/>
              </w:rPr>
              <w:t>(1)</w:t>
            </w:r>
          </w:p>
        </w:tc>
      </w:tr>
      <w:tr>
        <w:trPr>
          <w:trHeight w:val="216"/>
        </w:trPr>
        <w:tc>
          <w:tcPr>
            <w:tcW w:w="47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Avnet</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70.6 %</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Avnet by region</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108.9 %</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98.3 %</w:t>
            </w:r>
          </w:p>
        </w:tc>
      </w:tr>
      <w:tr>
        <w:trPr>
          <w:trHeight w:val="216"/>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55.7 %</w:t>
            </w:r>
          </w:p>
        </w:tc>
      </w:tr>
      <w:tr>
        <w:trPr>
          <w:trHeight w:val="216"/>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68.3 %</w:t>
            </w:r>
          </w:p>
        </w:tc>
      </w:tr>
      <w:tr>
        <w:trPr>
          <w:trHeight w:val="21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Avnet by operating group</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Electronic Components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84.3 %</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r>
      <w:tr>
        <w:trPr>
          <w:trHeight w:val="234"/>
        </w:trPr>
        <w:tc>
          <w:tcPr>
            <w:tcW w:w="4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Farnell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91440</wp:posOffset>
            </wp:positionV>
            <wp:extent cx="14141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8" w:lineRule="exact"/>
        <w:rPr>
          <w:sz w:val="20"/>
          <w:szCs w:val="20"/>
          <w:color w:val="auto"/>
        </w:rPr>
      </w:pPr>
    </w:p>
    <w:p>
      <w:pPr>
        <w:ind w:left="300" w:hanging="250"/>
        <w:spacing w:after="0"/>
        <w:tabs>
          <w:tab w:leader="none" w:pos="3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Percentage change in sales excluding the impact of the additional week of sales in the first quarter of fiscal 2027.</w:t>
      </w:r>
    </w:p>
    <w:p>
      <w:pPr>
        <w:spacing w:after="0" w:line="203" w:lineRule="exact"/>
        <w:rPr>
          <w:sz w:val="20"/>
          <w:szCs w:val="20"/>
          <w:color w:val="auto"/>
        </w:rPr>
      </w:pPr>
    </w:p>
    <w:p>
      <w:pPr>
        <w:ind w:left="60" w:right="139" w:firstLine="427"/>
        <w:spacing w:after="0" w:line="261" w:lineRule="auto"/>
        <w:rPr>
          <w:sz w:val="20"/>
          <w:szCs w:val="20"/>
          <w:color w:val="auto"/>
        </w:rPr>
      </w:pPr>
      <w:r>
        <w:rPr>
          <w:rFonts w:ascii="Times New Roman" w:cs="Times New Roman" w:eastAsia="Times New Roman" w:hAnsi="Times New Roman"/>
          <w:sz w:val="18"/>
          <w:szCs w:val="18"/>
          <w:color w:val="auto"/>
        </w:rPr>
        <w:t>First quarter fiscal 2027 sales were $10.72 billion, an increase of $4.82 billion, or 81.7%, from $5.90 billion in the prior-year first quarter. The increase was primarily driven by higher sales volumes across both EC and Farnell, including the impact of an additional week of sales in the first quarter of fiscal 2027, and, to a lesser extent, higher pricing, primarily for certain memory-related products within EC.</w:t>
      </w:r>
    </w:p>
    <w:p>
      <w:pPr>
        <w:spacing w:after="0" w:line="180" w:lineRule="exact"/>
        <w:rPr>
          <w:sz w:val="20"/>
          <w:szCs w:val="20"/>
          <w:color w:val="auto"/>
        </w:rPr>
      </w:pPr>
    </w:p>
    <w:p>
      <w:pPr>
        <w:ind w:left="60" w:right="399" w:firstLine="427"/>
        <w:spacing w:after="0" w:line="261" w:lineRule="auto"/>
        <w:rPr>
          <w:sz w:val="20"/>
          <w:szCs w:val="20"/>
          <w:color w:val="auto"/>
        </w:rPr>
      </w:pPr>
      <w:r>
        <w:rPr>
          <w:rFonts w:ascii="Times New Roman" w:cs="Times New Roman" w:eastAsia="Times New Roman" w:hAnsi="Times New Roman"/>
          <w:sz w:val="18"/>
          <w:szCs w:val="18"/>
          <w:color w:val="auto"/>
        </w:rPr>
        <w:t>EC sales in the first quarter of fiscal 2027 were $10.13 billion, an increase of $4.63 billion, or 84.3%, from $5.50 billion in the prior-year first quarter. All three EC regions contributed to this growth led by the Company’s Americas region. The increase in EC sales was mainly attributable to increased sales volumes and the mix of higher-priced components and to a lesser extent from increase in prices for certain memory-related products.</w:t>
      </w:r>
    </w:p>
    <w:p>
      <w:pPr>
        <w:spacing w:after="0" w:line="180" w:lineRule="exact"/>
        <w:rPr>
          <w:sz w:val="20"/>
          <w:szCs w:val="20"/>
          <w:color w:val="auto"/>
        </w:rPr>
      </w:pPr>
    </w:p>
    <w:p>
      <w:pPr>
        <w:ind w:left="60" w:right="379" w:firstLine="427"/>
        <w:spacing w:after="0" w:line="258" w:lineRule="auto"/>
        <w:rPr>
          <w:sz w:val="20"/>
          <w:szCs w:val="20"/>
          <w:color w:val="auto"/>
        </w:rPr>
      </w:pPr>
      <w:r>
        <w:rPr>
          <w:rFonts w:ascii="Times New Roman" w:cs="Times New Roman" w:eastAsia="Times New Roman" w:hAnsi="Times New Roman"/>
          <w:sz w:val="18"/>
          <w:szCs w:val="18"/>
          <w:color w:val="auto"/>
        </w:rPr>
        <w:t>Farnell sales in the first quarter of fiscal 2027 were $583.3 million, an increase of $184.4 million, or 46.2%, from $398.9 million in the prior-year first quarter. The increase in sales in the first quarter of fiscal 2027 is primarily due to improvement in demand for on-the-board electronic components and single board computers. The increase in sales at Farnell was primarily driven by an increase in sales volumes and the mix of higher-priced components as increases in components pricing were minimal during the first quarter of fiscal 2027.</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2" w:lineRule="exact"/>
        <w:rPr>
          <w:sz w:val="20"/>
          <w:szCs w:val="20"/>
          <w:color w:val="auto"/>
        </w:rPr>
      </w:pPr>
    </w:p>
    <w:p>
      <w:pPr>
        <w:ind w:left="60" w:right="199" w:firstLine="432"/>
        <w:spacing w:after="0" w:line="258" w:lineRule="auto"/>
        <w:rPr>
          <w:sz w:val="20"/>
          <w:szCs w:val="20"/>
          <w:color w:val="auto"/>
        </w:rPr>
      </w:pPr>
      <w:r>
        <w:rPr>
          <w:rFonts w:ascii="Times New Roman" w:cs="Times New Roman" w:eastAsia="Times New Roman" w:hAnsi="Times New Roman"/>
          <w:sz w:val="18"/>
          <w:szCs w:val="18"/>
          <w:color w:val="auto"/>
        </w:rPr>
        <w:t>The Company’s gross profit and gross profit margin are primarily affected by sales volume, product mix, customer mix and pricing, and geographic sales mix. First quarter fiscal 2027 gross profit was $1.07 billion, an increase of $459.2 million, or 74.7%, from $614.8 million in the prior-year first quarter. This increase in gross profit is primarily due to sales increases in both operating groups previously discussed, slightly offset by declines in gross profit margin in the EC operating group, which was primarily driven by the differences in product and customer mix in the Western regions.</w:t>
      </w:r>
    </w:p>
    <w:p>
      <w:pPr>
        <w:spacing w:after="0" w:line="183" w:lineRule="exact"/>
        <w:rPr>
          <w:sz w:val="20"/>
          <w:szCs w:val="20"/>
          <w:color w:val="auto"/>
        </w:rPr>
      </w:pPr>
    </w:p>
    <w:p>
      <w:pPr>
        <w:jc w:val="both"/>
        <w:ind w:left="60" w:right="239" w:firstLine="432"/>
        <w:spacing w:after="0" w:line="266" w:lineRule="auto"/>
        <w:rPr>
          <w:sz w:val="20"/>
          <w:szCs w:val="20"/>
          <w:color w:val="auto"/>
        </w:rPr>
      </w:pPr>
      <w:r>
        <w:rPr>
          <w:rFonts w:ascii="Times New Roman" w:cs="Times New Roman" w:eastAsia="Times New Roman" w:hAnsi="Times New Roman"/>
          <w:sz w:val="18"/>
          <w:szCs w:val="18"/>
          <w:color w:val="auto"/>
        </w:rPr>
        <w:t>First quarter fiscal 2027 gross profit margin was 10.0%, a decrease of 40 basis points from 10.4% in the prior-year first quarter. The decrease in gross profit margin was primarily due to the previously discussed differences in product and customer mix in the Western regions of the EC operating group.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firstLine="427"/>
        <w:spacing w:after="0" w:line="261" w:lineRule="auto"/>
        <w:rPr>
          <w:sz w:val="20"/>
          <w:szCs w:val="20"/>
          <w:color w:val="auto"/>
        </w:rPr>
      </w:pPr>
      <w:r>
        <w:rPr>
          <w:rFonts w:ascii="Times New Roman" w:cs="Times New Roman" w:eastAsia="Times New Roman" w:hAnsi="Times New Roman"/>
          <w:sz w:val="18"/>
          <w:szCs w:val="18"/>
          <w:color w:val="auto"/>
        </w:rPr>
        <w:t>EC first quarter fiscal 2027 gross profit margin was 8.9%, a decrease of 29 basis points from 9.2% in the prior-year first quarter. The year-over-year decrease was largely due to the factors discussed previously. Farnell first quarter fiscal 2027 gross profit margin was 29.0%, an increase of 199 basis points from 27.0% in the prior-year first quarter. The increase was primarily due to an increase in product mix of on-the-board electronic components.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02" w:lineRule="exact"/>
        <w:rPr>
          <w:sz w:val="20"/>
          <w:szCs w:val="20"/>
          <w:color w:val="auto"/>
        </w:rPr>
      </w:pPr>
    </w:p>
    <w:p>
      <w:pPr>
        <w:ind w:left="60" w:right="99" w:firstLine="432"/>
        <w:spacing w:after="0" w:line="261" w:lineRule="auto"/>
        <w:rPr>
          <w:sz w:val="20"/>
          <w:szCs w:val="20"/>
          <w:color w:val="auto"/>
        </w:rPr>
      </w:pPr>
      <w:r>
        <w:rPr>
          <w:rFonts w:ascii="Times New Roman" w:cs="Times New Roman" w:eastAsia="Times New Roman" w:hAnsi="Times New Roman"/>
          <w:sz w:val="18"/>
          <w:szCs w:val="18"/>
          <w:color w:val="auto"/>
        </w:rPr>
        <w:t>First quarter fiscal 2027 selling, general, and administrative expenses (“SG&amp;A expenses”) were $576.3 million, an increase of $111.9 million or 24.1% from $464.4 million the first quarter of fiscal 2026. The increase in SG&amp;A expenses is primarily due to increases in variable operating expenses associated with higher sales volumes, the impact of changes in foreign currency translation rates, and from the extra week in the first quarter of fiscal 2027.</w:t>
      </w:r>
    </w:p>
    <w:p>
      <w:pPr>
        <w:spacing w:after="0" w:line="180" w:lineRule="exact"/>
        <w:rPr>
          <w:sz w:val="20"/>
          <w:szCs w:val="20"/>
          <w:color w:val="auto"/>
        </w:rPr>
      </w:pPr>
    </w:p>
    <w:p>
      <w:pPr>
        <w:ind w:left="60" w:right="139" w:firstLine="427"/>
        <w:spacing w:after="0" w:line="258" w:lineRule="auto"/>
        <w:rPr>
          <w:sz w:val="20"/>
          <w:szCs w:val="20"/>
          <w:color w:val="auto"/>
        </w:rPr>
      </w:pPr>
      <w:r>
        <w:rPr>
          <w:rFonts w:ascii="Times New Roman" w:cs="Times New Roman" w:eastAsia="Times New Roman" w:hAnsi="Times New Roman"/>
          <w:sz w:val="18"/>
          <w:szCs w:val="18"/>
          <w:color w:val="auto"/>
        </w:rPr>
        <w:t>Management monitors SG&amp;A expenses as a percentage of sales and as a percentage of gross profit. In the first quarter of fiscal 2027, SG&amp;A expenses were 5.4% of sales and 53.7% of gross profit, as compared with 7.9% and 75.5%, respectively, in the first quarter of fiscal 2026. The year-over-year decrease in SG&amp;A expenses as a percentage of gross profit is primarily due to the increase in sales as discussed previously without a corresponding increase in SG&amp;A expenses partially offset by the decline in gross profit margin in EC as explained in the prior discussion.</w:t>
      </w:r>
    </w:p>
    <w:p>
      <w:pPr>
        <w:spacing w:after="0" w:line="183" w:lineRule="exact"/>
        <w:rPr>
          <w:sz w:val="20"/>
          <w:szCs w:val="20"/>
          <w:color w:val="auto"/>
        </w:rPr>
      </w:pPr>
    </w:p>
    <w:p>
      <w:pPr>
        <w:ind w:left="60" w:right="299" w:firstLine="427"/>
        <w:spacing w:after="0" w:line="282" w:lineRule="auto"/>
        <w:rPr>
          <w:sz w:val="20"/>
          <w:szCs w:val="20"/>
          <w:color w:val="auto"/>
        </w:rPr>
      </w:pPr>
      <w:r>
        <w:rPr>
          <w:rFonts w:ascii="Times New Roman" w:cs="Times New Roman" w:eastAsia="Times New Roman" w:hAnsi="Times New Roman"/>
          <w:sz w:val="18"/>
          <w:szCs w:val="18"/>
          <w:color w:val="auto"/>
        </w:rPr>
        <w:t>See Note 12 “Segment information” to the Company’s consolidated financial statements included in this Quarterly Report on Form 10-Q for the amount of selling, general and administrative expenses by operating group.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 Integration, and Other Expenses</w:t>
      </w:r>
    </w:p>
    <w:p>
      <w:pPr>
        <w:spacing w:after="0" w:line="189" w:lineRule="exact"/>
        <w:rPr>
          <w:sz w:val="20"/>
          <w:szCs w:val="20"/>
          <w:color w:val="auto"/>
        </w:rPr>
      </w:pPr>
    </w:p>
    <w:p>
      <w:pPr>
        <w:ind w:left="60" w:right="199" w:firstLine="427"/>
        <w:spacing w:after="0" w:line="256" w:lineRule="auto"/>
        <w:rPr>
          <w:sz w:val="20"/>
          <w:szCs w:val="20"/>
          <w:color w:val="auto"/>
        </w:rPr>
      </w:pPr>
      <w:r>
        <w:rPr>
          <w:rFonts w:ascii="Times New Roman" w:cs="Times New Roman" w:eastAsia="Times New Roman" w:hAnsi="Times New Roman"/>
          <w:sz w:val="18"/>
          <w:szCs w:val="18"/>
          <w:color w:val="auto"/>
        </w:rPr>
        <w:t>First quarter fiscal 2027 restructuring, integration, and other expenses were $23.0 million, an increase of $14.6 million or 176.6% from $8.3 million in the first quarter of fiscal 2026. Included in the first quarter of fiscal 2027 restructuring, integration, and other expenses were $4.7 million of severance and other restructuring related expenses, and $18.3 million of integration and other costs primarily related to start-up costs associated with a new distribution center in EMEA. The after-tax impact of restructuring, integration, and other expenses were $16.7 million and $0.20 per share on a diluted basis.</w:t>
      </w:r>
    </w:p>
    <w:p>
      <w:pPr>
        <w:spacing w:after="0" w:line="187" w:lineRule="exact"/>
        <w:rPr>
          <w:sz w:val="20"/>
          <w:szCs w:val="20"/>
          <w:color w:val="auto"/>
        </w:rPr>
      </w:pPr>
    </w:p>
    <w:p>
      <w:pPr>
        <w:ind w:left="60" w:right="379" w:firstLine="427"/>
        <w:spacing w:after="0" w:line="282" w:lineRule="auto"/>
        <w:rPr>
          <w:sz w:val="20"/>
          <w:szCs w:val="20"/>
          <w:color w:val="auto"/>
        </w:rPr>
      </w:pPr>
      <w:r>
        <w:rPr>
          <w:rFonts w:ascii="Times New Roman" w:cs="Times New Roman" w:eastAsia="Times New Roman" w:hAnsi="Times New Roman"/>
          <w:sz w:val="18"/>
          <w:szCs w:val="18"/>
          <w:color w:val="auto"/>
        </w:rPr>
        <w:t>Comparatively, first quarter fiscal 2026 restructuring, integration, and other expenses consisted of $1.6 million of severance and other employee-related expenses, and $6.7 million of integration and other costs.</w:t>
      </w:r>
    </w:p>
    <w:p>
      <w:pPr>
        <w:spacing w:after="0" w:line="162"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252525"/>
        </w:rPr>
        <w:t>See Note 13 “Restructuring expenses” to the Company’s consolidated financial statements included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89" w:lineRule="exact"/>
        <w:rPr>
          <w:sz w:val="20"/>
          <w:szCs w:val="20"/>
          <w:color w:val="auto"/>
        </w:rPr>
      </w:pPr>
    </w:p>
    <w:p>
      <w:pPr>
        <w:ind w:left="60" w:right="119" w:firstLine="432"/>
        <w:spacing w:after="0" w:line="255" w:lineRule="auto"/>
        <w:rPr>
          <w:sz w:val="20"/>
          <w:szCs w:val="20"/>
          <w:color w:val="auto"/>
        </w:rPr>
      </w:pPr>
      <w:r>
        <w:rPr>
          <w:rFonts w:ascii="Times New Roman" w:cs="Times New Roman" w:eastAsia="Times New Roman" w:hAnsi="Times New Roman"/>
          <w:sz w:val="18"/>
          <w:szCs w:val="18"/>
          <w:color w:val="auto"/>
        </w:rPr>
        <w:t>First quarter fiscal 2027 operating income was $474.7 million, an increase of $332.7 million or 234.3%, from $142.0 million in the prior-year first quarter. First quarter fiscal 2027 operating income margin was 4.4%, an increase of 202 basis points from 2.4% in the prior-year first quarter. First quarter fiscal 2027 adjusted operating income was $498.1 million, an increase of $347.4 million, or 230.5%, from $150.7 million in the prior-year first quarter. First quarter fiscal 2027 adjusted operating income margin was 4.7%, an increase of 210 basis points from 2.6% in the prior-year first quarter. The increase in operating income margin and adjusted operating income margin is primarily due to the sales growth across EC and Farnell.</w:t>
      </w:r>
    </w:p>
    <w:p>
      <w:pPr>
        <w:spacing w:after="0" w:line="189" w:lineRule="exact"/>
        <w:rPr>
          <w:sz w:val="20"/>
          <w:szCs w:val="20"/>
          <w:color w:val="auto"/>
        </w:rPr>
      </w:pPr>
    </w:p>
    <w:p>
      <w:pPr>
        <w:ind w:left="60" w:right="199" w:firstLine="427"/>
        <w:spacing w:after="0" w:line="255" w:lineRule="auto"/>
        <w:rPr>
          <w:sz w:val="20"/>
          <w:szCs w:val="20"/>
          <w:color w:val="auto"/>
        </w:rPr>
      </w:pPr>
      <w:r>
        <w:rPr>
          <w:rFonts w:ascii="Times New Roman" w:cs="Times New Roman" w:eastAsia="Times New Roman" w:hAnsi="Times New Roman"/>
          <w:sz w:val="18"/>
          <w:szCs w:val="18"/>
          <w:color w:val="auto"/>
        </w:rPr>
        <w:t>EC first quarter fiscal 2027 operating income was $484.5 million, an increase of $325.4 million, or 204.7%, from $159.0 million in the prior-year first quarter. EC first quarter operating income margin was 4.8%, an increase of 189 basis points from 2.9% in the prior-year first quarter. Farnell first quarter operating income was $58.6 million, an increase of $41.5 million, or 242.7%, from $17.1 million in the prior-year first quarter. Farnell first quarter operating income margin was 10.1%, an increase of 576 basis points from 4.3% in the prior-year first quarter. Operating income and operating income margins at both EC and Farnell benefited from the increase in sales, as SG&amp;A expenses increased at a lower rate than sales.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and Other Financing Expenses, Net</w:t>
      </w:r>
    </w:p>
    <w:p>
      <w:pPr>
        <w:spacing w:after="0" w:line="202" w:lineRule="exact"/>
        <w:rPr>
          <w:sz w:val="20"/>
          <w:szCs w:val="20"/>
          <w:color w:val="auto"/>
        </w:rPr>
      </w:pPr>
    </w:p>
    <w:p>
      <w:pPr>
        <w:jc w:val="both"/>
        <w:ind w:left="60" w:right="2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First quarter fiscal 2027 interest and other financing expenses were $91.9 million, an increase of $32.1 million, or 53.7%, from $59.8 million in the prior-year first quarter. </w:t>
      </w:r>
      <w:r>
        <w:rPr>
          <w:rFonts w:ascii="Times New Roman" w:cs="Times New Roman" w:eastAsia="Times New Roman" w:hAnsi="Times New Roman"/>
          <w:sz w:val="18"/>
          <w:szCs w:val="18"/>
          <w:color w:val="252525"/>
        </w:rPr>
        <w:t>The increase in interest and other financing expenses in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quarter of fiscal 2027 compared to the prior-year first quarter is primarily the result of higher average borrowings.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89" w:lineRule="exact"/>
        <w:rPr>
          <w:sz w:val="20"/>
          <w:szCs w:val="20"/>
          <w:color w:val="auto"/>
        </w:rPr>
      </w:pPr>
    </w:p>
    <w:p>
      <w:pPr>
        <w:ind w:left="60" w:right="59" w:firstLine="427"/>
        <w:spacing w:after="0" w:line="256" w:lineRule="auto"/>
        <w:rPr>
          <w:sz w:val="20"/>
          <w:szCs w:val="20"/>
          <w:color w:val="auto"/>
        </w:rPr>
      </w:pPr>
      <w:r>
        <w:rPr>
          <w:rFonts w:ascii="Times New Roman" w:cs="Times New Roman" w:eastAsia="Times New Roman" w:hAnsi="Times New Roman"/>
          <w:sz w:val="18"/>
          <w:szCs w:val="18"/>
          <w:color w:val="auto"/>
        </w:rPr>
        <w:t xml:space="preserve">First quarter fiscal 2027 income tax expense was $89.5 million, an increase of $64.4 million, or 257%, from $25.1 million in the prior-year first quarter. First quarter fiscal 2027 income tax expense reflected an effective tax rate of 24.1%, a decrease of 856 basis points from 32.6% in the prior-year first quarter. The decrease in the effective tax rate for the first quarter of fiscal 2027 was primarily related to the effect of changes in tax rates enacted in foreign jurisdictions in fiscal 2026. See Note 7 “Income taxes” to the Company’s consolidated financial statements included in this Quarterly Report on Form </w:t>
      </w:r>
      <w:r>
        <w:rPr>
          <w:rFonts w:ascii="Times New Roman" w:cs="Times New Roman" w:eastAsia="Times New Roman" w:hAnsi="Times New Roman"/>
          <w:sz w:val="18"/>
          <w:szCs w:val="18"/>
          <w:color w:val="252525"/>
        </w:rPr>
        <w:t>10-Q.</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ind w:left="60" w:right="399" w:firstLine="427"/>
        <w:spacing w:after="0" w:line="261" w:lineRule="auto"/>
        <w:rPr>
          <w:sz w:val="20"/>
          <w:szCs w:val="20"/>
          <w:color w:val="auto"/>
        </w:rPr>
      </w:pPr>
      <w:r>
        <w:rPr>
          <w:rFonts w:ascii="Times New Roman" w:cs="Times New Roman" w:eastAsia="Times New Roman" w:hAnsi="Times New Roman"/>
          <w:sz w:val="18"/>
          <w:szCs w:val="18"/>
          <w:color w:val="auto"/>
        </w:rPr>
        <w:t>First quarter fiscal 2027 net income was $282.2 million, an increase of $230.4 million, or 445.3%, from $51.7 million in the prior-year first quarter. First quarter fiscal 2027 net income per share on a diluted basis was $3.28, an increase of $2.67, or 437.7%, from $0.61 in the prior-year first quarter. The increases in net income and net income per share on a diluted basis were primarily attributable to the factors discussed in the preceding MD&amp;A discussion.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ind w:left="60" w:right="159" w:firstLine="432"/>
        <w:spacing w:after="0" w:line="261" w:lineRule="auto"/>
        <w:rPr>
          <w:sz w:val="20"/>
          <w:szCs w:val="20"/>
          <w:color w:val="auto"/>
        </w:rPr>
      </w:pPr>
      <w:r>
        <w:rPr>
          <w:rFonts w:ascii="Times New Roman" w:cs="Times New Roman" w:eastAsia="Times New Roman" w:hAnsi="Times New Roman"/>
          <w:sz w:val="18"/>
          <w:szCs w:val="18"/>
          <w:color w:val="auto"/>
        </w:rPr>
        <w:t>Net cash used for operating activities was $842.4 million for the first quarter of fiscal 2027, up from $144.6 million in the same period of prior fiscal year. The increase was primarily due to higher working capital requirements to support the $4.82 billion increase in sales. The Company used $1.20 billion of cash for working capital in the first quarter of fiscal 2027, compared to $217.5 million in the prior-year period.</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left="60" w:right="299" w:firstLine="432"/>
        <w:spacing w:after="0" w:line="258" w:lineRule="auto"/>
        <w:rPr>
          <w:sz w:val="20"/>
          <w:szCs w:val="20"/>
          <w:color w:val="auto"/>
        </w:rPr>
      </w:pPr>
      <w:r>
        <w:rPr>
          <w:rFonts w:ascii="Times New Roman" w:cs="Times New Roman" w:eastAsia="Times New Roman" w:hAnsi="Times New Roman"/>
          <w:sz w:val="18"/>
          <w:szCs w:val="18"/>
          <w:color w:val="auto"/>
        </w:rPr>
        <w:t>Net debt proceeds were $978.2 million during the first quarter of fiscal 2027, compared with $320.8 million in the prior-year period, primarily reflecting increased borrowings to support the working capital requirements associated with sales growth. The fiscal 2027 net proceeds included $545.6 million from the issuance of Notes, $648.9 million under the Credit Facility, and $375.0 million for term loan, partially offset by net repayments of $474.6 million under the Securitization Program, $88.9 million for term loans, and $27.7 million of other debt.</w:t>
      </w:r>
    </w:p>
    <w:p>
      <w:pPr>
        <w:spacing w:after="0" w:line="183" w:lineRule="exact"/>
        <w:rPr>
          <w:sz w:val="20"/>
          <w:szCs w:val="20"/>
          <w:color w:val="auto"/>
        </w:rPr>
      </w:pPr>
    </w:p>
    <w:p>
      <w:pPr>
        <w:jc w:val="both"/>
        <w:ind w:left="60" w:right="99" w:firstLine="432"/>
        <w:spacing w:after="0" w:line="261" w:lineRule="auto"/>
        <w:rPr>
          <w:sz w:val="20"/>
          <w:szCs w:val="20"/>
          <w:color w:val="auto"/>
        </w:rPr>
      </w:pPr>
      <w:r>
        <w:rPr>
          <w:rFonts w:ascii="Times New Roman" w:cs="Times New Roman" w:eastAsia="Times New Roman" w:hAnsi="Times New Roman"/>
          <w:sz w:val="18"/>
          <w:szCs w:val="18"/>
          <w:color w:val="auto"/>
        </w:rPr>
        <w:t>The Company did not repurchase any shares of common stock under its share repurchase plan during the first quarter of fiscal 2027 compared to $138.3 million in the same period of the prior fiscal year. The Company paid cash dividends to shareholders of $0.37 per share, or $30.4 million, during the first quarter of fiscal 2027 as compared to $0.35 per share, or $28.5 million, during the first quarter of fiscal 2026.</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$1.1 million during the first quarter of fiscal 2027 compared to the same period in 2026, primarily due to lower capital expenditures.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02" w:lineRule="exact"/>
        <w:rPr>
          <w:sz w:val="20"/>
          <w:szCs w:val="20"/>
          <w:color w:val="auto"/>
        </w:rPr>
      </w:pPr>
    </w:p>
    <w:p>
      <w:pPr>
        <w:ind w:left="60" w:right="99" w:firstLine="427"/>
        <w:spacing w:after="0" w:line="256" w:lineRule="auto"/>
        <w:rPr>
          <w:sz w:val="20"/>
          <w:szCs w:val="20"/>
          <w:color w:val="auto"/>
        </w:rPr>
      </w:pPr>
      <w:r>
        <w:rPr>
          <w:rFonts w:ascii="Times New Roman" w:cs="Times New Roman" w:eastAsia="Times New Roman" w:hAnsi="Times New Roman"/>
          <w:sz w:val="18"/>
          <w:szCs w:val="18"/>
          <w:color w:val="auto"/>
        </w:rPr>
        <w:t xml:space="preserve">For a detailed description of the Company’s long-term debt and lease commitments for the next five years and thereafter, see </w:t>
      </w:r>
      <w:r>
        <w:rPr>
          <w:rFonts w:ascii="Times New Roman" w:cs="Times New Roman" w:eastAsia="Times New Roman" w:hAnsi="Times New Roman"/>
          <w:sz w:val="18"/>
          <w:szCs w:val="18"/>
          <w:i w:val="1"/>
          <w:iCs w:val="1"/>
          <w:color w:val="auto"/>
        </w:rPr>
        <w:t>Long-Term Contractual Obligations</w:t>
      </w:r>
      <w:r>
        <w:rPr>
          <w:rFonts w:ascii="Times New Roman" w:cs="Times New Roman" w:eastAsia="Times New Roman" w:hAnsi="Times New Roman"/>
          <w:sz w:val="18"/>
          <w:szCs w:val="18"/>
          <w:color w:val="auto"/>
        </w:rPr>
        <w:t xml:space="preserve"> appearing in Item 7 of the Company’s Annual Report on Form 10-K for the fiscal year ended June 27, 2026 and Note 4 “Debt” to the Company’s consolidated financial statements included in this Quarterly Report on Form 10-Q. There are no material changes to this information other than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189" w:lineRule="exact"/>
        <w:rPr>
          <w:sz w:val="20"/>
          <w:szCs w:val="20"/>
          <w:color w:val="auto"/>
        </w:rPr>
      </w:pPr>
    </w:p>
    <w:p>
      <w:pPr>
        <w:ind w:left="60" w:right="319" w:firstLine="432"/>
        <w:spacing w:after="0" w:line="261" w:lineRule="auto"/>
        <w:rPr>
          <w:sz w:val="20"/>
          <w:szCs w:val="20"/>
          <w:color w:val="auto"/>
        </w:rPr>
      </w:pPr>
      <w:r>
        <w:rPr>
          <w:rFonts w:ascii="Times New Roman" w:cs="Times New Roman" w:eastAsia="Times New Roman" w:hAnsi="Times New Roman"/>
          <w:sz w:val="18"/>
          <w:szCs w:val="18"/>
          <w:color w:val="auto"/>
        </w:rPr>
        <w:t>See Note 4, “Debt” to the Company’s consolidated financial statements included in this Quarterly Report on Form 10-Q for additional information on financing transactions, including the Credit Facility, the Securitization Program, and other outstanding notes and debt as of October 3, 2026. The Company was in compliance with all covenants under the Credit Facility and the Securitization Program as of October 3, 2026, and June 27, 2026.</w:t>
      </w:r>
    </w:p>
    <w:p>
      <w:pPr>
        <w:spacing w:after="0" w:line="180" w:lineRule="exact"/>
        <w:rPr>
          <w:sz w:val="20"/>
          <w:szCs w:val="20"/>
          <w:color w:val="auto"/>
        </w:rPr>
      </w:pPr>
    </w:p>
    <w:p>
      <w:pPr>
        <w:ind w:left="60" w:right="219" w:firstLine="427"/>
        <w:spacing w:after="0" w:line="261" w:lineRule="auto"/>
        <w:rPr>
          <w:sz w:val="20"/>
          <w:szCs w:val="20"/>
          <w:color w:val="auto"/>
        </w:rPr>
      </w:pPr>
      <w:r>
        <w:rPr>
          <w:rFonts w:ascii="Times New Roman" w:cs="Times New Roman" w:eastAsia="Times New Roman" w:hAnsi="Times New Roman"/>
          <w:sz w:val="18"/>
          <w:szCs w:val="18"/>
          <w:color w:val="auto"/>
        </w:rPr>
        <w:t>The Company has various lines of credit, financing arrangements, and other forms of bank debt in the U.S. and various foreign locations to fund the working capital, foreign exchange, overdraft, capital expenditure, and letter of credit needs of its wholly owned subsidiaries. Outstanding borrowings under such forms of debt at the end of first quarter of fiscal 2027 were $139.0 million.</w:t>
      </w:r>
    </w:p>
    <w:p>
      <w:pPr>
        <w:spacing w:after="0" w:line="180" w:lineRule="exact"/>
        <w:rPr>
          <w:sz w:val="20"/>
          <w:szCs w:val="20"/>
          <w:color w:val="auto"/>
        </w:rPr>
      </w:pPr>
    </w:p>
    <w:p>
      <w:pPr>
        <w:ind w:left="60" w:right="339" w:firstLine="427"/>
        <w:spacing w:after="0" w:line="258" w:lineRule="auto"/>
        <w:rPr>
          <w:sz w:val="20"/>
          <w:szCs w:val="20"/>
          <w:color w:val="auto"/>
        </w:rPr>
      </w:pPr>
      <w:r>
        <w:rPr>
          <w:rFonts w:ascii="Times New Roman" w:cs="Times New Roman" w:eastAsia="Times New Roman" w:hAnsi="Times New Roman"/>
          <w:sz w:val="18"/>
          <w:szCs w:val="18"/>
          <w:color w:val="auto"/>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of the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89" w:lineRule="exact"/>
        <w:rPr>
          <w:sz w:val="20"/>
          <w:szCs w:val="20"/>
          <w:color w:val="auto"/>
        </w:rPr>
      </w:pPr>
    </w:p>
    <w:p>
      <w:pPr>
        <w:ind w:left="60" w:right="219" w:firstLine="432"/>
        <w:spacing w:after="0" w:line="266" w:lineRule="auto"/>
        <w:rPr>
          <w:sz w:val="20"/>
          <w:szCs w:val="20"/>
          <w:color w:val="auto"/>
        </w:rPr>
      </w:pPr>
      <w:r>
        <w:rPr>
          <w:rFonts w:ascii="Times New Roman" w:cs="Times New Roman" w:eastAsia="Times New Roman" w:hAnsi="Times New Roman"/>
          <w:sz w:val="18"/>
          <w:szCs w:val="18"/>
          <w:color w:val="auto"/>
        </w:rPr>
        <w:t>The Company held cash and cash equivalents of $236.8 million as of October 3, 2026, of which $211.9 million was held outside the United States. As of June 27, 2026, the Company held cash and cash equivalents of $155.4 million, of which $146.4 million was held outside of the United States.</w:t>
      </w:r>
    </w:p>
    <w:p>
      <w:pPr>
        <w:spacing w:after="0" w:line="176" w:lineRule="exact"/>
        <w:rPr>
          <w:sz w:val="20"/>
          <w:szCs w:val="20"/>
          <w:color w:val="auto"/>
        </w:rPr>
      </w:pPr>
    </w:p>
    <w:p>
      <w:pPr>
        <w:ind w:left="60" w:right="79" w:firstLine="432"/>
        <w:spacing w:after="0" w:line="261" w:lineRule="auto"/>
        <w:rPr>
          <w:sz w:val="20"/>
          <w:szCs w:val="20"/>
          <w:color w:val="auto"/>
        </w:rPr>
      </w:pPr>
      <w:r>
        <w:rPr>
          <w:rFonts w:ascii="Times New Roman" w:cs="Times New Roman" w:eastAsia="Times New Roman" w:hAnsi="Times New Roman"/>
          <w:sz w:val="18"/>
          <w:szCs w:val="18"/>
          <w:color w:val="auto"/>
        </w:rPr>
        <w:t>During periods of weakening demand in the electronic components industry, the Company typically generates cash from operating activities. Conversely, the Company will use cash for working capital requirements during periods of higher growth. The Company used $978.7 million in cash flows for operating activities over the trailing four fiscal quarters ended October 3, 2026.</w:t>
      </w:r>
    </w:p>
    <w:p>
      <w:pPr>
        <w:spacing w:after="0" w:line="180" w:lineRule="exact"/>
        <w:rPr>
          <w:sz w:val="20"/>
          <w:szCs w:val="20"/>
          <w:color w:val="auto"/>
        </w:rPr>
      </w:pPr>
    </w:p>
    <w:p>
      <w:pPr>
        <w:ind w:left="60" w:right="119" w:firstLine="427"/>
        <w:spacing w:after="0" w:line="255" w:lineRule="auto"/>
        <w:rPr>
          <w:sz w:val="20"/>
          <w:szCs w:val="20"/>
          <w:color w:val="auto"/>
        </w:rPr>
      </w:pPr>
      <w:r>
        <w:rPr>
          <w:rFonts w:ascii="Times New Roman" w:cs="Times New Roman" w:eastAsia="Times New Roman" w:hAnsi="Times New Roman"/>
          <w:sz w:val="18"/>
          <w:szCs w:val="18"/>
          <w:color w:val="auto"/>
        </w:rPr>
        <w:t>The Company’s liquidity is affected by a variety of factors, including normal business operations and general economic, financial, competitive, legislative and regulatory conditions, many of which are outside the Company’s control. Cash balances held outside the United States that cannot be remitted in a tax-efficient manner are generally used to support local working capital requirements, including inventory purchases, capital expenditures and other foreign business needs. In addition, local government regulations may restrict the Company’s ability to transfer funds among jurisdictions under certain circumstances. Management does not believe these restrictions would limit the Company’s ability to execute its intended business strategy.</w:t>
      </w:r>
    </w:p>
    <w:p>
      <w:pPr>
        <w:spacing w:after="0" w:line="189" w:lineRule="exact"/>
        <w:rPr>
          <w:sz w:val="20"/>
          <w:szCs w:val="20"/>
          <w:color w:val="auto"/>
        </w:rPr>
      </w:pPr>
    </w:p>
    <w:p>
      <w:pPr>
        <w:ind w:left="60" w:right="119" w:firstLine="427"/>
        <w:spacing w:after="0" w:line="312" w:lineRule="auto"/>
        <w:rPr>
          <w:sz w:val="20"/>
          <w:szCs w:val="20"/>
          <w:color w:val="auto"/>
        </w:rPr>
      </w:pPr>
      <w:r>
        <w:rPr>
          <w:rFonts w:ascii="Times New Roman" w:cs="Times New Roman" w:eastAsia="Times New Roman" w:hAnsi="Times New Roman"/>
          <w:sz w:val="17"/>
          <w:szCs w:val="17"/>
          <w:color w:val="auto"/>
        </w:rPr>
        <w:t>In August 2026, the Company issued $550 million aggregate principal amount of 5.65% Notes due 2031 (see Note 4). The Company used the net proceeds to repay outstanding amounts under its Credit Facility and Securitization Program.</w:t>
      </w:r>
    </w:p>
    <w:p>
      <w:pPr>
        <w:spacing w:after="0" w:line="140" w:lineRule="exact"/>
        <w:rPr>
          <w:sz w:val="20"/>
          <w:szCs w:val="20"/>
          <w:color w:val="auto"/>
        </w:rPr>
      </w:pPr>
    </w:p>
    <w:p>
      <w:pPr>
        <w:ind w:left="60" w:right="499" w:firstLine="427"/>
        <w:spacing w:after="0" w:line="266" w:lineRule="auto"/>
        <w:rPr>
          <w:sz w:val="20"/>
          <w:szCs w:val="20"/>
          <w:color w:val="auto"/>
        </w:rPr>
      </w:pPr>
      <w:r>
        <w:rPr>
          <w:rFonts w:ascii="Times New Roman" w:cs="Times New Roman" w:eastAsia="Times New Roman" w:hAnsi="Times New Roman"/>
          <w:sz w:val="18"/>
          <w:szCs w:val="18"/>
          <w:color w:val="auto"/>
        </w:rPr>
        <w:t>In October 2026, the Company amended its Credit Facility to increase the aggregate revolving commitments by $1.00 billion to a limit of $2.75 billion and to permit the Company to request up to $1.00 billion of additional commitments.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19" w:firstLine="427"/>
        <w:spacing w:after="0" w:line="256" w:lineRule="auto"/>
        <w:rPr>
          <w:sz w:val="20"/>
          <w:szCs w:val="20"/>
          <w:color w:val="auto"/>
        </w:rPr>
      </w:pPr>
      <w:r>
        <w:rPr>
          <w:rFonts w:ascii="Times New Roman" w:cs="Times New Roman" w:eastAsia="Times New Roman" w:hAnsi="Times New Roman"/>
          <w:sz w:val="18"/>
          <w:szCs w:val="18"/>
          <w:color w:val="auto"/>
        </w:rPr>
        <w:t>As of the end of the first quarter of fiscal 2027, the Company had a combined total borrowing capacity of $2.45 billion under the Credit Facility and the Securitization Program. There were $1.18 billion borrowings outstanding and $0.7 million in letters of credit issued under the Credit Facility, and $25.4 million outstanding under the Securitization Program, resulting in approximately $1.24 billion of total committed availability as of October 3, 2026. Availability under the Securitization Program is subject to the Company having sufficient eligible trade accounts receivable in the United States to support desired borrowings.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first quarter of fiscal 2027, the Company had an average daily balance outstanding of approximately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$1.31 billion under the Credit Facility, and approximately $638.4 million under the Securitization Program. The Company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also has average borrowings that are higher than quarter end borrowings from various lines of credit, financing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arrangements, and other forms of bank debt in the U.S. and various foreign locations.</w:t>
      </w:r>
    </w:p>
    <w:p>
      <w:pPr>
        <w:spacing w:after="0" w:line="207" w:lineRule="exact"/>
        <w:rPr>
          <w:sz w:val="20"/>
          <w:szCs w:val="20"/>
          <w:color w:val="auto"/>
        </w:rPr>
      </w:pPr>
    </w:p>
    <w:p>
      <w:pPr>
        <w:ind w:left="60" w:right="259" w:firstLine="427"/>
        <w:spacing w:after="0" w:line="277" w:lineRule="auto"/>
        <w:rPr>
          <w:sz w:val="20"/>
          <w:szCs w:val="20"/>
          <w:color w:val="auto"/>
        </w:rPr>
      </w:pPr>
      <w:r>
        <w:rPr>
          <w:rFonts w:ascii="Times New Roman" w:cs="Times New Roman" w:eastAsia="Times New Roman" w:hAnsi="Times New Roman"/>
          <w:sz w:val="17"/>
          <w:szCs w:val="17"/>
          <w:color w:val="auto"/>
        </w:rPr>
        <w:t>As of October 3, 2026, the Company does not expect to repurchase additional shares during the remainder of 2026. When share repurchases resume, the Company may repurchase stock from time to time at the discretion of management, subject to strategic considerations, market conditions (including share price), and other factors. The Company may terminate or limit the share repurchase program at any time without prior notice. The Company has $225.8 million of capacity remaining on the share repurchase program approved by the Board of Directors as of October 3, 2026.</w:t>
      </w:r>
    </w:p>
    <w:p>
      <w:pPr>
        <w:spacing w:after="0" w:line="168" w:lineRule="exact"/>
        <w:rPr>
          <w:sz w:val="20"/>
          <w:szCs w:val="20"/>
          <w:color w:val="auto"/>
        </w:rPr>
      </w:pPr>
    </w:p>
    <w:p>
      <w:pPr>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The Company has historically paid quarterly cash dividends on shares of its common stock, and future dividends are subject to approval by the Board of Directors. During the first quarter of fiscal 2027, the Board of Directors approved a dividend of $0.37 per share, which resulted in $30.4 million of dividend payments during the quarter.</w:t>
      </w:r>
    </w:p>
    <w:p>
      <w:pPr>
        <w:spacing w:after="0" w:line="176"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2" w:lineRule="exact"/>
        <w:rPr>
          <w:sz w:val="20"/>
          <w:szCs w:val="20"/>
          <w:color w:val="auto"/>
        </w:rPr>
      </w:pPr>
    </w:p>
    <w:p>
      <w:pPr>
        <w:ind w:left="60" w:right="339" w:firstLine="427"/>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ind w:left="60" w:right="179" w:firstLine="432"/>
        <w:spacing w:after="0" w:line="261" w:lineRule="auto"/>
        <w:rPr>
          <w:sz w:val="20"/>
          <w:szCs w:val="20"/>
          <w:color w:val="auto"/>
        </w:rPr>
      </w:pPr>
      <w:r>
        <w:rPr>
          <w:rFonts w:ascii="Times New Roman" w:cs="Times New Roman" w:eastAsia="Times New Roman" w:hAnsi="Times New Roman"/>
          <w:sz w:val="18"/>
          <w:szCs w:val="18"/>
          <w:color w:val="auto"/>
        </w:rPr>
        <w:t>The Company seeks to reduce earnings and cash flow volatility associated with changes in interest rates and foreign currency exchange rates through financial arrangements that are intended to provide an economic hedge against the risks associated with such volatility. The Company continues to have exposure to such risks to the extent they are not economically hedged.</w:t>
      </w:r>
    </w:p>
    <w:p>
      <w:pPr>
        <w:spacing w:after="0" w:line="178"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 xml:space="preserve">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the Company’s Annual Report on Form 10-K for the fiscal year ended June 27, 2026, for further discussion of market risks associated with foreign currency exchange rates and interest rates. Avnet’s exposure to such risks has not changed materially since June 27, 2026, as the Company continues to economically hedge the majority of its foreign currency exchange exposures. Thus, any increase or decrease in the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right="59" w:firstLine="427"/>
        <w:spacing w:after="0" w:line="25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Liquidity and Capital Resources — Financing Transactions</w:t>
      </w:r>
      <w:r>
        <w:rPr>
          <w:rFonts w:ascii="Times New Roman" w:cs="Times New Roman" w:eastAsia="Times New Roman" w:hAnsi="Times New Roman"/>
          <w:sz w:val="18"/>
          <w:szCs w:val="18"/>
          <w:color w:val="auto"/>
        </w:rPr>
        <w:t xml:space="preserve"> appearing in Item 2 of this Quarterly Report on Form 10-Q for further discussion of the Company’s financing transactions and capital structure. As of October 3, 2026, approximately 55% of the Company’s debt bears interest at a fixed rate and 45% of the Company’s debt bears interest at variable rates. Therefore, a hypothetical 1.0% (100 basis points) increase in interest rates would result in a $4.7 million decrease in income before income taxes in the Company’s consolidated statement of operations for the first quarter of fiscal 2027.</w:t>
      </w:r>
    </w:p>
    <w:p>
      <w:pPr>
        <w:spacing w:after="0" w:line="18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89" w:lineRule="exact"/>
        <w:rPr>
          <w:sz w:val="20"/>
          <w:szCs w:val="20"/>
          <w:color w:val="auto"/>
        </w:rPr>
      </w:pPr>
    </w:p>
    <w:p>
      <w:pPr>
        <w:ind w:left="60" w:right="99" w:firstLine="432"/>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94" w:lineRule="exact"/>
        <w:rPr>
          <w:sz w:val="20"/>
          <w:szCs w:val="20"/>
          <w:color w:val="auto"/>
        </w:rPr>
      </w:pPr>
    </w:p>
    <w:p>
      <w:pPr>
        <w:ind w:left="60" w:right="439" w:firstLine="432"/>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2027, there were no changes to the Company’s internal control over financial reporting (as defined in Rules 13a-15(f) and 15d-15(f) of the Exchange Act) that materially affected, or are reasonably likely to materially affect, the Company’s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8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left="60" w:right="239" w:firstLine="432"/>
        <w:spacing w:after="0" w:line="256" w:lineRule="auto"/>
        <w:rPr>
          <w:sz w:val="20"/>
          <w:szCs w:val="20"/>
          <w:color w:val="auto"/>
        </w:rPr>
      </w:pPr>
      <w:r>
        <w:rPr>
          <w:rFonts w:ascii="Times New Roman" w:cs="Times New Roman" w:eastAsia="Times New Roman" w:hAnsi="Times New Roman"/>
          <w:sz w:val="18"/>
          <w:szCs w:val="18"/>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87" w:lineRule="exact"/>
        <w:rPr>
          <w:sz w:val="20"/>
          <w:szCs w:val="20"/>
          <w:color w:val="auto"/>
        </w:rPr>
      </w:pPr>
    </w:p>
    <w:p>
      <w:pPr>
        <w:jc w:val="both"/>
        <w:ind w:left="60" w:right="299" w:firstLine="432"/>
        <w:spacing w:after="0" w:line="281" w:lineRule="auto"/>
        <w:rPr>
          <w:sz w:val="20"/>
          <w:szCs w:val="20"/>
          <w:color w:val="auto"/>
        </w:rPr>
      </w:pPr>
      <w:r>
        <w:rPr>
          <w:rFonts w:ascii="Times New Roman" w:cs="Times New Roman" w:eastAsia="Times New Roman" w:hAnsi="Times New Roman"/>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6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89" w:lineRule="exact"/>
        <w:rPr>
          <w:sz w:val="20"/>
          <w:szCs w:val="20"/>
          <w:color w:val="auto"/>
        </w:rPr>
      </w:pPr>
    </w:p>
    <w:p>
      <w:pPr>
        <w:ind w:left="60" w:right="99" w:firstLine="427"/>
        <w:spacing w:after="0" w:line="256" w:lineRule="auto"/>
        <w:rPr>
          <w:sz w:val="20"/>
          <w:szCs w:val="20"/>
          <w:color w:val="auto"/>
        </w:rPr>
      </w:pPr>
      <w:r>
        <w:rPr>
          <w:rFonts w:ascii="Times New Roman" w:cs="Times New Roman" w:eastAsia="Times New Roman" w:hAnsi="Times New Roman"/>
          <w:sz w:val="18"/>
          <w:szCs w:val="18"/>
          <w:color w:val="auto"/>
        </w:rPr>
        <w:t>The discussion of the Company’s business and operations should be read together with the risk factors contained in Item 1A of its Annual Report on Form 10-K for the fiscal year ended June 27, 2026,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October 3, 2026, there have been no material changes to the risk factors set forth in the Company’s Annual Report on Form 10-K for the fiscal year ended June 27, 2026.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89" w:lineRule="exact"/>
        <w:rPr>
          <w:sz w:val="20"/>
          <w:szCs w:val="20"/>
          <w:color w:val="auto"/>
        </w:rPr>
      </w:pPr>
    </w:p>
    <w:p>
      <w:pPr>
        <w:ind w:left="60" w:right="639" w:firstLine="427"/>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approved the repurchase plan of up to an aggregate of $600 million of common stock. During the first quarter of fiscal 2027, the Company did not repurchase any shares under the share repurchase program.</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32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r>
      <w:tr>
        <w:trPr>
          <w:trHeight w:val="392"/>
        </w:trPr>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3"/>
        </w:trPr>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8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Exhibit</w:t>
            </w:r>
          </w:p>
        </w:tc>
      </w:tr>
      <w:tr>
        <w:trPr>
          <w:trHeight w:val="27"/>
        </w:trPr>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398"/>
        </w:trPr>
        <w:tc>
          <w:tcPr>
            <w:tcW w:w="5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425"/>
        </w:trPr>
        <w:tc>
          <w:tcPr>
            <w:tcW w:w="5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r>
        <w:trPr>
          <w:trHeight w:val="426"/>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425"/>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 the instance document does not appear in the Interactive Data File because its XBRL tags are</w:t>
            </w:r>
          </w:p>
        </w:tc>
      </w:tr>
      <w:tr>
        <w:trPr>
          <w:trHeight w:val="234"/>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46"/>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45"/>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45"/>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46"/>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45"/>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231140</wp:posOffset>
            </wp:positionV>
            <wp:extent cx="14141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hanging="53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640" w:right="139" w:hanging="530"/>
        <w:spacing w:after="0" w:line="26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left="60" w:right="1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AVNET, INC.</w:t>
      </w:r>
    </w:p>
    <w:p>
      <w:pPr>
        <w:spacing w:after="0" w:line="200" w:lineRule="exact"/>
        <w:rPr>
          <w:sz w:val="20"/>
          <w:szCs w:val="20"/>
          <w:color w:val="auto"/>
        </w:rPr>
      </w:pPr>
    </w:p>
    <w:p>
      <w:pPr>
        <w:spacing w:after="0" w:line="304" w:lineRule="exact"/>
        <w:rPr>
          <w:sz w:val="20"/>
          <w:szCs w:val="20"/>
          <w:color w:val="auto"/>
        </w:rPr>
      </w:pPr>
    </w:p>
    <w:p>
      <w:pPr>
        <w:ind w:left="454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JACOBSON</w:t>
      </w:r>
    </w:p>
    <w:p>
      <w:pPr>
        <w:spacing w:after="0" w:line="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-127635</wp:posOffset>
            </wp:positionV>
            <wp:extent cx="25800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2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649795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Jacobson, certify that:</w:t>
      </w:r>
    </w:p>
    <w:p>
      <w:pPr>
        <w:spacing w:after="0" w:line="158" w:lineRule="exact"/>
        <w:rPr>
          <w:sz w:val="20"/>
          <w:szCs w:val="20"/>
          <w:color w:val="auto"/>
        </w:rPr>
      </w:pPr>
    </w:p>
    <w:p>
      <w:pPr>
        <w:ind w:left="640" w:hanging="32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677545</wp:posOffset>
            </wp:positionV>
            <wp:extent cx="6497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32" w:name="page33"/>
    <w:bookmarkEnd w:id="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October 3, 2026 (the “Report”), I, Philip 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Gallagher, Chief Executive Officer of Avnet, Inc. (the “Company”) hereby certify that:</w:t>
      </w:r>
    </w:p>
    <w:p>
      <w:pPr>
        <w:spacing w:after="0" w:line="158" w:lineRule="exact"/>
        <w:rPr>
          <w:sz w:val="20"/>
          <w:szCs w:val="20"/>
          <w:color w:val="auto"/>
        </w:rPr>
      </w:pPr>
    </w:p>
    <w:p>
      <w:pPr>
        <w:ind w:left="700" w:right="699" w:hanging="332"/>
        <w:spacing w:after="0" w:line="329"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2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26035</wp:posOffset>
            </wp:positionV>
            <wp:extent cx="27857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33" w:name="page34"/>
    <w:bookmarkEnd w:id="3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October 3, 2026 (the “Report”), I, Kenneth A.</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Jacobson, Chief Financial Officer of Avnet, Inc. (the “Company”) hereby certify that:</w:t>
      </w:r>
    </w:p>
    <w:p>
      <w:pPr>
        <w:spacing w:after="0" w:line="158" w:lineRule="exact"/>
        <w:rPr>
          <w:sz w:val="20"/>
          <w:szCs w:val="20"/>
          <w:color w:val="auto"/>
        </w:rPr>
      </w:pPr>
    </w:p>
    <w:p>
      <w:pPr>
        <w:ind w:left="700" w:right="699" w:hanging="332"/>
        <w:spacing w:after="0" w:line="329"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26035</wp:posOffset>
            </wp:positionV>
            <wp:extent cx="2802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4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270"/>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2026-11-06T05:20:42Z</dcterms:created>
  <dcterms:modified xsi:type="dcterms:W3CDTF">2026-11-06T05:20:42Z</dcterms:modified>
</cp:coreProperties>
</file>