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Henkels Virginia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2211 S. 47TH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AVNET INC</w:t>
              </w:r>
            </w:hyperlink>
            <w:r>
              <w:rPr/>
              <w:t xml:space="preserve"> [ </w:t>
            </w:r>
            <w:r>
              <w:rPr>
                <w:rFonts w:ascii="Times;serif" w:hAnsi="Times;serif"/>
                <w:color w:val="0000FF"/>
                <w:sz w:val="24"/>
                <w:shd w:fill="FFFFFF" w:val="clear"/>
              </w:rPr>
              <w:t>AVT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100.17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("PSU") equals one share of the Issuer's common stock, and will be settled in the Issuer's common stock after the reporting person leaves the Issuer's Board or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PSUs acquired as a result of quarterly dividend.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Darrel S. Jackson,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839" TargetMode="External"/><Relationship Id="rId5" Type="http://schemas.openxmlformats.org/officeDocument/2006/relationships/hyperlink" Target="http://www.sec.gov/cgi-bin/browse-edgar?action=getcompany&amp;CIK=0000008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3328</Characters>
  <CharactersWithSpaces>3873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