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KHAYKIN OLEG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SOUTH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81"/>
        <w:gridCol w:w="276"/>
        <w:gridCol w:w="906"/>
        <w:gridCol w:w="801"/>
        <w:gridCol w:w="891"/>
        <w:gridCol w:w="104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212.7402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212.7402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110.17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57,708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PSUs acquired as a result of quarterly dividend.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725"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3340</Characters>
  <CharactersWithSpaces>3885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